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D85A" w14:textId="6C826D43" w:rsidR="00CF6FED" w:rsidRPr="00C47E97" w:rsidRDefault="008A0FC7" w:rsidP="00CF2F84">
      <w:pPr>
        <w:spacing w:after="0" w:line="240" w:lineRule="auto"/>
        <w:jc w:val="center"/>
        <w:rPr>
          <w:rFonts w:cstheme="minorHAnsi"/>
          <w:highlight w:val="yellow"/>
        </w:rPr>
      </w:pPr>
      <w:r>
        <w:rPr>
          <w:rFonts w:asciiTheme="majorHAnsi" w:hAnsiTheme="majorHAnsi" w:cstheme="majorHAnsi"/>
          <w:b/>
          <w:noProof/>
          <w:lang w:eastAsia="cs-CZ"/>
        </w:rPr>
        <w:drawing>
          <wp:inline distT="0" distB="0" distL="0" distR="0" wp14:anchorId="42FAB822" wp14:editId="2776C88B">
            <wp:extent cx="819150" cy="629532"/>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yp_Kreslicí plátn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2751" cy="639985"/>
                    </a:xfrm>
                    <a:prstGeom prst="rect">
                      <a:avLst/>
                    </a:prstGeom>
                  </pic:spPr>
                </pic:pic>
              </a:graphicData>
            </a:graphic>
          </wp:inline>
        </w:drawing>
      </w:r>
    </w:p>
    <w:p w14:paraId="513EC7F1" w14:textId="77777777" w:rsidR="00CF6FED" w:rsidRDefault="00CF6FED" w:rsidP="00CF2F84">
      <w:pPr>
        <w:spacing w:after="0" w:line="240" w:lineRule="auto"/>
        <w:jc w:val="center"/>
        <w:rPr>
          <w:rFonts w:cstheme="minorHAnsi"/>
          <w:highlight w:val="yellow"/>
        </w:rPr>
      </w:pPr>
    </w:p>
    <w:p w14:paraId="70893AD2" w14:textId="77777777" w:rsidR="008A0FC7" w:rsidRPr="00C47E97" w:rsidRDefault="008A0FC7" w:rsidP="00CF2F84">
      <w:pPr>
        <w:spacing w:after="0" w:line="240" w:lineRule="auto"/>
        <w:jc w:val="center"/>
        <w:rPr>
          <w:rFonts w:cstheme="minorHAnsi"/>
          <w:highlight w:val="yellow"/>
        </w:rPr>
      </w:pPr>
    </w:p>
    <w:p w14:paraId="5BA2750F" w14:textId="77777777" w:rsidR="00CF6FED" w:rsidRPr="00C47E97" w:rsidRDefault="00CF6FED" w:rsidP="00CF2F84">
      <w:pPr>
        <w:spacing w:after="0" w:line="240" w:lineRule="auto"/>
        <w:jc w:val="center"/>
        <w:rPr>
          <w:rFonts w:cstheme="minorHAnsi"/>
          <w:highlight w:val="yellow"/>
        </w:rPr>
      </w:pPr>
    </w:p>
    <w:p w14:paraId="0271BA83" w14:textId="77777777" w:rsidR="00CF6FED" w:rsidRDefault="0093232C" w:rsidP="00CF2F84">
      <w:pPr>
        <w:spacing w:after="0" w:line="240" w:lineRule="auto"/>
        <w:jc w:val="center"/>
        <w:rPr>
          <w:rFonts w:cstheme="minorHAnsi"/>
          <w:b/>
          <w:sz w:val="28"/>
          <w:szCs w:val="28"/>
        </w:rPr>
      </w:pPr>
      <w:r w:rsidRPr="00C47E97">
        <w:rPr>
          <w:rFonts w:cstheme="minorHAnsi"/>
          <w:b/>
          <w:sz w:val="28"/>
          <w:szCs w:val="28"/>
        </w:rPr>
        <w:t>Kontrolní závěr z kontrolní akce</w:t>
      </w:r>
    </w:p>
    <w:p w14:paraId="600CE2F1" w14:textId="77777777" w:rsidR="000E5A36" w:rsidRPr="00C47E97" w:rsidRDefault="000E5A36" w:rsidP="00CF2F84">
      <w:pPr>
        <w:spacing w:after="0" w:line="240" w:lineRule="auto"/>
        <w:jc w:val="center"/>
        <w:rPr>
          <w:rFonts w:cstheme="minorHAnsi"/>
          <w:b/>
          <w:sz w:val="28"/>
          <w:szCs w:val="28"/>
        </w:rPr>
      </w:pPr>
    </w:p>
    <w:p w14:paraId="696B2FF6" w14:textId="77777777" w:rsidR="00CF6FED" w:rsidRPr="00C47E97" w:rsidRDefault="00594203" w:rsidP="00CF2F84">
      <w:pPr>
        <w:spacing w:after="0" w:line="240" w:lineRule="auto"/>
        <w:jc w:val="center"/>
        <w:rPr>
          <w:rFonts w:cstheme="minorHAnsi"/>
          <w:b/>
          <w:sz w:val="28"/>
          <w:szCs w:val="28"/>
        </w:rPr>
      </w:pPr>
      <w:r w:rsidRPr="00C47E97">
        <w:rPr>
          <w:rFonts w:cstheme="minorHAnsi"/>
          <w:b/>
          <w:sz w:val="28"/>
          <w:szCs w:val="28"/>
        </w:rPr>
        <w:t>2</w:t>
      </w:r>
      <w:r w:rsidR="00CF7D4A">
        <w:rPr>
          <w:rFonts w:cstheme="minorHAnsi"/>
          <w:b/>
          <w:sz w:val="28"/>
          <w:szCs w:val="28"/>
        </w:rPr>
        <w:t>4</w:t>
      </w:r>
      <w:r w:rsidR="00867AB5" w:rsidRPr="00C47E97">
        <w:rPr>
          <w:rFonts w:cstheme="minorHAnsi"/>
          <w:b/>
          <w:sz w:val="28"/>
          <w:szCs w:val="28"/>
        </w:rPr>
        <w:t>/</w:t>
      </w:r>
      <w:r w:rsidR="00CF7D4A">
        <w:rPr>
          <w:rFonts w:cstheme="minorHAnsi"/>
          <w:b/>
          <w:sz w:val="28"/>
          <w:szCs w:val="28"/>
        </w:rPr>
        <w:t>14</w:t>
      </w:r>
    </w:p>
    <w:p w14:paraId="501BDD3D" w14:textId="77777777" w:rsidR="00151785" w:rsidRPr="00C47E97" w:rsidRDefault="00151785" w:rsidP="00CF2F84">
      <w:pPr>
        <w:spacing w:after="0" w:line="240" w:lineRule="auto"/>
        <w:jc w:val="center"/>
        <w:rPr>
          <w:rFonts w:cstheme="minorHAnsi"/>
          <w:b/>
          <w:sz w:val="28"/>
          <w:szCs w:val="28"/>
          <w:highlight w:val="yellow"/>
        </w:rPr>
      </w:pPr>
    </w:p>
    <w:p w14:paraId="58034413" w14:textId="40140FF1" w:rsidR="00CF2F84" w:rsidRDefault="00CF7D4A" w:rsidP="00FA7789">
      <w:pPr>
        <w:spacing w:after="0" w:line="240" w:lineRule="auto"/>
        <w:jc w:val="center"/>
        <w:rPr>
          <w:rFonts w:cstheme="minorHAnsi"/>
          <w:b/>
          <w:sz w:val="28"/>
          <w:szCs w:val="28"/>
        </w:rPr>
      </w:pPr>
      <w:r w:rsidRPr="00CF7D4A">
        <w:rPr>
          <w:rFonts w:cstheme="minorHAnsi"/>
          <w:b/>
          <w:sz w:val="28"/>
          <w:szCs w:val="28"/>
        </w:rPr>
        <w:t>Peněžní prostředky vybírané v oblasti nelegálního zaměstnávání</w:t>
      </w:r>
    </w:p>
    <w:p w14:paraId="105781B8" w14:textId="77777777" w:rsidR="00CF7D4A" w:rsidRPr="00C47E97" w:rsidRDefault="00CF7D4A" w:rsidP="00CF2F84">
      <w:pPr>
        <w:spacing w:after="0" w:line="240" w:lineRule="auto"/>
        <w:jc w:val="both"/>
        <w:rPr>
          <w:rFonts w:cstheme="minorHAnsi"/>
          <w:highlight w:val="yellow"/>
        </w:rPr>
      </w:pPr>
    </w:p>
    <w:p w14:paraId="08182A24" w14:textId="77777777" w:rsidR="00CF6FED" w:rsidRPr="00C47E97" w:rsidRDefault="0093232C" w:rsidP="00382886">
      <w:pPr>
        <w:spacing w:after="240" w:line="240" w:lineRule="auto"/>
        <w:jc w:val="both"/>
        <w:rPr>
          <w:rFonts w:cstheme="minorHAnsi"/>
          <w:sz w:val="24"/>
          <w:szCs w:val="24"/>
        </w:rPr>
      </w:pPr>
      <w:r w:rsidRPr="00C47E97">
        <w:rPr>
          <w:rFonts w:cstheme="minorHAnsi"/>
          <w:sz w:val="24"/>
          <w:szCs w:val="24"/>
        </w:rPr>
        <w:t>Kontrolní akce byla zařazena do plánu kontrolní činnosti Nejvyššího kontrolního úř</w:t>
      </w:r>
      <w:r w:rsidR="00867AB5" w:rsidRPr="00C47E97">
        <w:rPr>
          <w:rFonts w:cstheme="minorHAnsi"/>
          <w:sz w:val="24"/>
          <w:szCs w:val="24"/>
        </w:rPr>
        <w:t>adu (dále také „NKÚ“) na rok 202</w:t>
      </w:r>
      <w:r w:rsidR="00CF7D4A">
        <w:rPr>
          <w:rFonts w:cstheme="minorHAnsi"/>
          <w:sz w:val="24"/>
          <w:szCs w:val="24"/>
        </w:rPr>
        <w:t>4</w:t>
      </w:r>
      <w:r w:rsidRPr="00C47E97">
        <w:rPr>
          <w:rFonts w:cstheme="minorHAnsi"/>
          <w:sz w:val="24"/>
          <w:szCs w:val="24"/>
        </w:rPr>
        <w:t xml:space="preserve"> pod číslem </w:t>
      </w:r>
      <w:r w:rsidR="00867AB5" w:rsidRPr="00C47E97">
        <w:rPr>
          <w:rFonts w:cstheme="minorHAnsi"/>
          <w:sz w:val="24"/>
          <w:szCs w:val="24"/>
        </w:rPr>
        <w:t>2</w:t>
      </w:r>
      <w:r w:rsidR="00CF7D4A">
        <w:rPr>
          <w:rFonts w:cstheme="minorHAnsi"/>
          <w:sz w:val="24"/>
          <w:szCs w:val="24"/>
        </w:rPr>
        <w:t>4</w:t>
      </w:r>
      <w:r w:rsidR="00867AB5" w:rsidRPr="00C47E97">
        <w:rPr>
          <w:rFonts w:cstheme="minorHAnsi"/>
          <w:sz w:val="24"/>
          <w:szCs w:val="24"/>
        </w:rPr>
        <w:t>/</w:t>
      </w:r>
      <w:r w:rsidR="00CF7D4A">
        <w:rPr>
          <w:rFonts w:cstheme="minorHAnsi"/>
          <w:sz w:val="24"/>
          <w:szCs w:val="24"/>
        </w:rPr>
        <w:t>14</w:t>
      </w:r>
      <w:r w:rsidRPr="00C47E97">
        <w:rPr>
          <w:rFonts w:cstheme="minorHAnsi"/>
          <w:sz w:val="24"/>
          <w:szCs w:val="24"/>
        </w:rPr>
        <w:t xml:space="preserve">. Kontrolní akci řídil a kontrolní závěr vypracoval člen NKÚ </w:t>
      </w:r>
      <w:r w:rsidR="00075E5B" w:rsidRPr="00C47E97">
        <w:rPr>
          <w:rFonts w:cstheme="minorHAnsi"/>
          <w:sz w:val="24"/>
          <w:szCs w:val="24"/>
        </w:rPr>
        <w:t xml:space="preserve">Ing. </w:t>
      </w:r>
      <w:r w:rsidR="00BF03A7" w:rsidRPr="00C47E97">
        <w:rPr>
          <w:rFonts w:cstheme="minorHAnsi"/>
          <w:sz w:val="24"/>
          <w:szCs w:val="24"/>
        </w:rPr>
        <w:t>Josef</w:t>
      </w:r>
      <w:r w:rsidR="00867AB5" w:rsidRPr="00C47E97">
        <w:rPr>
          <w:rFonts w:cstheme="minorHAnsi"/>
          <w:sz w:val="24"/>
          <w:szCs w:val="24"/>
        </w:rPr>
        <w:t xml:space="preserve"> </w:t>
      </w:r>
      <w:r w:rsidR="00BF03A7" w:rsidRPr="00C47E97">
        <w:rPr>
          <w:rFonts w:cstheme="minorHAnsi"/>
          <w:sz w:val="24"/>
          <w:szCs w:val="24"/>
        </w:rPr>
        <w:t>Kubíček</w:t>
      </w:r>
      <w:r w:rsidRPr="00C47E97">
        <w:rPr>
          <w:rFonts w:cstheme="minorHAnsi"/>
          <w:sz w:val="24"/>
          <w:szCs w:val="24"/>
        </w:rPr>
        <w:t>.</w:t>
      </w:r>
    </w:p>
    <w:p w14:paraId="221566B2" w14:textId="7501E8A4" w:rsidR="00151785" w:rsidRPr="00C47E97" w:rsidRDefault="0093232C" w:rsidP="00CF7D4A">
      <w:pPr>
        <w:spacing w:after="240" w:line="240" w:lineRule="auto"/>
        <w:jc w:val="both"/>
        <w:rPr>
          <w:rFonts w:cstheme="minorHAnsi"/>
          <w:sz w:val="24"/>
          <w:szCs w:val="24"/>
        </w:rPr>
      </w:pPr>
      <w:r w:rsidRPr="00C47E97">
        <w:rPr>
          <w:rFonts w:cstheme="minorHAnsi"/>
          <w:sz w:val="24"/>
          <w:szCs w:val="24"/>
        </w:rPr>
        <w:t xml:space="preserve">Cílem kontroly bylo </w:t>
      </w:r>
      <w:r w:rsidR="00CF7D4A">
        <w:rPr>
          <w:rFonts w:cstheme="minorHAnsi"/>
          <w:sz w:val="24"/>
          <w:szCs w:val="24"/>
        </w:rPr>
        <w:t>p</w:t>
      </w:r>
      <w:r w:rsidR="00CF7D4A" w:rsidRPr="00CF7D4A">
        <w:rPr>
          <w:rFonts w:cstheme="minorHAnsi"/>
          <w:sz w:val="24"/>
          <w:szCs w:val="24"/>
        </w:rPr>
        <w:t>rověřit, zda jednotlivé orgány státní správy postupovaly při kontrole a</w:t>
      </w:r>
      <w:r w:rsidR="002F5222">
        <w:rPr>
          <w:rFonts w:cstheme="minorHAnsi"/>
          <w:sz w:val="24"/>
          <w:szCs w:val="24"/>
        </w:rPr>
        <w:t> </w:t>
      </w:r>
      <w:r w:rsidR="00CF7D4A" w:rsidRPr="00CF7D4A">
        <w:rPr>
          <w:rFonts w:cstheme="minorHAnsi"/>
          <w:sz w:val="24"/>
          <w:szCs w:val="24"/>
        </w:rPr>
        <w:t>zabezpečení úhrady</w:t>
      </w:r>
      <w:r w:rsidR="00CF7D4A">
        <w:rPr>
          <w:rFonts w:cstheme="minorHAnsi"/>
          <w:sz w:val="24"/>
          <w:szCs w:val="24"/>
        </w:rPr>
        <w:t xml:space="preserve"> </w:t>
      </w:r>
      <w:r w:rsidR="00CF7D4A" w:rsidRPr="00CF7D4A">
        <w:rPr>
          <w:rFonts w:cstheme="minorHAnsi"/>
          <w:sz w:val="24"/>
          <w:szCs w:val="24"/>
        </w:rPr>
        <w:t>daní a odvodů z nelegálního zaměstnávání v souladu s právními předpisy.</w:t>
      </w:r>
    </w:p>
    <w:p w14:paraId="2A11764F" w14:textId="77777777" w:rsidR="00CC14F0" w:rsidRPr="00C47E97" w:rsidRDefault="0093232C" w:rsidP="00382886">
      <w:pPr>
        <w:spacing w:after="240" w:line="240" w:lineRule="auto"/>
        <w:jc w:val="both"/>
        <w:rPr>
          <w:rFonts w:cstheme="minorHAnsi"/>
          <w:sz w:val="24"/>
          <w:szCs w:val="24"/>
        </w:rPr>
      </w:pPr>
      <w:r w:rsidRPr="00C47E97">
        <w:rPr>
          <w:rFonts w:cstheme="minorHAnsi"/>
          <w:sz w:val="24"/>
          <w:szCs w:val="24"/>
        </w:rPr>
        <w:t xml:space="preserve">Kontrolováno bylo období let </w:t>
      </w:r>
      <w:r w:rsidR="0053647A" w:rsidRPr="00C47E97">
        <w:rPr>
          <w:rFonts w:cstheme="minorHAnsi"/>
          <w:sz w:val="24"/>
          <w:szCs w:val="24"/>
        </w:rPr>
        <w:t>201</w:t>
      </w:r>
      <w:r w:rsidR="00CF7D4A">
        <w:rPr>
          <w:rFonts w:cstheme="minorHAnsi"/>
          <w:sz w:val="24"/>
          <w:szCs w:val="24"/>
        </w:rPr>
        <w:t>9</w:t>
      </w:r>
      <w:r w:rsidR="0053647A" w:rsidRPr="00C47E97">
        <w:rPr>
          <w:rFonts w:cstheme="minorHAnsi"/>
          <w:sz w:val="24"/>
          <w:szCs w:val="24"/>
        </w:rPr>
        <w:t>–202</w:t>
      </w:r>
      <w:r w:rsidR="00CF7D4A">
        <w:rPr>
          <w:rFonts w:cstheme="minorHAnsi"/>
          <w:sz w:val="24"/>
          <w:szCs w:val="24"/>
        </w:rPr>
        <w:t>3</w:t>
      </w:r>
      <w:r w:rsidRPr="00C47E97">
        <w:rPr>
          <w:rFonts w:cstheme="minorHAnsi"/>
          <w:sz w:val="24"/>
          <w:szCs w:val="24"/>
        </w:rPr>
        <w:t xml:space="preserve"> a v případě věcných souvislostí i období předcházející a</w:t>
      </w:r>
      <w:r w:rsidR="001664C8">
        <w:rPr>
          <w:rFonts w:cstheme="minorHAnsi"/>
          <w:sz w:val="24"/>
          <w:szCs w:val="24"/>
        </w:rPr>
        <w:t xml:space="preserve"> </w:t>
      </w:r>
      <w:r w:rsidRPr="00C47E97">
        <w:rPr>
          <w:rFonts w:cstheme="minorHAnsi"/>
          <w:sz w:val="24"/>
          <w:szCs w:val="24"/>
        </w:rPr>
        <w:t>navazující.</w:t>
      </w:r>
    </w:p>
    <w:p w14:paraId="7AF47EA6" w14:textId="1DB753E0" w:rsidR="00CC14F0" w:rsidRPr="00C47E97" w:rsidRDefault="0093232C" w:rsidP="00382886">
      <w:pPr>
        <w:spacing w:before="240" w:after="240" w:line="240" w:lineRule="auto"/>
        <w:jc w:val="both"/>
        <w:rPr>
          <w:rFonts w:cstheme="minorHAnsi"/>
          <w:sz w:val="24"/>
          <w:szCs w:val="24"/>
        </w:rPr>
      </w:pPr>
      <w:r w:rsidRPr="00C47E97">
        <w:rPr>
          <w:rFonts w:cstheme="minorHAnsi"/>
          <w:sz w:val="24"/>
          <w:szCs w:val="24"/>
        </w:rPr>
        <w:t xml:space="preserve">Kontrola byla u kontrolovaných osob prováděna v období od </w:t>
      </w:r>
      <w:r w:rsidR="00022DB7">
        <w:rPr>
          <w:rFonts w:cstheme="minorHAnsi"/>
          <w:sz w:val="24"/>
          <w:szCs w:val="24"/>
        </w:rPr>
        <w:t>června</w:t>
      </w:r>
      <w:r w:rsidR="00022DB7" w:rsidRPr="00C47E97">
        <w:rPr>
          <w:rFonts w:cstheme="minorHAnsi"/>
          <w:sz w:val="24"/>
          <w:szCs w:val="24"/>
        </w:rPr>
        <w:t xml:space="preserve"> </w:t>
      </w:r>
      <w:r w:rsidRPr="00C47E97">
        <w:rPr>
          <w:rFonts w:cstheme="minorHAnsi"/>
          <w:sz w:val="24"/>
          <w:szCs w:val="24"/>
        </w:rPr>
        <w:t xml:space="preserve">do </w:t>
      </w:r>
      <w:r w:rsidR="00AF599C" w:rsidRPr="00C47E97">
        <w:rPr>
          <w:rFonts w:cstheme="minorHAnsi"/>
          <w:sz w:val="24"/>
          <w:szCs w:val="24"/>
        </w:rPr>
        <w:t>prosince</w:t>
      </w:r>
      <w:r w:rsidRPr="00C47E97">
        <w:rPr>
          <w:rFonts w:cstheme="minorHAnsi"/>
          <w:sz w:val="24"/>
          <w:szCs w:val="24"/>
        </w:rPr>
        <w:t xml:space="preserve"> 202</w:t>
      </w:r>
      <w:r w:rsidR="00CF7D4A">
        <w:rPr>
          <w:rFonts w:cstheme="minorHAnsi"/>
          <w:sz w:val="24"/>
          <w:szCs w:val="24"/>
        </w:rPr>
        <w:t>4</w:t>
      </w:r>
      <w:r w:rsidRPr="00C47E97">
        <w:rPr>
          <w:rFonts w:cstheme="minorHAnsi"/>
          <w:sz w:val="24"/>
          <w:szCs w:val="24"/>
        </w:rPr>
        <w:t>.</w:t>
      </w:r>
    </w:p>
    <w:p w14:paraId="10ABB13A" w14:textId="77777777" w:rsidR="00CC14F0" w:rsidRPr="00C47E97" w:rsidRDefault="00CC14F0" w:rsidP="00382886">
      <w:pPr>
        <w:spacing w:after="240" w:line="240" w:lineRule="auto"/>
        <w:jc w:val="both"/>
        <w:rPr>
          <w:rFonts w:cstheme="minorHAnsi"/>
          <w:sz w:val="24"/>
          <w:szCs w:val="24"/>
          <w:highlight w:val="yellow"/>
        </w:rPr>
      </w:pPr>
    </w:p>
    <w:p w14:paraId="25BAA88E" w14:textId="77777777" w:rsidR="00DC3FD9" w:rsidRPr="00C47E97" w:rsidRDefault="0093232C" w:rsidP="0042774B">
      <w:pPr>
        <w:spacing w:after="120" w:line="240" w:lineRule="auto"/>
        <w:jc w:val="both"/>
        <w:rPr>
          <w:rFonts w:cstheme="minorHAnsi"/>
          <w:b/>
          <w:sz w:val="24"/>
          <w:szCs w:val="24"/>
        </w:rPr>
      </w:pPr>
      <w:r w:rsidRPr="00C47E97">
        <w:rPr>
          <w:rFonts w:cstheme="minorHAnsi"/>
          <w:b/>
          <w:sz w:val="24"/>
          <w:szCs w:val="24"/>
        </w:rPr>
        <w:t>Kontrolované osoby:</w:t>
      </w:r>
    </w:p>
    <w:p w14:paraId="04E1290E" w14:textId="6546CBE5" w:rsidR="00DC3FD9" w:rsidRDefault="0093232C" w:rsidP="003C6E92">
      <w:pPr>
        <w:spacing w:after="0" w:line="240" w:lineRule="auto"/>
        <w:jc w:val="both"/>
        <w:rPr>
          <w:rFonts w:cstheme="minorHAnsi"/>
          <w:color w:val="000000"/>
          <w:sz w:val="24"/>
          <w:szCs w:val="24"/>
        </w:rPr>
      </w:pPr>
      <w:r w:rsidRPr="00C47E97">
        <w:rPr>
          <w:rFonts w:cstheme="minorHAnsi"/>
          <w:color w:val="000000"/>
          <w:sz w:val="24"/>
          <w:szCs w:val="24"/>
        </w:rPr>
        <w:t xml:space="preserve">Ministerstvo </w:t>
      </w:r>
      <w:r w:rsidR="00DE41E3" w:rsidRPr="00C47E97">
        <w:rPr>
          <w:rFonts w:cstheme="minorHAnsi"/>
          <w:color w:val="000000"/>
          <w:sz w:val="24"/>
          <w:szCs w:val="24"/>
        </w:rPr>
        <w:t>financí</w:t>
      </w:r>
      <w:r w:rsidRPr="00C47E97">
        <w:rPr>
          <w:rFonts w:cstheme="minorHAnsi"/>
          <w:color w:val="000000"/>
          <w:sz w:val="24"/>
          <w:szCs w:val="24"/>
        </w:rPr>
        <w:t xml:space="preserve"> (dále také „</w:t>
      </w:r>
      <w:r w:rsidR="00DE41E3" w:rsidRPr="00C47E97">
        <w:rPr>
          <w:rFonts w:cstheme="minorHAnsi"/>
          <w:color w:val="000000"/>
          <w:sz w:val="24"/>
          <w:szCs w:val="24"/>
        </w:rPr>
        <w:t>MF</w:t>
      </w:r>
      <w:r w:rsidRPr="00C47E97">
        <w:rPr>
          <w:rFonts w:cstheme="minorHAnsi"/>
          <w:color w:val="000000"/>
          <w:sz w:val="24"/>
          <w:szCs w:val="24"/>
        </w:rPr>
        <w:t>“)</w:t>
      </w:r>
      <w:r w:rsidR="002F5222">
        <w:rPr>
          <w:rFonts w:cstheme="minorHAnsi"/>
          <w:color w:val="000000"/>
          <w:sz w:val="24"/>
          <w:szCs w:val="24"/>
        </w:rPr>
        <w:t>;</w:t>
      </w:r>
    </w:p>
    <w:p w14:paraId="4CF0ACEA" w14:textId="6808F4D1" w:rsidR="00766214" w:rsidRDefault="00766214" w:rsidP="003C6E92">
      <w:pPr>
        <w:spacing w:after="0" w:line="240" w:lineRule="auto"/>
        <w:jc w:val="both"/>
        <w:rPr>
          <w:rFonts w:cstheme="minorHAnsi"/>
          <w:color w:val="000000"/>
          <w:sz w:val="24"/>
          <w:szCs w:val="24"/>
        </w:rPr>
      </w:pPr>
      <w:r>
        <w:rPr>
          <w:rFonts w:cstheme="minorHAnsi"/>
          <w:color w:val="000000"/>
          <w:sz w:val="24"/>
          <w:szCs w:val="24"/>
        </w:rPr>
        <w:t xml:space="preserve">Ministerstvo práce a sociálních věcí </w:t>
      </w:r>
      <w:r w:rsidRPr="00C47E97">
        <w:rPr>
          <w:rFonts w:cstheme="minorHAnsi"/>
          <w:color w:val="000000"/>
          <w:sz w:val="24"/>
          <w:szCs w:val="24"/>
        </w:rPr>
        <w:t>(dále také „</w:t>
      </w:r>
      <w:r>
        <w:rPr>
          <w:rFonts w:cstheme="minorHAnsi"/>
          <w:color w:val="000000"/>
          <w:sz w:val="24"/>
          <w:szCs w:val="24"/>
        </w:rPr>
        <w:t>MPSV</w:t>
      </w:r>
      <w:r w:rsidRPr="00C47E97">
        <w:rPr>
          <w:rFonts w:cstheme="minorHAnsi"/>
          <w:color w:val="000000"/>
          <w:sz w:val="24"/>
          <w:szCs w:val="24"/>
        </w:rPr>
        <w:t>“)</w:t>
      </w:r>
      <w:r w:rsidR="002F5222">
        <w:rPr>
          <w:rFonts w:cstheme="minorHAnsi"/>
          <w:color w:val="000000"/>
          <w:sz w:val="24"/>
          <w:szCs w:val="24"/>
        </w:rPr>
        <w:t>;</w:t>
      </w:r>
    </w:p>
    <w:p w14:paraId="48267B01" w14:textId="3AA4F3F5" w:rsidR="00766214" w:rsidRPr="00C47E97" w:rsidRDefault="00766214" w:rsidP="003C6E92">
      <w:pPr>
        <w:spacing w:after="0" w:line="240" w:lineRule="auto"/>
        <w:jc w:val="both"/>
        <w:rPr>
          <w:rFonts w:cstheme="minorHAnsi"/>
          <w:color w:val="000000"/>
          <w:sz w:val="24"/>
          <w:szCs w:val="24"/>
        </w:rPr>
      </w:pPr>
      <w:r>
        <w:rPr>
          <w:rFonts w:cstheme="minorHAnsi"/>
          <w:color w:val="000000"/>
          <w:sz w:val="24"/>
          <w:szCs w:val="24"/>
        </w:rPr>
        <w:t>Česká správa sociálního zabezpečení</w:t>
      </w:r>
      <w:r w:rsidR="00951784">
        <w:rPr>
          <w:rFonts w:cstheme="minorHAnsi"/>
          <w:color w:val="000000"/>
          <w:sz w:val="24"/>
          <w:szCs w:val="24"/>
        </w:rPr>
        <w:t>, Praha</w:t>
      </w:r>
      <w:r>
        <w:rPr>
          <w:rFonts w:cstheme="minorHAnsi"/>
          <w:color w:val="000000"/>
          <w:sz w:val="24"/>
          <w:szCs w:val="24"/>
        </w:rPr>
        <w:t xml:space="preserve"> </w:t>
      </w:r>
      <w:r w:rsidRPr="00C47E97">
        <w:rPr>
          <w:rFonts w:cstheme="minorHAnsi"/>
          <w:color w:val="000000"/>
          <w:sz w:val="24"/>
          <w:szCs w:val="24"/>
        </w:rPr>
        <w:t>(dále také „</w:t>
      </w:r>
      <w:r>
        <w:rPr>
          <w:rFonts w:cstheme="minorHAnsi"/>
          <w:color w:val="000000"/>
          <w:sz w:val="24"/>
          <w:szCs w:val="24"/>
        </w:rPr>
        <w:t>ČSSZ</w:t>
      </w:r>
      <w:r w:rsidRPr="00C47E97">
        <w:rPr>
          <w:rFonts w:cstheme="minorHAnsi"/>
          <w:color w:val="000000"/>
          <w:sz w:val="24"/>
          <w:szCs w:val="24"/>
        </w:rPr>
        <w:t>“)</w:t>
      </w:r>
      <w:r w:rsidR="002F5222">
        <w:rPr>
          <w:rFonts w:cstheme="minorHAnsi"/>
          <w:color w:val="000000"/>
          <w:sz w:val="24"/>
          <w:szCs w:val="24"/>
        </w:rPr>
        <w:t>;</w:t>
      </w:r>
    </w:p>
    <w:p w14:paraId="0749A1B8" w14:textId="652FC569" w:rsidR="00F37909" w:rsidRPr="00C47E97" w:rsidRDefault="0093232C" w:rsidP="003C6E92">
      <w:pPr>
        <w:spacing w:after="0" w:line="240" w:lineRule="auto"/>
        <w:jc w:val="both"/>
        <w:rPr>
          <w:rFonts w:cstheme="minorHAnsi"/>
          <w:color w:val="000000"/>
          <w:sz w:val="24"/>
          <w:szCs w:val="24"/>
        </w:rPr>
      </w:pPr>
      <w:r w:rsidRPr="00C47E97">
        <w:rPr>
          <w:rFonts w:cstheme="minorHAnsi"/>
          <w:color w:val="000000"/>
          <w:sz w:val="24"/>
          <w:szCs w:val="24"/>
        </w:rPr>
        <w:t>Generální finanční ředitelství</w:t>
      </w:r>
      <w:r w:rsidR="00951784">
        <w:rPr>
          <w:rFonts w:cstheme="minorHAnsi"/>
          <w:color w:val="000000"/>
          <w:sz w:val="24"/>
          <w:szCs w:val="24"/>
        </w:rPr>
        <w:t>, Praha</w:t>
      </w:r>
      <w:r w:rsidR="00323327" w:rsidRPr="00C47E97">
        <w:rPr>
          <w:rFonts w:cstheme="minorHAnsi"/>
          <w:color w:val="000000"/>
          <w:sz w:val="24"/>
          <w:szCs w:val="24"/>
        </w:rPr>
        <w:t xml:space="preserve"> </w:t>
      </w:r>
      <w:r w:rsidR="00DC3FD9" w:rsidRPr="00C47E97">
        <w:rPr>
          <w:rFonts w:cstheme="minorHAnsi"/>
          <w:color w:val="000000"/>
          <w:sz w:val="24"/>
          <w:szCs w:val="24"/>
        </w:rPr>
        <w:t>(dále také „</w:t>
      </w:r>
      <w:r w:rsidRPr="00C47E97">
        <w:rPr>
          <w:rFonts w:cstheme="minorHAnsi"/>
          <w:color w:val="000000"/>
          <w:sz w:val="24"/>
          <w:szCs w:val="24"/>
        </w:rPr>
        <w:t>GFŘ</w:t>
      </w:r>
      <w:r w:rsidR="00CB383B" w:rsidRPr="00C47E97">
        <w:rPr>
          <w:rFonts w:cstheme="minorHAnsi"/>
          <w:color w:val="000000"/>
          <w:sz w:val="24"/>
          <w:szCs w:val="24"/>
        </w:rPr>
        <w:t>“)</w:t>
      </w:r>
      <w:r w:rsidR="002F5222">
        <w:rPr>
          <w:rFonts w:cstheme="minorHAnsi"/>
          <w:color w:val="000000"/>
          <w:sz w:val="24"/>
          <w:szCs w:val="24"/>
        </w:rPr>
        <w:t>;</w:t>
      </w:r>
    </w:p>
    <w:p w14:paraId="2ECDC6D8" w14:textId="74B52AF4" w:rsidR="00DC3FD9" w:rsidRDefault="00AF599C" w:rsidP="00766214">
      <w:pPr>
        <w:spacing w:after="0" w:line="240" w:lineRule="auto"/>
        <w:jc w:val="both"/>
        <w:rPr>
          <w:rFonts w:cstheme="minorHAnsi"/>
          <w:color w:val="000000"/>
          <w:sz w:val="24"/>
          <w:szCs w:val="24"/>
        </w:rPr>
      </w:pPr>
      <w:r w:rsidRPr="00C47E97">
        <w:rPr>
          <w:rFonts w:cstheme="minorHAnsi"/>
          <w:color w:val="000000"/>
          <w:sz w:val="24"/>
          <w:szCs w:val="24"/>
        </w:rPr>
        <w:t>Generální ředitelství cel</w:t>
      </w:r>
      <w:r w:rsidR="00951784">
        <w:rPr>
          <w:rFonts w:cstheme="minorHAnsi"/>
          <w:color w:val="000000"/>
          <w:sz w:val="24"/>
          <w:szCs w:val="24"/>
        </w:rPr>
        <w:t>, Praha</w:t>
      </w:r>
      <w:r w:rsidRPr="00C47E97">
        <w:rPr>
          <w:rFonts w:cstheme="minorHAnsi"/>
          <w:color w:val="000000"/>
          <w:sz w:val="24"/>
          <w:szCs w:val="24"/>
        </w:rPr>
        <w:t xml:space="preserve"> (dále také „GŘC“)</w:t>
      </w:r>
      <w:r w:rsidR="002F5222">
        <w:rPr>
          <w:rFonts w:cstheme="minorHAnsi"/>
          <w:color w:val="000000"/>
          <w:sz w:val="24"/>
          <w:szCs w:val="24"/>
        </w:rPr>
        <w:t>;</w:t>
      </w:r>
    </w:p>
    <w:p w14:paraId="27520C62" w14:textId="77777777" w:rsidR="00766214" w:rsidRPr="00C47E97" w:rsidRDefault="00766214" w:rsidP="0042774B">
      <w:pPr>
        <w:spacing w:after="120" w:line="240" w:lineRule="auto"/>
        <w:jc w:val="both"/>
        <w:rPr>
          <w:rFonts w:cstheme="minorHAnsi"/>
          <w:color w:val="000000"/>
          <w:sz w:val="24"/>
          <w:szCs w:val="24"/>
        </w:rPr>
      </w:pPr>
      <w:r>
        <w:rPr>
          <w:rFonts w:cstheme="minorHAnsi"/>
          <w:color w:val="000000"/>
          <w:sz w:val="24"/>
          <w:szCs w:val="24"/>
        </w:rPr>
        <w:t>Státní úřad inspekce práce</w:t>
      </w:r>
      <w:r w:rsidR="00951784">
        <w:rPr>
          <w:rFonts w:cstheme="minorHAnsi"/>
          <w:color w:val="000000"/>
          <w:sz w:val="24"/>
          <w:szCs w:val="24"/>
        </w:rPr>
        <w:t xml:space="preserve">, Opava </w:t>
      </w:r>
      <w:r w:rsidRPr="00C47E97">
        <w:rPr>
          <w:rFonts w:cstheme="minorHAnsi"/>
          <w:color w:val="000000"/>
          <w:sz w:val="24"/>
          <w:szCs w:val="24"/>
        </w:rPr>
        <w:t>(dále také „</w:t>
      </w:r>
      <w:r>
        <w:rPr>
          <w:rFonts w:cstheme="minorHAnsi"/>
          <w:color w:val="000000"/>
          <w:sz w:val="24"/>
          <w:szCs w:val="24"/>
        </w:rPr>
        <w:t>SÚIP</w:t>
      </w:r>
      <w:r w:rsidRPr="00C47E97">
        <w:rPr>
          <w:rFonts w:cstheme="minorHAnsi"/>
          <w:color w:val="000000"/>
          <w:sz w:val="24"/>
          <w:szCs w:val="24"/>
        </w:rPr>
        <w:t>“)</w:t>
      </w:r>
      <w:r>
        <w:rPr>
          <w:rFonts w:cstheme="minorHAnsi"/>
          <w:color w:val="000000"/>
          <w:sz w:val="24"/>
          <w:szCs w:val="24"/>
        </w:rPr>
        <w:t>.</w:t>
      </w:r>
    </w:p>
    <w:p w14:paraId="11B1E31F" w14:textId="77777777" w:rsidR="00CC14F0" w:rsidRPr="00C47E97" w:rsidRDefault="00CC14F0" w:rsidP="003C6E92">
      <w:pPr>
        <w:spacing w:line="360" w:lineRule="auto"/>
        <w:jc w:val="both"/>
        <w:rPr>
          <w:rFonts w:cstheme="minorHAnsi"/>
          <w:sz w:val="24"/>
          <w:szCs w:val="24"/>
          <w:highlight w:val="yellow"/>
        </w:rPr>
      </w:pPr>
    </w:p>
    <w:p w14:paraId="7062D5BB" w14:textId="2FE18375" w:rsidR="00CF6FED" w:rsidRPr="00C47E97" w:rsidRDefault="0093232C" w:rsidP="00135FD2">
      <w:pPr>
        <w:spacing w:after="120" w:line="240" w:lineRule="auto"/>
        <w:jc w:val="both"/>
        <w:rPr>
          <w:rFonts w:cstheme="minorHAnsi"/>
          <w:color w:val="000000"/>
          <w:sz w:val="24"/>
          <w:szCs w:val="24"/>
        </w:rPr>
      </w:pPr>
      <w:r w:rsidRPr="00C47E97">
        <w:rPr>
          <w:rFonts w:cstheme="minorHAnsi"/>
          <w:b/>
          <w:i/>
          <w:color w:val="000000"/>
          <w:spacing w:val="40"/>
          <w:sz w:val="24"/>
          <w:szCs w:val="24"/>
        </w:rPr>
        <w:t>Kolegium</w:t>
      </w:r>
      <w:r w:rsidRPr="00C47E97">
        <w:rPr>
          <w:rFonts w:cstheme="minorHAnsi"/>
          <w:b/>
          <w:i/>
          <w:color w:val="000000"/>
          <w:sz w:val="24"/>
          <w:szCs w:val="24"/>
        </w:rPr>
        <w:t xml:space="preserve">   </w:t>
      </w:r>
      <w:r w:rsidRPr="008B0D0B">
        <w:rPr>
          <w:rFonts w:cstheme="minorHAnsi"/>
          <w:b/>
          <w:i/>
          <w:color w:val="000000"/>
          <w:spacing w:val="40"/>
          <w:sz w:val="24"/>
          <w:szCs w:val="24"/>
        </w:rPr>
        <w:t>NKÚ</w:t>
      </w:r>
      <w:r w:rsidRPr="008B0D0B">
        <w:rPr>
          <w:rFonts w:cstheme="minorHAnsi"/>
          <w:b/>
          <w:i/>
          <w:color w:val="000000"/>
          <w:sz w:val="24"/>
          <w:szCs w:val="24"/>
        </w:rPr>
        <w:t xml:space="preserve">   </w:t>
      </w:r>
      <w:r w:rsidR="00135FD2" w:rsidRPr="008B0D0B">
        <w:rPr>
          <w:sz w:val="24"/>
          <w:szCs w:val="24"/>
        </w:rPr>
        <w:t xml:space="preserve">na svém </w:t>
      </w:r>
      <w:r w:rsidR="00864D62">
        <w:rPr>
          <w:sz w:val="24"/>
          <w:szCs w:val="24"/>
        </w:rPr>
        <w:t xml:space="preserve">VII. </w:t>
      </w:r>
      <w:r w:rsidR="00135FD2" w:rsidRPr="008B0D0B">
        <w:rPr>
          <w:sz w:val="24"/>
          <w:szCs w:val="24"/>
        </w:rPr>
        <w:t>jednání, které se konalo dne</w:t>
      </w:r>
      <w:r w:rsidR="00864D62">
        <w:rPr>
          <w:sz w:val="24"/>
          <w:szCs w:val="24"/>
        </w:rPr>
        <w:t xml:space="preserve"> 19. května 2025,</w:t>
      </w:r>
    </w:p>
    <w:p w14:paraId="1AAE4CFD" w14:textId="51350443" w:rsidR="00CF6FED" w:rsidRPr="006632CD" w:rsidRDefault="0093232C" w:rsidP="00135FD2">
      <w:pPr>
        <w:spacing w:after="120" w:line="240" w:lineRule="auto"/>
        <w:jc w:val="both"/>
        <w:rPr>
          <w:rFonts w:cstheme="minorHAnsi"/>
          <w:color w:val="000000"/>
          <w:sz w:val="24"/>
          <w:szCs w:val="24"/>
        </w:rPr>
      </w:pPr>
      <w:r w:rsidRPr="00C47E97">
        <w:rPr>
          <w:rFonts w:cstheme="minorHAnsi"/>
          <w:b/>
          <w:i/>
          <w:color w:val="000000"/>
          <w:spacing w:val="40"/>
          <w:sz w:val="24"/>
          <w:szCs w:val="24"/>
        </w:rPr>
        <w:t>schválilo</w:t>
      </w:r>
      <w:r w:rsidRPr="00C47E97">
        <w:rPr>
          <w:rFonts w:cstheme="minorHAnsi"/>
          <w:b/>
          <w:i/>
          <w:color w:val="000000"/>
          <w:sz w:val="24"/>
          <w:szCs w:val="24"/>
        </w:rPr>
        <w:t xml:space="preserve">   </w:t>
      </w:r>
      <w:r w:rsidR="0090063E" w:rsidRPr="00C47E97">
        <w:rPr>
          <w:rFonts w:cstheme="minorHAnsi"/>
          <w:color w:val="000000"/>
          <w:sz w:val="24"/>
          <w:szCs w:val="24"/>
        </w:rPr>
        <w:t xml:space="preserve">usnesením č. </w:t>
      </w:r>
      <w:r w:rsidR="00E32237">
        <w:rPr>
          <w:rFonts w:cstheme="minorHAnsi"/>
          <w:color w:val="000000"/>
          <w:sz w:val="24"/>
          <w:szCs w:val="24"/>
        </w:rPr>
        <w:t>6</w:t>
      </w:r>
      <w:r w:rsidR="00951784">
        <w:rPr>
          <w:rFonts w:cstheme="minorHAnsi"/>
          <w:color w:val="000000"/>
          <w:sz w:val="24"/>
          <w:szCs w:val="24"/>
        </w:rPr>
        <w:t>/</w:t>
      </w:r>
      <w:r w:rsidR="00864D62">
        <w:rPr>
          <w:rFonts w:cstheme="minorHAnsi"/>
          <w:color w:val="000000"/>
          <w:sz w:val="24"/>
          <w:szCs w:val="24"/>
        </w:rPr>
        <w:t>VII</w:t>
      </w:r>
      <w:r w:rsidR="00951784">
        <w:rPr>
          <w:rFonts w:cstheme="minorHAnsi"/>
          <w:color w:val="000000"/>
          <w:sz w:val="24"/>
          <w:szCs w:val="24"/>
        </w:rPr>
        <w:t>/</w:t>
      </w:r>
      <w:r w:rsidR="00864D62">
        <w:rPr>
          <w:rFonts w:cstheme="minorHAnsi"/>
          <w:color w:val="000000"/>
          <w:sz w:val="24"/>
          <w:szCs w:val="24"/>
        </w:rPr>
        <w:t>2025</w:t>
      </w:r>
    </w:p>
    <w:p w14:paraId="2BCC48AC" w14:textId="77777777" w:rsidR="00CF6FED" w:rsidRPr="00C47E97" w:rsidRDefault="0093232C" w:rsidP="00135FD2">
      <w:pPr>
        <w:spacing w:after="120" w:line="240" w:lineRule="auto"/>
        <w:jc w:val="both"/>
        <w:rPr>
          <w:rFonts w:cstheme="minorHAnsi"/>
          <w:color w:val="000000"/>
          <w:sz w:val="24"/>
          <w:szCs w:val="24"/>
        </w:rPr>
      </w:pPr>
      <w:r w:rsidRPr="00C47E97">
        <w:rPr>
          <w:rFonts w:cstheme="minorHAnsi"/>
          <w:b/>
          <w:i/>
          <w:color w:val="000000"/>
          <w:spacing w:val="40"/>
          <w:sz w:val="24"/>
          <w:szCs w:val="24"/>
        </w:rPr>
        <w:t>kontrolní</w:t>
      </w:r>
      <w:r w:rsidRPr="00C47E97">
        <w:rPr>
          <w:rFonts w:cstheme="minorHAnsi"/>
          <w:b/>
          <w:i/>
          <w:color w:val="000000"/>
          <w:sz w:val="24"/>
          <w:szCs w:val="24"/>
        </w:rPr>
        <w:t xml:space="preserve">   </w:t>
      </w:r>
      <w:r w:rsidRPr="00C47E97">
        <w:rPr>
          <w:rFonts w:cstheme="minorHAnsi"/>
          <w:b/>
          <w:i/>
          <w:color w:val="000000"/>
          <w:spacing w:val="40"/>
          <w:sz w:val="24"/>
          <w:szCs w:val="24"/>
        </w:rPr>
        <w:t>závěr</w:t>
      </w:r>
      <w:r w:rsidRPr="00C47E97">
        <w:rPr>
          <w:rFonts w:cstheme="minorHAnsi"/>
          <w:b/>
          <w:i/>
          <w:color w:val="000000"/>
          <w:sz w:val="24"/>
          <w:szCs w:val="24"/>
        </w:rPr>
        <w:t xml:space="preserve">   </w:t>
      </w:r>
      <w:r w:rsidRPr="00C47E97">
        <w:rPr>
          <w:rFonts w:cstheme="minorHAnsi"/>
          <w:color w:val="000000"/>
          <w:sz w:val="24"/>
          <w:szCs w:val="24"/>
        </w:rPr>
        <w:t>v tomto znění:</w:t>
      </w:r>
    </w:p>
    <w:p w14:paraId="570CC241" w14:textId="77777777" w:rsidR="0042774B" w:rsidRPr="00C47E97" w:rsidRDefault="0042774B">
      <w:pPr>
        <w:rPr>
          <w:rFonts w:cstheme="minorHAnsi"/>
          <w:color w:val="000000"/>
          <w:sz w:val="24"/>
          <w:szCs w:val="24"/>
          <w:highlight w:val="yellow"/>
        </w:rPr>
      </w:pPr>
      <w:r w:rsidRPr="00C47E97">
        <w:rPr>
          <w:rFonts w:cstheme="minorHAnsi"/>
          <w:color w:val="000000"/>
          <w:sz w:val="24"/>
          <w:szCs w:val="24"/>
          <w:highlight w:val="yellow"/>
        </w:rPr>
        <w:br w:type="page"/>
      </w:r>
    </w:p>
    <w:p w14:paraId="1F85144D" w14:textId="4EE3C573" w:rsidR="0097480C" w:rsidRDefault="0097480C" w:rsidP="0097480C">
      <w:pPr>
        <w:tabs>
          <w:tab w:val="left" w:pos="1115"/>
        </w:tabs>
        <w:jc w:val="center"/>
        <w:rPr>
          <w:rFonts w:cstheme="minorHAnsi"/>
          <w:b/>
          <w:sz w:val="28"/>
          <w:szCs w:val="28"/>
        </w:rPr>
      </w:pPr>
      <w:bookmarkStart w:id="0" w:name="_Hlk141784307"/>
      <w:bookmarkStart w:id="1" w:name="_Hlk158809792"/>
      <w:r w:rsidRPr="0097480C">
        <w:rPr>
          <w:rFonts w:cstheme="minorHAnsi"/>
          <w:b/>
          <w:sz w:val="28"/>
          <w:szCs w:val="28"/>
        </w:rPr>
        <w:lastRenderedPageBreak/>
        <w:t xml:space="preserve">Peněžní prostředky </w:t>
      </w:r>
      <w:r w:rsidR="004B476C">
        <w:rPr>
          <w:rFonts w:cstheme="minorHAnsi"/>
          <w:b/>
          <w:sz w:val="28"/>
          <w:szCs w:val="28"/>
        </w:rPr>
        <w:t xml:space="preserve">vybírané </w:t>
      </w:r>
      <w:r w:rsidRPr="0097480C">
        <w:rPr>
          <w:rFonts w:cstheme="minorHAnsi"/>
          <w:b/>
          <w:sz w:val="28"/>
          <w:szCs w:val="28"/>
        </w:rPr>
        <w:t xml:space="preserve">v oblasti </w:t>
      </w:r>
      <w:r w:rsidR="00366A0D">
        <w:rPr>
          <w:rFonts w:cstheme="minorHAnsi"/>
          <w:b/>
          <w:sz w:val="28"/>
          <w:szCs w:val="28"/>
        </w:rPr>
        <w:t>zaměstnanosti</w:t>
      </w:r>
      <w:r w:rsidRPr="0097480C">
        <w:rPr>
          <w:rStyle w:val="Znakapoznpodarou"/>
          <w:rFonts w:cstheme="minorHAnsi"/>
          <w:b/>
          <w:sz w:val="28"/>
          <w:szCs w:val="28"/>
          <w:vertAlign w:val="baseline"/>
        </w:rPr>
        <w:t xml:space="preserve"> </w:t>
      </w:r>
    </w:p>
    <w:p w14:paraId="4F689BE6" w14:textId="77777777" w:rsidR="0097480C" w:rsidRPr="00557671" w:rsidRDefault="0097480C" w:rsidP="0097480C">
      <w:pPr>
        <w:tabs>
          <w:tab w:val="left" w:pos="1115"/>
        </w:tabs>
        <w:spacing w:after="120"/>
        <w:jc w:val="center"/>
        <w:rPr>
          <w:rFonts w:ascii="Calibri Light" w:hAnsi="Calibri Light" w:cs="Calibri Light"/>
          <w:sz w:val="28"/>
        </w:rPr>
      </w:pPr>
    </w:p>
    <w:p w14:paraId="7B319CCB" w14:textId="77777777" w:rsidR="008D2353" w:rsidRDefault="008D2353" w:rsidP="008D2353">
      <w:pPr>
        <w:tabs>
          <w:tab w:val="left" w:pos="1115"/>
        </w:tabs>
        <w:ind w:left="1416" w:hanging="1416"/>
        <w:jc w:val="center"/>
        <w:rPr>
          <w:caps/>
        </w:rPr>
      </w:pPr>
      <w:r w:rsidRPr="005C154B">
        <w:rPr>
          <w:b/>
          <w:noProof/>
        </w:rPr>
        <mc:AlternateContent>
          <mc:Choice Requires="wps">
            <w:drawing>
              <wp:anchor distT="0" distB="0" distL="114300" distR="114300" simplePos="0" relativeHeight="251672576" behindDoc="0" locked="0" layoutInCell="1" allowOverlap="1" wp14:anchorId="12F84E52" wp14:editId="5AE160C0">
                <wp:simplePos x="0" y="0"/>
                <wp:positionH relativeFrom="margin">
                  <wp:posOffset>3696335</wp:posOffset>
                </wp:positionH>
                <wp:positionV relativeFrom="paragraph">
                  <wp:posOffset>104981</wp:posOffset>
                </wp:positionV>
                <wp:extent cx="2043430" cy="0"/>
                <wp:effectExtent l="0" t="0" r="0" b="0"/>
                <wp:wrapNone/>
                <wp:docPr id="4" name="Přímá spojnice 4"/>
                <wp:cNvGraphicFramePr/>
                <a:graphic xmlns:a="http://schemas.openxmlformats.org/drawingml/2006/main">
                  <a:graphicData uri="http://schemas.microsoft.com/office/word/2010/wordprocessingShape">
                    <wps:wsp>
                      <wps:cNvCnPr/>
                      <wps:spPr>
                        <a:xfrm flipV="1">
                          <a:off x="0" y="0"/>
                          <a:ext cx="204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B523A" id="Přímá spojnice 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05pt,8.25pt" to="451.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" strokecolor="black [3213]" strokeweight=".5pt">
                <v:stroke joinstyle="miter"/>
                <w10:wrap anchorx="margin"/>
              </v:line>
            </w:pict>
          </mc:Fallback>
        </mc:AlternateContent>
      </w:r>
      <w:r w:rsidRPr="005C154B">
        <w:rPr>
          <w:b/>
          <w:noProof/>
        </w:rPr>
        <mc:AlternateContent>
          <mc:Choice Requires="wps">
            <w:drawing>
              <wp:anchor distT="0" distB="0" distL="114300" distR="114300" simplePos="0" relativeHeight="251671552" behindDoc="0" locked="0" layoutInCell="1" allowOverlap="1" wp14:anchorId="13499219" wp14:editId="08769596">
                <wp:simplePos x="0" y="0"/>
                <wp:positionH relativeFrom="column">
                  <wp:posOffset>-33655</wp:posOffset>
                </wp:positionH>
                <wp:positionV relativeFrom="paragraph">
                  <wp:posOffset>99266</wp:posOffset>
                </wp:positionV>
                <wp:extent cx="2109216"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38F5" id="Přímá spojnice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8pt" to="163.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" strokecolor="black [3213]" strokeweight=".5pt">
                <v:stroke joinstyle="miter"/>
              </v:line>
            </w:pict>
          </mc:Fallback>
        </mc:AlternateContent>
      </w:r>
      <w:r w:rsidRPr="005C154B">
        <w:rPr>
          <w:caps/>
        </w:rPr>
        <w:t>ZÁKLADNÍ INFORMACE</w:t>
      </w:r>
    </w:p>
    <w:tbl>
      <w:tblPr>
        <w:tblW w:w="9072" w:type="dxa"/>
        <w:jc w:val="center"/>
        <w:shd w:val="clear" w:color="auto" w:fill="FFFFFF" w:themeFill="background1"/>
        <w:tblLayout w:type="fixed"/>
        <w:tblCellMar>
          <w:bottom w:w="57" w:type="dxa"/>
        </w:tblCellMar>
        <w:tblLook w:val="04A0" w:firstRow="1" w:lastRow="0" w:firstColumn="1" w:lastColumn="0" w:noHBand="0" w:noVBand="1"/>
      </w:tblPr>
      <w:tblGrid>
        <w:gridCol w:w="3024"/>
        <w:gridCol w:w="3024"/>
        <w:gridCol w:w="3024"/>
      </w:tblGrid>
      <w:tr w:rsidR="000E5A36" w:rsidRPr="000E5A36" w14:paraId="00E5563B" w14:textId="77777777" w:rsidTr="00D673E5">
        <w:trPr>
          <w:trHeight w:val="475"/>
          <w:jc w:val="center"/>
        </w:trPr>
        <w:tc>
          <w:tcPr>
            <w:tcW w:w="3024" w:type="dxa"/>
            <w:shd w:val="clear" w:color="auto" w:fill="FFFFFF" w:themeFill="background1"/>
            <w:vAlign w:val="center"/>
          </w:tcPr>
          <w:p w14:paraId="39591A92" w14:textId="1D197B70" w:rsidR="000E5A36" w:rsidRPr="000E5A36" w:rsidRDefault="0086524E" w:rsidP="00D673E5">
            <w:pPr>
              <w:pStyle w:val="Pa18"/>
              <w:spacing w:line="240" w:lineRule="auto"/>
              <w:jc w:val="center"/>
              <w:rPr>
                <w:rFonts w:cs="Calibri"/>
                <w:b/>
                <w:sz w:val="32"/>
                <w:szCs w:val="32"/>
              </w:rPr>
            </w:pPr>
            <w:bookmarkStart w:id="2" w:name="_Hlk145416707"/>
            <w:r>
              <w:rPr>
                <w:rFonts w:cs="Calibri"/>
                <w:b/>
                <w:bCs/>
                <w:color w:val="000000"/>
                <w:sz w:val="32"/>
                <w:szCs w:val="36"/>
              </w:rPr>
              <w:t>933,5</w:t>
            </w:r>
            <w:r w:rsidR="000E5A36" w:rsidRPr="000E5A36">
              <w:rPr>
                <w:rFonts w:cs="Calibri"/>
                <w:b/>
                <w:bCs/>
                <w:color w:val="000000"/>
                <w:sz w:val="32"/>
                <w:szCs w:val="36"/>
              </w:rPr>
              <w:t xml:space="preserve"> mld. Kč</w:t>
            </w:r>
          </w:p>
        </w:tc>
        <w:tc>
          <w:tcPr>
            <w:tcW w:w="3024" w:type="dxa"/>
            <w:shd w:val="clear" w:color="auto" w:fill="FFFFFF" w:themeFill="background1"/>
            <w:vAlign w:val="center"/>
          </w:tcPr>
          <w:p w14:paraId="2A5D3293" w14:textId="75A140F7" w:rsidR="000E5A36" w:rsidRPr="000E5A36" w:rsidRDefault="0086524E" w:rsidP="00D673E5">
            <w:pPr>
              <w:pStyle w:val="Pa18"/>
              <w:spacing w:line="240" w:lineRule="auto"/>
              <w:jc w:val="center"/>
              <w:rPr>
                <w:rStyle w:val="A14"/>
                <w:rFonts w:eastAsiaTheme="majorEastAsia" w:cs="Calibri"/>
                <w:bCs/>
                <w:sz w:val="32"/>
                <w:szCs w:val="32"/>
              </w:rPr>
            </w:pPr>
            <w:r>
              <w:rPr>
                <w:rFonts w:cs="Calibri"/>
                <w:b/>
                <w:bCs/>
                <w:color w:val="000000"/>
                <w:sz w:val="32"/>
                <w:szCs w:val="36"/>
              </w:rPr>
              <w:t>2 896,2</w:t>
            </w:r>
            <w:r w:rsidR="000E5A36" w:rsidRPr="000E5A36">
              <w:rPr>
                <w:rFonts w:cs="Calibri"/>
                <w:b/>
                <w:bCs/>
                <w:color w:val="000000"/>
                <w:sz w:val="32"/>
                <w:szCs w:val="36"/>
              </w:rPr>
              <w:t xml:space="preserve"> mld. Kč</w:t>
            </w:r>
          </w:p>
        </w:tc>
        <w:tc>
          <w:tcPr>
            <w:tcW w:w="3024" w:type="dxa"/>
            <w:shd w:val="clear" w:color="auto" w:fill="FFFFFF" w:themeFill="background1"/>
            <w:vAlign w:val="center"/>
          </w:tcPr>
          <w:p w14:paraId="5469FB95" w14:textId="4646364C" w:rsidR="000E5A36" w:rsidRPr="000E5A36" w:rsidRDefault="00F203FA" w:rsidP="00D673E5">
            <w:pPr>
              <w:pStyle w:val="Pa18"/>
              <w:spacing w:line="240" w:lineRule="auto"/>
              <w:jc w:val="center"/>
              <w:rPr>
                <w:rFonts w:cs="Calibri"/>
                <w:b/>
                <w:sz w:val="32"/>
                <w:szCs w:val="32"/>
              </w:rPr>
            </w:pPr>
            <w:r>
              <w:rPr>
                <w:rFonts w:cs="Calibri"/>
                <w:b/>
                <w:bCs/>
                <w:color w:val="000000"/>
                <w:sz w:val="32"/>
                <w:szCs w:val="36"/>
              </w:rPr>
              <w:t>1 972,9</w:t>
            </w:r>
            <w:r w:rsidR="000E5A36" w:rsidRPr="000E5A36">
              <w:rPr>
                <w:rFonts w:cs="Calibri"/>
                <w:b/>
                <w:bCs/>
                <w:color w:val="000000"/>
                <w:sz w:val="32"/>
                <w:szCs w:val="36"/>
              </w:rPr>
              <w:t xml:space="preserve"> mld. Kč</w:t>
            </w:r>
          </w:p>
        </w:tc>
      </w:tr>
      <w:tr w:rsidR="000E5A36" w:rsidRPr="000E5A36" w14:paraId="2C2ED1EA" w14:textId="77777777" w:rsidTr="00D673E5">
        <w:trPr>
          <w:trHeight w:val="745"/>
          <w:jc w:val="center"/>
        </w:trPr>
        <w:tc>
          <w:tcPr>
            <w:tcW w:w="3024" w:type="dxa"/>
            <w:shd w:val="clear" w:color="auto" w:fill="FFFFFF" w:themeFill="background1"/>
          </w:tcPr>
          <w:p w14:paraId="7929B367" w14:textId="3B25F5C3" w:rsidR="000E5A36" w:rsidRPr="000E5A36" w:rsidRDefault="000E5A36" w:rsidP="000E5A36">
            <w:pPr>
              <w:pStyle w:val="Pa19"/>
              <w:spacing w:line="240" w:lineRule="auto"/>
              <w:jc w:val="center"/>
              <w:rPr>
                <w:rFonts w:cs="Calibri"/>
                <w:sz w:val="22"/>
                <w:szCs w:val="22"/>
              </w:rPr>
            </w:pPr>
            <w:r w:rsidRPr="000E5A36">
              <w:rPr>
                <w:sz w:val="22"/>
              </w:rPr>
              <w:t>Inkaso DPFO</w:t>
            </w:r>
            <w:r w:rsidRPr="000E5A36">
              <w:rPr>
                <w:rStyle w:val="Znakapoznpodarou"/>
                <w:sz w:val="22"/>
              </w:rPr>
              <w:footnoteReference w:id="1"/>
            </w:r>
            <w:r w:rsidRPr="000E5A36">
              <w:rPr>
                <w:sz w:val="22"/>
                <w:szCs w:val="20"/>
              </w:rPr>
              <w:t xml:space="preserve"> </w:t>
            </w:r>
            <w:r w:rsidRPr="000E5A36">
              <w:rPr>
                <w:sz w:val="22"/>
              </w:rPr>
              <w:t xml:space="preserve">ze závislé </w:t>
            </w:r>
            <w:r w:rsidR="00090DB2" w:rsidRPr="000E5A36">
              <w:rPr>
                <w:sz w:val="22"/>
              </w:rPr>
              <w:t xml:space="preserve">činnosti </w:t>
            </w:r>
            <w:r w:rsidR="00090DB2">
              <w:rPr>
                <w:sz w:val="22"/>
              </w:rPr>
              <w:t>v</w:t>
            </w:r>
            <w:r w:rsidR="0086524E">
              <w:rPr>
                <w:sz w:val="22"/>
              </w:rPr>
              <w:t xml:space="preserve"> letech </w:t>
            </w:r>
            <w:r w:rsidR="00090DB2">
              <w:rPr>
                <w:sz w:val="22"/>
              </w:rPr>
              <w:t>2019–2023</w:t>
            </w:r>
          </w:p>
        </w:tc>
        <w:tc>
          <w:tcPr>
            <w:tcW w:w="3024" w:type="dxa"/>
            <w:shd w:val="clear" w:color="auto" w:fill="FFFFFF" w:themeFill="background1"/>
          </w:tcPr>
          <w:p w14:paraId="4FD4696F" w14:textId="75DBA961" w:rsidR="000E5A36" w:rsidRPr="000E5A36" w:rsidRDefault="00AE16DB" w:rsidP="000E5A36">
            <w:pPr>
              <w:spacing w:after="0" w:line="240" w:lineRule="auto"/>
              <w:jc w:val="center"/>
              <w:rPr>
                <w:rFonts w:ascii="Calibri" w:hAnsi="Calibri"/>
              </w:rPr>
            </w:pPr>
            <w:r>
              <w:rPr>
                <w:rFonts w:ascii="Calibri" w:hAnsi="Calibri"/>
              </w:rPr>
              <w:t>Vybrané p</w:t>
            </w:r>
            <w:r w:rsidR="000E5A36" w:rsidRPr="000E5A36">
              <w:rPr>
                <w:rFonts w:ascii="Calibri" w:hAnsi="Calibri"/>
              </w:rPr>
              <w:t xml:space="preserve">ojistné na sociální </w:t>
            </w:r>
            <w:r w:rsidR="00090DB2" w:rsidRPr="000E5A36">
              <w:rPr>
                <w:rFonts w:ascii="Calibri" w:hAnsi="Calibri"/>
              </w:rPr>
              <w:t xml:space="preserve">zabezpečení </w:t>
            </w:r>
            <w:r w:rsidR="00090DB2">
              <w:rPr>
                <w:rFonts w:ascii="Calibri" w:hAnsi="Calibri"/>
              </w:rPr>
              <w:t>v</w:t>
            </w:r>
            <w:r w:rsidR="0086524E">
              <w:rPr>
                <w:rFonts w:ascii="Calibri" w:hAnsi="Calibri"/>
              </w:rPr>
              <w:t xml:space="preserve"> letech </w:t>
            </w:r>
            <w:r w:rsidR="00854402">
              <w:rPr>
                <w:rFonts w:ascii="Calibri" w:hAnsi="Calibri"/>
              </w:rPr>
              <w:br/>
            </w:r>
            <w:r w:rsidR="00090DB2">
              <w:rPr>
                <w:rFonts w:ascii="Calibri" w:hAnsi="Calibri"/>
              </w:rPr>
              <w:t>2019–2023</w:t>
            </w:r>
          </w:p>
        </w:tc>
        <w:tc>
          <w:tcPr>
            <w:tcW w:w="3024" w:type="dxa"/>
            <w:shd w:val="clear" w:color="auto" w:fill="FFFFFF" w:themeFill="background1"/>
          </w:tcPr>
          <w:p w14:paraId="22DDA5D0" w14:textId="7743AF49" w:rsidR="000E5A36" w:rsidRPr="000E5A36" w:rsidRDefault="00AE16DB" w:rsidP="000E5A36">
            <w:pPr>
              <w:pStyle w:val="Pa19"/>
              <w:spacing w:line="240" w:lineRule="auto"/>
              <w:jc w:val="center"/>
              <w:rPr>
                <w:rFonts w:cs="Calibri"/>
                <w:sz w:val="22"/>
                <w:szCs w:val="22"/>
              </w:rPr>
            </w:pPr>
            <w:r>
              <w:rPr>
                <w:sz w:val="22"/>
              </w:rPr>
              <w:t>Vybrané p</w:t>
            </w:r>
            <w:r w:rsidR="004B476C">
              <w:rPr>
                <w:sz w:val="22"/>
              </w:rPr>
              <w:t>ojistné na veřejné zdravotní pojištění</w:t>
            </w:r>
            <w:r w:rsidR="000E5A36" w:rsidRPr="000E5A36">
              <w:rPr>
                <w:sz w:val="22"/>
              </w:rPr>
              <w:t xml:space="preserve"> </w:t>
            </w:r>
            <w:r w:rsidR="000E5A36" w:rsidRPr="000E5A36">
              <w:rPr>
                <w:sz w:val="22"/>
              </w:rPr>
              <w:br/>
              <w:t xml:space="preserve">v </w:t>
            </w:r>
            <w:r w:rsidR="00F94463">
              <w:rPr>
                <w:sz w:val="22"/>
              </w:rPr>
              <w:t xml:space="preserve">letech </w:t>
            </w:r>
            <w:r w:rsidR="00090DB2">
              <w:rPr>
                <w:sz w:val="22"/>
              </w:rPr>
              <w:t>2019–2023</w:t>
            </w:r>
          </w:p>
        </w:tc>
      </w:tr>
      <w:tr w:rsidR="00360677" w:rsidRPr="000E5A36" w14:paraId="24353517" w14:textId="77777777" w:rsidTr="000E5A36">
        <w:trPr>
          <w:trHeight w:val="454"/>
          <w:jc w:val="center"/>
        </w:trPr>
        <w:tc>
          <w:tcPr>
            <w:tcW w:w="3024" w:type="dxa"/>
            <w:shd w:val="clear" w:color="auto" w:fill="FFFFFF" w:themeFill="background1"/>
          </w:tcPr>
          <w:p w14:paraId="1B37BE13" w14:textId="7C1E87FB" w:rsidR="00360677" w:rsidRPr="00360677" w:rsidRDefault="00360677" w:rsidP="00360677">
            <w:pPr>
              <w:pStyle w:val="Pa19"/>
              <w:spacing w:line="240" w:lineRule="auto"/>
              <w:jc w:val="center"/>
              <w:rPr>
                <w:sz w:val="32"/>
                <w:szCs w:val="32"/>
              </w:rPr>
            </w:pPr>
          </w:p>
        </w:tc>
        <w:tc>
          <w:tcPr>
            <w:tcW w:w="3024" w:type="dxa"/>
            <w:shd w:val="clear" w:color="auto" w:fill="FFFFFF" w:themeFill="background1"/>
          </w:tcPr>
          <w:p w14:paraId="44839DFE" w14:textId="0647EF67" w:rsidR="00360677" w:rsidRPr="00090DB2" w:rsidRDefault="00360677" w:rsidP="006164D5">
            <w:pPr>
              <w:spacing w:before="360" w:after="0" w:line="240" w:lineRule="auto"/>
              <w:jc w:val="center"/>
              <w:rPr>
                <w:rFonts w:ascii="Calibri" w:hAnsi="Calibri"/>
                <w:b/>
                <w:sz w:val="32"/>
              </w:rPr>
            </w:pPr>
            <w:r w:rsidRPr="00725AD4">
              <w:rPr>
                <w:rFonts w:cstheme="minorHAnsi"/>
                <w:b/>
                <w:color w:val="AF1953"/>
                <w:sz w:val="32"/>
                <w:szCs w:val="32"/>
              </w:rPr>
              <w:t>89 mld. Kč</w:t>
            </w:r>
          </w:p>
        </w:tc>
        <w:tc>
          <w:tcPr>
            <w:tcW w:w="3024" w:type="dxa"/>
            <w:shd w:val="clear" w:color="auto" w:fill="FFFFFF" w:themeFill="background1"/>
          </w:tcPr>
          <w:p w14:paraId="0850F0DE" w14:textId="2A7403A3" w:rsidR="00360677" w:rsidRPr="000E5A36" w:rsidRDefault="00360677" w:rsidP="00360677">
            <w:pPr>
              <w:spacing w:after="0" w:line="240" w:lineRule="auto"/>
              <w:jc w:val="center"/>
              <w:rPr>
                <w:b/>
                <w:bCs/>
                <w:sz w:val="32"/>
                <w:szCs w:val="36"/>
              </w:rPr>
            </w:pPr>
          </w:p>
        </w:tc>
      </w:tr>
      <w:tr w:rsidR="00360677" w:rsidRPr="000E5A36" w14:paraId="3EE4D172" w14:textId="77777777" w:rsidTr="000E5A36">
        <w:trPr>
          <w:trHeight w:val="454"/>
          <w:jc w:val="center"/>
        </w:trPr>
        <w:tc>
          <w:tcPr>
            <w:tcW w:w="3024" w:type="dxa"/>
            <w:shd w:val="clear" w:color="auto" w:fill="FFFFFF" w:themeFill="background1"/>
          </w:tcPr>
          <w:p w14:paraId="28426EED" w14:textId="5608F606" w:rsidR="00360677" w:rsidRPr="000E5A36" w:rsidRDefault="00360677" w:rsidP="00360677">
            <w:pPr>
              <w:pStyle w:val="Pa19"/>
              <w:spacing w:line="240" w:lineRule="auto"/>
              <w:jc w:val="center"/>
              <w:rPr>
                <w:rFonts w:cs="Calibri"/>
                <w:b/>
                <w:bCs/>
                <w:color w:val="000000"/>
                <w:sz w:val="22"/>
                <w:szCs w:val="22"/>
              </w:rPr>
            </w:pPr>
          </w:p>
        </w:tc>
        <w:tc>
          <w:tcPr>
            <w:tcW w:w="3024" w:type="dxa"/>
            <w:shd w:val="clear" w:color="auto" w:fill="FFFFFF" w:themeFill="background1"/>
          </w:tcPr>
          <w:p w14:paraId="17A63D16" w14:textId="10B8070E" w:rsidR="00360677" w:rsidRPr="000E5A36" w:rsidRDefault="00360677" w:rsidP="00360677">
            <w:pPr>
              <w:spacing w:after="0" w:line="240" w:lineRule="auto"/>
              <w:jc w:val="center"/>
              <w:rPr>
                <w:rFonts w:ascii="Calibri" w:hAnsi="Calibri"/>
              </w:rPr>
            </w:pPr>
            <w:r w:rsidRPr="000E5A36">
              <w:t xml:space="preserve">Odhad rozsahu ztráty příjmů ze závislé </w:t>
            </w:r>
            <w:r>
              <w:t>práce</w:t>
            </w:r>
            <w:r w:rsidRPr="000E5A36">
              <w:t xml:space="preserve"> v ČR v roce 2019</w:t>
            </w:r>
            <w:r>
              <w:t xml:space="preserve"> dle studie Evropské komise</w:t>
            </w:r>
            <w:r>
              <w:rPr>
                <w:rStyle w:val="Znakapoznpodarou"/>
              </w:rPr>
              <w:footnoteReference w:id="2"/>
            </w:r>
          </w:p>
        </w:tc>
        <w:tc>
          <w:tcPr>
            <w:tcW w:w="3024" w:type="dxa"/>
            <w:shd w:val="clear" w:color="auto" w:fill="FFFFFF" w:themeFill="background1"/>
          </w:tcPr>
          <w:p w14:paraId="21907BA9" w14:textId="77777777" w:rsidR="00360677" w:rsidRPr="000E5A36" w:rsidRDefault="00360677" w:rsidP="00360677">
            <w:pPr>
              <w:spacing w:after="0" w:line="240" w:lineRule="auto"/>
              <w:jc w:val="center"/>
              <w:rPr>
                <w:b/>
                <w:bCs/>
              </w:rPr>
            </w:pPr>
          </w:p>
        </w:tc>
      </w:tr>
      <w:bookmarkEnd w:id="2"/>
    </w:tbl>
    <w:p w14:paraId="6B43CE17" w14:textId="77777777" w:rsidR="00923C9D" w:rsidRDefault="00923C9D" w:rsidP="008D2353">
      <w:pPr>
        <w:tabs>
          <w:tab w:val="left" w:pos="1115"/>
        </w:tabs>
        <w:ind w:left="1416" w:hanging="1416"/>
        <w:jc w:val="center"/>
        <w:rPr>
          <w:caps/>
        </w:rPr>
      </w:pPr>
    </w:p>
    <w:p w14:paraId="234633BB" w14:textId="77777777" w:rsidR="008D2353" w:rsidRDefault="008D2353" w:rsidP="008D2353">
      <w:pPr>
        <w:tabs>
          <w:tab w:val="left" w:pos="1115"/>
        </w:tabs>
        <w:spacing w:after="0"/>
        <w:rPr>
          <w:rFonts w:cstheme="minorHAnsi"/>
          <w:b/>
          <w:sz w:val="28"/>
          <w:szCs w:val="28"/>
        </w:rPr>
      </w:pPr>
    </w:p>
    <w:p w14:paraId="573B4BA6" w14:textId="2DD342D7" w:rsidR="008D2353" w:rsidRPr="00FA3B10" w:rsidRDefault="002F5222" w:rsidP="008D2353">
      <w:pPr>
        <w:tabs>
          <w:tab w:val="left" w:pos="1747"/>
          <w:tab w:val="center" w:pos="4536"/>
        </w:tabs>
        <w:rPr>
          <w:caps/>
        </w:rPr>
      </w:pPr>
      <w:r w:rsidRPr="00E06AAB">
        <w:rPr>
          <w:b/>
          <w:noProof/>
          <w:sz w:val="28"/>
        </w:rPr>
        <mc:AlternateContent>
          <mc:Choice Requires="wps">
            <w:drawing>
              <wp:anchor distT="0" distB="0" distL="114300" distR="114300" simplePos="0" relativeHeight="251673600" behindDoc="0" locked="0" layoutInCell="1" allowOverlap="1" wp14:anchorId="3D3B061E" wp14:editId="4F78F9B3">
                <wp:simplePos x="0" y="0"/>
                <wp:positionH relativeFrom="margin">
                  <wp:align>right</wp:align>
                </wp:positionH>
                <wp:positionV relativeFrom="paragraph">
                  <wp:posOffset>90170</wp:posOffset>
                </wp:positionV>
                <wp:extent cx="2044800" cy="0"/>
                <wp:effectExtent l="0" t="0" r="0" b="0"/>
                <wp:wrapNone/>
                <wp:docPr id="25" name="Přímá spojnice 25"/>
                <wp:cNvGraphicFramePr/>
                <a:graphic xmlns:a="http://schemas.openxmlformats.org/drawingml/2006/main">
                  <a:graphicData uri="http://schemas.microsoft.com/office/word/2010/wordprocessingShape">
                    <wps:wsp>
                      <wps:cNvCnPr/>
                      <wps:spPr>
                        <a:xfrm>
                          <a:off x="0" y="0"/>
                          <a:ext cx="204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5B00EB" id="Přímá spojnice 25" o:spid="_x0000_s1026" style="position:absolute;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09.8pt,7.1pt" to="270.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" strokecolor="black [3213]" strokeweight=".5pt">
                <v:stroke joinstyle="miter"/>
                <w10:wrap anchorx="margin"/>
              </v:line>
            </w:pict>
          </mc:Fallback>
        </mc:AlternateContent>
      </w:r>
      <w:r w:rsidR="008D2353" w:rsidRPr="005C154B">
        <w:rPr>
          <w:b/>
          <w:noProof/>
        </w:rPr>
        <mc:AlternateContent>
          <mc:Choice Requires="wps">
            <w:drawing>
              <wp:anchor distT="0" distB="0" distL="114300" distR="114300" simplePos="0" relativeHeight="251674624" behindDoc="0" locked="0" layoutInCell="1" allowOverlap="1" wp14:anchorId="4855606D" wp14:editId="01FBABC0">
                <wp:simplePos x="0" y="0"/>
                <wp:positionH relativeFrom="margin">
                  <wp:align>left</wp:align>
                </wp:positionH>
                <wp:positionV relativeFrom="paragraph">
                  <wp:posOffset>87072</wp:posOffset>
                </wp:positionV>
                <wp:extent cx="2109216" cy="0"/>
                <wp:effectExtent l="0" t="0" r="0" b="0"/>
                <wp:wrapNone/>
                <wp:docPr id="15" name="Přímá spojnice 15"/>
                <wp:cNvGraphicFramePr/>
                <a:graphic xmlns:a="http://schemas.openxmlformats.org/drawingml/2006/main">
                  <a:graphicData uri="http://schemas.microsoft.com/office/word/2010/wordprocessingShape">
                    <wps:wsp>
                      <wps:cNvCnPr/>
                      <wps:spPr>
                        <a:xfrm>
                          <a:off x="0" y="0"/>
                          <a:ext cx="2109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D256F" id="Přímá spojnice 15"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5pt" to="166.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" strokecolor="black [3213]" strokeweight=".5pt">
                <v:stroke joinstyle="miter"/>
                <w10:wrap anchorx="margin"/>
              </v:line>
            </w:pict>
          </mc:Fallback>
        </mc:AlternateContent>
      </w:r>
      <w:r w:rsidR="008D2353" w:rsidRPr="00E06AAB">
        <w:rPr>
          <w:caps/>
        </w:rPr>
        <w:tab/>
      </w:r>
      <w:r w:rsidR="008D2353" w:rsidRPr="00E06AAB">
        <w:rPr>
          <w:caps/>
        </w:rPr>
        <w:tab/>
      </w:r>
      <w:r>
        <w:rPr>
          <w:caps/>
        </w:rPr>
        <w:t xml:space="preserve"> </w:t>
      </w:r>
      <w:r w:rsidR="008D2353">
        <w:rPr>
          <w:caps/>
        </w:rPr>
        <w:t>Zjištěné skutečnosti</w:t>
      </w:r>
    </w:p>
    <w:p w14:paraId="18D1FA6C" w14:textId="77777777" w:rsidR="008D2353" w:rsidRDefault="008D2353" w:rsidP="00210AB3">
      <w:pPr>
        <w:autoSpaceDE w:val="0"/>
        <w:autoSpaceDN w:val="0"/>
        <w:adjustRightInd w:val="0"/>
        <w:spacing w:before="240" w:after="0"/>
        <w:jc w:val="center"/>
        <w:rPr>
          <w:rFonts w:cstheme="minorHAnsi"/>
          <w:b/>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119"/>
        <w:gridCol w:w="5953"/>
      </w:tblGrid>
      <w:tr w:rsidR="000E5A36" w:rsidRPr="00C90F69" w14:paraId="2A7C54C5" w14:textId="77777777" w:rsidTr="00E70D70">
        <w:tc>
          <w:tcPr>
            <w:tcW w:w="3119" w:type="dxa"/>
          </w:tcPr>
          <w:p w14:paraId="4A80AFEA" w14:textId="679F8C99" w:rsidR="000E5A36" w:rsidRPr="00A65A10" w:rsidRDefault="00197500" w:rsidP="00D673E5">
            <w:pPr>
              <w:pStyle w:val="NormlnKZ"/>
              <w:spacing w:after="0"/>
              <w:ind w:firstLine="0"/>
              <w:jc w:val="center"/>
              <w:rPr>
                <w:rFonts w:asciiTheme="minorHAnsi" w:hAnsiTheme="minorHAnsi" w:cstheme="minorHAnsi"/>
                <w:b/>
                <w:color w:val="AF1953"/>
                <w:sz w:val="28"/>
              </w:rPr>
            </w:pPr>
            <w:r>
              <w:rPr>
                <w:rFonts w:asciiTheme="minorHAnsi" w:hAnsiTheme="minorHAnsi" w:cstheme="minorHAnsi"/>
                <w:b/>
                <w:color w:val="AF1953"/>
                <w:sz w:val="28"/>
              </w:rPr>
              <w:t>Platby</w:t>
            </w:r>
            <w:r w:rsidRPr="00A65A10">
              <w:rPr>
                <w:rFonts w:asciiTheme="minorHAnsi" w:hAnsiTheme="minorHAnsi" w:cstheme="minorHAnsi"/>
                <w:b/>
                <w:color w:val="AF1953"/>
                <w:sz w:val="28"/>
              </w:rPr>
              <w:t xml:space="preserve"> </w:t>
            </w:r>
            <w:r>
              <w:rPr>
                <w:rFonts w:asciiTheme="minorHAnsi" w:hAnsiTheme="minorHAnsi" w:cstheme="minorHAnsi"/>
                <w:b/>
                <w:color w:val="AF1953"/>
                <w:sz w:val="28"/>
              </w:rPr>
              <w:t xml:space="preserve">zákonných </w:t>
            </w:r>
            <w:r w:rsidR="00E70D70" w:rsidRPr="00A65A10">
              <w:rPr>
                <w:rFonts w:asciiTheme="minorHAnsi" w:hAnsiTheme="minorHAnsi" w:cstheme="minorHAnsi"/>
                <w:b/>
                <w:color w:val="AF1953"/>
                <w:sz w:val="28"/>
              </w:rPr>
              <w:t>pojistn</w:t>
            </w:r>
            <w:r>
              <w:rPr>
                <w:rFonts w:asciiTheme="minorHAnsi" w:hAnsiTheme="minorHAnsi" w:cstheme="minorHAnsi"/>
                <w:b/>
                <w:color w:val="AF1953"/>
                <w:sz w:val="28"/>
              </w:rPr>
              <w:t>ých</w:t>
            </w:r>
            <w:r w:rsidR="00E70D70" w:rsidRPr="00A65A10">
              <w:rPr>
                <w:rFonts w:asciiTheme="minorHAnsi" w:hAnsiTheme="minorHAnsi" w:cstheme="minorHAnsi"/>
                <w:b/>
                <w:color w:val="AF1953"/>
                <w:sz w:val="28"/>
              </w:rPr>
              <w:t xml:space="preserve"> </w:t>
            </w:r>
            <w:r>
              <w:rPr>
                <w:rFonts w:asciiTheme="minorHAnsi" w:hAnsiTheme="minorHAnsi" w:cstheme="minorHAnsi"/>
                <w:b/>
                <w:color w:val="AF1953"/>
                <w:sz w:val="28"/>
              </w:rPr>
              <w:t>nebyly</w:t>
            </w:r>
            <w:r w:rsidRPr="00A65A10">
              <w:rPr>
                <w:rFonts w:asciiTheme="minorHAnsi" w:hAnsiTheme="minorHAnsi" w:cstheme="minorHAnsi"/>
                <w:b/>
                <w:color w:val="AF1953"/>
                <w:sz w:val="28"/>
              </w:rPr>
              <w:t xml:space="preserve"> </w:t>
            </w:r>
            <w:r w:rsidR="00E70D70" w:rsidRPr="00A65A10">
              <w:rPr>
                <w:rFonts w:asciiTheme="minorHAnsi" w:hAnsiTheme="minorHAnsi" w:cstheme="minorHAnsi"/>
                <w:b/>
                <w:color w:val="AF1953"/>
                <w:sz w:val="28"/>
              </w:rPr>
              <w:t>doměřovány</w:t>
            </w:r>
          </w:p>
        </w:tc>
        <w:tc>
          <w:tcPr>
            <w:tcW w:w="5953" w:type="dxa"/>
          </w:tcPr>
          <w:p w14:paraId="05B805B0" w14:textId="0C97D80E" w:rsidR="007A5AAC" w:rsidRDefault="000D3F6F" w:rsidP="00360677">
            <w:pPr>
              <w:pStyle w:val="NormlnKZ"/>
              <w:spacing w:after="0"/>
              <w:ind w:firstLine="0"/>
              <w:rPr>
                <w:rFonts w:asciiTheme="minorHAnsi" w:hAnsiTheme="minorHAnsi" w:cstheme="minorHAnsi"/>
                <w:b/>
                <w:bCs/>
              </w:rPr>
            </w:pPr>
            <w:r w:rsidRPr="00090DB2">
              <w:rPr>
                <w:rFonts w:asciiTheme="minorHAnsi" w:hAnsiTheme="minorHAnsi" w:cstheme="minorHAnsi"/>
                <w:b/>
                <w:bCs/>
              </w:rPr>
              <w:t>ČSSZ ani SÚIP nedoměřovaly</w:t>
            </w:r>
            <w:r w:rsidR="00E70D70" w:rsidRPr="000D3F6F">
              <w:rPr>
                <w:rFonts w:asciiTheme="minorHAnsi" w:hAnsiTheme="minorHAnsi" w:cstheme="minorHAnsi"/>
                <w:b/>
                <w:bCs/>
              </w:rPr>
              <w:t xml:space="preserve"> </w:t>
            </w:r>
            <w:r w:rsidR="00197500">
              <w:rPr>
                <w:rFonts w:asciiTheme="minorHAnsi" w:hAnsiTheme="minorHAnsi" w:cstheme="minorHAnsi"/>
                <w:b/>
                <w:bCs/>
              </w:rPr>
              <w:t>platby zákonných pojistných</w:t>
            </w:r>
            <w:r w:rsidR="00901DE4">
              <w:rPr>
                <w:rStyle w:val="Znakapoznpodarou"/>
                <w:rFonts w:asciiTheme="minorHAnsi" w:hAnsiTheme="minorHAnsi" w:cstheme="minorHAnsi"/>
                <w:b/>
                <w:bCs/>
              </w:rPr>
              <w:footnoteReference w:id="3"/>
            </w:r>
            <w:r w:rsidR="00197500">
              <w:rPr>
                <w:rFonts w:asciiTheme="minorHAnsi" w:hAnsiTheme="minorHAnsi" w:cstheme="minorHAnsi"/>
                <w:b/>
                <w:bCs/>
              </w:rPr>
              <w:t xml:space="preserve"> zaměstnavatelům, kterým byla uložena pokuta za nelegální práci cizinců</w:t>
            </w:r>
            <w:r w:rsidR="002249BF">
              <w:rPr>
                <w:rFonts w:asciiTheme="minorHAnsi" w:hAnsiTheme="minorHAnsi" w:cstheme="minorHAnsi"/>
                <w:b/>
                <w:bCs/>
              </w:rPr>
              <w:t xml:space="preserve"> </w:t>
            </w:r>
            <w:r w:rsidR="002249BF" w:rsidRPr="006164D5">
              <w:rPr>
                <w:rFonts w:asciiTheme="minorHAnsi" w:hAnsiTheme="minorHAnsi" w:cstheme="minorHAnsi"/>
              </w:rPr>
              <w:t xml:space="preserve">bez </w:t>
            </w:r>
            <w:r w:rsidR="002249BF" w:rsidRPr="00090DB2">
              <w:rPr>
                <w:rFonts w:ascii="Calibri" w:eastAsia="Calibri" w:hAnsi="Calibri" w:cs="Calibri"/>
                <w:iCs/>
              </w:rPr>
              <w:t>platného oprávnění k pobytu na území</w:t>
            </w:r>
            <w:r w:rsidR="002249BF">
              <w:rPr>
                <w:rFonts w:ascii="Calibri" w:eastAsia="Calibri" w:hAnsi="Calibri" w:cs="Calibri"/>
                <w:iCs/>
              </w:rPr>
              <w:t xml:space="preserve"> České republiky</w:t>
            </w:r>
            <w:r w:rsidR="00901DE4">
              <w:rPr>
                <w:rFonts w:asciiTheme="minorHAnsi" w:hAnsiTheme="minorHAnsi" w:cstheme="minorHAnsi"/>
                <w:b/>
                <w:bCs/>
              </w:rPr>
              <w:t>.</w:t>
            </w:r>
          </w:p>
          <w:p w14:paraId="45E98411" w14:textId="318414DA" w:rsidR="000E5A36" w:rsidRPr="00E70D70" w:rsidRDefault="00E508E3" w:rsidP="002249BF">
            <w:pPr>
              <w:pStyle w:val="NormlnKZ"/>
              <w:spacing w:after="0"/>
              <w:ind w:firstLine="0"/>
              <w:rPr>
                <w:rFonts w:asciiTheme="minorHAnsi" w:hAnsiTheme="minorHAnsi" w:cstheme="minorHAnsi"/>
                <w:color w:val="auto"/>
              </w:rPr>
            </w:pPr>
            <w:r>
              <w:rPr>
                <w:rFonts w:asciiTheme="minorHAnsi" w:hAnsiTheme="minorHAnsi" w:cstheme="minorHAnsi"/>
                <w:b/>
                <w:bCs/>
              </w:rPr>
              <w:t xml:space="preserve"> </w:t>
            </w:r>
          </w:p>
        </w:tc>
      </w:tr>
      <w:tr w:rsidR="00360677" w:rsidRPr="00C90F69" w14:paraId="4B5C2F8F" w14:textId="77777777" w:rsidTr="00E70D70">
        <w:tc>
          <w:tcPr>
            <w:tcW w:w="3119" w:type="dxa"/>
          </w:tcPr>
          <w:p w14:paraId="7ECCE62D" w14:textId="6579A3D7" w:rsidR="00360677" w:rsidRPr="007A5AAC" w:rsidRDefault="00360677" w:rsidP="00360677">
            <w:pPr>
              <w:pStyle w:val="NormlnKZ"/>
              <w:spacing w:after="0"/>
              <w:ind w:firstLine="0"/>
              <w:jc w:val="center"/>
              <w:rPr>
                <w:rFonts w:asciiTheme="minorHAnsi" w:hAnsiTheme="minorHAnsi" w:cstheme="minorHAnsi"/>
                <w:b/>
                <w:color w:val="AF1953"/>
                <w:sz w:val="28"/>
              </w:rPr>
            </w:pPr>
            <w:r w:rsidRPr="002249BF">
              <w:rPr>
                <w:rFonts w:asciiTheme="minorHAnsi" w:hAnsiTheme="minorHAnsi" w:cstheme="minorHAnsi"/>
                <w:b/>
                <w:color w:val="AF1953"/>
                <w:sz w:val="28"/>
              </w:rPr>
              <w:t>Výpadek příjmů</w:t>
            </w:r>
            <w:r w:rsidR="00D833F5">
              <w:rPr>
                <w:rFonts w:asciiTheme="minorHAnsi" w:hAnsiTheme="minorHAnsi" w:cstheme="minorHAnsi"/>
                <w:b/>
                <w:color w:val="AF1953"/>
                <w:sz w:val="28"/>
              </w:rPr>
              <w:t>:</w:t>
            </w:r>
            <w:r w:rsidRPr="002249BF">
              <w:rPr>
                <w:rFonts w:asciiTheme="minorHAnsi" w:hAnsiTheme="minorHAnsi" w:cstheme="minorHAnsi"/>
                <w:b/>
                <w:color w:val="AF1953"/>
                <w:sz w:val="28"/>
              </w:rPr>
              <w:t xml:space="preserve"> </w:t>
            </w:r>
            <w:r w:rsidR="00D833F5">
              <w:rPr>
                <w:rFonts w:asciiTheme="minorHAnsi" w:hAnsiTheme="minorHAnsi" w:cstheme="minorHAnsi"/>
                <w:b/>
                <w:color w:val="AF1953"/>
                <w:sz w:val="28"/>
              </w:rPr>
              <w:br/>
            </w:r>
            <w:r w:rsidRPr="002249BF">
              <w:rPr>
                <w:rFonts w:asciiTheme="minorHAnsi" w:hAnsiTheme="minorHAnsi" w:cstheme="minorHAnsi"/>
                <w:b/>
                <w:color w:val="AF1953"/>
                <w:sz w:val="28"/>
              </w:rPr>
              <w:t>desítky miliard korun</w:t>
            </w:r>
          </w:p>
        </w:tc>
        <w:tc>
          <w:tcPr>
            <w:tcW w:w="5953" w:type="dxa"/>
          </w:tcPr>
          <w:p w14:paraId="3DFD52CF" w14:textId="08587FF8" w:rsidR="00360677" w:rsidRDefault="00360677" w:rsidP="00360677">
            <w:pPr>
              <w:pStyle w:val="NormlnKZ"/>
              <w:spacing w:after="0"/>
              <w:ind w:firstLine="0"/>
              <w:rPr>
                <w:rFonts w:asciiTheme="minorHAnsi" w:hAnsiTheme="minorHAnsi" w:cstheme="minorHAnsi"/>
                <w:b/>
                <w:bCs/>
              </w:rPr>
            </w:pPr>
            <w:r w:rsidRPr="002249BF">
              <w:rPr>
                <w:rFonts w:asciiTheme="minorHAnsi" w:hAnsiTheme="minorHAnsi" w:cstheme="minorHAnsi"/>
                <w:b/>
                <w:bCs/>
              </w:rPr>
              <w:t>NKÚ odhadl výpadek příjmů</w:t>
            </w:r>
            <w:r w:rsidRPr="002249BF">
              <w:rPr>
                <w:rFonts w:asciiTheme="minorHAnsi" w:hAnsiTheme="minorHAnsi" w:cstheme="minorHAnsi"/>
                <w:bCs/>
              </w:rPr>
              <w:t xml:space="preserve"> </w:t>
            </w:r>
            <w:r w:rsidR="00D833F5">
              <w:rPr>
                <w:rFonts w:asciiTheme="minorHAnsi" w:hAnsiTheme="minorHAnsi" w:cstheme="minorHAnsi"/>
                <w:bCs/>
              </w:rPr>
              <w:t xml:space="preserve">z </w:t>
            </w:r>
            <w:r w:rsidRPr="002249BF">
              <w:rPr>
                <w:rFonts w:asciiTheme="minorHAnsi" w:hAnsiTheme="minorHAnsi" w:cstheme="minorHAnsi"/>
                <w:bCs/>
              </w:rPr>
              <w:t xml:space="preserve">DPFO a pojistného na sociální zabezpečení a veřejné zdravotní pojištění v ČR </w:t>
            </w:r>
            <w:r w:rsidR="002249BF">
              <w:rPr>
                <w:rFonts w:asciiTheme="minorHAnsi" w:hAnsiTheme="minorHAnsi" w:cstheme="minorHAnsi"/>
                <w:bCs/>
              </w:rPr>
              <w:t xml:space="preserve">v oblasti nelegálního zaměstnávání </w:t>
            </w:r>
            <w:r w:rsidRPr="002249BF">
              <w:rPr>
                <w:rFonts w:asciiTheme="minorHAnsi" w:hAnsiTheme="minorHAnsi" w:cstheme="minorHAnsi"/>
                <w:bCs/>
              </w:rPr>
              <w:t>v letech</w:t>
            </w:r>
            <w:r w:rsidR="002249BF">
              <w:rPr>
                <w:rFonts w:asciiTheme="minorHAnsi" w:hAnsiTheme="minorHAnsi" w:cstheme="minorHAnsi"/>
                <w:bCs/>
              </w:rPr>
              <w:t xml:space="preserve"> </w:t>
            </w:r>
            <w:r w:rsidRPr="002249BF">
              <w:rPr>
                <w:rFonts w:asciiTheme="minorHAnsi" w:hAnsiTheme="minorHAnsi" w:cstheme="minorHAnsi"/>
                <w:bCs/>
              </w:rPr>
              <w:t xml:space="preserve">2019–2022 </w:t>
            </w:r>
            <w:r w:rsidRPr="002249BF">
              <w:rPr>
                <w:rFonts w:asciiTheme="minorHAnsi" w:hAnsiTheme="minorHAnsi" w:cstheme="minorHAnsi"/>
                <w:b/>
                <w:bCs/>
              </w:rPr>
              <w:t>v řádu desítek miliard korun.</w:t>
            </w:r>
          </w:p>
          <w:p w14:paraId="15A739AC" w14:textId="6B1BA78E" w:rsidR="007A5AAC" w:rsidRPr="007A5AAC" w:rsidRDefault="007A5AAC" w:rsidP="002249BF">
            <w:pPr>
              <w:pStyle w:val="NormlnKZ"/>
              <w:spacing w:after="0"/>
              <w:ind w:firstLine="0"/>
              <w:rPr>
                <w:rFonts w:asciiTheme="minorHAnsi" w:hAnsiTheme="minorHAnsi" w:cstheme="minorHAnsi"/>
                <w:bCs/>
              </w:rPr>
            </w:pPr>
          </w:p>
        </w:tc>
      </w:tr>
      <w:tr w:rsidR="00360677" w:rsidRPr="00C90F69" w14:paraId="2ACED807" w14:textId="77777777" w:rsidTr="00E70D70">
        <w:tc>
          <w:tcPr>
            <w:tcW w:w="3119" w:type="dxa"/>
          </w:tcPr>
          <w:p w14:paraId="2A996402" w14:textId="63B291E3" w:rsidR="00360677" w:rsidRPr="00A65A10" w:rsidRDefault="00360677" w:rsidP="00360677">
            <w:pPr>
              <w:jc w:val="center"/>
              <w:rPr>
                <w:rFonts w:cstheme="minorHAnsi"/>
                <w:b/>
                <w:color w:val="AF1953"/>
                <w:sz w:val="28"/>
                <w:szCs w:val="24"/>
              </w:rPr>
            </w:pPr>
            <w:r>
              <w:rPr>
                <w:b/>
                <w:bCs/>
                <w:sz w:val="32"/>
                <w:szCs w:val="36"/>
              </w:rPr>
              <w:t>0</w:t>
            </w:r>
            <w:r w:rsidRPr="000E5A36">
              <w:rPr>
                <w:b/>
                <w:bCs/>
                <w:sz w:val="32"/>
                <w:szCs w:val="36"/>
              </w:rPr>
              <w:t>,</w:t>
            </w:r>
            <w:r>
              <w:rPr>
                <w:b/>
                <w:bCs/>
                <w:sz w:val="32"/>
                <w:szCs w:val="36"/>
              </w:rPr>
              <w:t>74</w:t>
            </w:r>
            <w:r w:rsidRPr="000E5A36">
              <w:rPr>
                <w:b/>
                <w:bCs/>
                <w:sz w:val="32"/>
                <w:szCs w:val="36"/>
              </w:rPr>
              <w:t xml:space="preserve"> mld. Kč</w:t>
            </w:r>
          </w:p>
        </w:tc>
        <w:tc>
          <w:tcPr>
            <w:tcW w:w="5953" w:type="dxa"/>
          </w:tcPr>
          <w:p w14:paraId="07BB79CE" w14:textId="77777777" w:rsidR="00360677" w:rsidRPr="002249BF" w:rsidRDefault="00360677" w:rsidP="002249BF">
            <w:pPr>
              <w:jc w:val="both"/>
              <w:rPr>
                <w:sz w:val="24"/>
                <w:szCs w:val="24"/>
              </w:rPr>
            </w:pPr>
            <w:r w:rsidRPr="002249BF">
              <w:rPr>
                <w:sz w:val="24"/>
                <w:szCs w:val="24"/>
              </w:rPr>
              <w:t xml:space="preserve">Pravomocná rozhodnutí SÚIP o uložení pokuty </w:t>
            </w:r>
            <w:r w:rsidRPr="002249BF">
              <w:rPr>
                <w:sz w:val="24"/>
                <w:szCs w:val="24"/>
              </w:rPr>
              <w:br/>
              <w:t>v oblasti nelegálního zaměstnávání v letech 2019–2023</w:t>
            </w:r>
          </w:p>
          <w:p w14:paraId="599E5925" w14:textId="54BD0F86" w:rsidR="00360677" w:rsidRPr="002249BF" w:rsidRDefault="00360677" w:rsidP="002249BF">
            <w:pPr>
              <w:jc w:val="both"/>
              <w:rPr>
                <w:rFonts w:cstheme="minorHAnsi"/>
                <w:sz w:val="24"/>
                <w:szCs w:val="24"/>
              </w:rPr>
            </w:pPr>
          </w:p>
        </w:tc>
      </w:tr>
    </w:tbl>
    <w:p w14:paraId="5C425A7C" w14:textId="4201506A" w:rsidR="00B16613" w:rsidRDefault="00B16613" w:rsidP="00073DA5">
      <w:pPr>
        <w:autoSpaceDE w:val="0"/>
        <w:autoSpaceDN w:val="0"/>
        <w:adjustRightInd w:val="0"/>
        <w:spacing w:after="0"/>
        <w:jc w:val="center"/>
        <w:rPr>
          <w:rFonts w:cstheme="minorHAnsi"/>
          <w:b/>
          <w:sz w:val="24"/>
          <w:szCs w:val="24"/>
        </w:rPr>
      </w:pPr>
    </w:p>
    <w:p w14:paraId="1A191D9A" w14:textId="77777777" w:rsidR="007A5AAC" w:rsidRDefault="007A5AAC">
      <w:pPr>
        <w:rPr>
          <w:rFonts w:eastAsia="Times New Roman" w:cstheme="minorHAnsi"/>
          <w:b/>
          <w:color w:val="000000"/>
          <w:sz w:val="28"/>
          <w:szCs w:val="24"/>
          <w:lang w:eastAsia="cs-CZ"/>
        </w:rPr>
      </w:pPr>
      <w:r>
        <w:rPr>
          <w:sz w:val="28"/>
          <w:szCs w:val="24"/>
        </w:rPr>
        <w:br w:type="page"/>
      </w:r>
    </w:p>
    <w:p w14:paraId="346F7F81" w14:textId="39C6C8FB" w:rsidR="00CF6FED" w:rsidRPr="00C47E97" w:rsidRDefault="0093232C" w:rsidP="002722B0">
      <w:pPr>
        <w:pStyle w:val="Nadpis1"/>
        <w:numPr>
          <w:ilvl w:val="0"/>
          <w:numId w:val="0"/>
        </w:numPr>
        <w:spacing w:before="0" w:line="264" w:lineRule="auto"/>
        <w:rPr>
          <w:sz w:val="28"/>
          <w:szCs w:val="24"/>
        </w:rPr>
      </w:pPr>
      <w:r w:rsidRPr="00C47E97">
        <w:rPr>
          <w:sz w:val="28"/>
          <w:szCs w:val="24"/>
        </w:rPr>
        <w:lastRenderedPageBreak/>
        <w:t>I. Shrnutí a vyhodnocení</w:t>
      </w:r>
    </w:p>
    <w:p w14:paraId="347B590C" w14:textId="0FB13E66" w:rsidR="00B3031C" w:rsidRDefault="00B3031C" w:rsidP="006164D5">
      <w:pPr>
        <w:spacing w:before="240" w:line="240" w:lineRule="auto"/>
        <w:jc w:val="both"/>
        <w:rPr>
          <w:rFonts w:eastAsia="Times New Roman" w:cstheme="minorHAnsi"/>
          <w:sz w:val="24"/>
          <w:szCs w:val="24"/>
          <w:lang w:eastAsia="cs-CZ"/>
        </w:rPr>
      </w:pPr>
      <w:bookmarkStart w:id="3" w:name="_Hlk115940593"/>
      <w:r w:rsidRPr="0053422F">
        <w:rPr>
          <w:rFonts w:eastAsia="Times New Roman" w:cstheme="minorHAnsi"/>
          <w:sz w:val="24"/>
          <w:szCs w:val="24"/>
          <w:lang w:eastAsia="cs-CZ"/>
        </w:rPr>
        <w:t xml:space="preserve">Nelegální práce je vymezena </w:t>
      </w:r>
      <w:r w:rsidRPr="007D7706">
        <w:rPr>
          <w:rFonts w:eastAsia="Times New Roman" w:cstheme="minorHAnsi"/>
          <w:sz w:val="24"/>
          <w:szCs w:val="24"/>
          <w:lang w:eastAsia="cs-CZ"/>
        </w:rPr>
        <w:t xml:space="preserve">zákonem </w:t>
      </w:r>
      <w:r w:rsidR="00C54A16" w:rsidRPr="006164D5">
        <w:rPr>
          <w:rFonts w:cstheme="minorHAnsi"/>
          <w:sz w:val="24"/>
          <w:szCs w:val="24"/>
        </w:rPr>
        <w:t>o zaměstnanosti</w:t>
      </w:r>
      <w:r w:rsidR="009A6695" w:rsidRPr="006164D5">
        <w:rPr>
          <w:rStyle w:val="Znakapoznpodarou"/>
          <w:rFonts w:cstheme="minorHAnsi"/>
          <w:sz w:val="24"/>
          <w:szCs w:val="24"/>
        </w:rPr>
        <w:footnoteReference w:id="4"/>
      </w:r>
      <w:r w:rsidRPr="0053422F">
        <w:rPr>
          <w:rFonts w:eastAsia="Times New Roman" w:cstheme="minorHAnsi"/>
          <w:sz w:val="24"/>
          <w:szCs w:val="24"/>
          <w:lang w:eastAsia="cs-CZ"/>
        </w:rPr>
        <w:t xml:space="preserve"> jako výkon</w:t>
      </w:r>
      <w:r>
        <w:rPr>
          <w:rFonts w:eastAsia="Times New Roman" w:cstheme="minorHAnsi"/>
          <w:sz w:val="24"/>
          <w:szCs w:val="24"/>
          <w:lang w:eastAsia="cs-CZ"/>
        </w:rPr>
        <w:t xml:space="preserve"> </w:t>
      </w:r>
      <w:r w:rsidRPr="0053422F">
        <w:rPr>
          <w:rFonts w:eastAsia="Times New Roman" w:cstheme="minorHAnsi"/>
          <w:sz w:val="24"/>
          <w:szCs w:val="24"/>
          <w:lang w:eastAsia="cs-CZ"/>
        </w:rPr>
        <w:t>závislé práce fyzickou osobou mimo pracovněprávní vztah a v případě cizince jako výkon</w:t>
      </w:r>
      <w:r>
        <w:rPr>
          <w:rFonts w:eastAsia="Times New Roman" w:cstheme="minorHAnsi"/>
          <w:sz w:val="24"/>
          <w:szCs w:val="24"/>
          <w:lang w:eastAsia="cs-CZ"/>
        </w:rPr>
        <w:t xml:space="preserve"> </w:t>
      </w:r>
      <w:r w:rsidRPr="0053422F">
        <w:rPr>
          <w:rFonts w:eastAsia="Times New Roman" w:cstheme="minorHAnsi"/>
          <w:sz w:val="24"/>
          <w:szCs w:val="24"/>
          <w:lang w:eastAsia="cs-CZ"/>
        </w:rPr>
        <w:t>práce bez povolení (nebo v</w:t>
      </w:r>
      <w:r w:rsidR="00E77B17">
        <w:rPr>
          <w:rFonts w:eastAsia="Times New Roman" w:cstheme="minorHAnsi"/>
          <w:sz w:val="24"/>
          <w:szCs w:val="24"/>
          <w:lang w:eastAsia="cs-CZ"/>
        </w:rPr>
        <w:t> </w:t>
      </w:r>
      <w:r w:rsidRPr="0053422F">
        <w:rPr>
          <w:rFonts w:eastAsia="Times New Roman" w:cstheme="minorHAnsi"/>
          <w:sz w:val="24"/>
          <w:szCs w:val="24"/>
          <w:lang w:eastAsia="cs-CZ"/>
        </w:rPr>
        <w:t>rozporu s povolením) k zaměstnání nebo k pobytu (v případech,</w:t>
      </w:r>
      <w:r>
        <w:rPr>
          <w:rFonts w:eastAsia="Times New Roman" w:cstheme="minorHAnsi"/>
          <w:sz w:val="24"/>
          <w:szCs w:val="24"/>
          <w:lang w:eastAsia="cs-CZ"/>
        </w:rPr>
        <w:t xml:space="preserve"> </w:t>
      </w:r>
      <w:r w:rsidRPr="0053422F">
        <w:rPr>
          <w:rFonts w:eastAsia="Times New Roman" w:cstheme="minorHAnsi"/>
          <w:sz w:val="24"/>
          <w:szCs w:val="24"/>
          <w:lang w:eastAsia="cs-CZ"/>
        </w:rPr>
        <w:t>kdy je povolení příslušnými právními pře</w:t>
      </w:r>
      <w:r w:rsidR="00E77B17">
        <w:rPr>
          <w:rFonts w:eastAsia="Times New Roman" w:cstheme="minorHAnsi"/>
          <w:sz w:val="24"/>
          <w:szCs w:val="24"/>
          <w:lang w:eastAsia="cs-CZ"/>
        </w:rPr>
        <w:t>d</w:t>
      </w:r>
      <w:r w:rsidRPr="0053422F">
        <w:rPr>
          <w:rFonts w:eastAsia="Times New Roman" w:cstheme="minorHAnsi"/>
          <w:sz w:val="24"/>
          <w:szCs w:val="24"/>
          <w:lang w:eastAsia="cs-CZ"/>
        </w:rPr>
        <w:t xml:space="preserve">pisy vyžadováno). </w:t>
      </w:r>
      <w:r w:rsidRPr="003760CA">
        <w:rPr>
          <w:rFonts w:eastAsia="Times New Roman" w:cstheme="minorHAnsi"/>
          <w:sz w:val="24"/>
          <w:szCs w:val="24"/>
          <w:lang w:eastAsia="cs-CZ"/>
        </w:rPr>
        <w:t>Nelegální zaměstnávání</w:t>
      </w:r>
      <w:r w:rsidR="003A3A9B">
        <w:rPr>
          <w:rFonts w:eastAsia="Times New Roman" w:cstheme="minorHAnsi"/>
          <w:sz w:val="24"/>
          <w:szCs w:val="24"/>
          <w:lang w:eastAsia="cs-CZ"/>
        </w:rPr>
        <w:t xml:space="preserve"> </w:t>
      </w:r>
      <w:r w:rsidR="003A3A9B">
        <w:rPr>
          <w:rFonts w:cstheme="minorHAnsi"/>
          <w:sz w:val="24"/>
          <w:szCs w:val="24"/>
        </w:rPr>
        <w:t>(dále také „NLZ“)</w:t>
      </w:r>
      <w:r w:rsidRPr="003760CA">
        <w:rPr>
          <w:rFonts w:eastAsia="Times New Roman" w:cstheme="minorHAnsi"/>
          <w:sz w:val="24"/>
          <w:szCs w:val="24"/>
          <w:lang w:eastAsia="cs-CZ"/>
        </w:rPr>
        <w:t xml:space="preserve">, ze kterého zaměstnavatelé neodvádějí daně, </w:t>
      </w:r>
      <w:r w:rsidR="001929E4">
        <w:rPr>
          <w:rFonts w:eastAsia="Times New Roman" w:cstheme="minorHAnsi"/>
          <w:sz w:val="24"/>
          <w:szCs w:val="24"/>
          <w:lang w:eastAsia="cs-CZ"/>
        </w:rPr>
        <w:t>pojistné na sociální zabezpečení</w:t>
      </w:r>
      <w:r w:rsidR="00CB2736">
        <w:rPr>
          <w:rFonts w:eastAsia="Times New Roman" w:cstheme="minorHAnsi"/>
          <w:sz w:val="24"/>
          <w:szCs w:val="24"/>
          <w:lang w:eastAsia="cs-CZ"/>
        </w:rPr>
        <w:t xml:space="preserve"> </w:t>
      </w:r>
      <w:r w:rsidR="00090DB2">
        <w:rPr>
          <w:rFonts w:eastAsia="Times New Roman" w:cstheme="minorHAnsi"/>
          <w:sz w:val="24"/>
          <w:szCs w:val="24"/>
          <w:lang w:eastAsia="cs-CZ"/>
        </w:rPr>
        <w:t>a</w:t>
      </w:r>
      <w:r w:rsidR="00090DB2" w:rsidRPr="003760CA">
        <w:rPr>
          <w:rFonts w:eastAsia="Times New Roman" w:cstheme="minorHAnsi"/>
          <w:sz w:val="24"/>
          <w:szCs w:val="24"/>
          <w:lang w:eastAsia="cs-CZ"/>
        </w:rPr>
        <w:t xml:space="preserve"> </w:t>
      </w:r>
      <w:r w:rsidR="00090DB2">
        <w:rPr>
          <w:rFonts w:eastAsia="Times New Roman" w:cstheme="minorHAnsi"/>
          <w:sz w:val="24"/>
          <w:szCs w:val="24"/>
          <w:lang w:eastAsia="cs-CZ"/>
        </w:rPr>
        <w:t>veřejné</w:t>
      </w:r>
      <w:r w:rsidR="001929E4">
        <w:rPr>
          <w:rFonts w:eastAsia="Times New Roman" w:cstheme="minorHAnsi"/>
          <w:sz w:val="24"/>
          <w:szCs w:val="24"/>
          <w:lang w:eastAsia="cs-CZ"/>
        </w:rPr>
        <w:t xml:space="preserve"> zdravotní pojištění</w:t>
      </w:r>
      <w:r w:rsidRPr="003760CA">
        <w:rPr>
          <w:rFonts w:eastAsia="Times New Roman" w:cstheme="minorHAnsi"/>
          <w:sz w:val="24"/>
          <w:szCs w:val="24"/>
          <w:lang w:eastAsia="cs-CZ"/>
        </w:rPr>
        <w:t xml:space="preserve"> a zaměstnanci dostávají neevidovanou mzdu</w:t>
      </w:r>
      <w:r w:rsidR="001929E4">
        <w:rPr>
          <w:rFonts w:eastAsia="Times New Roman" w:cstheme="minorHAnsi"/>
          <w:sz w:val="24"/>
          <w:szCs w:val="24"/>
          <w:lang w:eastAsia="cs-CZ"/>
        </w:rPr>
        <w:t>,</w:t>
      </w:r>
      <w:r w:rsidRPr="003760CA">
        <w:rPr>
          <w:rFonts w:eastAsia="Times New Roman" w:cstheme="minorHAnsi"/>
          <w:sz w:val="24"/>
          <w:szCs w:val="24"/>
          <w:lang w:eastAsia="cs-CZ"/>
        </w:rPr>
        <w:t xml:space="preserve"> má významný negativní dopad </w:t>
      </w:r>
      <w:r w:rsidR="009F44A2">
        <w:rPr>
          <w:rFonts w:eastAsia="Times New Roman" w:cstheme="minorHAnsi"/>
          <w:sz w:val="24"/>
          <w:szCs w:val="24"/>
          <w:lang w:eastAsia="cs-CZ"/>
        </w:rPr>
        <w:t>na</w:t>
      </w:r>
      <w:r w:rsidRPr="003760CA">
        <w:rPr>
          <w:rFonts w:eastAsia="Times New Roman" w:cstheme="minorHAnsi"/>
          <w:sz w:val="24"/>
          <w:szCs w:val="24"/>
          <w:lang w:eastAsia="cs-CZ"/>
        </w:rPr>
        <w:t xml:space="preserve"> příjm</w:t>
      </w:r>
      <w:r w:rsidR="009F44A2">
        <w:rPr>
          <w:rFonts w:eastAsia="Times New Roman" w:cstheme="minorHAnsi"/>
          <w:sz w:val="24"/>
          <w:szCs w:val="24"/>
          <w:lang w:eastAsia="cs-CZ"/>
        </w:rPr>
        <w:t>y</w:t>
      </w:r>
      <w:r w:rsidRPr="003760CA">
        <w:rPr>
          <w:rFonts w:eastAsia="Times New Roman" w:cstheme="minorHAnsi"/>
          <w:sz w:val="24"/>
          <w:szCs w:val="24"/>
          <w:lang w:eastAsia="cs-CZ"/>
        </w:rPr>
        <w:t xml:space="preserve"> státního rozpočtu. Dopadá také na samotnou osobu, která nelegální práci vykonává. </w:t>
      </w:r>
    </w:p>
    <w:p w14:paraId="7B13EB63" w14:textId="1DB39664" w:rsidR="00AD686B" w:rsidRPr="009020D6" w:rsidRDefault="00AD686B" w:rsidP="006764A9">
      <w:pPr>
        <w:autoSpaceDE w:val="0"/>
        <w:autoSpaceDN w:val="0"/>
        <w:adjustRightInd w:val="0"/>
        <w:spacing w:line="240" w:lineRule="auto"/>
        <w:jc w:val="both"/>
        <w:rPr>
          <w:rFonts w:cstheme="minorHAnsi"/>
          <w:sz w:val="24"/>
          <w:szCs w:val="24"/>
        </w:rPr>
      </w:pPr>
      <w:r>
        <w:rPr>
          <w:rFonts w:cstheme="minorHAnsi"/>
          <w:sz w:val="24"/>
          <w:szCs w:val="24"/>
        </w:rPr>
        <w:t xml:space="preserve">NKÚ kontrolou </w:t>
      </w:r>
      <w:r w:rsidR="00DD0BC0">
        <w:rPr>
          <w:rFonts w:cstheme="minorHAnsi"/>
          <w:sz w:val="24"/>
          <w:szCs w:val="24"/>
        </w:rPr>
        <w:t>pr</w:t>
      </w:r>
      <w:r>
        <w:rPr>
          <w:rFonts w:cstheme="minorHAnsi"/>
          <w:sz w:val="24"/>
          <w:szCs w:val="24"/>
        </w:rPr>
        <w:t>ověřoval</w:t>
      </w:r>
      <w:r w:rsidRPr="005729F9">
        <w:rPr>
          <w:rFonts w:cstheme="minorHAnsi"/>
          <w:sz w:val="24"/>
          <w:szCs w:val="24"/>
        </w:rPr>
        <w:t>, zda jednotlivé orgány stát</w:t>
      </w:r>
      <w:r>
        <w:rPr>
          <w:rFonts w:cstheme="minorHAnsi"/>
          <w:sz w:val="24"/>
          <w:szCs w:val="24"/>
        </w:rPr>
        <w:t>ní správy</w:t>
      </w:r>
      <w:r w:rsidR="0003142D">
        <w:rPr>
          <w:rFonts w:cstheme="minorHAnsi"/>
          <w:sz w:val="24"/>
          <w:szCs w:val="24"/>
        </w:rPr>
        <w:t xml:space="preserve"> </w:t>
      </w:r>
      <w:r w:rsidR="006030EB" w:rsidRPr="009A4D32">
        <w:rPr>
          <w:rFonts w:cs="Calibri"/>
          <w:sz w:val="24"/>
          <w:szCs w:val="24"/>
        </w:rPr>
        <w:t>postupovaly při kontrole a</w:t>
      </w:r>
      <w:r w:rsidR="00E77B17">
        <w:rPr>
          <w:rFonts w:cs="Calibri"/>
          <w:sz w:val="24"/>
          <w:szCs w:val="24"/>
        </w:rPr>
        <w:t> </w:t>
      </w:r>
      <w:r w:rsidR="006030EB" w:rsidRPr="009A4D32">
        <w:rPr>
          <w:rFonts w:cs="Calibri"/>
          <w:sz w:val="24"/>
          <w:szCs w:val="24"/>
        </w:rPr>
        <w:t>zabezpečení úhrady daní a odvodů z nelegálního zaměstnávání v souladu s právními předpisy</w:t>
      </w:r>
      <w:r w:rsidR="0003142D">
        <w:rPr>
          <w:rFonts w:cstheme="minorHAnsi"/>
          <w:sz w:val="24"/>
          <w:szCs w:val="24"/>
        </w:rPr>
        <w:t xml:space="preserve">. </w:t>
      </w:r>
    </w:p>
    <w:p w14:paraId="0E4CE8CA" w14:textId="62B2EF1E" w:rsidR="000D2F2C" w:rsidRDefault="0071636D" w:rsidP="006164D5">
      <w:pPr>
        <w:spacing w:before="120" w:line="240" w:lineRule="auto"/>
        <w:jc w:val="both"/>
        <w:rPr>
          <w:rFonts w:cstheme="minorHAnsi"/>
          <w:b/>
          <w:bCs/>
          <w:sz w:val="24"/>
          <w:szCs w:val="24"/>
          <w:lang w:eastAsia="cs-CZ"/>
        </w:rPr>
      </w:pPr>
      <w:r w:rsidRPr="00F67DC0">
        <w:rPr>
          <w:rFonts w:cstheme="minorHAnsi"/>
          <w:b/>
          <w:bCs/>
          <w:sz w:val="24"/>
          <w:szCs w:val="24"/>
          <w:lang w:eastAsia="cs-CZ"/>
        </w:rPr>
        <w:t>NKÚ</w:t>
      </w:r>
      <w:r>
        <w:rPr>
          <w:rFonts w:cstheme="minorHAnsi"/>
          <w:b/>
          <w:bCs/>
          <w:sz w:val="24"/>
          <w:szCs w:val="24"/>
          <w:lang w:eastAsia="cs-CZ"/>
        </w:rPr>
        <w:t xml:space="preserve"> zjistil</w:t>
      </w:r>
      <w:r w:rsidR="00FF520A">
        <w:rPr>
          <w:rFonts w:cstheme="minorHAnsi"/>
          <w:b/>
          <w:bCs/>
          <w:sz w:val="24"/>
          <w:szCs w:val="24"/>
          <w:lang w:eastAsia="cs-CZ"/>
        </w:rPr>
        <w:t xml:space="preserve"> nedostatky v</w:t>
      </w:r>
      <w:r w:rsidR="00F67DC0">
        <w:rPr>
          <w:rFonts w:cstheme="minorHAnsi"/>
          <w:b/>
          <w:bCs/>
          <w:sz w:val="24"/>
          <w:szCs w:val="24"/>
          <w:lang w:eastAsia="cs-CZ"/>
        </w:rPr>
        <w:t xml:space="preserve"> </w:t>
      </w:r>
      <w:r w:rsidR="00FF520A">
        <w:rPr>
          <w:rFonts w:cstheme="minorHAnsi"/>
          <w:b/>
          <w:bCs/>
          <w:sz w:val="24"/>
          <w:szCs w:val="24"/>
          <w:lang w:eastAsia="cs-CZ"/>
        </w:rPr>
        <w:t>postupu kontrolovaných osob př</w:t>
      </w:r>
      <w:r w:rsidR="00850A20">
        <w:rPr>
          <w:rFonts w:cstheme="minorHAnsi"/>
          <w:b/>
          <w:bCs/>
          <w:sz w:val="24"/>
          <w:szCs w:val="24"/>
          <w:lang w:eastAsia="cs-CZ"/>
        </w:rPr>
        <w:t>i výměně informací v</w:t>
      </w:r>
      <w:r w:rsidR="00F67DC0">
        <w:rPr>
          <w:rFonts w:cstheme="minorHAnsi"/>
          <w:b/>
          <w:bCs/>
          <w:sz w:val="24"/>
          <w:szCs w:val="24"/>
          <w:lang w:eastAsia="cs-CZ"/>
        </w:rPr>
        <w:t xml:space="preserve"> </w:t>
      </w:r>
      <w:r w:rsidR="00850A20">
        <w:rPr>
          <w:rFonts w:cstheme="minorHAnsi"/>
          <w:b/>
          <w:bCs/>
          <w:sz w:val="24"/>
          <w:szCs w:val="24"/>
          <w:lang w:eastAsia="cs-CZ"/>
        </w:rPr>
        <w:t xml:space="preserve">oblasti nelegálního zaměstnávání a </w:t>
      </w:r>
      <w:r w:rsidR="00B04089">
        <w:rPr>
          <w:rFonts w:cstheme="minorHAnsi"/>
          <w:b/>
          <w:bCs/>
          <w:sz w:val="24"/>
          <w:szCs w:val="24"/>
          <w:lang w:eastAsia="cs-CZ"/>
        </w:rPr>
        <w:t xml:space="preserve">při </w:t>
      </w:r>
      <w:r w:rsidR="00850A20">
        <w:rPr>
          <w:rFonts w:cstheme="minorHAnsi"/>
          <w:b/>
          <w:bCs/>
          <w:sz w:val="24"/>
          <w:szCs w:val="24"/>
          <w:lang w:eastAsia="cs-CZ"/>
        </w:rPr>
        <w:t xml:space="preserve">správě přeplatků na veřejném zdravotním pojištění. </w:t>
      </w:r>
      <w:r w:rsidR="0056342D" w:rsidRPr="00232E03">
        <w:rPr>
          <w:b/>
          <w:bCs/>
          <w:sz w:val="24"/>
          <w:szCs w:val="24"/>
          <w:lang w:eastAsia="cs-CZ"/>
        </w:rPr>
        <w:t xml:space="preserve">NKÚ nezjistil </w:t>
      </w:r>
      <w:r w:rsidR="000C1B16">
        <w:rPr>
          <w:b/>
          <w:bCs/>
          <w:sz w:val="24"/>
          <w:szCs w:val="24"/>
          <w:lang w:eastAsia="cs-CZ"/>
        </w:rPr>
        <w:t>jiné</w:t>
      </w:r>
      <w:r w:rsidR="0056342D" w:rsidRPr="00232E03">
        <w:rPr>
          <w:b/>
          <w:bCs/>
          <w:sz w:val="24"/>
          <w:szCs w:val="24"/>
          <w:lang w:eastAsia="cs-CZ"/>
        </w:rPr>
        <w:t xml:space="preserve"> porušení právních předpisů </w:t>
      </w:r>
      <w:r w:rsidR="00964456" w:rsidRPr="00B04089">
        <w:rPr>
          <w:b/>
          <w:bCs/>
          <w:sz w:val="24"/>
          <w:szCs w:val="24"/>
          <w:lang w:eastAsia="cs-CZ"/>
        </w:rPr>
        <w:t>při stanovení daní a pojistného na soc</w:t>
      </w:r>
      <w:r w:rsidR="00964456">
        <w:rPr>
          <w:rFonts w:cstheme="minorHAnsi"/>
          <w:b/>
          <w:bCs/>
          <w:sz w:val="24"/>
          <w:szCs w:val="24"/>
          <w:lang w:eastAsia="cs-CZ"/>
        </w:rPr>
        <w:t xml:space="preserve">iální zabezpečení </w:t>
      </w:r>
      <w:r w:rsidR="00B576DE">
        <w:rPr>
          <w:rFonts w:cstheme="minorHAnsi"/>
          <w:b/>
          <w:bCs/>
          <w:sz w:val="24"/>
          <w:szCs w:val="24"/>
          <w:lang w:eastAsia="cs-CZ"/>
        </w:rPr>
        <w:t xml:space="preserve">z nelegálního zaměstnávání </w:t>
      </w:r>
      <w:r w:rsidR="00964456">
        <w:rPr>
          <w:rFonts w:cstheme="minorHAnsi"/>
          <w:b/>
          <w:bCs/>
          <w:sz w:val="24"/>
          <w:szCs w:val="24"/>
          <w:lang w:eastAsia="cs-CZ"/>
        </w:rPr>
        <w:t xml:space="preserve">a jejich </w:t>
      </w:r>
      <w:r w:rsidR="00B576DE">
        <w:rPr>
          <w:rFonts w:cstheme="minorHAnsi"/>
          <w:b/>
          <w:bCs/>
          <w:sz w:val="24"/>
          <w:szCs w:val="24"/>
          <w:lang w:eastAsia="cs-CZ"/>
        </w:rPr>
        <w:t>výběru</w:t>
      </w:r>
      <w:r w:rsidR="00B04089">
        <w:rPr>
          <w:rFonts w:cstheme="minorHAnsi"/>
          <w:b/>
          <w:bCs/>
          <w:sz w:val="24"/>
          <w:szCs w:val="24"/>
          <w:lang w:eastAsia="cs-CZ"/>
        </w:rPr>
        <w:t>.</w:t>
      </w:r>
    </w:p>
    <w:p w14:paraId="5C9E673C" w14:textId="358E2AF3" w:rsidR="006C5DCE" w:rsidRPr="00E260D9" w:rsidRDefault="008745B8" w:rsidP="006164D5">
      <w:pPr>
        <w:spacing w:before="120" w:line="240" w:lineRule="auto"/>
        <w:jc w:val="both"/>
        <w:rPr>
          <w:rFonts w:cstheme="minorHAnsi"/>
          <w:b/>
          <w:bCs/>
          <w:sz w:val="24"/>
          <w:szCs w:val="24"/>
          <w:lang w:eastAsia="cs-CZ"/>
        </w:rPr>
      </w:pPr>
      <w:r>
        <w:rPr>
          <w:rFonts w:cstheme="minorHAnsi"/>
          <w:b/>
          <w:bCs/>
          <w:sz w:val="24"/>
          <w:szCs w:val="24"/>
          <w:lang w:eastAsia="cs-CZ"/>
        </w:rPr>
        <w:t xml:space="preserve">NKÚ </w:t>
      </w:r>
      <w:r w:rsidR="00D86696">
        <w:rPr>
          <w:rFonts w:cstheme="minorHAnsi"/>
          <w:b/>
          <w:bCs/>
          <w:sz w:val="24"/>
          <w:szCs w:val="24"/>
          <w:lang w:eastAsia="cs-CZ"/>
        </w:rPr>
        <w:t xml:space="preserve">dále </w:t>
      </w:r>
      <w:r w:rsidR="00090DB2">
        <w:rPr>
          <w:rFonts w:cstheme="minorHAnsi"/>
          <w:b/>
          <w:bCs/>
          <w:sz w:val="24"/>
          <w:szCs w:val="24"/>
          <w:lang w:eastAsia="cs-CZ"/>
        </w:rPr>
        <w:t>zjistil,</w:t>
      </w:r>
      <w:r w:rsidR="00E32152">
        <w:rPr>
          <w:rFonts w:cstheme="minorHAnsi"/>
          <w:b/>
          <w:bCs/>
          <w:sz w:val="24"/>
          <w:szCs w:val="24"/>
          <w:lang w:eastAsia="cs-CZ"/>
        </w:rPr>
        <w:t xml:space="preserve"> že </w:t>
      </w:r>
      <w:r w:rsidR="007A5AAC">
        <w:rPr>
          <w:rFonts w:cstheme="minorHAnsi"/>
          <w:b/>
          <w:bCs/>
          <w:sz w:val="24"/>
          <w:szCs w:val="24"/>
          <w:lang w:eastAsia="cs-CZ"/>
        </w:rPr>
        <w:t>žádným zákonem</w:t>
      </w:r>
      <w:r w:rsidR="00232E03">
        <w:rPr>
          <w:rFonts w:cstheme="minorHAnsi"/>
          <w:b/>
          <w:bCs/>
          <w:sz w:val="24"/>
          <w:szCs w:val="24"/>
          <w:lang w:eastAsia="cs-CZ"/>
        </w:rPr>
        <w:t xml:space="preserve"> </w:t>
      </w:r>
      <w:r w:rsidR="000D1110">
        <w:rPr>
          <w:rFonts w:cstheme="minorHAnsi"/>
          <w:b/>
          <w:bCs/>
          <w:sz w:val="24"/>
          <w:szCs w:val="24"/>
          <w:lang w:eastAsia="cs-CZ"/>
        </w:rPr>
        <w:t>nebylo</w:t>
      </w:r>
      <w:r w:rsidR="00AC133D">
        <w:rPr>
          <w:rFonts w:cstheme="minorHAnsi"/>
          <w:b/>
          <w:bCs/>
          <w:sz w:val="24"/>
          <w:szCs w:val="24"/>
          <w:lang w:eastAsia="cs-CZ"/>
        </w:rPr>
        <w:t xml:space="preserve"> </w:t>
      </w:r>
      <w:r w:rsidR="006157A9">
        <w:rPr>
          <w:rFonts w:cstheme="minorHAnsi"/>
          <w:b/>
          <w:bCs/>
          <w:sz w:val="24"/>
          <w:szCs w:val="24"/>
          <w:lang w:eastAsia="cs-CZ"/>
        </w:rPr>
        <w:t>upraveno</w:t>
      </w:r>
      <w:r w:rsidR="00C60385" w:rsidRPr="00482FE7">
        <w:rPr>
          <w:b/>
          <w:bCs/>
          <w:sz w:val="24"/>
          <w:szCs w:val="24"/>
          <w:vertAlign w:val="superscript"/>
          <w:lang w:eastAsia="cs-CZ"/>
        </w:rPr>
        <w:footnoteReference w:id="5"/>
      </w:r>
      <w:r w:rsidR="00AC133D">
        <w:rPr>
          <w:rFonts w:cstheme="minorHAnsi"/>
          <w:b/>
          <w:bCs/>
          <w:sz w:val="24"/>
          <w:szCs w:val="24"/>
          <w:lang w:eastAsia="cs-CZ"/>
        </w:rPr>
        <w:t xml:space="preserve">, který z orgánů státní správy je kompetentní </w:t>
      </w:r>
      <w:r w:rsidR="00B604B8">
        <w:rPr>
          <w:rFonts w:cstheme="minorHAnsi"/>
          <w:b/>
          <w:bCs/>
          <w:sz w:val="24"/>
          <w:szCs w:val="24"/>
          <w:lang w:eastAsia="cs-CZ"/>
        </w:rPr>
        <w:t>doměřit</w:t>
      </w:r>
      <w:r w:rsidR="00AC133D">
        <w:rPr>
          <w:rFonts w:cstheme="minorHAnsi"/>
          <w:b/>
          <w:bCs/>
          <w:sz w:val="24"/>
          <w:szCs w:val="24"/>
          <w:lang w:eastAsia="cs-CZ"/>
        </w:rPr>
        <w:t xml:space="preserve"> zaměstnavateli úhradu</w:t>
      </w:r>
      <w:r w:rsidR="006157A9">
        <w:rPr>
          <w:rFonts w:cstheme="minorHAnsi"/>
          <w:b/>
          <w:bCs/>
          <w:sz w:val="24"/>
          <w:szCs w:val="24"/>
          <w:lang w:eastAsia="cs-CZ"/>
        </w:rPr>
        <w:t xml:space="preserve"> </w:t>
      </w:r>
      <w:r w:rsidR="00AC133D">
        <w:rPr>
          <w:rFonts w:cstheme="minorHAnsi"/>
          <w:b/>
          <w:bCs/>
          <w:sz w:val="24"/>
          <w:szCs w:val="24"/>
          <w:lang w:eastAsia="cs-CZ"/>
        </w:rPr>
        <w:t>částky</w:t>
      </w:r>
      <w:r w:rsidR="006C5DCE">
        <w:rPr>
          <w:rFonts w:cstheme="minorHAnsi"/>
          <w:b/>
          <w:bCs/>
          <w:sz w:val="24"/>
          <w:szCs w:val="24"/>
          <w:lang w:eastAsia="cs-CZ"/>
        </w:rPr>
        <w:t xml:space="preserve"> </w:t>
      </w:r>
      <w:r w:rsidR="006157A9">
        <w:rPr>
          <w:rFonts w:cstheme="minorHAnsi"/>
          <w:b/>
          <w:bCs/>
          <w:sz w:val="24"/>
          <w:szCs w:val="24"/>
          <w:lang w:eastAsia="cs-CZ"/>
        </w:rPr>
        <w:t>odpovídající výši</w:t>
      </w:r>
      <w:r w:rsidR="00AC133D">
        <w:rPr>
          <w:rFonts w:cstheme="minorHAnsi"/>
          <w:b/>
          <w:bCs/>
          <w:sz w:val="24"/>
          <w:szCs w:val="24"/>
          <w:lang w:eastAsia="cs-CZ"/>
        </w:rPr>
        <w:t xml:space="preserve"> </w:t>
      </w:r>
      <w:r w:rsidR="00B079C1">
        <w:rPr>
          <w:rFonts w:cstheme="minorHAnsi"/>
          <w:b/>
          <w:bCs/>
          <w:sz w:val="24"/>
          <w:szCs w:val="24"/>
          <w:lang w:eastAsia="cs-CZ"/>
        </w:rPr>
        <w:t xml:space="preserve">zákonných </w:t>
      </w:r>
      <w:r w:rsidR="00AC133D">
        <w:rPr>
          <w:rFonts w:cstheme="minorHAnsi"/>
          <w:b/>
          <w:bCs/>
          <w:sz w:val="24"/>
          <w:szCs w:val="24"/>
          <w:lang w:eastAsia="cs-CZ"/>
        </w:rPr>
        <w:t>pojistných v případě, že mu</w:t>
      </w:r>
      <w:r w:rsidR="00AC133D" w:rsidRPr="00482FE7">
        <w:rPr>
          <w:rFonts w:cstheme="minorHAnsi"/>
          <w:b/>
          <w:bCs/>
          <w:sz w:val="24"/>
          <w:szCs w:val="24"/>
          <w:lang w:eastAsia="cs-CZ"/>
        </w:rPr>
        <w:t xml:space="preserve"> </w:t>
      </w:r>
      <w:r w:rsidR="00AC133D">
        <w:rPr>
          <w:rFonts w:cstheme="minorHAnsi"/>
          <w:b/>
          <w:bCs/>
          <w:sz w:val="24"/>
          <w:szCs w:val="24"/>
          <w:lang w:eastAsia="cs-CZ"/>
        </w:rPr>
        <w:t>orgány inspekce práce</w:t>
      </w:r>
      <w:r w:rsidR="00AC133D" w:rsidRPr="00482FE7">
        <w:rPr>
          <w:rFonts w:cstheme="minorHAnsi"/>
          <w:b/>
          <w:bCs/>
          <w:sz w:val="24"/>
          <w:szCs w:val="24"/>
          <w:lang w:eastAsia="cs-CZ"/>
        </w:rPr>
        <w:t xml:space="preserve"> pravomocně ulož</w:t>
      </w:r>
      <w:r w:rsidR="00AC133D">
        <w:rPr>
          <w:rFonts w:cstheme="minorHAnsi"/>
          <w:b/>
          <w:bCs/>
          <w:sz w:val="24"/>
          <w:szCs w:val="24"/>
          <w:lang w:eastAsia="cs-CZ"/>
        </w:rPr>
        <w:t>ily</w:t>
      </w:r>
      <w:r w:rsidR="00AC133D" w:rsidRPr="00482FE7">
        <w:rPr>
          <w:rFonts w:cstheme="minorHAnsi"/>
          <w:b/>
          <w:bCs/>
          <w:sz w:val="24"/>
          <w:szCs w:val="24"/>
          <w:lang w:eastAsia="cs-CZ"/>
        </w:rPr>
        <w:t xml:space="preserve"> pokut</w:t>
      </w:r>
      <w:r w:rsidR="00AC133D">
        <w:rPr>
          <w:rFonts w:cstheme="minorHAnsi"/>
          <w:b/>
          <w:bCs/>
          <w:sz w:val="24"/>
          <w:szCs w:val="24"/>
          <w:lang w:eastAsia="cs-CZ"/>
        </w:rPr>
        <w:t>u</w:t>
      </w:r>
      <w:r w:rsidR="00AC133D">
        <w:rPr>
          <w:rStyle w:val="Znakapoznpodarou"/>
          <w:rFonts w:cstheme="minorHAnsi"/>
          <w:b/>
          <w:bCs/>
          <w:sz w:val="24"/>
          <w:szCs w:val="24"/>
          <w:lang w:eastAsia="cs-CZ"/>
        </w:rPr>
        <w:footnoteReference w:id="6"/>
      </w:r>
      <w:r w:rsidR="006157A9">
        <w:rPr>
          <w:rFonts w:cstheme="minorHAnsi"/>
          <w:b/>
          <w:bCs/>
          <w:sz w:val="24"/>
          <w:szCs w:val="24"/>
          <w:lang w:eastAsia="cs-CZ"/>
        </w:rPr>
        <w:t>, a to</w:t>
      </w:r>
      <w:r w:rsidR="0073594D">
        <w:rPr>
          <w:rFonts w:cstheme="minorHAnsi"/>
          <w:b/>
          <w:bCs/>
          <w:sz w:val="24"/>
          <w:szCs w:val="24"/>
          <w:lang w:eastAsia="cs-CZ"/>
        </w:rPr>
        <w:t xml:space="preserve"> </w:t>
      </w:r>
      <w:r w:rsidR="00197500" w:rsidRPr="00232E03">
        <w:rPr>
          <w:rFonts w:cstheme="minorHAnsi"/>
          <w:b/>
          <w:bCs/>
          <w:sz w:val="24"/>
          <w:szCs w:val="24"/>
        </w:rPr>
        <w:t>vzhledem k nedostatečné transpozici Sankční směrnice</w:t>
      </w:r>
      <w:r w:rsidR="00197500" w:rsidRPr="00232E03">
        <w:rPr>
          <w:rStyle w:val="Znakapoznpodarou"/>
          <w:rFonts w:cstheme="minorHAnsi"/>
          <w:b/>
          <w:bCs/>
          <w:sz w:val="24"/>
          <w:szCs w:val="24"/>
        </w:rPr>
        <w:footnoteReference w:id="7"/>
      </w:r>
      <w:r w:rsidR="00197500" w:rsidRPr="00232E03">
        <w:rPr>
          <w:rFonts w:cstheme="minorHAnsi"/>
          <w:b/>
          <w:bCs/>
          <w:sz w:val="24"/>
          <w:szCs w:val="24"/>
        </w:rPr>
        <w:t>.</w:t>
      </w:r>
    </w:p>
    <w:p w14:paraId="10F6C0B0" w14:textId="29988E78" w:rsidR="00FC696E" w:rsidRPr="00FC696E" w:rsidRDefault="000F0C06" w:rsidP="006164D5">
      <w:pPr>
        <w:spacing w:before="120" w:line="240" w:lineRule="auto"/>
        <w:jc w:val="both"/>
        <w:rPr>
          <w:rFonts w:cstheme="minorHAnsi"/>
          <w:sz w:val="24"/>
          <w:szCs w:val="24"/>
          <w:lang w:eastAsia="cs-CZ"/>
        </w:rPr>
      </w:pPr>
      <w:r>
        <w:rPr>
          <w:rFonts w:cstheme="minorHAnsi"/>
          <w:sz w:val="24"/>
          <w:szCs w:val="24"/>
          <w:lang w:eastAsia="cs-CZ"/>
        </w:rPr>
        <w:t>Toto c</w:t>
      </w:r>
      <w:r w:rsidR="00D0088E" w:rsidRPr="00C47E97">
        <w:rPr>
          <w:rFonts w:cstheme="minorHAnsi"/>
          <w:sz w:val="24"/>
          <w:szCs w:val="24"/>
          <w:lang w:eastAsia="cs-CZ"/>
        </w:rPr>
        <w:t xml:space="preserve">elkové vyhodnocení se opírá o </w:t>
      </w:r>
      <w:r w:rsidR="00D0088E" w:rsidRPr="00550915">
        <w:rPr>
          <w:rFonts w:cstheme="minorHAnsi"/>
          <w:sz w:val="24"/>
          <w:szCs w:val="24"/>
          <w:lang w:eastAsia="cs-CZ"/>
        </w:rPr>
        <w:t xml:space="preserve">následující </w:t>
      </w:r>
      <w:r w:rsidRPr="00550915">
        <w:rPr>
          <w:rFonts w:cstheme="minorHAnsi"/>
          <w:sz w:val="24"/>
          <w:szCs w:val="24"/>
          <w:lang w:eastAsia="cs-CZ"/>
        </w:rPr>
        <w:t>zjištění</w:t>
      </w:r>
      <w:r w:rsidR="00D0088E" w:rsidRPr="00C47E97">
        <w:rPr>
          <w:rFonts w:cstheme="minorHAnsi"/>
          <w:sz w:val="24"/>
          <w:szCs w:val="24"/>
          <w:lang w:eastAsia="cs-CZ"/>
        </w:rPr>
        <w:t>:</w:t>
      </w:r>
      <w:bookmarkStart w:id="4" w:name="_Hlk160103598"/>
    </w:p>
    <w:p w14:paraId="654ACF5D" w14:textId="6E2BDB2F" w:rsidR="001F3F79" w:rsidRDefault="00CB5713" w:rsidP="008E0711">
      <w:pPr>
        <w:pStyle w:val="NadpisKZ"/>
        <w:ind w:left="284" w:hanging="357"/>
      </w:pPr>
      <w:bookmarkStart w:id="5" w:name="_Hlk166496245"/>
      <w:r>
        <w:t xml:space="preserve">Kontrolované osoby </w:t>
      </w:r>
      <w:r w:rsidR="000D2400">
        <w:t>neplnily při předávání informací stanovené termíny a některé informace si nepředávaly vůbec</w:t>
      </w:r>
    </w:p>
    <w:p w14:paraId="0202222B" w14:textId="2CA47B11" w:rsidR="002C549A" w:rsidRDefault="004C65C9" w:rsidP="002C549A">
      <w:pPr>
        <w:spacing w:line="240" w:lineRule="auto"/>
        <w:jc w:val="both"/>
        <w:rPr>
          <w:sz w:val="24"/>
          <w:szCs w:val="24"/>
          <w:lang w:eastAsia="cs-CZ"/>
        </w:rPr>
      </w:pPr>
      <w:r>
        <w:rPr>
          <w:rFonts w:ascii="Calibri" w:eastAsia="Calibri" w:hAnsi="Calibri" w:cs="Calibri"/>
          <w:color w:val="000000"/>
          <w:sz w:val="24"/>
          <w:szCs w:val="24"/>
          <w:lang w:eastAsia="cs-CZ" w:bidi="cs-CZ"/>
        </w:rPr>
        <w:t>NKÚ zjistil, že</w:t>
      </w:r>
      <w:r w:rsidRPr="0044590C">
        <w:rPr>
          <w:sz w:val="24"/>
          <w:szCs w:val="24"/>
          <w:lang w:eastAsia="cs-CZ"/>
        </w:rPr>
        <w:t xml:space="preserve"> </w:t>
      </w:r>
      <w:r w:rsidRPr="001B6635">
        <w:rPr>
          <w:sz w:val="24"/>
          <w:szCs w:val="24"/>
          <w:lang w:eastAsia="cs-CZ"/>
        </w:rPr>
        <w:t>SÚIP v některých případech porušil zákon č. 280/2009 Sb.</w:t>
      </w:r>
      <w:r w:rsidR="006E6739">
        <w:rPr>
          <w:rStyle w:val="Znakapoznpodarou"/>
          <w:sz w:val="24"/>
          <w:szCs w:val="24"/>
          <w:lang w:eastAsia="cs-CZ"/>
        </w:rPr>
        <w:footnoteReference w:id="8"/>
      </w:r>
      <w:r w:rsidRPr="001B6635">
        <w:rPr>
          <w:sz w:val="24"/>
          <w:szCs w:val="24"/>
          <w:lang w:eastAsia="cs-CZ"/>
        </w:rPr>
        <w:t>,</w:t>
      </w:r>
      <w:r w:rsidR="006E6739">
        <w:rPr>
          <w:sz w:val="24"/>
          <w:szCs w:val="24"/>
          <w:lang w:eastAsia="cs-CZ"/>
        </w:rPr>
        <w:t xml:space="preserve"> </w:t>
      </w:r>
      <w:r>
        <w:rPr>
          <w:sz w:val="24"/>
          <w:szCs w:val="24"/>
          <w:lang w:eastAsia="cs-CZ"/>
        </w:rPr>
        <w:t>protože ve stanovené lhůtě nepředal celním úřadům rozhodnutí o uložení pokuty nebo údaje uvedené v kontrolních protokolech</w:t>
      </w:r>
      <w:r w:rsidRPr="000875FF">
        <w:rPr>
          <w:rFonts w:ascii="Calibri" w:eastAsia="Calibri" w:hAnsi="Calibri" w:cs="Calibri"/>
          <w:color w:val="000000"/>
          <w:sz w:val="24"/>
          <w:szCs w:val="24"/>
          <w:lang w:eastAsia="cs-CZ" w:bidi="cs-CZ"/>
        </w:rPr>
        <w:t>.</w:t>
      </w:r>
      <w:r>
        <w:rPr>
          <w:sz w:val="24"/>
          <w:szCs w:val="24"/>
          <w:lang w:eastAsia="cs-CZ"/>
        </w:rPr>
        <w:t xml:space="preserve"> </w:t>
      </w:r>
      <w:r w:rsidR="00090DB2">
        <w:rPr>
          <w:sz w:val="24"/>
          <w:szCs w:val="24"/>
          <w:lang w:eastAsia="cs-CZ"/>
        </w:rPr>
        <w:t xml:space="preserve">NKÚ </w:t>
      </w:r>
      <w:r>
        <w:rPr>
          <w:sz w:val="24"/>
          <w:szCs w:val="24"/>
          <w:lang w:eastAsia="cs-CZ"/>
        </w:rPr>
        <w:t xml:space="preserve">dále </w:t>
      </w:r>
      <w:r w:rsidR="00090DB2">
        <w:rPr>
          <w:sz w:val="24"/>
          <w:szCs w:val="24"/>
          <w:lang w:eastAsia="cs-CZ"/>
        </w:rPr>
        <w:t>zjistil</w:t>
      </w:r>
      <w:r w:rsidR="0070074D">
        <w:rPr>
          <w:sz w:val="24"/>
          <w:szCs w:val="24"/>
          <w:lang w:eastAsia="cs-CZ"/>
        </w:rPr>
        <w:t xml:space="preserve">, že </w:t>
      </w:r>
      <w:r w:rsidR="0068625E">
        <w:rPr>
          <w:sz w:val="24"/>
          <w:szCs w:val="24"/>
          <w:lang w:eastAsia="cs-CZ"/>
        </w:rPr>
        <w:t>SÚIP</w:t>
      </w:r>
      <w:r w:rsidR="0070074D">
        <w:rPr>
          <w:sz w:val="24"/>
          <w:szCs w:val="24"/>
          <w:lang w:eastAsia="cs-CZ"/>
        </w:rPr>
        <w:t xml:space="preserve"> a GFŘ </w:t>
      </w:r>
      <w:r w:rsidR="00311348">
        <w:rPr>
          <w:sz w:val="24"/>
          <w:szCs w:val="24"/>
          <w:lang w:eastAsia="cs-CZ"/>
        </w:rPr>
        <w:t>nesdílely</w:t>
      </w:r>
      <w:r w:rsidR="0070074D">
        <w:rPr>
          <w:sz w:val="24"/>
          <w:szCs w:val="24"/>
          <w:lang w:eastAsia="cs-CZ"/>
        </w:rPr>
        <w:t xml:space="preserve"> v letech 2021 a 2022 </w:t>
      </w:r>
      <w:r w:rsidR="00311348">
        <w:rPr>
          <w:sz w:val="24"/>
          <w:szCs w:val="24"/>
          <w:lang w:eastAsia="cs-CZ"/>
        </w:rPr>
        <w:t>informace</w:t>
      </w:r>
      <w:r w:rsidR="0070074D">
        <w:rPr>
          <w:sz w:val="24"/>
          <w:szCs w:val="24"/>
          <w:lang w:eastAsia="cs-CZ"/>
        </w:rPr>
        <w:t xml:space="preserve"> o počtech ukončených správních řízení a o výši uložených pokut</w:t>
      </w:r>
      <w:r w:rsidR="00AB0C87">
        <w:rPr>
          <w:rFonts w:ascii="Calibri" w:eastAsia="Calibri" w:hAnsi="Calibri" w:cs="Calibri"/>
          <w:color w:val="000000"/>
          <w:sz w:val="24"/>
          <w:szCs w:val="24"/>
          <w:lang w:eastAsia="cs-CZ" w:bidi="cs-CZ"/>
        </w:rPr>
        <w:t xml:space="preserve"> a</w:t>
      </w:r>
      <w:r w:rsidR="005D287E">
        <w:rPr>
          <w:rFonts w:ascii="Calibri" w:eastAsia="Calibri" w:hAnsi="Calibri" w:cs="Calibri"/>
          <w:color w:val="000000"/>
          <w:sz w:val="24"/>
          <w:szCs w:val="24"/>
          <w:lang w:eastAsia="cs-CZ" w:bidi="cs-CZ"/>
        </w:rPr>
        <w:t xml:space="preserve"> </w:t>
      </w:r>
      <w:r w:rsidR="005D287E" w:rsidRPr="000875FF">
        <w:rPr>
          <w:rFonts w:ascii="Calibri" w:eastAsia="Calibri" w:hAnsi="Calibri" w:cs="Calibri"/>
          <w:color w:val="000000"/>
          <w:sz w:val="24"/>
          <w:szCs w:val="24"/>
          <w:lang w:eastAsia="cs-CZ" w:bidi="cs-CZ"/>
        </w:rPr>
        <w:t xml:space="preserve">GŘC za roky 2020 až 2023 </w:t>
      </w:r>
      <w:r w:rsidR="00AB0C87" w:rsidRPr="000875FF">
        <w:rPr>
          <w:rFonts w:ascii="Calibri" w:eastAsia="Calibri" w:hAnsi="Calibri" w:cs="Calibri"/>
          <w:color w:val="000000"/>
          <w:sz w:val="24"/>
          <w:szCs w:val="24"/>
          <w:lang w:eastAsia="cs-CZ" w:bidi="cs-CZ"/>
        </w:rPr>
        <w:t>nepředávalo</w:t>
      </w:r>
      <w:r w:rsidR="00AB0C87">
        <w:rPr>
          <w:rFonts w:ascii="Calibri" w:eastAsia="Calibri" w:hAnsi="Calibri" w:cs="Calibri"/>
          <w:color w:val="000000"/>
          <w:sz w:val="24"/>
          <w:szCs w:val="24"/>
          <w:lang w:eastAsia="cs-CZ" w:bidi="cs-CZ"/>
        </w:rPr>
        <w:t xml:space="preserve"> </w:t>
      </w:r>
      <w:r w:rsidR="000D2400">
        <w:rPr>
          <w:rFonts w:ascii="Calibri" w:eastAsia="Calibri" w:hAnsi="Calibri" w:cs="Calibri"/>
          <w:color w:val="000000"/>
          <w:sz w:val="24"/>
          <w:szCs w:val="24"/>
          <w:lang w:eastAsia="cs-CZ" w:bidi="cs-CZ"/>
        </w:rPr>
        <w:t>SÚIP</w:t>
      </w:r>
      <w:r w:rsidR="000D2400" w:rsidRPr="000875FF">
        <w:rPr>
          <w:rFonts w:ascii="Calibri" w:eastAsia="Calibri" w:hAnsi="Calibri" w:cs="Calibri"/>
          <w:color w:val="000000"/>
          <w:sz w:val="24"/>
          <w:szCs w:val="24"/>
          <w:lang w:eastAsia="cs-CZ" w:bidi="cs-CZ"/>
        </w:rPr>
        <w:t xml:space="preserve"> </w:t>
      </w:r>
      <w:r w:rsidR="00210AB3">
        <w:rPr>
          <w:rFonts w:ascii="Calibri" w:eastAsia="Calibri" w:hAnsi="Calibri" w:cs="Calibri"/>
          <w:color w:val="000000"/>
          <w:sz w:val="24"/>
          <w:szCs w:val="24"/>
          <w:lang w:eastAsia="cs-CZ" w:bidi="cs-CZ"/>
        </w:rPr>
        <w:t>jedenkrát</w:t>
      </w:r>
      <w:r w:rsidR="005D287E" w:rsidRPr="000875FF">
        <w:rPr>
          <w:rFonts w:ascii="Calibri" w:eastAsia="Calibri" w:hAnsi="Calibri" w:cs="Calibri"/>
          <w:color w:val="000000"/>
          <w:sz w:val="24"/>
          <w:szCs w:val="24"/>
          <w:lang w:eastAsia="cs-CZ" w:bidi="cs-CZ"/>
        </w:rPr>
        <w:t xml:space="preserve"> ročně informace z vymáhání uložených pokut předaných do správy celním úřadům</w:t>
      </w:r>
      <w:r w:rsidR="0044590C">
        <w:rPr>
          <w:rFonts w:ascii="Calibri" w:eastAsia="Calibri" w:hAnsi="Calibri" w:cs="Calibri"/>
          <w:color w:val="000000"/>
          <w:sz w:val="24"/>
          <w:szCs w:val="24"/>
          <w:lang w:eastAsia="cs-CZ" w:bidi="cs-CZ"/>
        </w:rPr>
        <w:t xml:space="preserve">. </w:t>
      </w:r>
    </w:p>
    <w:p w14:paraId="720A41B0" w14:textId="3D120F3F" w:rsidR="00314FF1" w:rsidRPr="00B934AA" w:rsidRDefault="009323B7" w:rsidP="008E0711">
      <w:pPr>
        <w:pStyle w:val="NadpisKZ"/>
        <w:ind w:left="284"/>
      </w:pPr>
      <w:bookmarkStart w:id="6" w:name="_Hlk192857772"/>
      <w:r>
        <w:t>K</w:t>
      </w:r>
      <w:r w:rsidR="00314FF1" w:rsidRPr="00B934AA">
        <w:t>ontrolní činnost proveden</w:t>
      </w:r>
      <w:r>
        <w:t>á</w:t>
      </w:r>
      <w:r w:rsidR="00FB63D5">
        <w:t xml:space="preserve"> </w:t>
      </w:r>
      <w:r w:rsidR="00314FF1" w:rsidRPr="00B934AA">
        <w:t xml:space="preserve">na základě </w:t>
      </w:r>
      <w:r w:rsidR="00BB367B">
        <w:t>podnětů od kontrolních orgánů</w:t>
      </w:r>
      <w:r w:rsidR="00314FF1" w:rsidRPr="00B934AA">
        <w:t xml:space="preserve"> </w:t>
      </w:r>
      <w:r>
        <w:t>měla nízký fiskální efekt</w:t>
      </w:r>
      <w:r w:rsidR="0038383D">
        <w:t xml:space="preserve"> </w:t>
      </w:r>
    </w:p>
    <w:p w14:paraId="0E86EFA8" w14:textId="2547A17B" w:rsidR="008323B8" w:rsidRPr="0005650C" w:rsidRDefault="00314FF1" w:rsidP="00314FF1">
      <w:pPr>
        <w:spacing w:line="240" w:lineRule="auto"/>
        <w:jc w:val="both"/>
        <w:rPr>
          <w:sz w:val="24"/>
          <w:szCs w:val="24"/>
          <w:lang w:eastAsia="cs-CZ"/>
        </w:rPr>
      </w:pPr>
      <w:r w:rsidRPr="0005650C">
        <w:rPr>
          <w:sz w:val="24"/>
          <w:szCs w:val="24"/>
          <w:lang w:eastAsia="cs-CZ"/>
        </w:rPr>
        <w:t>NKÚ zjistil, že orgány Finanční správy ČR</w:t>
      </w:r>
      <w:r w:rsidR="00C61078">
        <w:rPr>
          <w:sz w:val="24"/>
          <w:szCs w:val="24"/>
          <w:lang w:eastAsia="cs-CZ"/>
        </w:rPr>
        <w:t xml:space="preserve"> (dále také „FS ČR“)</w:t>
      </w:r>
      <w:r w:rsidRPr="0005650C">
        <w:rPr>
          <w:sz w:val="24"/>
          <w:szCs w:val="24"/>
          <w:lang w:eastAsia="cs-CZ"/>
        </w:rPr>
        <w:t xml:space="preserve"> v letech 2021 až 2023 </w:t>
      </w:r>
      <w:r w:rsidR="00232E03">
        <w:rPr>
          <w:sz w:val="24"/>
          <w:szCs w:val="24"/>
          <w:lang w:eastAsia="cs-CZ"/>
        </w:rPr>
        <w:t xml:space="preserve">v oblasti NLZ </w:t>
      </w:r>
      <w:r w:rsidR="005A543F">
        <w:rPr>
          <w:sz w:val="24"/>
          <w:szCs w:val="24"/>
          <w:lang w:eastAsia="cs-CZ"/>
        </w:rPr>
        <w:t>zkontrolovaly</w:t>
      </w:r>
      <w:r w:rsidR="00605E3C">
        <w:rPr>
          <w:sz w:val="24"/>
          <w:szCs w:val="24"/>
          <w:lang w:eastAsia="cs-CZ"/>
        </w:rPr>
        <w:t xml:space="preserve"> </w:t>
      </w:r>
      <w:r w:rsidRPr="0005650C">
        <w:rPr>
          <w:sz w:val="24"/>
          <w:szCs w:val="24"/>
          <w:lang w:eastAsia="cs-CZ"/>
        </w:rPr>
        <w:t>9,3 %</w:t>
      </w:r>
      <w:r w:rsidR="009150E4">
        <w:rPr>
          <w:sz w:val="24"/>
          <w:szCs w:val="24"/>
          <w:lang w:eastAsia="cs-CZ"/>
        </w:rPr>
        <w:t xml:space="preserve"> </w:t>
      </w:r>
      <w:r w:rsidR="00655EB3">
        <w:rPr>
          <w:sz w:val="24"/>
          <w:szCs w:val="24"/>
          <w:lang w:eastAsia="cs-CZ"/>
        </w:rPr>
        <w:t>z</w:t>
      </w:r>
      <w:r w:rsidR="009150E4">
        <w:rPr>
          <w:sz w:val="24"/>
          <w:szCs w:val="24"/>
          <w:lang w:eastAsia="cs-CZ"/>
        </w:rPr>
        <w:t> </w:t>
      </w:r>
      <w:r w:rsidR="00655EB3">
        <w:rPr>
          <w:sz w:val="24"/>
          <w:szCs w:val="24"/>
          <w:lang w:eastAsia="cs-CZ"/>
        </w:rPr>
        <w:t>celkov</w:t>
      </w:r>
      <w:r w:rsidR="009150E4">
        <w:rPr>
          <w:sz w:val="24"/>
          <w:szCs w:val="24"/>
          <w:lang w:eastAsia="cs-CZ"/>
        </w:rPr>
        <w:t>ě zaslaných</w:t>
      </w:r>
      <w:r w:rsidR="00655EB3">
        <w:rPr>
          <w:sz w:val="24"/>
          <w:szCs w:val="24"/>
          <w:lang w:eastAsia="cs-CZ"/>
        </w:rPr>
        <w:t xml:space="preserve"> 3 019 </w:t>
      </w:r>
      <w:r w:rsidRPr="0005650C">
        <w:rPr>
          <w:sz w:val="24"/>
          <w:szCs w:val="24"/>
          <w:lang w:eastAsia="cs-CZ"/>
        </w:rPr>
        <w:t>podnětů</w:t>
      </w:r>
      <w:r w:rsidR="00655EB3">
        <w:rPr>
          <w:sz w:val="24"/>
          <w:szCs w:val="24"/>
          <w:lang w:eastAsia="cs-CZ"/>
        </w:rPr>
        <w:t xml:space="preserve"> </w:t>
      </w:r>
      <w:r w:rsidRPr="0005650C">
        <w:rPr>
          <w:sz w:val="24"/>
          <w:szCs w:val="24"/>
          <w:lang w:eastAsia="cs-CZ"/>
        </w:rPr>
        <w:t>od SÚIP a GŘC</w:t>
      </w:r>
      <w:r w:rsidR="009D1F90" w:rsidRPr="0005650C">
        <w:rPr>
          <w:sz w:val="24"/>
          <w:szCs w:val="24"/>
          <w:lang w:eastAsia="cs-CZ"/>
        </w:rPr>
        <w:t xml:space="preserve"> </w:t>
      </w:r>
      <w:r w:rsidRPr="0005650C">
        <w:rPr>
          <w:sz w:val="24"/>
          <w:szCs w:val="24"/>
          <w:lang w:eastAsia="cs-CZ"/>
        </w:rPr>
        <w:t>s </w:t>
      </w:r>
      <w:r w:rsidR="00E51A1C">
        <w:rPr>
          <w:sz w:val="24"/>
          <w:szCs w:val="24"/>
          <w:lang w:eastAsia="cs-CZ"/>
        </w:rPr>
        <w:t>fina</w:t>
      </w:r>
      <w:r w:rsidR="003273D4">
        <w:rPr>
          <w:sz w:val="24"/>
          <w:szCs w:val="24"/>
          <w:lang w:eastAsia="cs-CZ"/>
        </w:rPr>
        <w:t>n</w:t>
      </w:r>
      <w:r w:rsidR="00E51A1C">
        <w:rPr>
          <w:sz w:val="24"/>
          <w:szCs w:val="24"/>
          <w:lang w:eastAsia="cs-CZ"/>
        </w:rPr>
        <w:t>čním dopadem</w:t>
      </w:r>
      <w:r w:rsidRPr="0005650C">
        <w:rPr>
          <w:sz w:val="24"/>
          <w:szCs w:val="24"/>
          <w:lang w:eastAsia="cs-CZ"/>
        </w:rPr>
        <w:t xml:space="preserve"> cca 1 mil. Kč. </w:t>
      </w:r>
      <w:r w:rsidR="00FF5CE8">
        <w:rPr>
          <w:sz w:val="24"/>
          <w:szCs w:val="24"/>
          <w:lang w:eastAsia="cs-CZ"/>
        </w:rPr>
        <w:t xml:space="preserve">NKÚ zjistil, že </w:t>
      </w:r>
      <w:r w:rsidR="00FF5CE8" w:rsidRPr="0005650C">
        <w:rPr>
          <w:sz w:val="24"/>
          <w:szCs w:val="24"/>
          <w:lang w:eastAsia="cs-CZ"/>
        </w:rPr>
        <w:t>informace</w:t>
      </w:r>
      <w:r w:rsidR="008323B8" w:rsidRPr="0005650C">
        <w:rPr>
          <w:sz w:val="24"/>
          <w:szCs w:val="24"/>
          <w:lang w:eastAsia="cs-CZ"/>
        </w:rPr>
        <w:t xml:space="preserve"> z obdržených podnětů </w:t>
      </w:r>
      <w:r w:rsidR="00FF5CE8">
        <w:rPr>
          <w:sz w:val="24"/>
          <w:szCs w:val="24"/>
          <w:lang w:eastAsia="cs-CZ"/>
        </w:rPr>
        <w:t xml:space="preserve">byly </w:t>
      </w:r>
      <w:r w:rsidR="008323B8" w:rsidRPr="0005650C">
        <w:rPr>
          <w:sz w:val="24"/>
          <w:szCs w:val="24"/>
          <w:lang w:eastAsia="cs-CZ"/>
        </w:rPr>
        <w:t>využív</w:t>
      </w:r>
      <w:r w:rsidR="00FF5CE8">
        <w:rPr>
          <w:sz w:val="24"/>
          <w:szCs w:val="24"/>
          <w:lang w:eastAsia="cs-CZ"/>
        </w:rPr>
        <w:t>án</w:t>
      </w:r>
      <w:r w:rsidR="008323B8" w:rsidRPr="0005650C">
        <w:rPr>
          <w:sz w:val="24"/>
          <w:szCs w:val="24"/>
          <w:lang w:eastAsia="cs-CZ"/>
        </w:rPr>
        <w:t xml:space="preserve">y pro </w:t>
      </w:r>
      <w:r w:rsidR="00334A25" w:rsidRPr="0005650C">
        <w:rPr>
          <w:sz w:val="24"/>
          <w:szCs w:val="24"/>
          <w:lang w:eastAsia="cs-CZ"/>
        </w:rPr>
        <w:t>analýzy</w:t>
      </w:r>
      <w:r w:rsidR="008323B8" w:rsidRPr="0005650C">
        <w:rPr>
          <w:sz w:val="24"/>
          <w:szCs w:val="24"/>
          <w:lang w:eastAsia="cs-CZ"/>
        </w:rPr>
        <w:t xml:space="preserve"> a stanovení rizikovosti pro následnou kontrolní činnost.</w:t>
      </w:r>
    </w:p>
    <w:p w14:paraId="69A4B71A" w14:textId="1B9B4B80" w:rsidR="00036514" w:rsidRDefault="00314FF1" w:rsidP="00314FF1">
      <w:pPr>
        <w:spacing w:line="240" w:lineRule="auto"/>
        <w:jc w:val="both"/>
        <w:rPr>
          <w:sz w:val="24"/>
          <w:szCs w:val="24"/>
          <w:lang w:eastAsia="cs-CZ"/>
        </w:rPr>
      </w:pPr>
      <w:r w:rsidRPr="0005650C">
        <w:rPr>
          <w:sz w:val="24"/>
          <w:szCs w:val="24"/>
          <w:lang w:eastAsia="cs-CZ"/>
        </w:rPr>
        <w:lastRenderedPageBreak/>
        <w:t xml:space="preserve">ČSSZ </w:t>
      </w:r>
      <w:r w:rsidR="00036514" w:rsidRPr="0005650C">
        <w:rPr>
          <w:sz w:val="24"/>
          <w:szCs w:val="24"/>
          <w:lang w:eastAsia="cs-CZ"/>
        </w:rPr>
        <w:t>obdržela v letech 2019 až 2024</w:t>
      </w:r>
      <w:r w:rsidR="00036514" w:rsidRPr="00B40223">
        <w:rPr>
          <w:rStyle w:val="Znakapoznpodarou"/>
          <w:sz w:val="24"/>
          <w:szCs w:val="24"/>
          <w:lang w:eastAsia="cs-CZ"/>
        </w:rPr>
        <w:footnoteReference w:id="9"/>
      </w:r>
      <w:r w:rsidR="00036514" w:rsidRPr="00B40223">
        <w:rPr>
          <w:sz w:val="24"/>
          <w:szCs w:val="24"/>
          <w:lang w:eastAsia="cs-CZ"/>
        </w:rPr>
        <w:t xml:space="preserve"> celkem 2 408 pravomocných rozhodnutí o uložení pokuty SÚIP</w:t>
      </w:r>
      <w:r w:rsidR="00036514" w:rsidRPr="00B40223">
        <w:rPr>
          <w:rStyle w:val="Znakapoznpodarou"/>
          <w:sz w:val="24"/>
          <w:szCs w:val="24"/>
          <w:lang w:eastAsia="cs-CZ"/>
        </w:rPr>
        <w:footnoteReference w:id="10"/>
      </w:r>
      <w:r w:rsidR="00036514" w:rsidRPr="00B40223">
        <w:rPr>
          <w:sz w:val="24"/>
          <w:szCs w:val="24"/>
          <w:lang w:eastAsia="cs-CZ"/>
        </w:rPr>
        <w:t xml:space="preserve"> </w:t>
      </w:r>
      <w:r w:rsidR="00407C5B" w:rsidRPr="00B40223">
        <w:rPr>
          <w:sz w:val="24"/>
          <w:szCs w:val="24"/>
          <w:lang w:eastAsia="cs-CZ"/>
        </w:rPr>
        <w:t xml:space="preserve">za umožnění výkonu nelegální práce. </w:t>
      </w:r>
      <w:r w:rsidR="007177D5" w:rsidRPr="00B40223">
        <w:rPr>
          <w:sz w:val="24"/>
          <w:szCs w:val="24"/>
          <w:lang w:eastAsia="cs-CZ"/>
        </w:rPr>
        <w:t>Informace obsažené v</w:t>
      </w:r>
      <w:r w:rsidR="00247E8E">
        <w:rPr>
          <w:sz w:val="24"/>
          <w:szCs w:val="24"/>
          <w:lang w:eastAsia="cs-CZ"/>
        </w:rPr>
        <w:t xml:space="preserve"> </w:t>
      </w:r>
      <w:r w:rsidR="007177D5" w:rsidRPr="00B40223">
        <w:rPr>
          <w:sz w:val="24"/>
          <w:szCs w:val="24"/>
          <w:lang w:eastAsia="cs-CZ"/>
        </w:rPr>
        <w:t>podnětech upozornily ČSSZ na rizikovost zaměstnavatelů, kteří výkon nelegální práce umožnili.</w:t>
      </w:r>
    </w:p>
    <w:p w14:paraId="496D95DD" w14:textId="061CEF10" w:rsidR="008A7F1C" w:rsidRPr="00B40223" w:rsidRDefault="00B52B8D" w:rsidP="00E260D9">
      <w:pPr>
        <w:pStyle w:val="NadpisKZ"/>
        <w:ind w:left="284" w:hanging="284"/>
      </w:pPr>
      <w:bookmarkStart w:id="7" w:name="_Hlk197526595"/>
      <w:r>
        <w:rPr>
          <w:bCs/>
        </w:rPr>
        <w:t xml:space="preserve">MF nežádalo o </w:t>
      </w:r>
      <w:r w:rsidRPr="00725AD4">
        <w:rPr>
          <w:rFonts w:cstheme="minorBidi"/>
          <w:bCs/>
        </w:rPr>
        <w:t xml:space="preserve">vratitelné přeplatky pojistného na veřejné zdravotní pojištění </w:t>
      </w:r>
      <w:r>
        <w:rPr>
          <w:rFonts w:cstheme="minorBidi"/>
          <w:bCs/>
        </w:rPr>
        <w:t>za nelegálně pracující uchazeče o zaměstnání</w:t>
      </w:r>
    </w:p>
    <w:bookmarkEnd w:id="7"/>
    <w:p w14:paraId="6F114DB0" w14:textId="36E7F6AF" w:rsidR="00314FF1" w:rsidRDefault="006305FE" w:rsidP="00314FF1">
      <w:pPr>
        <w:spacing w:line="240" w:lineRule="auto"/>
        <w:jc w:val="both"/>
        <w:rPr>
          <w:sz w:val="24"/>
          <w:szCs w:val="24"/>
          <w:lang w:eastAsia="cs-CZ"/>
        </w:rPr>
      </w:pPr>
      <w:r>
        <w:rPr>
          <w:sz w:val="24"/>
          <w:szCs w:val="24"/>
          <w:lang w:eastAsia="cs-CZ"/>
        </w:rPr>
        <w:t xml:space="preserve">MF nedisponovalo </w:t>
      </w:r>
      <w:r w:rsidRPr="00C57542">
        <w:rPr>
          <w:sz w:val="24"/>
          <w:szCs w:val="24"/>
          <w:lang w:eastAsia="cs-CZ"/>
        </w:rPr>
        <w:t>údaje</w:t>
      </w:r>
      <w:r>
        <w:rPr>
          <w:sz w:val="24"/>
          <w:szCs w:val="24"/>
          <w:lang w:eastAsia="cs-CZ"/>
        </w:rPr>
        <w:t>m</w:t>
      </w:r>
      <w:r w:rsidRPr="00C57542">
        <w:rPr>
          <w:sz w:val="24"/>
          <w:szCs w:val="24"/>
          <w:lang w:eastAsia="cs-CZ"/>
        </w:rPr>
        <w:t xml:space="preserve"> o počtu pojištěnců, za které hradí pojistné stát a u kterých bylo zároveň </w:t>
      </w:r>
      <w:r w:rsidR="001510C9">
        <w:rPr>
          <w:sz w:val="24"/>
          <w:szCs w:val="24"/>
          <w:lang w:eastAsia="cs-CZ"/>
        </w:rPr>
        <w:t>zjištěno</w:t>
      </w:r>
      <w:r w:rsidRPr="00C57542">
        <w:rPr>
          <w:sz w:val="24"/>
          <w:szCs w:val="24"/>
          <w:lang w:eastAsia="cs-CZ"/>
        </w:rPr>
        <w:t>, že vykonávali nelegální práci.</w:t>
      </w:r>
      <w:r>
        <w:rPr>
          <w:sz w:val="24"/>
          <w:szCs w:val="24"/>
          <w:lang w:eastAsia="cs-CZ"/>
        </w:rPr>
        <w:t xml:space="preserve"> </w:t>
      </w:r>
      <w:r w:rsidR="00314FF1" w:rsidRPr="00C57542">
        <w:rPr>
          <w:sz w:val="24"/>
          <w:szCs w:val="24"/>
          <w:lang w:eastAsia="cs-CZ"/>
        </w:rPr>
        <w:t xml:space="preserve">MF </w:t>
      </w:r>
      <w:r w:rsidR="005C6468">
        <w:rPr>
          <w:sz w:val="24"/>
          <w:szCs w:val="24"/>
          <w:lang w:eastAsia="cs-CZ"/>
        </w:rPr>
        <w:t>nesled</w:t>
      </w:r>
      <w:r w:rsidR="00605E3C">
        <w:rPr>
          <w:sz w:val="24"/>
          <w:szCs w:val="24"/>
          <w:lang w:eastAsia="cs-CZ"/>
        </w:rPr>
        <w:t>ovalo</w:t>
      </w:r>
      <w:r w:rsidR="005C6468">
        <w:rPr>
          <w:sz w:val="24"/>
          <w:szCs w:val="24"/>
          <w:lang w:eastAsia="cs-CZ"/>
        </w:rPr>
        <w:t xml:space="preserve"> a nevyhodno</w:t>
      </w:r>
      <w:r w:rsidR="00605E3C">
        <w:rPr>
          <w:sz w:val="24"/>
          <w:szCs w:val="24"/>
          <w:lang w:eastAsia="cs-CZ"/>
        </w:rPr>
        <w:t>covalo</w:t>
      </w:r>
      <w:r w:rsidR="005C6468">
        <w:rPr>
          <w:sz w:val="24"/>
          <w:szCs w:val="24"/>
          <w:lang w:eastAsia="cs-CZ"/>
        </w:rPr>
        <w:t xml:space="preserve"> </w:t>
      </w:r>
      <w:r w:rsidR="00E51A1C">
        <w:rPr>
          <w:sz w:val="24"/>
          <w:szCs w:val="24"/>
          <w:lang w:eastAsia="cs-CZ"/>
        </w:rPr>
        <w:t>finanční</w:t>
      </w:r>
      <w:r w:rsidR="005C6468">
        <w:rPr>
          <w:sz w:val="24"/>
          <w:szCs w:val="24"/>
          <w:lang w:eastAsia="cs-CZ"/>
        </w:rPr>
        <w:t xml:space="preserve"> dopad neoprávněně hrazeného </w:t>
      </w:r>
      <w:r w:rsidR="00605E3C">
        <w:rPr>
          <w:sz w:val="24"/>
          <w:szCs w:val="24"/>
          <w:lang w:eastAsia="cs-CZ"/>
        </w:rPr>
        <w:t xml:space="preserve">pojistného na veřejné </w:t>
      </w:r>
      <w:r w:rsidR="005C6468">
        <w:rPr>
          <w:sz w:val="24"/>
          <w:szCs w:val="24"/>
          <w:lang w:eastAsia="cs-CZ"/>
        </w:rPr>
        <w:t xml:space="preserve">zdravotní </w:t>
      </w:r>
      <w:r w:rsidR="005C6468">
        <w:rPr>
          <w:rFonts w:ascii="Calibri" w:hAnsi="Calibri" w:cs="Calibri"/>
          <w:sz w:val="24"/>
          <w:szCs w:val="24"/>
        </w:rPr>
        <w:t xml:space="preserve">pojištění </w:t>
      </w:r>
      <w:r w:rsidR="00314FF1">
        <w:rPr>
          <w:rFonts w:ascii="Calibri" w:hAnsi="Calibri" w:cs="Calibri"/>
          <w:sz w:val="24"/>
          <w:szCs w:val="24"/>
        </w:rPr>
        <w:t>za státní pojištěnce</w:t>
      </w:r>
      <w:r w:rsidR="005C6468">
        <w:rPr>
          <w:rFonts w:ascii="Calibri" w:hAnsi="Calibri" w:cs="Calibri"/>
          <w:sz w:val="24"/>
          <w:szCs w:val="24"/>
        </w:rPr>
        <w:t xml:space="preserve"> a tyto přeplatky nevyžadovalo</w:t>
      </w:r>
      <w:r w:rsidR="00FF5CE8">
        <w:rPr>
          <w:rFonts w:ascii="Calibri" w:hAnsi="Calibri" w:cs="Calibri"/>
          <w:sz w:val="24"/>
          <w:szCs w:val="24"/>
        </w:rPr>
        <w:t xml:space="preserve"> v rozporu se zákonem č. 592/1992 Sb.</w:t>
      </w:r>
      <w:r w:rsidR="00250E2A">
        <w:rPr>
          <w:rStyle w:val="Znakapoznpodarou"/>
          <w:rFonts w:ascii="Calibri" w:hAnsi="Calibri" w:cs="Calibri"/>
          <w:sz w:val="24"/>
          <w:szCs w:val="24"/>
        </w:rPr>
        <w:footnoteReference w:id="11"/>
      </w:r>
      <w:r w:rsidR="005C6468">
        <w:rPr>
          <w:rFonts w:ascii="Calibri" w:hAnsi="Calibri" w:cs="Calibri"/>
          <w:sz w:val="24"/>
          <w:szCs w:val="24"/>
        </w:rPr>
        <w:t xml:space="preserve"> odvést zpět do státního rozpočtu</w:t>
      </w:r>
      <w:r w:rsidR="00314FF1">
        <w:rPr>
          <w:rFonts w:ascii="Calibri" w:hAnsi="Calibri" w:cs="Calibri"/>
          <w:sz w:val="24"/>
          <w:szCs w:val="24"/>
        </w:rPr>
        <w:t>.</w:t>
      </w:r>
      <w:r w:rsidR="00314FF1">
        <w:rPr>
          <w:sz w:val="24"/>
          <w:szCs w:val="24"/>
          <w:lang w:eastAsia="cs-CZ"/>
        </w:rPr>
        <w:t xml:space="preserve"> </w:t>
      </w:r>
    </w:p>
    <w:bookmarkEnd w:id="6"/>
    <w:p w14:paraId="05DE52B3" w14:textId="40C4B723" w:rsidR="00AC133D" w:rsidRDefault="00A06516" w:rsidP="000D1110">
      <w:pPr>
        <w:pStyle w:val="NadpisKZ"/>
        <w:ind w:left="284" w:hanging="357"/>
      </w:pPr>
      <w:r>
        <w:t xml:space="preserve">Zákonem </w:t>
      </w:r>
      <w:r w:rsidR="006305FE">
        <w:t>není stanoven správní orgán k</w:t>
      </w:r>
      <w:r w:rsidR="007B1B2E">
        <w:t xml:space="preserve"> </w:t>
      </w:r>
      <w:r w:rsidR="006305FE">
        <w:t>doměřování zákonných pojistných zaměstnavatelům</w:t>
      </w:r>
      <w:r w:rsidR="001D294E">
        <w:t>, kterým byla uložena pokuta za přestupek</w:t>
      </w:r>
      <w:r w:rsidR="001D294E">
        <w:rPr>
          <w:rStyle w:val="Znakapoznpodarou"/>
        </w:rPr>
        <w:footnoteReference w:id="12"/>
      </w:r>
      <w:r w:rsidR="001D294E">
        <w:t xml:space="preserve"> podle zákona o</w:t>
      </w:r>
      <w:r w:rsidR="001510C9">
        <w:t> </w:t>
      </w:r>
      <w:r w:rsidR="001D294E">
        <w:t>zaměstnanosti</w:t>
      </w:r>
      <w:r w:rsidR="00D7393D">
        <w:t xml:space="preserve"> </w:t>
      </w:r>
    </w:p>
    <w:p w14:paraId="3D1756F3" w14:textId="532A7794" w:rsidR="0054051E" w:rsidRDefault="00781A8B" w:rsidP="00EC2C53">
      <w:pPr>
        <w:spacing w:line="240" w:lineRule="auto"/>
        <w:jc w:val="both"/>
        <w:rPr>
          <w:sz w:val="24"/>
          <w:szCs w:val="24"/>
          <w:lang w:eastAsia="cs-CZ"/>
        </w:rPr>
      </w:pPr>
      <w:r>
        <w:rPr>
          <w:rFonts w:cstheme="minorHAnsi"/>
          <w:sz w:val="24"/>
          <w:szCs w:val="24"/>
          <w:lang w:eastAsia="cs-CZ"/>
        </w:rPr>
        <w:t xml:space="preserve">NKÚ zjistil, že </w:t>
      </w:r>
      <w:r w:rsidR="00DF7615">
        <w:rPr>
          <w:sz w:val="24"/>
          <w:szCs w:val="24"/>
          <w:lang w:eastAsia="cs-CZ"/>
        </w:rPr>
        <w:t>SÚIP ani ČSSZ nedoměřovaly částky rovnající se součtu částek</w:t>
      </w:r>
      <w:r w:rsidR="00202FFA">
        <w:rPr>
          <w:sz w:val="24"/>
          <w:szCs w:val="24"/>
          <w:lang w:eastAsia="cs-CZ"/>
        </w:rPr>
        <w:t xml:space="preserve"> odpovídající</w:t>
      </w:r>
      <w:r w:rsidR="00DF7615">
        <w:rPr>
          <w:sz w:val="24"/>
          <w:szCs w:val="24"/>
          <w:lang w:eastAsia="cs-CZ"/>
        </w:rPr>
        <w:t>ch</w:t>
      </w:r>
      <w:r w:rsidR="00202FFA">
        <w:rPr>
          <w:sz w:val="24"/>
          <w:szCs w:val="24"/>
          <w:lang w:eastAsia="cs-CZ"/>
        </w:rPr>
        <w:t xml:space="preserve"> výši </w:t>
      </w:r>
      <w:r w:rsidR="00EC341B">
        <w:rPr>
          <w:sz w:val="24"/>
          <w:szCs w:val="24"/>
          <w:lang w:eastAsia="cs-CZ"/>
        </w:rPr>
        <w:t xml:space="preserve">zákonných </w:t>
      </w:r>
      <w:r w:rsidR="0014184C" w:rsidRPr="00A9146A">
        <w:rPr>
          <w:sz w:val="24"/>
          <w:szCs w:val="24"/>
          <w:lang w:eastAsia="cs-CZ"/>
        </w:rPr>
        <w:t>pojistn</w:t>
      </w:r>
      <w:r w:rsidR="00751434">
        <w:rPr>
          <w:sz w:val="24"/>
          <w:szCs w:val="24"/>
          <w:lang w:eastAsia="cs-CZ"/>
        </w:rPr>
        <w:t>ých</w:t>
      </w:r>
      <w:r w:rsidR="001D294E">
        <w:rPr>
          <w:sz w:val="24"/>
          <w:szCs w:val="24"/>
          <w:lang w:eastAsia="cs-CZ"/>
        </w:rPr>
        <w:t xml:space="preserve"> </w:t>
      </w:r>
      <w:r w:rsidR="0054051E" w:rsidRPr="00125872">
        <w:rPr>
          <w:sz w:val="24"/>
          <w:szCs w:val="24"/>
          <w:lang w:eastAsia="cs-CZ"/>
        </w:rPr>
        <w:t>zaměstnavatelů</w:t>
      </w:r>
      <w:r w:rsidR="0014184C">
        <w:rPr>
          <w:sz w:val="24"/>
          <w:szCs w:val="24"/>
          <w:lang w:eastAsia="cs-CZ"/>
        </w:rPr>
        <w:t>m</w:t>
      </w:r>
      <w:r w:rsidR="0054051E">
        <w:rPr>
          <w:sz w:val="24"/>
          <w:szCs w:val="24"/>
          <w:lang w:eastAsia="cs-CZ"/>
        </w:rPr>
        <w:t>, kte</w:t>
      </w:r>
      <w:r w:rsidR="003B31B9">
        <w:rPr>
          <w:sz w:val="24"/>
          <w:szCs w:val="24"/>
          <w:lang w:eastAsia="cs-CZ"/>
        </w:rPr>
        <w:t>rým byla pravomocně uložena pokuta za</w:t>
      </w:r>
      <w:r w:rsidR="0054051E">
        <w:rPr>
          <w:sz w:val="24"/>
          <w:szCs w:val="24"/>
          <w:lang w:eastAsia="cs-CZ"/>
        </w:rPr>
        <w:t xml:space="preserve"> umož</w:t>
      </w:r>
      <w:r w:rsidR="003B31B9">
        <w:rPr>
          <w:sz w:val="24"/>
          <w:szCs w:val="24"/>
          <w:lang w:eastAsia="cs-CZ"/>
        </w:rPr>
        <w:t>nění</w:t>
      </w:r>
      <w:r w:rsidR="0054051E">
        <w:rPr>
          <w:sz w:val="24"/>
          <w:szCs w:val="24"/>
          <w:lang w:eastAsia="cs-CZ"/>
        </w:rPr>
        <w:t xml:space="preserve"> prác</w:t>
      </w:r>
      <w:r w:rsidR="003B31B9">
        <w:rPr>
          <w:sz w:val="24"/>
          <w:szCs w:val="24"/>
          <w:lang w:eastAsia="cs-CZ"/>
        </w:rPr>
        <w:t>e</w:t>
      </w:r>
      <w:r w:rsidR="0054051E">
        <w:rPr>
          <w:sz w:val="24"/>
          <w:szCs w:val="24"/>
          <w:lang w:eastAsia="cs-CZ"/>
        </w:rPr>
        <w:t xml:space="preserve"> cizincům bez </w:t>
      </w:r>
      <w:r w:rsidR="00FC1DF9" w:rsidRPr="00090DB2">
        <w:rPr>
          <w:rFonts w:ascii="Calibri" w:eastAsia="Calibri" w:hAnsi="Calibri" w:cs="Calibri"/>
          <w:iCs/>
          <w:sz w:val="24"/>
          <w:szCs w:val="24"/>
        </w:rPr>
        <w:t>platného oprávnění k pobytu na území</w:t>
      </w:r>
      <w:r w:rsidR="00605E3C">
        <w:rPr>
          <w:rFonts w:ascii="Calibri" w:eastAsia="Calibri" w:hAnsi="Calibri" w:cs="Calibri"/>
          <w:iCs/>
          <w:sz w:val="24"/>
          <w:szCs w:val="24"/>
        </w:rPr>
        <w:t xml:space="preserve"> České republiky</w:t>
      </w:r>
      <w:r w:rsidR="008E0483">
        <w:rPr>
          <w:sz w:val="24"/>
          <w:szCs w:val="24"/>
          <w:lang w:eastAsia="cs-CZ"/>
        </w:rPr>
        <w:t>.</w:t>
      </w:r>
      <w:r w:rsidR="00C57542">
        <w:rPr>
          <w:sz w:val="24"/>
          <w:szCs w:val="24"/>
          <w:lang w:eastAsia="cs-CZ"/>
        </w:rPr>
        <w:t xml:space="preserve"> </w:t>
      </w:r>
      <w:r w:rsidR="00D666A9">
        <w:rPr>
          <w:sz w:val="24"/>
          <w:szCs w:val="24"/>
          <w:lang w:eastAsia="cs-CZ"/>
        </w:rPr>
        <w:t>Částky odpovídající pojistn</w:t>
      </w:r>
      <w:r w:rsidR="001D294E">
        <w:rPr>
          <w:sz w:val="24"/>
          <w:szCs w:val="24"/>
          <w:lang w:eastAsia="cs-CZ"/>
        </w:rPr>
        <w:t>ý</w:t>
      </w:r>
      <w:r w:rsidR="00D666A9">
        <w:rPr>
          <w:sz w:val="24"/>
          <w:szCs w:val="24"/>
          <w:lang w:eastAsia="cs-CZ"/>
        </w:rPr>
        <w:t xml:space="preserve">m nebyly </w:t>
      </w:r>
      <w:r w:rsidR="001D294E">
        <w:rPr>
          <w:sz w:val="24"/>
          <w:szCs w:val="24"/>
          <w:lang w:eastAsia="cs-CZ"/>
        </w:rPr>
        <w:t xml:space="preserve">doměřovány ani </w:t>
      </w:r>
      <w:r w:rsidR="00D666A9">
        <w:rPr>
          <w:sz w:val="24"/>
          <w:szCs w:val="24"/>
          <w:lang w:eastAsia="cs-CZ"/>
        </w:rPr>
        <w:t xml:space="preserve">jako pojistné na sociální zabezpečení </w:t>
      </w:r>
      <w:r w:rsidR="001D294E">
        <w:rPr>
          <w:sz w:val="24"/>
          <w:szCs w:val="24"/>
          <w:lang w:eastAsia="cs-CZ"/>
        </w:rPr>
        <w:t>a</w:t>
      </w:r>
      <w:r w:rsidR="00D666A9">
        <w:rPr>
          <w:sz w:val="24"/>
          <w:szCs w:val="24"/>
          <w:lang w:eastAsia="cs-CZ"/>
        </w:rPr>
        <w:t xml:space="preserve"> </w:t>
      </w:r>
      <w:r w:rsidR="00EC341B">
        <w:rPr>
          <w:sz w:val="24"/>
          <w:szCs w:val="24"/>
          <w:lang w:eastAsia="cs-CZ"/>
        </w:rPr>
        <w:t xml:space="preserve">veřejné </w:t>
      </w:r>
      <w:r w:rsidR="00D666A9">
        <w:rPr>
          <w:sz w:val="24"/>
          <w:szCs w:val="24"/>
          <w:lang w:eastAsia="cs-CZ"/>
        </w:rPr>
        <w:t>zdravotní pojištění</w:t>
      </w:r>
      <w:r w:rsidR="008E0483">
        <w:rPr>
          <w:sz w:val="24"/>
          <w:szCs w:val="24"/>
          <w:lang w:eastAsia="cs-CZ"/>
        </w:rPr>
        <w:t xml:space="preserve">. </w:t>
      </w:r>
      <w:r>
        <w:rPr>
          <w:sz w:val="24"/>
          <w:szCs w:val="24"/>
          <w:lang w:eastAsia="cs-CZ"/>
        </w:rPr>
        <w:t>N</w:t>
      </w:r>
      <w:r w:rsidR="00327C9A">
        <w:rPr>
          <w:sz w:val="24"/>
          <w:szCs w:val="24"/>
          <w:lang w:eastAsia="cs-CZ"/>
        </w:rPr>
        <w:t xml:space="preserve">KÚ </w:t>
      </w:r>
      <w:r w:rsidR="009736D9">
        <w:rPr>
          <w:sz w:val="24"/>
          <w:szCs w:val="24"/>
          <w:lang w:eastAsia="cs-CZ"/>
        </w:rPr>
        <w:t>na základě</w:t>
      </w:r>
      <w:r w:rsidR="001510C9">
        <w:rPr>
          <w:sz w:val="24"/>
          <w:szCs w:val="24"/>
          <w:lang w:eastAsia="cs-CZ"/>
        </w:rPr>
        <w:t xml:space="preserve"> </w:t>
      </w:r>
      <w:r>
        <w:rPr>
          <w:sz w:val="24"/>
          <w:szCs w:val="24"/>
          <w:lang w:eastAsia="cs-CZ"/>
        </w:rPr>
        <w:t xml:space="preserve">93 </w:t>
      </w:r>
      <w:r w:rsidR="00FB63D5">
        <w:rPr>
          <w:sz w:val="24"/>
          <w:szCs w:val="24"/>
          <w:lang w:eastAsia="cs-CZ"/>
        </w:rPr>
        <w:t>pr</w:t>
      </w:r>
      <w:r w:rsidR="00A81476">
        <w:rPr>
          <w:sz w:val="24"/>
          <w:szCs w:val="24"/>
          <w:lang w:eastAsia="cs-CZ"/>
        </w:rPr>
        <w:t>avomocných rozhodnutí o pokutě odhadl, že</w:t>
      </w:r>
      <w:r w:rsidR="00FB63D5">
        <w:rPr>
          <w:sz w:val="24"/>
          <w:szCs w:val="24"/>
          <w:lang w:eastAsia="cs-CZ"/>
        </w:rPr>
        <w:t xml:space="preserve"> </w:t>
      </w:r>
      <w:r w:rsidR="00F75D77">
        <w:rPr>
          <w:sz w:val="24"/>
          <w:szCs w:val="24"/>
          <w:lang w:eastAsia="cs-CZ"/>
        </w:rPr>
        <w:t>právnické osoby jako zaměstnavatelé</w:t>
      </w:r>
      <w:r w:rsidR="00A81476">
        <w:rPr>
          <w:sz w:val="24"/>
          <w:szCs w:val="24"/>
          <w:lang w:eastAsia="cs-CZ"/>
        </w:rPr>
        <w:t xml:space="preserve"> měly</w:t>
      </w:r>
      <w:r w:rsidR="00F75D77">
        <w:rPr>
          <w:sz w:val="24"/>
          <w:szCs w:val="24"/>
          <w:lang w:eastAsia="cs-CZ"/>
        </w:rPr>
        <w:t xml:space="preserve"> </w:t>
      </w:r>
      <w:r w:rsidR="00FC1DF9">
        <w:rPr>
          <w:sz w:val="24"/>
          <w:szCs w:val="24"/>
          <w:lang w:eastAsia="cs-CZ"/>
        </w:rPr>
        <w:t xml:space="preserve">souhrnně </w:t>
      </w:r>
      <w:r>
        <w:rPr>
          <w:sz w:val="24"/>
          <w:szCs w:val="24"/>
          <w:lang w:eastAsia="cs-CZ"/>
        </w:rPr>
        <w:t>uhradit částku minimálně ve výši 2</w:t>
      </w:r>
      <w:r w:rsidR="007D7706">
        <w:rPr>
          <w:sz w:val="24"/>
          <w:szCs w:val="24"/>
          <w:lang w:eastAsia="cs-CZ"/>
        </w:rPr>
        <w:t> </w:t>
      </w:r>
      <w:r>
        <w:rPr>
          <w:sz w:val="24"/>
          <w:szCs w:val="24"/>
          <w:lang w:eastAsia="cs-CZ"/>
        </w:rPr>
        <w:t>mil.</w:t>
      </w:r>
      <w:r w:rsidR="007D7706">
        <w:rPr>
          <w:sz w:val="24"/>
          <w:szCs w:val="24"/>
          <w:lang w:eastAsia="cs-CZ"/>
        </w:rPr>
        <w:t> </w:t>
      </w:r>
      <w:r>
        <w:rPr>
          <w:sz w:val="24"/>
          <w:szCs w:val="24"/>
          <w:lang w:eastAsia="cs-CZ"/>
        </w:rPr>
        <w:t xml:space="preserve">Kč. </w:t>
      </w:r>
    </w:p>
    <w:p w14:paraId="407C878F" w14:textId="55F670A2" w:rsidR="0021588B" w:rsidRPr="00284DB9" w:rsidRDefault="00FC696E" w:rsidP="00284DB9">
      <w:pPr>
        <w:pStyle w:val="NadpisKZ"/>
        <w:ind w:left="284"/>
      </w:pPr>
      <w:bookmarkStart w:id="8" w:name="_Hlk162002738"/>
      <w:bookmarkEnd w:id="4"/>
      <w:bookmarkEnd w:id="5"/>
      <w:r w:rsidRPr="00284DB9">
        <w:t>NKÚ odhadl únik</w:t>
      </w:r>
      <w:r w:rsidR="00825187">
        <w:t>y</w:t>
      </w:r>
      <w:r w:rsidRPr="00284DB9">
        <w:t xml:space="preserve"> na dan</w:t>
      </w:r>
      <w:r w:rsidR="00825187">
        <w:t>i</w:t>
      </w:r>
      <w:r w:rsidRPr="00284DB9">
        <w:t xml:space="preserve"> z příjm</w:t>
      </w:r>
      <w:r w:rsidR="00FC1DF9">
        <w:t>ů</w:t>
      </w:r>
      <w:r w:rsidRPr="00284DB9">
        <w:t xml:space="preserve"> fyzických osob a na odvodech </w:t>
      </w:r>
      <w:r w:rsidR="00C70955">
        <w:t xml:space="preserve">pojistného na </w:t>
      </w:r>
      <w:r w:rsidRPr="00284DB9">
        <w:t xml:space="preserve">sociální </w:t>
      </w:r>
      <w:r w:rsidR="00C70955">
        <w:t xml:space="preserve">zabezpečení </w:t>
      </w:r>
      <w:r w:rsidRPr="00284DB9">
        <w:t>a</w:t>
      </w:r>
      <w:r w:rsidR="00FC1DF9">
        <w:t xml:space="preserve"> </w:t>
      </w:r>
      <w:r w:rsidR="00CF394D">
        <w:rPr>
          <w:rFonts w:ascii="Calibri" w:hAnsi="Calibri" w:cs="Calibri"/>
        </w:rPr>
        <w:t>veřejné</w:t>
      </w:r>
      <w:r w:rsidR="00CF394D">
        <w:t xml:space="preserve"> </w:t>
      </w:r>
      <w:r w:rsidRPr="00284DB9">
        <w:t xml:space="preserve">zdravotní pojištění ve výši </w:t>
      </w:r>
      <w:r w:rsidR="001C472D" w:rsidRPr="00284DB9">
        <w:t>desítek miliard korun</w:t>
      </w:r>
    </w:p>
    <w:p w14:paraId="2A0F2986" w14:textId="6A4BE7FE" w:rsidR="005C77FA" w:rsidRDefault="005C77FA" w:rsidP="006164D5">
      <w:pPr>
        <w:spacing w:after="120" w:line="240" w:lineRule="auto"/>
        <w:jc w:val="both"/>
        <w:rPr>
          <w:sz w:val="24"/>
          <w:szCs w:val="24"/>
          <w:lang w:eastAsia="cs-CZ"/>
        </w:rPr>
      </w:pPr>
      <w:r>
        <w:rPr>
          <w:sz w:val="24"/>
          <w:szCs w:val="24"/>
          <w:lang w:eastAsia="cs-CZ"/>
        </w:rPr>
        <w:t>Odhad rozsahu nelegální práce provedl Výzkumný ústav práce a sociálních věcí, v. v. i.</w:t>
      </w:r>
      <w:r w:rsidR="00825187">
        <w:rPr>
          <w:sz w:val="24"/>
          <w:szCs w:val="24"/>
          <w:lang w:eastAsia="cs-CZ"/>
        </w:rPr>
        <w:t>,</w:t>
      </w:r>
      <w:r>
        <w:rPr>
          <w:sz w:val="24"/>
          <w:szCs w:val="24"/>
          <w:lang w:eastAsia="cs-CZ"/>
        </w:rPr>
        <w:t xml:space="preserve"> v roce 2014</w:t>
      </w:r>
      <w:r>
        <w:rPr>
          <w:rStyle w:val="Znakapoznpodarou"/>
          <w:sz w:val="24"/>
          <w:szCs w:val="24"/>
          <w:lang w:eastAsia="cs-CZ"/>
        </w:rPr>
        <w:footnoteReference w:id="13"/>
      </w:r>
      <w:r>
        <w:rPr>
          <w:sz w:val="24"/>
          <w:szCs w:val="24"/>
          <w:lang w:eastAsia="cs-CZ"/>
        </w:rPr>
        <w:t>, novější odhad od té doby nezpracoval. MPSV odhad míry úniků na příjmech v oblasti NLZ neprov</w:t>
      </w:r>
      <w:r w:rsidR="00825187">
        <w:rPr>
          <w:sz w:val="24"/>
          <w:szCs w:val="24"/>
          <w:lang w:eastAsia="cs-CZ"/>
        </w:rPr>
        <w:t>edlo</w:t>
      </w:r>
      <w:r>
        <w:rPr>
          <w:sz w:val="24"/>
          <w:szCs w:val="24"/>
          <w:lang w:eastAsia="cs-CZ"/>
        </w:rPr>
        <w:t xml:space="preserve">. </w:t>
      </w:r>
    </w:p>
    <w:p w14:paraId="254FA437" w14:textId="7D0FDFC0" w:rsidR="006A7FE1" w:rsidRDefault="00902B62" w:rsidP="006164D5">
      <w:pPr>
        <w:spacing w:after="120" w:line="240" w:lineRule="auto"/>
        <w:jc w:val="both"/>
        <w:rPr>
          <w:sz w:val="24"/>
          <w:szCs w:val="24"/>
          <w:lang w:eastAsia="cs-CZ"/>
        </w:rPr>
      </w:pPr>
      <w:r w:rsidRPr="00284DB9">
        <w:rPr>
          <w:sz w:val="24"/>
          <w:szCs w:val="24"/>
          <w:lang w:eastAsia="cs-CZ"/>
        </w:rPr>
        <w:t xml:space="preserve">NKÚ provedl </w:t>
      </w:r>
      <w:r w:rsidR="005D77DD">
        <w:rPr>
          <w:sz w:val="24"/>
          <w:szCs w:val="24"/>
          <w:lang w:eastAsia="cs-CZ"/>
        </w:rPr>
        <w:t>vlastní odhad míry úniků v oblasti nelegálního zaměstnávání</w:t>
      </w:r>
      <w:r w:rsidRPr="00284DB9">
        <w:rPr>
          <w:sz w:val="24"/>
          <w:szCs w:val="24"/>
          <w:lang w:eastAsia="cs-CZ"/>
        </w:rPr>
        <w:t>, který vychází z</w:t>
      </w:r>
      <w:r w:rsidR="007D7706">
        <w:rPr>
          <w:sz w:val="24"/>
          <w:szCs w:val="24"/>
          <w:lang w:eastAsia="cs-CZ"/>
        </w:rPr>
        <w:t> </w:t>
      </w:r>
      <w:r w:rsidRPr="00284DB9">
        <w:rPr>
          <w:sz w:val="24"/>
          <w:szCs w:val="24"/>
          <w:lang w:eastAsia="cs-CZ"/>
        </w:rPr>
        <w:t xml:space="preserve">odhadu počtu nelegálních zaměstnanců odvozeného ze statistik práce. </w:t>
      </w:r>
      <w:r w:rsidR="00084FB0">
        <w:rPr>
          <w:sz w:val="24"/>
          <w:szCs w:val="24"/>
          <w:lang w:eastAsia="cs-CZ"/>
        </w:rPr>
        <w:t>Roční odhad týkající se n</w:t>
      </w:r>
      <w:r w:rsidRPr="00284DB9">
        <w:rPr>
          <w:sz w:val="24"/>
          <w:szCs w:val="24"/>
          <w:lang w:eastAsia="cs-CZ"/>
        </w:rPr>
        <w:t>eodveden</w:t>
      </w:r>
      <w:r w:rsidR="00084FB0">
        <w:rPr>
          <w:sz w:val="24"/>
          <w:szCs w:val="24"/>
          <w:lang w:eastAsia="cs-CZ"/>
        </w:rPr>
        <w:t>ých</w:t>
      </w:r>
      <w:r w:rsidRPr="00284DB9">
        <w:rPr>
          <w:sz w:val="24"/>
          <w:szCs w:val="24"/>
          <w:lang w:eastAsia="cs-CZ"/>
        </w:rPr>
        <w:t xml:space="preserve"> odvod</w:t>
      </w:r>
      <w:r w:rsidR="00084FB0">
        <w:rPr>
          <w:sz w:val="24"/>
          <w:szCs w:val="24"/>
          <w:lang w:eastAsia="cs-CZ"/>
        </w:rPr>
        <w:t>ů</w:t>
      </w:r>
      <w:r w:rsidRPr="00284DB9">
        <w:rPr>
          <w:sz w:val="24"/>
          <w:szCs w:val="24"/>
          <w:lang w:eastAsia="cs-CZ"/>
        </w:rPr>
        <w:t xml:space="preserve"> do veřejných rozpočtů </w:t>
      </w:r>
      <w:r w:rsidR="00084FB0">
        <w:rPr>
          <w:sz w:val="24"/>
          <w:szCs w:val="24"/>
          <w:lang w:eastAsia="cs-CZ"/>
        </w:rPr>
        <w:t xml:space="preserve">v roce 2019 </w:t>
      </w:r>
      <w:r w:rsidR="00586BF4">
        <w:rPr>
          <w:sz w:val="24"/>
          <w:szCs w:val="24"/>
          <w:lang w:eastAsia="cs-CZ"/>
        </w:rPr>
        <w:t>činil 23</w:t>
      </w:r>
      <w:r w:rsidR="00084FB0">
        <w:rPr>
          <w:sz w:val="24"/>
          <w:szCs w:val="24"/>
          <w:lang w:eastAsia="cs-CZ"/>
        </w:rPr>
        <w:t xml:space="preserve"> </w:t>
      </w:r>
      <w:r w:rsidR="00B174B0">
        <w:rPr>
          <w:sz w:val="24"/>
          <w:szCs w:val="24"/>
          <w:lang w:eastAsia="cs-CZ"/>
        </w:rPr>
        <w:t>mld</w:t>
      </w:r>
      <w:r w:rsidR="00252968">
        <w:rPr>
          <w:sz w:val="24"/>
          <w:szCs w:val="24"/>
          <w:lang w:eastAsia="cs-CZ"/>
        </w:rPr>
        <w:t>.</w:t>
      </w:r>
      <w:r w:rsidR="00B174B0">
        <w:rPr>
          <w:sz w:val="24"/>
          <w:szCs w:val="24"/>
          <w:lang w:eastAsia="cs-CZ"/>
        </w:rPr>
        <w:t xml:space="preserve"> </w:t>
      </w:r>
      <w:r w:rsidR="00084FB0">
        <w:rPr>
          <w:sz w:val="24"/>
          <w:szCs w:val="24"/>
          <w:lang w:eastAsia="cs-CZ"/>
        </w:rPr>
        <w:t>Kč</w:t>
      </w:r>
      <w:r w:rsidR="00084FB0" w:rsidRPr="00284DB9">
        <w:rPr>
          <w:rStyle w:val="Znakapoznpodarou"/>
          <w:sz w:val="24"/>
          <w:szCs w:val="24"/>
          <w:lang w:eastAsia="cs-CZ"/>
        </w:rPr>
        <w:footnoteReference w:id="14"/>
      </w:r>
      <w:r w:rsidR="006A7FE1">
        <w:rPr>
          <w:sz w:val="24"/>
          <w:szCs w:val="24"/>
          <w:lang w:eastAsia="cs-CZ"/>
        </w:rPr>
        <w:t>.</w:t>
      </w:r>
      <w:r w:rsidR="005C77FA">
        <w:rPr>
          <w:sz w:val="24"/>
          <w:szCs w:val="24"/>
          <w:lang w:eastAsia="cs-CZ"/>
        </w:rPr>
        <w:t xml:space="preserve"> </w:t>
      </w:r>
      <w:r w:rsidR="006A7FE1">
        <w:rPr>
          <w:sz w:val="24"/>
          <w:szCs w:val="24"/>
          <w:lang w:eastAsia="cs-CZ"/>
        </w:rPr>
        <w:t>Z</w:t>
      </w:r>
      <w:r w:rsidR="00804FA8">
        <w:rPr>
          <w:sz w:val="24"/>
          <w:szCs w:val="24"/>
          <w:lang w:eastAsia="cs-CZ"/>
        </w:rPr>
        <w:t>a roky</w:t>
      </w:r>
      <w:r w:rsidR="00084FB0">
        <w:rPr>
          <w:sz w:val="24"/>
          <w:szCs w:val="24"/>
          <w:lang w:eastAsia="cs-CZ"/>
        </w:rPr>
        <w:t xml:space="preserve"> </w:t>
      </w:r>
      <w:r w:rsidR="007D7706">
        <w:rPr>
          <w:sz w:val="24"/>
          <w:szCs w:val="24"/>
          <w:lang w:eastAsia="cs-CZ"/>
        </w:rPr>
        <w:br/>
      </w:r>
      <w:r w:rsidRPr="00284DB9">
        <w:rPr>
          <w:sz w:val="24"/>
          <w:szCs w:val="24"/>
          <w:lang w:eastAsia="cs-CZ"/>
        </w:rPr>
        <w:t>2019–2022</w:t>
      </w:r>
      <w:r w:rsidR="00D7393D">
        <w:rPr>
          <w:sz w:val="24"/>
          <w:szCs w:val="24"/>
          <w:lang w:eastAsia="cs-CZ"/>
        </w:rPr>
        <w:t xml:space="preserve"> činil</w:t>
      </w:r>
      <w:r w:rsidRPr="00284DB9">
        <w:rPr>
          <w:sz w:val="24"/>
          <w:szCs w:val="24"/>
          <w:lang w:eastAsia="cs-CZ"/>
        </w:rPr>
        <w:t xml:space="preserve"> </w:t>
      </w:r>
      <w:r w:rsidR="005C77FA">
        <w:rPr>
          <w:sz w:val="24"/>
          <w:szCs w:val="24"/>
          <w:lang w:eastAsia="cs-CZ"/>
        </w:rPr>
        <w:t xml:space="preserve">odhad NKÚ </w:t>
      </w:r>
      <w:r w:rsidR="00586BF4">
        <w:rPr>
          <w:sz w:val="24"/>
          <w:szCs w:val="24"/>
          <w:lang w:eastAsia="cs-CZ"/>
        </w:rPr>
        <w:t>92</w:t>
      </w:r>
      <w:r w:rsidR="00B174B0">
        <w:rPr>
          <w:sz w:val="24"/>
          <w:szCs w:val="24"/>
          <w:lang w:eastAsia="cs-CZ"/>
        </w:rPr>
        <w:t xml:space="preserve"> mld</w:t>
      </w:r>
      <w:r w:rsidR="00252968">
        <w:rPr>
          <w:sz w:val="24"/>
          <w:szCs w:val="24"/>
          <w:lang w:eastAsia="cs-CZ"/>
        </w:rPr>
        <w:t>.</w:t>
      </w:r>
      <w:r w:rsidR="00B174B0">
        <w:rPr>
          <w:sz w:val="24"/>
          <w:szCs w:val="24"/>
          <w:lang w:eastAsia="cs-CZ"/>
        </w:rPr>
        <w:t xml:space="preserve"> Kč</w:t>
      </w:r>
      <w:r w:rsidR="00B174B0">
        <w:rPr>
          <w:rStyle w:val="Znakapoznpodarou"/>
          <w:sz w:val="24"/>
          <w:szCs w:val="24"/>
          <w:lang w:eastAsia="cs-CZ"/>
        </w:rPr>
        <w:footnoteReference w:id="15"/>
      </w:r>
      <w:r w:rsidRPr="00284DB9">
        <w:rPr>
          <w:sz w:val="24"/>
          <w:szCs w:val="24"/>
          <w:lang w:eastAsia="cs-CZ"/>
        </w:rPr>
        <w:t xml:space="preserve">. </w:t>
      </w:r>
    </w:p>
    <w:p w14:paraId="5618B262" w14:textId="3ABEF476" w:rsidR="00902B62" w:rsidRDefault="006A7FE1" w:rsidP="00284DB9">
      <w:pPr>
        <w:spacing w:line="240" w:lineRule="auto"/>
        <w:jc w:val="both"/>
        <w:rPr>
          <w:sz w:val="24"/>
          <w:szCs w:val="24"/>
          <w:lang w:eastAsia="cs-CZ"/>
        </w:rPr>
      </w:pPr>
      <w:r w:rsidRPr="00284DB9">
        <w:rPr>
          <w:sz w:val="24"/>
          <w:szCs w:val="24"/>
          <w:lang w:eastAsia="cs-CZ"/>
        </w:rPr>
        <w:t>Evropská komise v roce 2023 publikovala studii</w:t>
      </w:r>
      <w:r w:rsidRPr="00284DB9">
        <w:rPr>
          <w:rStyle w:val="Znakapoznpodarou"/>
          <w:sz w:val="24"/>
          <w:szCs w:val="24"/>
          <w:lang w:eastAsia="cs-CZ"/>
        </w:rPr>
        <w:footnoteReference w:id="16"/>
      </w:r>
      <w:r w:rsidRPr="00284DB9">
        <w:rPr>
          <w:sz w:val="24"/>
          <w:szCs w:val="24"/>
          <w:lang w:eastAsia="cs-CZ"/>
        </w:rPr>
        <w:t xml:space="preserve"> zabývající se odhady dopadů šedé ekonomiky a nehlášené práce v evropských zemích </w:t>
      </w:r>
      <w:r>
        <w:rPr>
          <w:sz w:val="24"/>
          <w:szCs w:val="24"/>
          <w:lang w:eastAsia="cs-CZ"/>
        </w:rPr>
        <w:t>v letech</w:t>
      </w:r>
      <w:r w:rsidRPr="00284DB9">
        <w:rPr>
          <w:sz w:val="24"/>
          <w:szCs w:val="24"/>
          <w:lang w:eastAsia="cs-CZ"/>
        </w:rPr>
        <w:t xml:space="preserve"> 2017 a 2019. Pro Českou republiku </w:t>
      </w:r>
      <w:r w:rsidRPr="00284DB9">
        <w:rPr>
          <w:sz w:val="24"/>
          <w:szCs w:val="24"/>
          <w:lang w:eastAsia="cs-CZ"/>
        </w:rPr>
        <w:lastRenderedPageBreak/>
        <w:t>byl odhadnut rozsah ztráty příjmů ze závislé činnosti v roce 2019 ve výši necelých 89 mld. Kč (1,5 % HDP)</w:t>
      </w:r>
      <w:r w:rsidR="00825187">
        <w:rPr>
          <w:sz w:val="24"/>
          <w:szCs w:val="24"/>
          <w:lang w:eastAsia="cs-CZ"/>
        </w:rPr>
        <w:t>.</w:t>
      </w:r>
      <w:r w:rsidR="009A6695">
        <w:rPr>
          <w:rStyle w:val="Znakapoznpodarou"/>
          <w:sz w:val="24"/>
          <w:szCs w:val="24"/>
          <w:lang w:eastAsia="cs-CZ"/>
        </w:rPr>
        <w:footnoteReference w:id="17"/>
      </w:r>
    </w:p>
    <w:p w14:paraId="3EFF774A" w14:textId="2213DDDA" w:rsidR="008A7F1C" w:rsidRPr="001D5BFB" w:rsidRDefault="008A7F1C" w:rsidP="008A7F1C">
      <w:pPr>
        <w:pStyle w:val="NadpisKZ"/>
        <w:ind w:left="284"/>
      </w:pPr>
      <w:r>
        <w:t>Orgány inspekce práce a celní orgány v letech 2019</w:t>
      </w:r>
      <w:r w:rsidR="00825187">
        <w:t>–</w:t>
      </w:r>
      <w:r>
        <w:t>2023</w:t>
      </w:r>
      <w:r w:rsidRPr="001D5BFB">
        <w:t xml:space="preserve"> provedly</w:t>
      </w:r>
      <w:r>
        <w:t xml:space="preserve"> celkem </w:t>
      </w:r>
      <w:r w:rsidRPr="001D5BFB">
        <w:t>3</w:t>
      </w:r>
      <w:r>
        <w:t xml:space="preserve">5 561 </w:t>
      </w:r>
      <w:r w:rsidRPr="001D5BFB">
        <w:t xml:space="preserve">kontrol se zaměřením na nelegální zaměstnávání </w:t>
      </w:r>
    </w:p>
    <w:p w14:paraId="69902BF2" w14:textId="7DFD7480" w:rsidR="008A7F1C" w:rsidRDefault="008A7F1C" w:rsidP="006164D5">
      <w:pPr>
        <w:spacing w:after="120" w:line="240" w:lineRule="auto"/>
        <w:jc w:val="both"/>
        <w:rPr>
          <w:sz w:val="24"/>
          <w:szCs w:val="24"/>
          <w:lang w:eastAsia="cs-CZ"/>
        </w:rPr>
      </w:pPr>
      <w:r>
        <w:rPr>
          <w:sz w:val="24"/>
          <w:szCs w:val="24"/>
          <w:lang w:eastAsia="cs-CZ"/>
        </w:rPr>
        <w:t>Orgány inspekce práce se v letech 2019</w:t>
      </w:r>
      <w:r w:rsidR="00825187">
        <w:rPr>
          <w:rFonts w:cstheme="minorHAnsi"/>
          <w:sz w:val="24"/>
          <w:szCs w:val="24"/>
          <w:lang w:eastAsia="cs-CZ"/>
        </w:rPr>
        <w:t>–</w:t>
      </w:r>
      <w:r>
        <w:rPr>
          <w:sz w:val="24"/>
          <w:szCs w:val="24"/>
          <w:lang w:eastAsia="cs-CZ"/>
        </w:rPr>
        <w:t>2023 zaměřily na nelegální zaměstnávání u třetiny z celkového počtu 94 659 provedených kontrol, tj. 32 085, a v</w:t>
      </w:r>
      <w:r w:rsidR="007B1B2E">
        <w:rPr>
          <w:sz w:val="24"/>
          <w:szCs w:val="24"/>
          <w:lang w:eastAsia="cs-CZ"/>
        </w:rPr>
        <w:t xml:space="preserve"> </w:t>
      </w:r>
      <w:r>
        <w:rPr>
          <w:sz w:val="24"/>
          <w:szCs w:val="24"/>
          <w:lang w:eastAsia="cs-CZ"/>
        </w:rPr>
        <w:t>souvislosti s</w:t>
      </w:r>
      <w:r w:rsidR="007B1B2E">
        <w:rPr>
          <w:sz w:val="24"/>
          <w:szCs w:val="24"/>
          <w:lang w:eastAsia="cs-CZ"/>
        </w:rPr>
        <w:t xml:space="preserve"> </w:t>
      </w:r>
      <w:r>
        <w:rPr>
          <w:sz w:val="24"/>
          <w:szCs w:val="24"/>
          <w:lang w:eastAsia="cs-CZ"/>
        </w:rPr>
        <w:t>nelegálním zaměstnáváním pravomocně uložily celkem 2 450 pokut v celkové výši 739 mil. Kč. V rámci provedených kontrol v</w:t>
      </w:r>
      <w:r w:rsidR="00247E8E">
        <w:rPr>
          <w:sz w:val="24"/>
          <w:szCs w:val="24"/>
          <w:lang w:eastAsia="cs-CZ"/>
        </w:rPr>
        <w:t xml:space="preserve"> </w:t>
      </w:r>
      <w:r>
        <w:rPr>
          <w:sz w:val="24"/>
          <w:szCs w:val="24"/>
          <w:lang w:eastAsia="cs-CZ"/>
        </w:rPr>
        <w:t xml:space="preserve">oblasti NLZ orgány inspekce práce zjistily 16 109 nelegálně zaměstnaných osob, z toho cizinci mimo EU tvořili téměř 80 %. </w:t>
      </w:r>
    </w:p>
    <w:p w14:paraId="5AF2C97D" w14:textId="77777777" w:rsidR="008A7F1C" w:rsidRDefault="008A7F1C" w:rsidP="008A7F1C">
      <w:pPr>
        <w:spacing w:line="240" w:lineRule="auto"/>
        <w:jc w:val="both"/>
        <w:rPr>
          <w:sz w:val="24"/>
          <w:szCs w:val="24"/>
          <w:lang w:eastAsia="cs-CZ"/>
        </w:rPr>
      </w:pPr>
      <w:r>
        <w:rPr>
          <w:sz w:val="24"/>
          <w:szCs w:val="24"/>
          <w:lang w:eastAsia="cs-CZ"/>
        </w:rPr>
        <w:t>GŘC ukončilo v letech 2019–2023 celkem 3 476 kontrol zaměstnávání cizinců a zjistilo nelegální zaměstnávání cizinců v téměř 50 % provedených kontrol.</w:t>
      </w:r>
    </w:p>
    <w:bookmarkEnd w:id="8"/>
    <w:p w14:paraId="0C804221" w14:textId="7BA3D1E1" w:rsidR="00642298" w:rsidRPr="00C47E97" w:rsidRDefault="00D52B1B" w:rsidP="000C1B16">
      <w:pPr>
        <w:pStyle w:val="Nadpis1"/>
        <w:keepLines/>
        <w:numPr>
          <w:ilvl w:val="0"/>
          <w:numId w:val="0"/>
        </w:numPr>
        <w:tabs>
          <w:tab w:val="center" w:pos="4536"/>
        </w:tabs>
        <w:overflowPunct/>
        <w:autoSpaceDE/>
        <w:autoSpaceDN/>
        <w:adjustRightInd/>
        <w:spacing w:before="720" w:after="240"/>
        <w:textAlignment w:val="auto"/>
        <w:rPr>
          <w:sz w:val="28"/>
          <w:szCs w:val="24"/>
        </w:rPr>
      </w:pPr>
      <w:r w:rsidRPr="00C47E97">
        <w:rPr>
          <w:sz w:val="28"/>
          <w:szCs w:val="24"/>
        </w:rPr>
        <w:t>II. Informace o kontrolované oblasti</w:t>
      </w:r>
    </w:p>
    <w:bookmarkEnd w:id="0"/>
    <w:bookmarkEnd w:id="1"/>
    <w:bookmarkEnd w:id="3"/>
    <w:p w14:paraId="2F75AE60" w14:textId="4A098046" w:rsidR="00DF1864" w:rsidRDefault="00741C89" w:rsidP="006164D5">
      <w:pPr>
        <w:shd w:val="clear" w:color="auto" w:fill="FFFFFF"/>
        <w:spacing w:line="240" w:lineRule="auto"/>
        <w:jc w:val="both"/>
        <w:rPr>
          <w:sz w:val="24"/>
          <w:szCs w:val="24"/>
          <w:lang w:eastAsia="cs-CZ"/>
        </w:rPr>
      </w:pPr>
      <w:r w:rsidRPr="001D7D7B">
        <w:rPr>
          <w:sz w:val="24"/>
          <w:szCs w:val="24"/>
          <w:lang w:eastAsia="cs-CZ"/>
        </w:rPr>
        <w:t>Nelegální práce</w:t>
      </w:r>
      <w:r w:rsidR="003D5D99">
        <w:rPr>
          <w:sz w:val="24"/>
          <w:szCs w:val="24"/>
          <w:lang w:eastAsia="cs-CZ"/>
        </w:rPr>
        <w:t xml:space="preserve"> </w:t>
      </w:r>
      <w:r w:rsidRPr="001D7D7B">
        <w:rPr>
          <w:sz w:val="24"/>
          <w:szCs w:val="24"/>
          <w:lang w:eastAsia="cs-CZ"/>
        </w:rPr>
        <w:t>je definována v ust</w:t>
      </w:r>
      <w:r>
        <w:rPr>
          <w:sz w:val="24"/>
          <w:szCs w:val="24"/>
          <w:lang w:eastAsia="cs-CZ"/>
        </w:rPr>
        <w:t>anovení</w:t>
      </w:r>
      <w:r w:rsidRPr="001D7D7B">
        <w:rPr>
          <w:sz w:val="24"/>
          <w:szCs w:val="24"/>
          <w:lang w:eastAsia="cs-CZ"/>
        </w:rPr>
        <w:t xml:space="preserve"> § 5 písm. e) zákona </w:t>
      </w:r>
      <w:r w:rsidR="00547D9D">
        <w:rPr>
          <w:sz w:val="24"/>
          <w:szCs w:val="24"/>
          <w:lang w:eastAsia="cs-CZ"/>
        </w:rPr>
        <w:t>o zaměstnanosti</w:t>
      </w:r>
      <w:r w:rsidRPr="001D7D7B">
        <w:rPr>
          <w:sz w:val="24"/>
          <w:szCs w:val="24"/>
          <w:lang w:eastAsia="cs-CZ"/>
        </w:rPr>
        <w:t xml:space="preserve"> jako závislá práce</w:t>
      </w:r>
      <w:r w:rsidR="00714F5E">
        <w:rPr>
          <w:rStyle w:val="Znakapoznpodarou"/>
          <w:sz w:val="24"/>
          <w:szCs w:val="24"/>
          <w:lang w:eastAsia="cs-CZ"/>
        </w:rPr>
        <w:footnoteReference w:id="18"/>
      </w:r>
      <w:r w:rsidRPr="001D7D7B">
        <w:rPr>
          <w:sz w:val="24"/>
          <w:szCs w:val="24"/>
          <w:lang w:eastAsia="cs-CZ"/>
        </w:rPr>
        <w:t xml:space="preserve"> vykonáv</w:t>
      </w:r>
      <w:r w:rsidR="006C3F06">
        <w:rPr>
          <w:sz w:val="24"/>
          <w:szCs w:val="24"/>
          <w:lang w:eastAsia="cs-CZ"/>
        </w:rPr>
        <w:t>a</w:t>
      </w:r>
      <w:r w:rsidRPr="001D7D7B">
        <w:rPr>
          <w:sz w:val="24"/>
          <w:szCs w:val="24"/>
          <w:lang w:eastAsia="cs-CZ"/>
        </w:rPr>
        <w:t>n</w:t>
      </w:r>
      <w:r w:rsidR="006C3F06">
        <w:rPr>
          <w:sz w:val="24"/>
          <w:szCs w:val="24"/>
          <w:lang w:eastAsia="cs-CZ"/>
        </w:rPr>
        <w:t>á</w:t>
      </w:r>
      <w:r w:rsidRPr="001D7D7B">
        <w:rPr>
          <w:sz w:val="24"/>
          <w:szCs w:val="24"/>
          <w:lang w:eastAsia="cs-CZ"/>
        </w:rPr>
        <w:t xml:space="preserve"> fyzickou osobou mimo pracovněprávní vztah (tzn. bez uzavření pracovní smlouvy, případně dohody o provedení práce či dohody o pracovní činnosti). V případě cizinců </w:t>
      </w:r>
      <w:r w:rsidR="000F7765">
        <w:rPr>
          <w:sz w:val="24"/>
          <w:szCs w:val="24"/>
          <w:lang w:eastAsia="cs-CZ"/>
        </w:rPr>
        <w:t>se jedná</w:t>
      </w:r>
      <w:r w:rsidRPr="001D7D7B">
        <w:rPr>
          <w:sz w:val="24"/>
          <w:szCs w:val="24"/>
          <w:lang w:eastAsia="cs-CZ"/>
        </w:rPr>
        <w:t xml:space="preserve"> o nelegální práci také tehdy, pokud je práce vykonávána cizincem bez </w:t>
      </w:r>
      <w:r w:rsidR="001D5513" w:rsidRPr="001D7D7B">
        <w:rPr>
          <w:sz w:val="24"/>
          <w:szCs w:val="24"/>
          <w:lang w:eastAsia="cs-CZ"/>
        </w:rPr>
        <w:t>vydan</w:t>
      </w:r>
      <w:r w:rsidR="001D5513">
        <w:rPr>
          <w:sz w:val="24"/>
          <w:szCs w:val="24"/>
          <w:lang w:eastAsia="cs-CZ"/>
        </w:rPr>
        <w:t>ého</w:t>
      </w:r>
      <w:r w:rsidR="001D5513" w:rsidRPr="001D7D7B">
        <w:rPr>
          <w:sz w:val="24"/>
          <w:szCs w:val="24"/>
          <w:lang w:eastAsia="cs-CZ"/>
        </w:rPr>
        <w:t xml:space="preserve"> povolení k</w:t>
      </w:r>
      <w:r w:rsidR="001D5513">
        <w:rPr>
          <w:sz w:val="24"/>
          <w:szCs w:val="24"/>
          <w:lang w:eastAsia="cs-CZ"/>
        </w:rPr>
        <w:t> </w:t>
      </w:r>
      <w:r w:rsidR="001D5513" w:rsidRPr="001D7D7B">
        <w:rPr>
          <w:sz w:val="24"/>
          <w:szCs w:val="24"/>
          <w:lang w:eastAsia="cs-CZ"/>
        </w:rPr>
        <w:t>zaměstnání</w:t>
      </w:r>
      <w:r w:rsidR="001D5513">
        <w:rPr>
          <w:sz w:val="24"/>
          <w:szCs w:val="24"/>
          <w:lang w:eastAsia="cs-CZ"/>
        </w:rPr>
        <w:t xml:space="preserve"> </w:t>
      </w:r>
      <w:r w:rsidRPr="001D7D7B">
        <w:rPr>
          <w:sz w:val="24"/>
          <w:szCs w:val="24"/>
          <w:lang w:eastAsia="cs-CZ"/>
        </w:rPr>
        <w:t>nebo v rozporu s</w:t>
      </w:r>
      <w:r w:rsidR="001D5513">
        <w:rPr>
          <w:sz w:val="24"/>
          <w:szCs w:val="24"/>
          <w:lang w:eastAsia="cs-CZ"/>
        </w:rPr>
        <w:t> tímto povolením</w:t>
      </w:r>
      <w:r w:rsidRPr="000C1493">
        <w:rPr>
          <w:sz w:val="24"/>
          <w:szCs w:val="24"/>
          <w:lang w:eastAsia="cs-CZ"/>
        </w:rPr>
        <w:t>,</w:t>
      </w:r>
      <w:r w:rsidR="00BA5323" w:rsidRPr="00090DB2">
        <w:rPr>
          <w:rFonts w:ascii="Calibri" w:eastAsia="Calibri" w:hAnsi="Calibri" w:cs="Calibri"/>
          <w:i/>
          <w:color w:val="000000"/>
          <w:sz w:val="24"/>
          <w:szCs w:val="24"/>
        </w:rPr>
        <w:t xml:space="preserve"> </w:t>
      </w:r>
      <w:r w:rsidR="00BA5323" w:rsidRPr="00090DB2">
        <w:rPr>
          <w:rFonts w:ascii="Calibri" w:eastAsia="Calibri" w:hAnsi="Calibri" w:cs="Calibri"/>
          <w:color w:val="000000"/>
          <w:sz w:val="24"/>
          <w:szCs w:val="24"/>
        </w:rPr>
        <w:t xml:space="preserve">je-li podle tohoto zákona </w:t>
      </w:r>
      <w:r w:rsidR="001D5513">
        <w:rPr>
          <w:rFonts w:ascii="Calibri" w:eastAsia="Calibri" w:hAnsi="Calibri" w:cs="Calibri"/>
          <w:color w:val="000000"/>
          <w:sz w:val="24"/>
          <w:szCs w:val="24"/>
        </w:rPr>
        <w:t xml:space="preserve">povolení </w:t>
      </w:r>
      <w:r w:rsidR="00BA5323" w:rsidRPr="00090DB2">
        <w:rPr>
          <w:rFonts w:ascii="Calibri" w:eastAsia="Calibri" w:hAnsi="Calibri" w:cs="Calibri"/>
          <w:color w:val="000000"/>
          <w:sz w:val="24"/>
          <w:szCs w:val="24"/>
        </w:rPr>
        <w:t>vyžadováno</w:t>
      </w:r>
      <w:r w:rsidR="00BA5323" w:rsidRPr="00090DB2">
        <w:rPr>
          <w:rFonts w:ascii="Calibri" w:eastAsia="Calibri" w:hAnsi="Calibri" w:cs="Calibri"/>
          <w:color w:val="000000"/>
          <w:vertAlign w:val="superscript"/>
        </w:rPr>
        <w:footnoteReference w:id="19"/>
      </w:r>
      <w:r w:rsidR="001D5513">
        <w:rPr>
          <w:rFonts w:ascii="Calibri" w:eastAsia="Calibri" w:hAnsi="Calibri" w:cs="Calibri"/>
          <w:color w:val="000000"/>
          <w:sz w:val="24"/>
          <w:szCs w:val="24"/>
        </w:rPr>
        <w:t>,</w:t>
      </w:r>
      <w:r w:rsidRPr="001D7D7B">
        <w:rPr>
          <w:sz w:val="24"/>
          <w:szCs w:val="24"/>
          <w:lang w:eastAsia="cs-CZ"/>
        </w:rPr>
        <w:t xml:space="preserve"> </w:t>
      </w:r>
      <w:r w:rsidR="001D5513">
        <w:rPr>
          <w:sz w:val="24"/>
          <w:szCs w:val="24"/>
          <w:lang w:eastAsia="cs-CZ"/>
        </w:rPr>
        <w:t xml:space="preserve">v rozporu se </w:t>
      </w:r>
      <w:r w:rsidRPr="001D7D7B">
        <w:rPr>
          <w:sz w:val="24"/>
          <w:szCs w:val="24"/>
          <w:lang w:eastAsia="cs-CZ"/>
        </w:rPr>
        <w:t>zaměstnaneckou či modrou kartou nebo kartou vnitropodnikově převedeného zaměstnance</w:t>
      </w:r>
      <w:r w:rsidR="000045B6">
        <w:rPr>
          <w:sz w:val="24"/>
          <w:szCs w:val="24"/>
          <w:lang w:eastAsia="cs-CZ"/>
        </w:rPr>
        <w:t>,</w:t>
      </w:r>
      <w:r w:rsidRPr="001D7D7B">
        <w:rPr>
          <w:sz w:val="24"/>
          <w:szCs w:val="24"/>
          <w:lang w:eastAsia="cs-CZ"/>
        </w:rPr>
        <w:t xml:space="preserve"> a také v případě, že je práce vykonávána cizincem bez platného oprávnění k pobytu na území České republiky v případech, kdy je toto oprávnění požadováno</w:t>
      </w:r>
      <w:r w:rsidR="00D0674C" w:rsidRPr="00090DB2">
        <w:rPr>
          <w:sz w:val="24"/>
          <w:szCs w:val="24"/>
          <w:lang w:eastAsia="cs-CZ"/>
        </w:rPr>
        <w:t>,</w:t>
      </w:r>
      <w:r w:rsidR="00D0674C" w:rsidRPr="00090DB2">
        <w:rPr>
          <w:rFonts w:ascii="Calibri" w:eastAsia="Calibri" w:hAnsi="Calibri" w:cs="Calibri"/>
          <w:color w:val="000000"/>
          <w:sz w:val="24"/>
          <w:szCs w:val="24"/>
        </w:rPr>
        <w:t xml:space="preserve"> to neplatí v případě výkonu jiné práce podle § 41 odst. 1 písm. c)</w:t>
      </w:r>
      <w:r w:rsidR="006E6739">
        <w:rPr>
          <w:rFonts w:ascii="Calibri" w:eastAsia="Calibri" w:hAnsi="Calibri" w:cs="Calibri"/>
          <w:color w:val="000000"/>
          <w:sz w:val="24"/>
          <w:szCs w:val="24"/>
        </w:rPr>
        <w:t xml:space="preserve"> </w:t>
      </w:r>
      <w:r w:rsidR="00F05B12" w:rsidRPr="001D7D7B">
        <w:rPr>
          <w:sz w:val="24"/>
          <w:szCs w:val="24"/>
          <w:lang w:eastAsia="cs-CZ"/>
        </w:rPr>
        <w:t>zákona</w:t>
      </w:r>
      <w:r w:rsidR="001D5513">
        <w:rPr>
          <w:sz w:val="24"/>
          <w:szCs w:val="24"/>
          <w:lang w:eastAsia="cs-CZ"/>
        </w:rPr>
        <w:t xml:space="preserve"> </w:t>
      </w:r>
      <w:r w:rsidR="00F05B12" w:rsidRPr="001D7D7B">
        <w:rPr>
          <w:sz w:val="24"/>
          <w:szCs w:val="24"/>
          <w:lang w:eastAsia="cs-CZ"/>
        </w:rPr>
        <w:t>č. 262/2006 Sb</w:t>
      </w:r>
      <w:r w:rsidR="006A6099">
        <w:rPr>
          <w:sz w:val="24"/>
          <w:szCs w:val="24"/>
          <w:lang w:eastAsia="cs-CZ"/>
        </w:rPr>
        <w:t>.</w:t>
      </w:r>
      <w:r w:rsidR="001D5513">
        <w:rPr>
          <w:sz w:val="24"/>
          <w:szCs w:val="24"/>
          <w:lang w:eastAsia="cs-CZ"/>
        </w:rPr>
        <w:t xml:space="preserve"> </w:t>
      </w:r>
      <w:r w:rsidRPr="001D7D7B">
        <w:rPr>
          <w:sz w:val="24"/>
          <w:szCs w:val="24"/>
          <w:lang w:eastAsia="cs-CZ"/>
        </w:rPr>
        <w:t>Pro posouzení toho, zda se jedná o nelegální práci, není podstatná délka výkonu této práce.</w:t>
      </w:r>
    </w:p>
    <w:p w14:paraId="756EEC8C" w14:textId="7FBF14EC" w:rsidR="00206115" w:rsidRPr="001D7D7B" w:rsidRDefault="00206115" w:rsidP="006164D5">
      <w:pPr>
        <w:shd w:val="clear" w:color="auto" w:fill="FFFFFF"/>
        <w:spacing w:line="240" w:lineRule="auto"/>
        <w:jc w:val="both"/>
        <w:rPr>
          <w:sz w:val="24"/>
          <w:szCs w:val="24"/>
          <w:lang w:eastAsia="cs-CZ"/>
        </w:rPr>
      </w:pPr>
      <w:r w:rsidRPr="001D7D7B">
        <w:rPr>
          <w:sz w:val="24"/>
          <w:szCs w:val="24"/>
          <w:lang w:eastAsia="cs-CZ"/>
        </w:rPr>
        <w:t>S</w:t>
      </w:r>
      <w:r w:rsidR="00825187">
        <w:rPr>
          <w:sz w:val="24"/>
          <w:szCs w:val="24"/>
          <w:lang w:eastAsia="cs-CZ"/>
        </w:rPr>
        <w:t> </w:t>
      </w:r>
      <w:r w:rsidRPr="001D7D7B">
        <w:rPr>
          <w:sz w:val="24"/>
          <w:szCs w:val="24"/>
          <w:lang w:eastAsia="cs-CZ"/>
        </w:rPr>
        <w:t>pojmem</w:t>
      </w:r>
      <w:r w:rsidR="00825187">
        <w:rPr>
          <w:sz w:val="24"/>
          <w:szCs w:val="24"/>
          <w:lang w:eastAsia="cs-CZ"/>
        </w:rPr>
        <w:t xml:space="preserve"> </w:t>
      </w:r>
      <w:r w:rsidRPr="001D7D7B">
        <w:rPr>
          <w:sz w:val="24"/>
          <w:szCs w:val="24"/>
          <w:lang w:eastAsia="cs-CZ"/>
        </w:rPr>
        <w:t>nelegální práce</w:t>
      </w:r>
      <w:r w:rsidR="00825187">
        <w:rPr>
          <w:sz w:val="24"/>
          <w:szCs w:val="24"/>
          <w:lang w:eastAsia="cs-CZ"/>
        </w:rPr>
        <w:t xml:space="preserve"> </w:t>
      </w:r>
      <w:r w:rsidRPr="001D7D7B">
        <w:rPr>
          <w:sz w:val="24"/>
          <w:szCs w:val="24"/>
          <w:lang w:eastAsia="cs-CZ"/>
        </w:rPr>
        <w:t>je úzce spjat pojem</w:t>
      </w:r>
      <w:r w:rsidR="00825187">
        <w:rPr>
          <w:sz w:val="24"/>
          <w:szCs w:val="24"/>
          <w:lang w:eastAsia="cs-CZ"/>
        </w:rPr>
        <w:t xml:space="preserve"> </w:t>
      </w:r>
      <w:r w:rsidRPr="001D7D7B">
        <w:rPr>
          <w:sz w:val="24"/>
          <w:szCs w:val="24"/>
          <w:lang w:eastAsia="cs-CZ"/>
        </w:rPr>
        <w:t>závislá práce. Ta je v ust</w:t>
      </w:r>
      <w:r w:rsidR="001D7D7B" w:rsidRPr="001D7D7B">
        <w:rPr>
          <w:sz w:val="24"/>
          <w:szCs w:val="24"/>
          <w:lang w:eastAsia="cs-CZ"/>
        </w:rPr>
        <w:t>anovení</w:t>
      </w:r>
      <w:r w:rsidRPr="001D7D7B">
        <w:rPr>
          <w:sz w:val="24"/>
          <w:szCs w:val="24"/>
          <w:lang w:eastAsia="cs-CZ"/>
        </w:rPr>
        <w:t xml:space="preserve"> § 2</w:t>
      </w:r>
      <w:r w:rsidR="00825187">
        <w:rPr>
          <w:sz w:val="24"/>
          <w:szCs w:val="24"/>
          <w:lang w:eastAsia="cs-CZ"/>
        </w:rPr>
        <w:t xml:space="preserve"> </w:t>
      </w:r>
      <w:r w:rsidRPr="001D7D7B">
        <w:rPr>
          <w:sz w:val="24"/>
          <w:szCs w:val="24"/>
          <w:lang w:eastAsia="cs-CZ"/>
        </w:rPr>
        <w:t>a § 3</w:t>
      </w:r>
      <w:r w:rsidR="00825187">
        <w:rPr>
          <w:sz w:val="24"/>
          <w:szCs w:val="24"/>
          <w:lang w:eastAsia="cs-CZ"/>
        </w:rPr>
        <w:t xml:space="preserve"> </w:t>
      </w:r>
      <w:r w:rsidRPr="001D7D7B">
        <w:rPr>
          <w:sz w:val="24"/>
          <w:szCs w:val="24"/>
          <w:lang w:eastAsia="cs-CZ"/>
        </w:rPr>
        <w:t>zákona</w:t>
      </w:r>
      <w:r w:rsidR="00825187">
        <w:rPr>
          <w:sz w:val="24"/>
          <w:szCs w:val="24"/>
          <w:lang w:eastAsia="cs-CZ"/>
        </w:rPr>
        <w:t xml:space="preserve"> </w:t>
      </w:r>
      <w:r w:rsidRPr="001D7D7B">
        <w:rPr>
          <w:sz w:val="24"/>
          <w:szCs w:val="24"/>
          <w:lang w:eastAsia="cs-CZ"/>
        </w:rPr>
        <w:t xml:space="preserve">č. 262/2006 Sb. definována jako práce, která je vykonávána ve vztahu nadřízenosti zaměstnavatele a podřízenosti zaměstnance, jménem zaměstnavatele, podle </w:t>
      </w:r>
      <w:r w:rsidR="00090DB2" w:rsidRPr="001D7D7B">
        <w:rPr>
          <w:sz w:val="24"/>
          <w:szCs w:val="24"/>
          <w:lang w:eastAsia="cs-CZ"/>
        </w:rPr>
        <w:t>pokynů zaměstnavatele</w:t>
      </w:r>
      <w:r w:rsidR="009B7D9C">
        <w:rPr>
          <w:sz w:val="24"/>
          <w:szCs w:val="24"/>
          <w:lang w:eastAsia="cs-CZ"/>
        </w:rPr>
        <w:t xml:space="preserve"> a zaměstnanec</w:t>
      </w:r>
      <w:r w:rsidRPr="001D7D7B">
        <w:rPr>
          <w:sz w:val="24"/>
          <w:szCs w:val="24"/>
          <w:lang w:eastAsia="cs-CZ"/>
        </w:rPr>
        <w:t xml:space="preserve"> ji pro zaměstnavatele vykonává osobně. </w:t>
      </w:r>
      <w:r w:rsidR="001D7D7B" w:rsidRPr="001D7D7B">
        <w:rPr>
          <w:sz w:val="24"/>
          <w:szCs w:val="24"/>
          <w:lang w:eastAsia="cs-CZ"/>
        </w:rPr>
        <w:t>Musí být vykonávána za mzdu, plat nebo odměnu za práci, na náklady a odpovědnost zaměstnavatele, v pracovní době na pracovišti zaměstnavatele, popřípadě na jiném dohodnutém místě.</w:t>
      </w:r>
    </w:p>
    <w:p w14:paraId="3B75A947" w14:textId="59B19BAA" w:rsidR="00137072" w:rsidRDefault="00F97436" w:rsidP="00191BB4">
      <w:pPr>
        <w:shd w:val="clear" w:color="auto" w:fill="FFFFFF"/>
        <w:spacing w:line="240" w:lineRule="auto"/>
        <w:jc w:val="both"/>
        <w:rPr>
          <w:rFonts w:cstheme="minorHAnsi"/>
          <w:color w:val="000000"/>
          <w:sz w:val="24"/>
          <w:szCs w:val="24"/>
        </w:rPr>
      </w:pPr>
      <w:r>
        <w:rPr>
          <w:rFonts w:cstheme="minorHAnsi"/>
          <w:color w:val="000000"/>
          <w:sz w:val="24"/>
          <w:szCs w:val="24"/>
        </w:rPr>
        <w:t>Podle</w:t>
      </w:r>
      <w:r w:rsidRPr="00A31F84">
        <w:rPr>
          <w:rFonts w:cstheme="minorHAnsi"/>
          <w:color w:val="000000"/>
          <w:sz w:val="24"/>
          <w:szCs w:val="24"/>
        </w:rPr>
        <w:t xml:space="preserve"> zákona </w:t>
      </w:r>
      <w:r w:rsidR="00D14CDA">
        <w:rPr>
          <w:rFonts w:cstheme="minorHAnsi"/>
          <w:color w:val="000000"/>
          <w:sz w:val="24"/>
          <w:szCs w:val="24"/>
        </w:rPr>
        <w:t>o zaměstnanosti</w:t>
      </w:r>
      <w:r w:rsidRPr="00A31F84">
        <w:rPr>
          <w:rFonts w:cstheme="minorHAnsi"/>
          <w:color w:val="000000"/>
          <w:sz w:val="24"/>
          <w:szCs w:val="24"/>
        </w:rPr>
        <w:t xml:space="preserve"> </w:t>
      </w:r>
      <w:r>
        <w:rPr>
          <w:rFonts w:cstheme="minorHAnsi"/>
          <w:color w:val="000000"/>
          <w:sz w:val="24"/>
          <w:szCs w:val="24"/>
        </w:rPr>
        <w:t>může být fyzické osobě vykonávající</w:t>
      </w:r>
      <w:r w:rsidRPr="00A31F84">
        <w:rPr>
          <w:rFonts w:cstheme="minorHAnsi"/>
          <w:color w:val="000000"/>
          <w:sz w:val="24"/>
          <w:szCs w:val="24"/>
        </w:rPr>
        <w:t xml:space="preserve"> </w:t>
      </w:r>
      <w:r>
        <w:rPr>
          <w:rFonts w:cstheme="minorHAnsi"/>
          <w:color w:val="000000"/>
          <w:sz w:val="24"/>
          <w:szCs w:val="24"/>
        </w:rPr>
        <w:t xml:space="preserve">nelegální </w:t>
      </w:r>
      <w:r w:rsidRPr="00A31F84">
        <w:rPr>
          <w:rFonts w:cstheme="minorHAnsi"/>
          <w:color w:val="000000"/>
          <w:sz w:val="24"/>
          <w:szCs w:val="24"/>
        </w:rPr>
        <w:t xml:space="preserve">práci </w:t>
      </w:r>
      <w:r>
        <w:rPr>
          <w:rFonts w:cstheme="minorHAnsi"/>
          <w:color w:val="000000"/>
          <w:sz w:val="24"/>
          <w:szCs w:val="24"/>
        </w:rPr>
        <w:t>uložen</w:t>
      </w:r>
      <w:r w:rsidR="009308B1">
        <w:rPr>
          <w:rFonts w:cstheme="minorHAnsi"/>
          <w:color w:val="000000"/>
          <w:sz w:val="24"/>
          <w:szCs w:val="24"/>
        </w:rPr>
        <w:t>a</w:t>
      </w:r>
      <w:r>
        <w:rPr>
          <w:rFonts w:cstheme="minorHAnsi"/>
          <w:color w:val="000000"/>
          <w:sz w:val="24"/>
          <w:szCs w:val="24"/>
        </w:rPr>
        <w:t xml:space="preserve"> pokuta </w:t>
      </w:r>
      <w:r w:rsidRPr="00A31F84">
        <w:rPr>
          <w:rFonts w:cstheme="minorHAnsi"/>
          <w:color w:val="000000"/>
          <w:sz w:val="24"/>
          <w:szCs w:val="24"/>
        </w:rPr>
        <w:t>až do částky 100 </w:t>
      </w:r>
      <w:r>
        <w:rPr>
          <w:rFonts w:cstheme="minorHAnsi"/>
          <w:color w:val="000000"/>
          <w:sz w:val="24"/>
          <w:szCs w:val="24"/>
        </w:rPr>
        <w:t>tis.</w:t>
      </w:r>
      <w:r w:rsidRPr="00A31F84">
        <w:rPr>
          <w:rFonts w:cstheme="minorHAnsi"/>
          <w:color w:val="000000"/>
          <w:sz w:val="24"/>
          <w:szCs w:val="24"/>
        </w:rPr>
        <w:t xml:space="preserve"> Kč</w:t>
      </w:r>
      <w:r>
        <w:rPr>
          <w:rFonts w:cstheme="minorHAnsi"/>
          <w:color w:val="000000"/>
          <w:sz w:val="24"/>
          <w:szCs w:val="24"/>
        </w:rPr>
        <w:t>.</w:t>
      </w:r>
      <w:r w:rsidR="00D0674C">
        <w:rPr>
          <w:rFonts w:cstheme="minorHAnsi"/>
          <w:color w:val="000000"/>
          <w:sz w:val="24"/>
          <w:szCs w:val="24"/>
        </w:rPr>
        <w:t xml:space="preserve"> F</w:t>
      </w:r>
      <w:r w:rsidR="00D0674C" w:rsidRPr="00D0674C">
        <w:rPr>
          <w:rFonts w:cstheme="minorHAnsi"/>
          <w:color w:val="000000"/>
          <w:sz w:val="24"/>
          <w:szCs w:val="24"/>
        </w:rPr>
        <w:t>yzické osob</w:t>
      </w:r>
      <w:r w:rsidR="006A7FE1">
        <w:rPr>
          <w:rFonts w:cstheme="minorHAnsi"/>
          <w:color w:val="000000"/>
          <w:sz w:val="24"/>
          <w:szCs w:val="24"/>
        </w:rPr>
        <w:t>ě</w:t>
      </w:r>
      <w:r w:rsidR="00D0674C" w:rsidRPr="00D0674C">
        <w:rPr>
          <w:rFonts w:cstheme="minorHAnsi"/>
          <w:color w:val="000000"/>
          <w:sz w:val="24"/>
          <w:szCs w:val="24"/>
        </w:rPr>
        <w:t>, kter</w:t>
      </w:r>
      <w:r w:rsidR="006A7FE1">
        <w:rPr>
          <w:rFonts w:cstheme="minorHAnsi"/>
          <w:color w:val="000000"/>
          <w:sz w:val="24"/>
          <w:szCs w:val="24"/>
        </w:rPr>
        <w:t>á</w:t>
      </w:r>
      <w:r w:rsidR="00D0674C" w:rsidRPr="00D0674C">
        <w:rPr>
          <w:rFonts w:cstheme="minorHAnsi"/>
          <w:color w:val="000000"/>
          <w:sz w:val="24"/>
          <w:szCs w:val="24"/>
        </w:rPr>
        <w:t xml:space="preserve"> umožní výkon nelegální práce</w:t>
      </w:r>
      <w:r w:rsidR="00191BB4">
        <w:rPr>
          <w:rFonts w:cstheme="minorHAnsi"/>
          <w:color w:val="000000"/>
          <w:sz w:val="24"/>
          <w:szCs w:val="24"/>
        </w:rPr>
        <w:t>,</w:t>
      </w:r>
      <w:r w:rsidR="00D0674C" w:rsidRPr="00D0674C">
        <w:rPr>
          <w:rFonts w:cstheme="minorHAnsi"/>
          <w:color w:val="000000"/>
          <w:sz w:val="24"/>
          <w:szCs w:val="24"/>
        </w:rPr>
        <w:t xml:space="preserve"> </w:t>
      </w:r>
      <w:r w:rsidR="00D0674C">
        <w:rPr>
          <w:rFonts w:cstheme="minorHAnsi"/>
          <w:color w:val="000000"/>
          <w:sz w:val="24"/>
          <w:szCs w:val="24"/>
        </w:rPr>
        <w:t xml:space="preserve">může být uložena </w:t>
      </w:r>
      <w:r w:rsidR="00D0674C" w:rsidRPr="00D0674C">
        <w:rPr>
          <w:rFonts w:cstheme="minorHAnsi"/>
          <w:color w:val="000000"/>
          <w:sz w:val="24"/>
          <w:szCs w:val="24"/>
        </w:rPr>
        <w:t>pokuta</w:t>
      </w:r>
      <w:r w:rsidR="00D0674C">
        <w:rPr>
          <w:rFonts w:cstheme="minorHAnsi"/>
          <w:color w:val="000000"/>
          <w:sz w:val="24"/>
          <w:szCs w:val="24"/>
        </w:rPr>
        <w:t xml:space="preserve"> až</w:t>
      </w:r>
      <w:r w:rsidR="00D0674C" w:rsidRPr="00D0674C">
        <w:rPr>
          <w:rFonts w:cstheme="minorHAnsi"/>
          <w:color w:val="000000"/>
          <w:sz w:val="24"/>
          <w:szCs w:val="24"/>
        </w:rPr>
        <w:t xml:space="preserve"> do </w:t>
      </w:r>
      <w:r w:rsidR="00D0674C">
        <w:rPr>
          <w:rFonts w:cstheme="minorHAnsi"/>
          <w:color w:val="000000"/>
          <w:sz w:val="24"/>
          <w:szCs w:val="24"/>
        </w:rPr>
        <w:t xml:space="preserve">částky </w:t>
      </w:r>
      <w:r w:rsidR="00D0674C" w:rsidRPr="00D0674C">
        <w:rPr>
          <w:rFonts w:cstheme="minorHAnsi"/>
          <w:color w:val="000000"/>
          <w:sz w:val="24"/>
          <w:szCs w:val="24"/>
        </w:rPr>
        <w:t>5 mil. Kč</w:t>
      </w:r>
      <w:r w:rsidR="00D0674C">
        <w:rPr>
          <w:rFonts w:cstheme="minorHAnsi"/>
          <w:color w:val="000000"/>
          <w:sz w:val="24"/>
          <w:szCs w:val="24"/>
        </w:rPr>
        <w:t>.</w:t>
      </w:r>
      <w:r>
        <w:rPr>
          <w:rFonts w:cstheme="minorHAnsi"/>
          <w:color w:val="000000"/>
          <w:sz w:val="24"/>
          <w:szCs w:val="24"/>
        </w:rPr>
        <w:t xml:space="preserve"> Právnické či</w:t>
      </w:r>
      <w:r w:rsidR="00131491">
        <w:rPr>
          <w:rFonts w:cstheme="minorHAnsi"/>
          <w:color w:val="000000"/>
          <w:sz w:val="24"/>
          <w:szCs w:val="24"/>
        </w:rPr>
        <w:t xml:space="preserve"> podnikající</w:t>
      </w:r>
      <w:r>
        <w:rPr>
          <w:rFonts w:cstheme="minorHAnsi"/>
          <w:color w:val="000000"/>
          <w:sz w:val="24"/>
          <w:szCs w:val="24"/>
        </w:rPr>
        <w:t xml:space="preserve"> fyzické osobě</w:t>
      </w:r>
      <w:r w:rsidRPr="00A31F84">
        <w:rPr>
          <w:rFonts w:cstheme="minorHAnsi"/>
          <w:color w:val="000000"/>
          <w:sz w:val="24"/>
          <w:szCs w:val="24"/>
        </w:rPr>
        <w:t xml:space="preserve">, která umožní výkon nelegální práce, může být uložena pokuta </w:t>
      </w:r>
      <w:r>
        <w:rPr>
          <w:rFonts w:cstheme="minorHAnsi"/>
          <w:color w:val="000000"/>
          <w:sz w:val="24"/>
          <w:szCs w:val="24"/>
        </w:rPr>
        <w:t xml:space="preserve">od 50 tis. Kč </w:t>
      </w:r>
      <w:r w:rsidRPr="00A31F84">
        <w:rPr>
          <w:rFonts w:cstheme="minorHAnsi"/>
          <w:color w:val="000000"/>
          <w:sz w:val="24"/>
          <w:szCs w:val="24"/>
        </w:rPr>
        <w:t>až do částky 10 mil. Kč</w:t>
      </w:r>
      <w:r>
        <w:rPr>
          <w:rFonts w:cstheme="minorHAnsi"/>
          <w:color w:val="000000"/>
          <w:sz w:val="24"/>
          <w:szCs w:val="24"/>
        </w:rPr>
        <w:t>.</w:t>
      </w:r>
      <w:r w:rsidR="00D0674C">
        <w:rPr>
          <w:rStyle w:val="Znakapoznpodarou"/>
          <w:rFonts w:cstheme="minorHAnsi"/>
          <w:color w:val="000000"/>
          <w:sz w:val="24"/>
          <w:szCs w:val="24"/>
        </w:rPr>
        <w:footnoteReference w:id="20"/>
      </w:r>
    </w:p>
    <w:p w14:paraId="0FBEDC6E" w14:textId="3B96B8D9" w:rsidR="00C4097F" w:rsidRDefault="00A81476" w:rsidP="006164D5">
      <w:pPr>
        <w:shd w:val="clear" w:color="auto" w:fill="FFFFFF"/>
        <w:spacing w:line="240" w:lineRule="auto"/>
        <w:jc w:val="both"/>
        <w:rPr>
          <w:rFonts w:cstheme="minorHAnsi"/>
          <w:bCs/>
          <w:color w:val="000000"/>
          <w:sz w:val="24"/>
          <w:szCs w:val="24"/>
          <w:lang w:eastAsia="cs-CZ"/>
        </w:rPr>
      </w:pPr>
      <w:bookmarkStart w:id="9" w:name="_Hlk197514133"/>
      <w:r w:rsidRPr="00144C72">
        <w:rPr>
          <w:rFonts w:ascii="Calibri" w:eastAsia="Calibri" w:hAnsi="Calibri" w:cs="Calibri"/>
          <w:sz w:val="24"/>
          <w:szCs w:val="24"/>
        </w:rPr>
        <w:t>Meziresortní orgán pro potírání nelegálního zaměstnávání</w:t>
      </w:r>
      <w:r w:rsidRPr="0005650C" w:rsidDel="001C12BD">
        <w:rPr>
          <w:sz w:val="24"/>
          <w:szCs w:val="24"/>
          <w:lang w:eastAsia="cs-CZ"/>
        </w:rPr>
        <w:t xml:space="preserve"> </w:t>
      </w:r>
      <w:bookmarkEnd w:id="9"/>
      <w:r w:rsidRPr="0005650C">
        <w:rPr>
          <w:sz w:val="24"/>
          <w:szCs w:val="24"/>
          <w:lang w:eastAsia="cs-CZ"/>
        </w:rPr>
        <w:t>(dále také „MOPNZ“)</w:t>
      </w:r>
      <w:r>
        <w:rPr>
          <w:sz w:val="24"/>
          <w:szCs w:val="24"/>
          <w:lang w:eastAsia="cs-CZ"/>
        </w:rPr>
        <w:t xml:space="preserve"> </w:t>
      </w:r>
      <w:r w:rsidR="00C4097F">
        <w:rPr>
          <w:rFonts w:cstheme="minorHAnsi"/>
          <w:bCs/>
          <w:color w:val="000000"/>
          <w:sz w:val="24"/>
          <w:szCs w:val="24"/>
          <w:lang w:eastAsia="cs-CZ"/>
        </w:rPr>
        <w:t>byl zřízen</w:t>
      </w:r>
      <w:r w:rsidR="006104F0">
        <w:rPr>
          <w:rFonts w:cstheme="minorHAnsi"/>
          <w:bCs/>
          <w:color w:val="000000"/>
          <w:sz w:val="24"/>
          <w:szCs w:val="24"/>
          <w:lang w:eastAsia="cs-CZ"/>
        </w:rPr>
        <w:t xml:space="preserve"> usnes</w:t>
      </w:r>
      <w:r>
        <w:rPr>
          <w:rFonts w:cstheme="minorHAnsi"/>
          <w:bCs/>
          <w:color w:val="000000"/>
          <w:sz w:val="24"/>
          <w:szCs w:val="24"/>
          <w:lang w:eastAsia="cs-CZ"/>
        </w:rPr>
        <w:t>en</w:t>
      </w:r>
      <w:r w:rsidR="006104F0">
        <w:rPr>
          <w:rFonts w:cstheme="minorHAnsi"/>
          <w:bCs/>
          <w:color w:val="000000"/>
          <w:sz w:val="24"/>
          <w:szCs w:val="24"/>
          <w:lang w:eastAsia="cs-CZ"/>
        </w:rPr>
        <w:t>ím vlády ČR ze</w:t>
      </w:r>
      <w:r w:rsidR="00C4097F">
        <w:rPr>
          <w:rFonts w:cstheme="minorHAnsi"/>
          <w:bCs/>
          <w:color w:val="000000"/>
          <w:sz w:val="24"/>
          <w:szCs w:val="24"/>
          <w:lang w:eastAsia="cs-CZ"/>
        </w:rPr>
        <w:t xml:space="preserve"> dn</w:t>
      </w:r>
      <w:r w:rsidR="001D1A8C">
        <w:rPr>
          <w:rFonts w:cstheme="minorHAnsi"/>
          <w:bCs/>
          <w:color w:val="000000"/>
          <w:sz w:val="24"/>
          <w:szCs w:val="24"/>
          <w:lang w:eastAsia="cs-CZ"/>
        </w:rPr>
        <w:t>e</w:t>
      </w:r>
      <w:r w:rsidR="00C4097F">
        <w:rPr>
          <w:rFonts w:cstheme="minorHAnsi"/>
          <w:bCs/>
          <w:color w:val="000000"/>
          <w:sz w:val="24"/>
          <w:szCs w:val="24"/>
          <w:lang w:eastAsia="cs-CZ"/>
        </w:rPr>
        <w:t xml:space="preserve"> 8. </w:t>
      </w:r>
      <w:r w:rsidR="006104F0">
        <w:rPr>
          <w:rFonts w:cstheme="minorHAnsi"/>
          <w:bCs/>
          <w:color w:val="000000"/>
          <w:sz w:val="24"/>
          <w:szCs w:val="24"/>
          <w:lang w:eastAsia="cs-CZ"/>
        </w:rPr>
        <w:t>února</w:t>
      </w:r>
      <w:r w:rsidR="00C4097F">
        <w:rPr>
          <w:rFonts w:cstheme="minorHAnsi"/>
          <w:bCs/>
          <w:color w:val="000000"/>
          <w:sz w:val="24"/>
          <w:szCs w:val="24"/>
          <w:lang w:eastAsia="cs-CZ"/>
        </w:rPr>
        <w:t xml:space="preserve"> 2021 č. 106. Ve své činnosti navázal na činnost </w:t>
      </w:r>
      <w:r w:rsidR="00C4097F">
        <w:rPr>
          <w:rFonts w:cstheme="minorHAnsi"/>
          <w:bCs/>
          <w:color w:val="000000"/>
          <w:sz w:val="24"/>
          <w:szCs w:val="24"/>
          <w:lang w:eastAsia="cs-CZ"/>
        </w:rPr>
        <w:lastRenderedPageBreak/>
        <w:t>Mezire</w:t>
      </w:r>
      <w:r w:rsidR="00191BB4">
        <w:rPr>
          <w:rFonts w:cstheme="minorHAnsi"/>
          <w:bCs/>
          <w:color w:val="000000"/>
          <w:sz w:val="24"/>
          <w:szCs w:val="24"/>
          <w:lang w:eastAsia="cs-CZ"/>
        </w:rPr>
        <w:t>s</w:t>
      </w:r>
      <w:r w:rsidR="00C4097F">
        <w:rPr>
          <w:rFonts w:cstheme="minorHAnsi"/>
          <w:bCs/>
          <w:color w:val="000000"/>
          <w:sz w:val="24"/>
          <w:szCs w:val="24"/>
          <w:lang w:eastAsia="cs-CZ"/>
        </w:rPr>
        <w:t>ortního orgánu pro potírání nelegálního zaměstnávání cizinců, který byl</w:t>
      </w:r>
      <w:r w:rsidR="006104F0">
        <w:rPr>
          <w:rFonts w:cstheme="minorHAnsi"/>
          <w:bCs/>
          <w:color w:val="000000"/>
          <w:sz w:val="24"/>
          <w:szCs w:val="24"/>
          <w:lang w:eastAsia="cs-CZ"/>
        </w:rPr>
        <w:t xml:space="preserve"> zřízen usnesením vlády ČR ze dne</w:t>
      </w:r>
      <w:r w:rsidR="00C4097F">
        <w:rPr>
          <w:rFonts w:cstheme="minorHAnsi"/>
          <w:bCs/>
          <w:color w:val="000000"/>
          <w:sz w:val="24"/>
          <w:szCs w:val="24"/>
          <w:lang w:eastAsia="cs-CZ"/>
        </w:rPr>
        <w:t xml:space="preserve"> 23. </w:t>
      </w:r>
      <w:r w:rsidR="006104F0">
        <w:rPr>
          <w:rFonts w:cstheme="minorHAnsi"/>
          <w:bCs/>
          <w:color w:val="000000"/>
          <w:sz w:val="24"/>
          <w:szCs w:val="24"/>
          <w:lang w:eastAsia="cs-CZ"/>
        </w:rPr>
        <w:t>října</w:t>
      </w:r>
      <w:r w:rsidR="00C4097F">
        <w:rPr>
          <w:rFonts w:cstheme="minorHAnsi"/>
          <w:bCs/>
          <w:color w:val="000000"/>
          <w:sz w:val="24"/>
          <w:szCs w:val="24"/>
          <w:lang w:eastAsia="cs-CZ"/>
        </w:rPr>
        <w:t xml:space="preserve"> 2000 č. 1044 a který byl na MOPNZ transformován. Činnost MOPNZ zastřešuje Ministerstvo práce a sociálních věcí.</w:t>
      </w:r>
    </w:p>
    <w:p w14:paraId="25CDFFED" w14:textId="0ADBB7A8" w:rsidR="007E1AED" w:rsidRPr="007E1AED" w:rsidRDefault="001C12BD" w:rsidP="006164D5">
      <w:pPr>
        <w:spacing w:after="240" w:line="240" w:lineRule="auto"/>
        <w:jc w:val="both"/>
        <w:rPr>
          <w:rFonts w:cstheme="minorHAnsi"/>
          <w:bCs/>
          <w:color w:val="000000"/>
          <w:sz w:val="24"/>
          <w:szCs w:val="24"/>
          <w:lang w:eastAsia="cs-CZ"/>
        </w:rPr>
      </w:pPr>
      <w:r w:rsidRPr="00090DB2">
        <w:rPr>
          <w:sz w:val="24"/>
          <w:szCs w:val="24"/>
        </w:rPr>
        <w:t xml:space="preserve">Posláním MOPNZ je koordinovat činnost příslušných institucí, navrhovat legislativní změny přispívající k řešení nelegálního zaměstnávání a vytvářet koncepci řešení tohoto problému. MOPNZ dále doporučuje směry kontrolní a preventivní činnosti a získává informace z oblasti výzkumu migrace </w:t>
      </w:r>
      <w:r w:rsidR="00191BB4">
        <w:rPr>
          <w:sz w:val="24"/>
          <w:szCs w:val="24"/>
        </w:rPr>
        <w:t xml:space="preserve">i </w:t>
      </w:r>
      <w:r w:rsidRPr="00090DB2">
        <w:rPr>
          <w:sz w:val="24"/>
          <w:szCs w:val="24"/>
        </w:rPr>
        <w:t>z oblasti ekonomiky, a to se zaměřením zejména na oblast „šedé ekonomiky</w:t>
      </w:r>
      <w:r w:rsidR="00191BB4">
        <w:rPr>
          <w:sz w:val="24"/>
          <w:szCs w:val="24"/>
        </w:rPr>
        <w:t>“</w:t>
      </w:r>
      <w:r w:rsidRPr="00090DB2">
        <w:rPr>
          <w:sz w:val="24"/>
          <w:szCs w:val="24"/>
        </w:rPr>
        <w:t>.</w:t>
      </w:r>
    </w:p>
    <w:p w14:paraId="45772069" w14:textId="2A128405" w:rsidR="006E6E4D" w:rsidRDefault="006E6E4D" w:rsidP="006164D5">
      <w:pPr>
        <w:spacing w:line="240" w:lineRule="auto"/>
        <w:jc w:val="both"/>
        <w:rPr>
          <w:b/>
          <w:bCs/>
          <w:sz w:val="24"/>
          <w:szCs w:val="24"/>
        </w:rPr>
      </w:pPr>
      <w:r w:rsidRPr="00E260D9">
        <w:rPr>
          <w:b/>
          <w:bCs/>
          <w:sz w:val="24"/>
          <w:szCs w:val="24"/>
        </w:rPr>
        <w:t>Činnosti kontrolovaných osob v oblasti potírání nelegálního zaměstnávání:</w:t>
      </w:r>
    </w:p>
    <w:p w14:paraId="2509B33E" w14:textId="2A21543E" w:rsidR="006E6E4D" w:rsidRPr="006E6E4D" w:rsidRDefault="006E6E4D" w:rsidP="00E260D9">
      <w:pPr>
        <w:spacing w:after="0" w:line="240" w:lineRule="auto"/>
        <w:jc w:val="both"/>
        <w:rPr>
          <w:sz w:val="24"/>
          <w:szCs w:val="24"/>
        </w:rPr>
      </w:pPr>
      <w:r w:rsidRPr="00E260D9">
        <w:rPr>
          <w:b/>
          <w:bCs/>
          <w:sz w:val="24"/>
          <w:szCs w:val="24"/>
        </w:rPr>
        <w:t>MPSV</w:t>
      </w:r>
      <w:r w:rsidRPr="006E6E4D">
        <w:rPr>
          <w:sz w:val="24"/>
          <w:szCs w:val="24"/>
        </w:rPr>
        <w:t xml:space="preserve"> je ústředním orgánem státní správy v oblasti politiky zaměstnanosti, mj. provádí:</w:t>
      </w:r>
    </w:p>
    <w:p w14:paraId="002E078D" w14:textId="12F32F35" w:rsidR="006E6E4D" w:rsidRPr="006E6E4D" w:rsidRDefault="006E6E4D" w:rsidP="00E260D9">
      <w:pPr>
        <w:spacing w:after="0" w:line="240" w:lineRule="auto"/>
        <w:ind w:left="426"/>
        <w:jc w:val="both"/>
        <w:rPr>
          <w:sz w:val="24"/>
          <w:szCs w:val="24"/>
        </w:rPr>
      </w:pPr>
      <w:r w:rsidRPr="006E6E4D">
        <w:rPr>
          <w:sz w:val="24"/>
          <w:szCs w:val="24"/>
        </w:rPr>
        <w:t>•</w:t>
      </w:r>
      <w:r w:rsidRPr="006E6E4D">
        <w:rPr>
          <w:sz w:val="24"/>
          <w:szCs w:val="24"/>
        </w:rPr>
        <w:tab/>
        <w:t>koncepční a strategické řízení v oblasti nelegálního zaměstnávání</w:t>
      </w:r>
      <w:r w:rsidR="00191BB4">
        <w:rPr>
          <w:sz w:val="24"/>
          <w:szCs w:val="24"/>
        </w:rPr>
        <w:t>,</w:t>
      </w:r>
    </w:p>
    <w:p w14:paraId="00E45E47" w14:textId="5BA98871" w:rsidR="006E6E4D" w:rsidRPr="006E6E4D" w:rsidRDefault="006E6E4D" w:rsidP="00E260D9">
      <w:pPr>
        <w:spacing w:after="0" w:line="240" w:lineRule="auto"/>
        <w:ind w:left="426"/>
        <w:jc w:val="both"/>
        <w:rPr>
          <w:sz w:val="24"/>
          <w:szCs w:val="24"/>
        </w:rPr>
      </w:pPr>
      <w:r w:rsidRPr="006E6E4D">
        <w:rPr>
          <w:sz w:val="24"/>
          <w:szCs w:val="24"/>
        </w:rPr>
        <w:t>•</w:t>
      </w:r>
      <w:r w:rsidRPr="006E6E4D">
        <w:rPr>
          <w:sz w:val="24"/>
          <w:szCs w:val="24"/>
        </w:rPr>
        <w:tab/>
        <w:t>usměrňování a kontrolu výkonu státní správy</w:t>
      </w:r>
      <w:r w:rsidR="00191BB4">
        <w:rPr>
          <w:sz w:val="24"/>
          <w:szCs w:val="24"/>
        </w:rPr>
        <w:t xml:space="preserve"> a</w:t>
      </w:r>
      <w:r w:rsidRPr="006E6E4D">
        <w:rPr>
          <w:sz w:val="24"/>
          <w:szCs w:val="24"/>
        </w:rPr>
        <w:t xml:space="preserve"> </w:t>
      </w:r>
      <w:r w:rsidR="00191BB4">
        <w:rPr>
          <w:sz w:val="24"/>
          <w:szCs w:val="24"/>
        </w:rPr>
        <w:t xml:space="preserve">kontrolu </w:t>
      </w:r>
      <w:r w:rsidRPr="006E6E4D">
        <w:rPr>
          <w:sz w:val="24"/>
          <w:szCs w:val="24"/>
        </w:rPr>
        <w:t>dodržování zákonnosti</w:t>
      </w:r>
      <w:r w:rsidR="00191BB4">
        <w:rPr>
          <w:sz w:val="24"/>
          <w:szCs w:val="24"/>
        </w:rPr>
        <w:t>,</w:t>
      </w:r>
      <w:r w:rsidRPr="006E6E4D">
        <w:rPr>
          <w:sz w:val="24"/>
          <w:szCs w:val="24"/>
        </w:rPr>
        <w:t xml:space="preserve"> </w:t>
      </w:r>
    </w:p>
    <w:p w14:paraId="750FAC71" w14:textId="79FC8D08" w:rsidR="006E6E4D" w:rsidRDefault="006E6E4D" w:rsidP="00191BB4">
      <w:pPr>
        <w:spacing w:line="240" w:lineRule="auto"/>
        <w:ind w:left="426"/>
        <w:jc w:val="both"/>
        <w:rPr>
          <w:sz w:val="24"/>
          <w:szCs w:val="24"/>
        </w:rPr>
      </w:pPr>
      <w:r w:rsidRPr="006E6E4D">
        <w:rPr>
          <w:sz w:val="24"/>
          <w:szCs w:val="24"/>
        </w:rPr>
        <w:t>•</w:t>
      </w:r>
      <w:r w:rsidRPr="006E6E4D">
        <w:rPr>
          <w:sz w:val="24"/>
          <w:szCs w:val="24"/>
        </w:rPr>
        <w:tab/>
        <w:t>přípravu návrhů zákonů pro oblast zaměstnanosti a rekvalifikace</w:t>
      </w:r>
      <w:r w:rsidR="00191BB4">
        <w:rPr>
          <w:sz w:val="24"/>
          <w:szCs w:val="24"/>
        </w:rPr>
        <w:t>.</w:t>
      </w:r>
    </w:p>
    <w:p w14:paraId="771D3D00" w14:textId="77777777" w:rsidR="006E6E4D" w:rsidRPr="006E6E4D" w:rsidRDefault="006E6E4D" w:rsidP="00E260D9">
      <w:pPr>
        <w:spacing w:after="0" w:line="240" w:lineRule="auto"/>
        <w:jc w:val="both"/>
        <w:rPr>
          <w:sz w:val="24"/>
          <w:szCs w:val="24"/>
        </w:rPr>
      </w:pPr>
      <w:r w:rsidRPr="00E260D9">
        <w:rPr>
          <w:b/>
          <w:bCs/>
          <w:sz w:val="24"/>
          <w:szCs w:val="24"/>
        </w:rPr>
        <w:t>Státní úřad inspekce práce</w:t>
      </w:r>
      <w:r w:rsidRPr="006E6E4D">
        <w:rPr>
          <w:sz w:val="24"/>
          <w:szCs w:val="24"/>
        </w:rPr>
        <w:t xml:space="preserve"> mj. provádí:</w:t>
      </w:r>
    </w:p>
    <w:p w14:paraId="53065C5E" w14:textId="3877C7CB" w:rsidR="00E260D9" w:rsidRDefault="006E6E4D" w:rsidP="00E260D9">
      <w:pPr>
        <w:spacing w:after="0" w:line="240" w:lineRule="auto"/>
        <w:ind w:left="426"/>
        <w:jc w:val="both"/>
        <w:rPr>
          <w:sz w:val="24"/>
          <w:szCs w:val="24"/>
        </w:rPr>
      </w:pPr>
      <w:r w:rsidRPr="006E6E4D">
        <w:rPr>
          <w:sz w:val="24"/>
          <w:szCs w:val="24"/>
        </w:rPr>
        <w:t>•</w:t>
      </w:r>
      <w:r w:rsidRPr="006E6E4D">
        <w:rPr>
          <w:sz w:val="24"/>
          <w:szCs w:val="24"/>
        </w:rPr>
        <w:tab/>
        <w:t>kontrolní činnost v oblasti nelegálního zaměstnávání</w:t>
      </w:r>
      <w:r w:rsidR="00191BB4">
        <w:rPr>
          <w:sz w:val="24"/>
          <w:szCs w:val="24"/>
        </w:rPr>
        <w:t>,</w:t>
      </w:r>
    </w:p>
    <w:p w14:paraId="515EFCAB" w14:textId="66CC9982" w:rsidR="006E6E4D" w:rsidRDefault="006E6E4D" w:rsidP="00191BB4">
      <w:pPr>
        <w:pStyle w:val="Odstavecseseznamem"/>
        <w:numPr>
          <w:ilvl w:val="0"/>
          <w:numId w:val="30"/>
        </w:numPr>
        <w:spacing w:line="240" w:lineRule="auto"/>
        <w:ind w:left="709" w:hanging="283"/>
        <w:jc w:val="both"/>
        <w:rPr>
          <w:sz w:val="24"/>
          <w:szCs w:val="24"/>
        </w:rPr>
      </w:pPr>
      <w:r w:rsidRPr="00E260D9">
        <w:rPr>
          <w:sz w:val="24"/>
          <w:szCs w:val="24"/>
        </w:rPr>
        <w:t>správní řízení v případě nedostatků zjištěných kontrolami realizovanými orgány</w:t>
      </w:r>
      <w:r w:rsidR="00E260D9">
        <w:rPr>
          <w:sz w:val="24"/>
          <w:szCs w:val="24"/>
        </w:rPr>
        <w:t xml:space="preserve"> </w:t>
      </w:r>
      <w:r w:rsidRPr="00E260D9">
        <w:rPr>
          <w:sz w:val="24"/>
          <w:szCs w:val="24"/>
        </w:rPr>
        <w:t>inspekce práce a celními orgány v oblasti nelegálního zaměstnávání</w:t>
      </w:r>
      <w:r w:rsidR="00191BB4">
        <w:rPr>
          <w:sz w:val="24"/>
          <w:szCs w:val="24"/>
        </w:rPr>
        <w:t>.</w:t>
      </w:r>
    </w:p>
    <w:p w14:paraId="7BF02280" w14:textId="77777777" w:rsidR="006E6E4D" w:rsidRPr="00E260D9" w:rsidRDefault="006E6E4D" w:rsidP="00E260D9">
      <w:pPr>
        <w:spacing w:after="0" w:line="240" w:lineRule="auto"/>
        <w:jc w:val="both"/>
        <w:rPr>
          <w:b/>
          <w:bCs/>
          <w:sz w:val="24"/>
          <w:szCs w:val="24"/>
        </w:rPr>
      </w:pPr>
      <w:r w:rsidRPr="00E260D9">
        <w:rPr>
          <w:b/>
          <w:bCs/>
          <w:sz w:val="24"/>
          <w:szCs w:val="24"/>
        </w:rPr>
        <w:t xml:space="preserve">Česká správa sociálního zabezpečení </w:t>
      </w:r>
      <w:r w:rsidRPr="006164D5">
        <w:rPr>
          <w:sz w:val="24"/>
          <w:szCs w:val="24"/>
        </w:rPr>
        <w:t>mj. provádí:</w:t>
      </w:r>
    </w:p>
    <w:p w14:paraId="46688BB3" w14:textId="68D26915" w:rsidR="006E6E4D" w:rsidRPr="00E260D9" w:rsidRDefault="006E6E4D" w:rsidP="00E260D9">
      <w:pPr>
        <w:pStyle w:val="Odstavecseseznamem"/>
        <w:numPr>
          <w:ilvl w:val="0"/>
          <w:numId w:val="30"/>
        </w:numPr>
        <w:spacing w:after="0" w:line="240" w:lineRule="auto"/>
        <w:ind w:left="709" w:hanging="283"/>
        <w:jc w:val="both"/>
        <w:rPr>
          <w:sz w:val="24"/>
          <w:szCs w:val="24"/>
        </w:rPr>
      </w:pPr>
      <w:r w:rsidRPr="00E260D9">
        <w:rPr>
          <w:sz w:val="24"/>
          <w:szCs w:val="24"/>
        </w:rPr>
        <w:t>kontrolu plnění povinností na úseku důchodového pojištění a na úseku placení pojistného na sociální zabezpečení a příspěvku na státní politiku zaměstnanosti</w:t>
      </w:r>
      <w:r w:rsidR="00191BB4">
        <w:rPr>
          <w:sz w:val="24"/>
          <w:szCs w:val="24"/>
        </w:rPr>
        <w:t>,</w:t>
      </w:r>
    </w:p>
    <w:p w14:paraId="3DD8BD46" w14:textId="5EFD142D" w:rsidR="006E6E4D" w:rsidRPr="00E260D9" w:rsidRDefault="006E6E4D" w:rsidP="00191BB4">
      <w:pPr>
        <w:pStyle w:val="Odstavecseseznamem"/>
        <w:numPr>
          <w:ilvl w:val="0"/>
          <w:numId w:val="30"/>
        </w:numPr>
        <w:spacing w:line="240" w:lineRule="auto"/>
        <w:ind w:left="426" w:firstLine="0"/>
        <w:jc w:val="both"/>
        <w:rPr>
          <w:sz w:val="24"/>
          <w:szCs w:val="24"/>
        </w:rPr>
      </w:pPr>
      <w:r w:rsidRPr="00E260D9">
        <w:rPr>
          <w:sz w:val="24"/>
          <w:szCs w:val="24"/>
        </w:rPr>
        <w:t>doměření a výběr pojistného</w:t>
      </w:r>
      <w:r w:rsidR="00191BB4">
        <w:rPr>
          <w:sz w:val="24"/>
          <w:szCs w:val="24"/>
        </w:rPr>
        <w:t>.</w:t>
      </w:r>
    </w:p>
    <w:p w14:paraId="1A647E4E" w14:textId="11E4408E" w:rsidR="006E6E4D" w:rsidRPr="006E6E4D" w:rsidRDefault="006E6E4D" w:rsidP="00E260D9">
      <w:pPr>
        <w:spacing w:after="0" w:line="240" w:lineRule="auto"/>
        <w:jc w:val="both"/>
        <w:rPr>
          <w:sz w:val="24"/>
          <w:szCs w:val="24"/>
        </w:rPr>
      </w:pPr>
      <w:r w:rsidRPr="00E260D9">
        <w:rPr>
          <w:b/>
          <w:bCs/>
          <w:sz w:val="24"/>
          <w:szCs w:val="24"/>
        </w:rPr>
        <w:t>Ministerstvo financí</w:t>
      </w:r>
      <w:r w:rsidRPr="006E6E4D">
        <w:rPr>
          <w:sz w:val="24"/>
          <w:szCs w:val="24"/>
        </w:rPr>
        <w:t xml:space="preserve"> je ústředním orgánem státní správy, který mj.:</w:t>
      </w:r>
    </w:p>
    <w:p w14:paraId="1C4E2AB7" w14:textId="3D88BC0B" w:rsidR="006E6E4D" w:rsidRPr="006E6E4D" w:rsidRDefault="006E6E4D" w:rsidP="00E260D9">
      <w:pPr>
        <w:spacing w:after="0" w:line="240" w:lineRule="auto"/>
        <w:ind w:left="426"/>
        <w:jc w:val="both"/>
        <w:rPr>
          <w:sz w:val="24"/>
          <w:szCs w:val="24"/>
        </w:rPr>
      </w:pPr>
      <w:r w:rsidRPr="006E6E4D">
        <w:rPr>
          <w:sz w:val="24"/>
          <w:szCs w:val="24"/>
        </w:rPr>
        <w:t>•</w:t>
      </w:r>
      <w:r w:rsidRPr="006E6E4D">
        <w:rPr>
          <w:sz w:val="24"/>
          <w:szCs w:val="24"/>
        </w:rPr>
        <w:tab/>
      </w:r>
      <w:r w:rsidR="00191BB4" w:rsidRPr="006E6E4D">
        <w:rPr>
          <w:sz w:val="24"/>
          <w:szCs w:val="24"/>
        </w:rPr>
        <w:t>provádí</w:t>
      </w:r>
      <w:r w:rsidR="00191BB4">
        <w:rPr>
          <w:sz w:val="24"/>
          <w:szCs w:val="24"/>
        </w:rPr>
        <w:t xml:space="preserve"> </w:t>
      </w:r>
      <w:r w:rsidRPr="006E6E4D">
        <w:rPr>
          <w:sz w:val="24"/>
          <w:szCs w:val="24"/>
        </w:rPr>
        <w:t>koncepční a metodickou činnost</w:t>
      </w:r>
      <w:r w:rsidR="00191BB4">
        <w:rPr>
          <w:sz w:val="24"/>
          <w:szCs w:val="24"/>
        </w:rPr>
        <w:t>,</w:t>
      </w:r>
    </w:p>
    <w:p w14:paraId="7DC960AE" w14:textId="4FAFB70A" w:rsidR="006E6E4D" w:rsidRPr="006E6E4D" w:rsidRDefault="006E6E4D" w:rsidP="00191BB4">
      <w:pPr>
        <w:spacing w:after="0" w:line="240" w:lineRule="auto"/>
        <w:ind w:left="709" w:hanging="283"/>
        <w:jc w:val="both"/>
        <w:rPr>
          <w:sz w:val="24"/>
          <w:szCs w:val="24"/>
        </w:rPr>
      </w:pPr>
      <w:r w:rsidRPr="006E6E4D">
        <w:rPr>
          <w:sz w:val="24"/>
          <w:szCs w:val="24"/>
        </w:rPr>
        <w:t>•</w:t>
      </w:r>
      <w:r w:rsidRPr="006E6E4D">
        <w:rPr>
          <w:sz w:val="24"/>
          <w:szCs w:val="24"/>
        </w:rPr>
        <w:tab/>
        <w:t>usměrň</w:t>
      </w:r>
      <w:r w:rsidR="00191BB4">
        <w:rPr>
          <w:sz w:val="24"/>
          <w:szCs w:val="24"/>
        </w:rPr>
        <w:t>uje</w:t>
      </w:r>
      <w:r w:rsidRPr="006E6E4D">
        <w:rPr>
          <w:sz w:val="24"/>
          <w:szCs w:val="24"/>
        </w:rPr>
        <w:t xml:space="preserve"> výkon státní správy, kontrolu</w:t>
      </w:r>
      <w:r w:rsidR="00191BB4">
        <w:rPr>
          <w:sz w:val="24"/>
          <w:szCs w:val="24"/>
        </w:rPr>
        <w:t>je</w:t>
      </w:r>
      <w:r w:rsidRPr="006E6E4D">
        <w:rPr>
          <w:sz w:val="24"/>
          <w:szCs w:val="24"/>
        </w:rPr>
        <w:t xml:space="preserve"> dodržování zákonnosti a </w:t>
      </w:r>
      <w:r w:rsidR="00191BB4">
        <w:rPr>
          <w:sz w:val="24"/>
          <w:szCs w:val="24"/>
        </w:rPr>
        <w:t xml:space="preserve">provádí </w:t>
      </w:r>
      <w:r w:rsidRPr="006E6E4D">
        <w:rPr>
          <w:sz w:val="24"/>
          <w:szCs w:val="24"/>
        </w:rPr>
        <w:t>nastavení systému v oblasti správy daní a cel</w:t>
      </w:r>
      <w:r w:rsidR="00191BB4">
        <w:rPr>
          <w:sz w:val="24"/>
          <w:szCs w:val="24"/>
        </w:rPr>
        <w:t>,</w:t>
      </w:r>
    </w:p>
    <w:p w14:paraId="6B935875" w14:textId="1759C16C" w:rsidR="006E6E4D" w:rsidRDefault="006E6E4D" w:rsidP="00191BB4">
      <w:pPr>
        <w:spacing w:line="240" w:lineRule="auto"/>
        <w:ind w:left="426"/>
        <w:jc w:val="both"/>
        <w:rPr>
          <w:sz w:val="24"/>
          <w:szCs w:val="24"/>
        </w:rPr>
      </w:pPr>
      <w:r w:rsidRPr="006E6E4D">
        <w:rPr>
          <w:sz w:val="24"/>
          <w:szCs w:val="24"/>
        </w:rPr>
        <w:t>•</w:t>
      </w:r>
      <w:r w:rsidRPr="006E6E4D">
        <w:rPr>
          <w:sz w:val="24"/>
          <w:szCs w:val="24"/>
        </w:rPr>
        <w:tab/>
      </w:r>
      <w:r w:rsidR="00191BB4">
        <w:rPr>
          <w:sz w:val="24"/>
          <w:szCs w:val="24"/>
        </w:rPr>
        <w:t xml:space="preserve">plní </w:t>
      </w:r>
      <w:r w:rsidRPr="006E6E4D">
        <w:rPr>
          <w:sz w:val="24"/>
          <w:szCs w:val="24"/>
        </w:rPr>
        <w:t>úlohu plátce veřejného zdravotního pojištění za státní pojištěnce</w:t>
      </w:r>
      <w:r w:rsidR="00191BB4">
        <w:rPr>
          <w:sz w:val="24"/>
          <w:szCs w:val="24"/>
        </w:rPr>
        <w:t>.</w:t>
      </w:r>
    </w:p>
    <w:p w14:paraId="5038EB87" w14:textId="77777777" w:rsidR="006E6E4D" w:rsidRPr="006E6E4D" w:rsidRDefault="006E6E4D" w:rsidP="00E260D9">
      <w:pPr>
        <w:spacing w:after="0" w:line="240" w:lineRule="auto"/>
        <w:jc w:val="both"/>
        <w:rPr>
          <w:sz w:val="24"/>
          <w:szCs w:val="24"/>
        </w:rPr>
      </w:pPr>
      <w:r w:rsidRPr="00E260D9">
        <w:rPr>
          <w:b/>
          <w:bCs/>
          <w:sz w:val="24"/>
          <w:szCs w:val="24"/>
        </w:rPr>
        <w:t>Finanční správa ČR</w:t>
      </w:r>
      <w:r w:rsidRPr="006E6E4D">
        <w:rPr>
          <w:sz w:val="24"/>
          <w:szCs w:val="24"/>
        </w:rPr>
        <w:t xml:space="preserve"> (GFŘ, OFŘ a jednotlivé FÚ) mj. provádí:</w:t>
      </w:r>
    </w:p>
    <w:p w14:paraId="32B078D4" w14:textId="7DCAC6D4" w:rsidR="006E6E4D" w:rsidRPr="00E260D9" w:rsidRDefault="006E6E4D" w:rsidP="00E260D9">
      <w:pPr>
        <w:pStyle w:val="Odstavecseseznamem"/>
        <w:numPr>
          <w:ilvl w:val="0"/>
          <w:numId w:val="32"/>
        </w:numPr>
        <w:spacing w:after="0" w:line="240" w:lineRule="auto"/>
        <w:jc w:val="both"/>
        <w:rPr>
          <w:sz w:val="24"/>
          <w:szCs w:val="24"/>
        </w:rPr>
      </w:pPr>
      <w:r w:rsidRPr="00E260D9">
        <w:rPr>
          <w:sz w:val="24"/>
          <w:szCs w:val="24"/>
        </w:rPr>
        <w:t>kontrolní a vyhledávací činnost</w:t>
      </w:r>
      <w:r w:rsidR="00191BB4">
        <w:rPr>
          <w:sz w:val="24"/>
          <w:szCs w:val="24"/>
        </w:rPr>
        <w:t>,</w:t>
      </w:r>
    </w:p>
    <w:p w14:paraId="0FF08B9F" w14:textId="30423938" w:rsidR="006E6E4D" w:rsidRPr="00E260D9" w:rsidRDefault="006E6E4D" w:rsidP="00191BB4">
      <w:pPr>
        <w:pStyle w:val="Odstavecseseznamem"/>
        <w:numPr>
          <w:ilvl w:val="0"/>
          <w:numId w:val="31"/>
        </w:numPr>
        <w:spacing w:line="240" w:lineRule="auto"/>
        <w:jc w:val="both"/>
        <w:rPr>
          <w:sz w:val="24"/>
          <w:szCs w:val="24"/>
        </w:rPr>
      </w:pPr>
      <w:r w:rsidRPr="00E260D9">
        <w:rPr>
          <w:sz w:val="24"/>
          <w:szCs w:val="24"/>
        </w:rPr>
        <w:t>stanovení, doměření, výběr a vymáhání daní</w:t>
      </w:r>
      <w:r w:rsidR="00191BB4">
        <w:rPr>
          <w:sz w:val="24"/>
          <w:szCs w:val="24"/>
        </w:rPr>
        <w:t>.</w:t>
      </w:r>
    </w:p>
    <w:p w14:paraId="61D1DE01" w14:textId="77777777" w:rsidR="006E6E4D" w:rsidRPr="006E6E4D" w:rsidRDefault="006E6E4D" w:rsidP="00E260D9">
      <w:pPr>
        <w:spacing w:after="0" w:line="240" w:lineRule="auto"/>
        <w:jc w:val="both"/>
        <w:rPr>
          <w:sz w:val="24"/>
          <w:szCs w:val="24"/>
        </w:rPr>
      </w:pPr>
      <w:r w:rsidRPr="00E260D9">
        <w:rPr>
          <w:b/>
          <w:bCs/>
          <w:sz w:val="24"/>
          <w:szCs w:val="24"/>
        </w:rPr>
        <w:t>Celní správa ČR</w:t>
      </w:r>
      <w:r w:rsidRPr="006E6E4D">
        <w:rPr>
          <w:sz w:val="24"/>
          <w:szCs w:val="24"/>
        </w:rPr>
        <w:t xml:space="preserve"> (GŘC a jednotlivé CÚ) mj. provádí:</w:t>
      </w:r>
    </w:p>
    <w:p w14:paraId="4B3EBD5B" w14:textId="210E06ED" w:rsidR="006E6E4D" w:rsidRPr="00E260D9" w:rsidRDefault="006E6E4D" w:rsidP="00E260D9">
      <w:pPr>
        <w:pStyle w:val="Odstavecseseznamem"/>
        <w:numPr>
          <w:ilvl w:val="0"/>
          <w:numId w:val="31"/>
        </w:numPr>
        <w:spacing w:after="0" w:line="240" w:lineRule="auto"/>
        <w:jc w:val="both"/>
        <w:rPr>
          <w:sz w:val="24"/>
          <w:szCs w:val="24"/>
        </w:rPr>
      </w:pPr>
      <w:r w:rsidRPr="00E260D9">
        <w:rPr>
          <w:sz w:val="24"/>
          <w:szCs w:val="24"/>
        </w:rPr>
        <w:t>kontrolní činnost v oblasti zaměstnávání cizinců</w:t>
      </w:r>
      <w:r w:rsidR="00191BB4">
        <w:rPr>
          <w:sz w:val="24"/>
          <w:szCs w:val="24"/>
        </w:rPr>
        <w:t>,</w:t>
      </w:r>
    </w:p>
    <w:p w14:paraId="2830CD3F" w14:textId="0A33BB4B" w:rsidR="006E6E4D" w:rsidRPr="00E260D9" w:rsidRDefault="006E6E4D" w:rsidP="00E260D9">
      <w:pPr>
        <w:pStyle w:val="Odstavecseseznamem"/>
        <w:numPr>
          <w:ilvl w:val="0"/>
          <w:numId w:val="31"/>
        </w:numPr>
        <w:spacing w:after="0" w:line="240" w:lineRule="auto"/>
        <w:jc w:val="both"/>
        <w:rPr>
          <w:sz w:val="24"/>
          <w:szCs w:val="24"/>
        </w:rPr>
      </w:pPr>
      <w:r w:rsidRPr="00E260D9">
        <w:rPr>
          <w:sz w:val="24"/>
          <w:szCs w:val="24"/>
        </w:rPr>
        <w:t>výběr a vymáhání pokut uložených orgány inspekce práce</w:t>
      </w:r>
      <w:r w:rsidR="00191BB4">
        <w:rPr>
          <w:sz w:val="24"/>
          <w:szCs w:val="24"/>
        </w:rPr>
        <w:t>.</w:t>
      </w:r>
    </w:p>
    <w:p w14:paraId="3B086BF4" w14:textId="77777777" w:rsidR="009E47C5" w:rsidRDefault="009E47C5">
      <w:pPr>
        <w:rPr>
          <w:rFonts w:eastAsia="Times New Roman" w:cstheme="minorHAnsi"/>
          <w:b/>
          <w:color w:val="000000"/>
          <w:sz w:val="28"/>
          <w:szCs w:val="24"/>
          <w:lang w:eastAsia="cs-CZ"/>
        </w:rPr>
      </w:pPr>
      <w:r>
        <w:rPr>
          <w:sz w:val="28"/>
          <w:szCs w:val="24"/>
        </w:rPr>
        <w:br w:type="page"/>
      </w:r>
    </w:p>
    <w:p w14:paraId="385E4C7A" w14:textId="756B938D" w:rsidR="00B53558" w:rsidRPr="00C47E97" w:rsidRDefault="0093232C" w:rsidP="00041825">
      <w:pPr>
        <w:pStyle w:val="Nadpis1"/>
        <w:keepLines/>
        <w:numPr>
          <w:ilvl w:val="0"/>
          <w:numId w:val="0"/>
        </w:numPr>
        <w:overflowPunct/>
        <w:autoSpaceDE/>
        <w:autoSpaceDN/>
        <w:adjustRightInd/>
        <w:spacing w:after="240" w:line="264" w:lineRule="auto"/>
        <w:textAlignment w:val="auto"/>
        <w:rPr>
          <w:sz w:val="28"/>
          <w:szCs w:val="24"/>
        </w:rPr>
      </w:pPr>
      <w:r w:rsidRPr="00C47E97">
        <w:rPr>
          <w:sz w:val="28"/>
          <w:szCs w:val="24"/>
        </w:rPr>
        <w:lastRenderedPageBreak/>
        <w:t>III. Rozsah kontroly</w:t>
      </w:r>
    </w:p>
    <w:p w14:paraId="14A8AD4E" w14:textId="63C549E4" w:rsidR="008116EE" w:rsidRDefault="007B4D40" w:rsidP="006164D5">
      <w:pPr>
        <w:autoSpaceDE w:val="0"/>
        <w:autoSpaceDN w:val="0"/>
        <w:adjustRightInd w:val="0"/>
        <w:spacing w:before="120" w:line="240" w:lineRule="auto"/>
        <w:jc w:val="both"/>
        <w:rPr>
          <w:rFonts w:cstheme="minorHAnsi"/>
          <w:sz w:val="24"/>
          <w:szCs w:val="24"/>
          <w:lang w:eastAsia="cs-CZ"/>
        </w:rPr>
      </w:pPr>
      <w:r w:rsidRPr="00C47E97">
        <w:rPr>
          <w:rFonts w:cstheme="minorHAnsi"/>
          <w:sz w:val="24"/>
          <w:szCs w:val="24"/>
          <w:lang w:eastAsia="cs-CZ"/>
        </w:rPr>
        <w:t>Cílem kontroly bylo prověřit</w:t>
      </w:r>
      <w:r w:rsidR="00ED262B" w:rsidRPr="00ED262B">
        <w:rPr>
          <w:rFonts w:cstheme="minorHAnsi"/>
          <w:sz w:val="24"/>
          <w:szCs w:val="24"/>
          <w:lang w:eastAsia="cs-CZ"/>
        </w:rPr>
        <w:t>, zda jednotlivé orgány státní správy postupovaly při kontrole a</w:t>
      </w:r>
      <w:r w:rsidR="007B1B2E">
        <w:rPr>
          <w:rFonts w:cstheme="minorHAnsi"/>
          <w:sz w:val="24"/>
          <w:szCs w:val="24"/>
          <w:lang w:eastAsia="cs-CZ"/>
        </w:rPr>
        <w:t> </w:t>
      </w:r>
      <w:r w:rsidR="00ED262B" w:rsidRPr="00ED262B">
        <w:rPr>
          <w:rFonts w:cstheme="minorHAnsi"/>
          <w:sz w:val="24"/>
          <w:szCs w:val="24"/>
          <w:lang w:eastAsia="cs-CZ"/>
        </w:rPr>
        <w:t>zabezpečení úhrady</w:t>
      </w:r>
      <w:r w:rsidR="00ED262B">
        <w:rPr>
          <w:rFonts w:cstheme="minorHAnsi"/>
          <w:sz w:val="24"/>
          <w:szCs w:val="24"/>
          <w:lang w:eastAsia="cs-CZ"/>
        </w:rPr>
        <w:t xml:space="preserve"> </w:t>
      </w:r>
      <w:r w:rsidR="00ED262B" w:rsidRPr="00ED262B">
        <w:rPr>
          <w:rFonts w:cstheme="minorHAnsi"/>
          <w:sz w:val="24"/>
          <w:szCs w:val="24"/>
          <w:lang w:eastAsia="cs-CZ"/>
        </w:rPr>
        <w:t xml:space="preserve">daní a odvodů z nelegálního zaměstnávání v souladu s právními </w:t>
      </w:r>
      <w:r w:rsidR="008116EE" w:rsidRPr="00ED262B">
        <w:rPr>
          <w:rFonts w:cstheme="minorHAnsi"/>
          <w:sz w:val="24"/>
          <w:szCs w:val="24"/>
          <w:lang w:eastAsia="cs-CZ"/>
        </w:rPr>
        <w:t>předpisy</w:t>
      </w:r>
      <w:r w:rsidR="00152695" w:rsidRPr="008116EE">
        <w:rPr>
          <w:rFonts w:cstheme="minorHAnsi"/>
          <w:sz w:val="24"/>
          <w:szCs w:val="24"/>
          <w:lang w:eastAsia="cs-CZ"/>
        </w:rPr>
        <w:t>.</w:t>
      </w:r>
      <w:r w:rsidR="00FD23C6">
        <w:rPr>
          <w:rFonts w:cstheme="minorHAnsi"/>
          <w:sz w:val="24"/>
          <w:szCs w:val="24"/>
          <w:lang w:eastAsia="cs-CZ"/>
        </w:rPr>
        <w:t xml:space="preserve"> </w:t>
      </w:r>
    </w:p>
    <w:p w14:paraId="09F9F670" w14:textId="77777777" w:rsidR="005D7971" w:rsidRDefault="005D7971" w:rsidP="006164D5">
      <w:pPr>
        <w:autoSpaceDE w:val="0"/>
        <w:autoSpaceDN w:val="0"/>
        <w:adjustRightInd w:val="0"/>
        <w:spacing w:before="120" w:after="0" w:line="240" w:lineRule="auto"/>
        <w:jc w:val="both"/>
        <w:rPr>
          <w:rFonts w:cstheme="minorHAnsi"/>
          <w:sz w:val="24"/>
          <w:szCs w:val="24"/>
          <w:lang w:eastAsia="cs-CZ"/>
        </w:rPr>
      </w:pPr>
      <w:r>
        <w:rPr>
          <w:rFonts w:cstheme="minorHAnsi"/>
          <w:sz w:val="24"/>
          <w:szCs w:val="24"/>
          <w:lang w:eastAsia="cs-CZ"/>
        </w:rPr>
        <w:t>P</w:t>
      </w:r>
      <w:r w:rsidRPr="00A75532">
        <w:rPr>
          <w:rFonts w:cstheme="minorHAnsi"/>
          <w:sz w:val="24"/>
          <w:szCs w:val="24"/>
          <w:lang w:eastAsia="cs-CZ"/>
        </w:rPr>
        <w:t>řehled právních předpisů, které v kontrolovaném období upravovaly oblast</w:t>
      </w:r>
      <w:r>
        <w:rPr>
          <w:rFonts w:cstheme="minorHAnsi"/>
          <w:sz w:val="24"/>
          <w:szCs w:val="24"/>
          <w:lang w:eastAsia="cs-CZ"/>
        </w:rPr>
        <w:t xml:space="preserve"> nelegálního zaměstnávání:</w:t>
      </w:r>
    </w:p>
    <w:p w14:paraId="556FD8AA" w14:textId="6E9A7D5F" w:rsidR="005D7971" w:rsidRDefault="004E5F3B" w:rsidP="006164D5">
      <w:pPr>
        <w:pStyle w:val="Odstavecseseznamem"/>
        <w:numPr>
          <w:ilvl w:val="0"/>
          <w:numId w:val="23"/>
        </w:numPr>
        <w:autoSpaceDE w:val="0"/>
        <w:autoSpaceDN w:val="0"/>
        <w:adjustRightInd w:val="0"/>
        <w:spacing w:after="120" w:line="240" w:lineRule="auto"/>
        <w:rPr>
          <w:rFonts w:cstheme="minorHAnsi"/>
          <w:sz w:val="24"/>
          <w:szCs w:val="24"/>
          <w:lang w:eastAsia="cs-CZ"/>
        </w:rPr>
      </w:pPr>
      <w:r>
        <w:rPr>
          <w:rFonts w:cstheme="minorHAnsi"/>
          <w:sz w:val="24"/>
          <w:szCs w:val="24"/>
          <w:lang w:eastAsia="cs-CZ"/>
        </w:rPr>
        <w:t>s</w:t>
      </w:r>
      <w:r w:rsidR="005D7971" w:rsidRPr="00E36FBC">
        <w:rPr>
          <w:rFonts w:cstheme="minorHAnsi"/>
          <w:sz w:val="24"/>
          <w:szCs w:val="24"/>
          <w:lang w:eastAsia="cs-CZ"/>
        </w:rPr>
        <w:t>měrnice Evropského parlamentu a Rady 2009/52/ES ze dne 18. června 2009</w:t>
      </w:r>
      <w:r>
        <w:rPr>
          <w:rFonts w:cstheme="minorHAnsi"/>
          <w:sz w:val="24"/>
          <w:szCs w:val="24"/>
          <w:lang w:eastAsia="cs-CZ"/>
        </w:rPr>
        <w:t>,</w:t>
      </w:r>
      <w:r w:rsidR="005D7971" w:rsidRPr="00E36FBC">
        <w:rPr>
          <w:rFonts w:cstheme="minorHAnsi"/>
          <w:sz w:val="24"/>
          <w:szCs w:val="24"/>
          <w:lang w:eastAsia="cs-CZ"/>
        </w:rPr>
        <w:t xml:space="preserve"> o</w:t>
      </w:r>
      <w:r>
        <w:rPr>
          <w:rFonts w:cstheme="minorHAnsi"/>
          <w:sz w:val="24"/>
          <w:szCs w:val="24"/>
          <w:lang w:eastAsia="cs-CZ"/>
        </w:rPr>
        <w:t> </w:t>
      </w:r>
      <w:r w:rsidR="005D7971" w:rsidRPr="00E36FBC">
        <w:rPr>
          <w:rFonts w:cstheme="minorHAnsi"/>
          <w:sz w:val="24"/>
          <w:szCs w:val="24"/>
          <w:lang w:eastAsia="cs-CZ"/>
        </w:rPr>
        <w:t xml:space="preserve">minimálních normách pro sankce a opatření vůči zaměstnavatelům </w:t>
      </w:r>
      <w:r>
        <w:rPr>
          <w:rFonts w:cstheme="minorHAnsi"/>
          <w:sz w:val="24"/>
          <w:szCs w:val="24"/>
          <w:lang w:eastAsia="cs-CZ"/>
        </w:rPr>
        <w:br/>
      </w:r>
      <w:r w:rsidR="005D7971" w:rsidRPr="00E36FBC">
        <w:rPr>
          <w:rFonts w:cstheme="minorHAnsi"/>
          <w:sz w:val="24"/>
          <w:szCs w:val="24"/>
          <w:lang w:eastAsia="cs-CZ"/>
        </w:rPr>
        <w:t>neoprávněně pobývajících státních příslušníků třetích zemí</w:t>
      </w:r>
      <w:r>
        <w:rPr>
          <w:rFonts w:cstheme="minorHAnsi"/>
          <w:sz w:val="24"/>
          <w:szCs w:val="24"/>
          <w:lang w:eastAsia="cs-CZ"/>
        </w:rPr>
        <w:t>;</w:t>
      </w:r>
    </w:p>
    <w:p w14:paraId="3ED7D184" w14:textId="405B6276" w:rsidR="005D7971" w:rsidRDefault="005D7971" w:rsidP="006164D5">
      <w:pPr>
        <w:pStyle w:val="Odstavecseseznamem"/>
        <w:numPr>
          <w:ilvl w:val="0"/>
          <w:numId w:val="23"/>
        </w:numPr>
        <w:autoSpaceDE w:val="0"/>
        <w:autoSpaceDN w:val="0"/>
        <w:adjustRightInd w:val="0"/>
        <w:spacing w:before="120" w:after="120" w:line="240" w:lineRule="auto"/>
        <w:rPr>
          <w:rFonts w:cstheme="minorHAnsi"/>
          <w:sz w:val="24"/>
          <w:szCs w:val="24"/>
          <w:lang w:eastAsia="cs-CZ"/>
        </w:rPr>
      </w:pPr>
      <w:r>
        <w:rPr>
          <w:rFonts w:cstheme="minorHAnsi"/>
          <w:sz w:val="24"/>
          <w:szCs w:val="24"/>
          <w:lang w:eastAsia="cs-CZ"/>
        </w:rPr>
        <w:t>zákon č. 435/2004 Sb., o zaměstnanosti</w:t>
      </w:r>
      <w:r w:rsidR="004E5F3B">
        <w:rPr>
          <w:rFonts w:cstheme="minorHAnsi"/>
          <w:sz w:val="24"/>
          <w:szCs w:val="24"/>
          <w:lang w:eastAsia="cs-CZ"/>
        </w:rPr>
        <w:t>;</w:t>
      </w:r>
    </w:p>
    <w:p w14:paraId="788D9409" w14:textId="33A0FCE5" w:rsidR="005D7971" w:rsidRDefault="005D7971" w:rsidP="006164D5">
      <w:pPr>
        <w:pStyle w:val="Odstavecseseznamem"/>
        <w:numPr>
          <w:ilvl w:val="0"/>
          <w:numId w:val="23"/>
        </w:numPr>
        <w:autoSpaceDE w:val="0"/>
        <w:autoSpaceDN w:val="0"/>
        <w:adjustRightInd w:val="0"/>
        <w:spacing w:before="120" w:after="120" w:line="240" w:lineRule="auto"/>
        <w:rPr>
          <w:rFonts w:cstheme="minorHAnsi"/>
          <w:sz w:val="24"/>
          <w:szCs w:val="24"/>
          <w:lang w:eastAsia="cs-CZ"/>
        </w:rPr>
      </w:pPr>
      <w:r w:rsidRPr="00E36FBC">
        <w:rPr>
          <w:rFonts w:cstheme="minorHAnsi"/>
          <w:sz w:val="24"/>
          <w:szCs w:val="24"/>
          <w:lang w:eastAsia="cs-CZ"/>
        </w:rPr>
        <w:t>zákon č. 262/2006 Sb., zákoník práce</w:t>
      </w:r>
      <w:r w:rsidR="004E5F3B">
        <w:rPr>
          <w:rFonts w:cstheme="minorHAnsi"/>
          <w:sz w:val="24"/>
          <w:szCs w:val="24"/>
          <w:lang w:eastAsia="cs-CZ"/>
        </w:rPr>
        <w:t>;</w:t>
      </w:r>
    </w:p>
    <w:p w14:paraId="6A750A5D" w14:textId="2BFAE3F6" w:rsidR="005D7971" w:rsidRDefault="005D7971" w:rsidP="006164D5">
      <w:pPr>
        <w:pStyle w:val="Odstavecseseznamem"/>
        <w:numPr>
          <w:ilvl w:val="0"/>
          <w:numId w:val="23"/>
        </w:numPr>
        <w:autoSpaceDE w:val="0"/>
        <w:autoSpaceDN w:val="0"/>
        <w:adjustRightInd w:val="0"/>
        <w:spacing w:before="120" w:after="120" w:line="240" w:lineRule="auto"/>
        <w:rPr>
          <w:rFonts w:cstheme="minorHAnsi"/>
          <w:sz w:val="24"/>
          <w:szCs w:val="24"/>
          <w:lang w:eastAsia="cs-CZ"/>
        </w:rPr>
      </w:pPr>
      <w:r w:rsidRPr="00E36FBC">
        <w:rPr>
          <w:rFonts w:cstheme="minorHAnsi"/>
          <w:sz w:val="24"/>
          <w:szCs w:val="24"/>
          <w:lang w:eastAsia="cs-CZ"/>
        </w:rPr>
        <w:t>zákon č. 251/2005 Sb., o inspekci práce</w:t>
      </w:r>
      <w:r w:rsidR="004E5F3B">
        <w:rPr>
          <w:rFonts w:cstheme="minorHAnsi"/>
          <w:sz w:val="24"/>
          <w:szCs w:val="24"/>
          <w:lang w:eastAsia="cs-CZ"/>
        </w:rPr>
        <w:t>;</w:t>
      </w:r>
    </w:p>
    <w:p w14:paraId="271B7D9C" w14:textId="23799E0C" w:rsidR="005D7971" w:rsidRDefault="005D7971" w:rsidP="006164D5">
      <w:pPr>
        <w:pStyle w:val="Odstavecseseznamem"/>
        <w:numPr>
          <w:ilvl w:val="0"/>
          <w:numId w:val="23"/>
        </w:numPr>
        <w:autoSpaceDE w:val="0"/>
        <w:autoSpaceDN w:val="0"/>
        <w:adjustRightInd w:val="0"/>
        <w:spacing w:before="120" w:after="120" w:line="240" w:lineRule="auto"/>
        <w:rPr>
          <w:rFonts w:cstheme="minorHAnsi"/>
          <w:sz w:val="24"/>
          <w:szCs w:val="24"/>
          <w:lang w:eastAsia="cs-CZ"/>
        </w:rPr>
      </w:pPr>
      <w:r>
        <w:rPr>
          <w:rFonts w:cstheme="minorHAnsi"/>
          <w:sz w:val="24"/>
          <w:szCs w:val="24"/>
          <w:lang w:eastAsia="cs-CZ"/>
        </w:rPr>
        <w:t xml:space="preserve">zákon </w:t>
      </w:r>
      <w:r w:rsidR="004E5F3B">
        <w:rPr>
          <w:rFonts w:cstheme="minorHAnsi"/>
          <w:noProof/>
          <w:color w:val="000000"/>
          <w:sz w:val="24"/>
          <w:szCs w:val="24"/>
        </w:rPr>
        <w:t>České národní rady</w:t>
      </w:r>
      <w:r w:rsidR="004E5F3B">
        <w:rPr>
          <w:rFonts w:cstheme="minorHAnsi"/>
          <w:sz w:val="24"/>
          <w:szCs w:val="24"/>
          <w:lang w:eastAsia="cs-CZ"/>
        </w:rPr>
        <w:t xml:space="preserve"> </w:t>
      </w:r>
      <w:r>
        <w:rPr>
          <w:rFonts w:cstheme="minorHAnsi"/>
          <w:sz w:val="24"/>
          <w:szCs w:val="24"/>
          <w:lang w:eastAsia="cs-CZ"/>
        </w:rPr>
        <w:t>č. 592/1992 Sb., o pojistném na veřejné zdravotní pojištění</w:t>
      </w:r>
      <w:r w:rsidR="004E5F3B">
        <w:rPr>
          <w:rFonts w:cstheme="minorHAnsi"/>
          <w:sz w:val="24"/>
          <w:szCs w:val="24"/>
          <w:lang w:eastAsia="cs-CZ"/>
        </w:rPr>
        <w:t>;</w:t>
      </w:r>
    </w:p>
    <w:p w14:paraId="7DC8588C" w14:textId="6ADA95F7" w:rsidR="005D7971" w:rsidRDefault="005D7971" w:rsidP="006164D5">
      <w:pPr>
        <w:pStyle w:val="Odstavecseseznamem"/>
        <w:numPr>
          <w:ilvl w:val="0"/>
          <w:numId w:val="23"/>
        </w:numPr>
        <w:autoSpaceDE w:val="0"/>
        <w:autoSpaceDN w:val="0"/>
        <w:adjustRightInd w:val="0"/>
        <w:spacing w:before="120" w:after="120" w:line="240" w:lineRule="auto"/>
        <w:rPr>
          <w:rFonts w:cstheme="minorHAnsi"/>
          <w:sz w:val="24"/>
          <w:szCs w:val="24"/>
          <w:lang w:eastAsia="cs-CZ"/>
        </w:rPr>
      </w:pPr>
      <w:r w:rsidRPr="00E260D9">
        <w:rPr>
          <w:rFonts w:cstheme="minorHAnsi"/>
          <w:sz w:val="24"/>
          <w:szCs w:val="24"/>
          <w:lang w:eastAsia="cs-CZ"/>
        </w:rPr>
        <w:t>zákon č. 48/1997 Sb., o veřejném zdravotním pojištění</w:t>
      </w:r>
      <w:r w:rsidR="004E5F3B">
        <w:rPr>
          <w:rFonts w:cstheme="minorHAnsi"/>
          <w:sz w:val="24"/>
          <w:szCs w:val="24"/>
          <w:lang w:eastAsia="cs-CZ"/>
        </w:rPr>
        <w:t xml:space="preserve"> </w:t>
      </w:r>
      <w:r w:rsidR="004E5F3B" w:rsidRPr="004E5F3B">
        <w:rPr>
          <w:rFonts w:cstheme="minorHAnsi"/>
          <w:sz w:val="24"/>
          <w:szCs w:val="24"/>
          <w:lang w:eastAsia="cs-CZ"/>
        </w:rPr>
        <w:t>a o změně a doplnění některých souvisejících zákonů</w:t>
      </w:r>
      <w:r w:rsidR="004E5F3B">
        <w:rPr>
          <w:rFonts w:cstheme="minorHAnsi"/>
          <w:sz w:val="24"/>
          <w:szCs w:val="24"/>
          <w:lang w:eastAsia="cs-CZ"/>
        </w:rPr>
        <w:t>;</w:t>
      </w:r>
    </w:p>
    <w:p w14:paraId="7D7BA6E0" w14:textId="1B37FEAA" w:rsidR="00052BA5" w:rsidRPr="00E260D9" w:rsidRDefault="00052BA5" w:rsidP="006164D5">
      <w:pPr>
        <w:pStyle w:val="Odstavecseseznamem"/>
        <w:numPr>
          <w:ilvl w:val="0"/>
          <w:numId w:val="23"/>
        </w:numPr>
        <w:autoSpaceDE w:val="0"/>
        <w:autoSpaceDN w:val="0"/>
        <w:adjustRightInd w:val="0"/>
        <w:spacing w:before="120" w:line="240" w:lineRule="auto"/>
        <w:rPr>
          <w:rFonts w:cstheme="minorHAnsi"/>
          <w:sz w:val="24"/>
          <w:szCs w:val="24"/>
          <w:lang w:eastAsia="cs-CZ"/>
        </w:rPr>
      </w:pPr>
      <w:r w:rsidRPr="00E260D9">
        <w:rPr>
          <w:rFonts w:cstheme="minorHAnsi"/>
          <w:sz w:val="24"/>
          <w:szCs w:val="24"/>
          <w:lang w:eastAsia="cs-CZ"/>
        </w:rPr>
        <w:t xml:space="preserve">zákon </w:t>
      </w:r>
      <w:r w:rsidR="004E5F3B">
        <w:rPr>
          <w:rFonts w:cstheme="minorHAnsi"/>
          <w:noProof/>
          <w:color w:val="000000"/>
          <w:sz w:val="24"/>
          <w:szCs w:val="24"/>
        </w:rPr>
        <w:t>České národní rady</w:t>
      </w:r>
      <w:r w:rsidR="004E5F3B" w:rsidRPr="00E260D9">
        <w:rPr>
          <w:rFonts w:cstheme="minorHAnsi"/>
          <w:sz w:val="24"/>
          <w:szCs w:val="24"/>
          <w:lang w:eastAsia="cs-CZ"/>
        </w:rPr>
        <w:t xml:space="preserve"> </w:t>
      </w:r>
      <w:r w:rsidRPr="00E260D9">
        <w:rPr>
          <w:rFonts w:cstheme="minorHAnsi"/>
          <w:sz w:val="24"/>
          <w:szCs w:val="24"/>
          <w:lang w:eastAsia="cs-CZ"/>
        </w:rPr>
        <w:t>č. 589/1992 Sb., o pojistném na sociální zabezpečení a</w:t>
      </w:r>
      <w:r w:rsidR="00792AF1">
        <w:rPr>
          <w:rFonts w:cstheme="minorHAnsi"/>
          <w:sz w:val="24"/>
          <w:szCs w:val="24"/>
          <w:lang w:eastAsia="cs-CZ"/>
        </w:rPr>
        <w:t> </w:t>
      </w:r>
      <w:r w:rsidRPr="00E260D9">
        <w:rPr>
          <w:rFonts w:cstheme="minorHAnsi"/>
          <w:sz w:val="24"/>
          <w:szCs w:val="24"/>
          <w:lang w:eastAsia="cs-CZ"/>
        </w:rPr>
        <w:t>příspěvku na státní politiku zaměstnanosti</w:t>
      </w:r>
      <w:r w:rsidR="004E5F3B">
        <w:rPr>
          <w:rFonts w:cstheme="minorHAnsi"/>
          <w:sz w:val="24"/>
          <w:szCs w:val="24"/>
          <w:lang w:eastAsia="cs-CZ"/>
        </w:rPr>
        <w:t>.</w:t>
      </w:r>
    </w:p>
    <w:p w14:paraId="40DCC326" w14:textId="6E0FC070" w:rsidR="00DD79F9" w:rsidRDefault="00104B63" w:rsidP="00514400">
      <w:pPr>
        <w:autoSpaceDE w:val="0"/>
        <w:autoSpaceDN w:val="0"/>
        <w:adjustRightInd w:val="0"/>
        <w:spacing w:line="240" w:lineRule="auto"/>
        <w:jc w:val="both"/>
        <w:rPr>
          <w:rFonts w:cstheme="minorHAnsi"/>
          <w:sz w:val="24"/>
          <w:szCs w:val="24"/>
          <w:lang w:eastAsia="cs-CZ"/>
        </w:rPr>
      </w:pPr>
      <w:r>
        <w:rPr>
          <w:rFonts w:cstheme="minorHAnsi"/>
          <w:sz w:val="24"/>
          <w:szCs w:val="24"/>
          <w:lang w:eastAsia="cs-CZ"/>
        </w:rPr>
        <w:t>N</w:t>
      </w:r>
      <w:r w:rsidR="007E4433" w:rsidRPr="00104B63">
        <w:rPr>
          <w:rFonts w:cstheme="minorHAnsi"/>
          <w:sz w:val="24"/>
          <w:szCs w:val="24"/>
          <w:lang w:eastAsia="cs-CZ"/>
        </w:rPr>
        <w:t xml:space="preserve">KÚ se v rámci </w:t>
      </w:r>
      <w:r w:rsidR="005D7971">
        <w:rPr>
          <w:rFonts w:cstheme="minorHAnsi"/>
          <w:sz w:val="24"/>
          <w:szCs w:val="24"/>
          <w:lang w:eastAsia="cs-CZ"/>
        </w:rPr>
        <w:t>kontrolní akce č. 24/14</w:t>
      </w:r>
      <w:r w:rsidR="005D7971" w:rsidRPr="00104B63">
        <w:rPr>
          <w:rFonts w:cstheme="minorHAnsi"/>
          <w:sz w:val="24"/>
          <w:szCs w:val="24"/>
          <w:lang w:eastAsia="cs-CZ"/>
        </w:rPr>
        <w:t xml:space="preserve"> </w:t>
      </w:r>
      <w:r w:rsidR="007E4433" w:rsidRPr="00104B63">
        <w:rPr>
          <w:rFonts w:cstheme="minorHAnsi"/>
          <w:sz w:val="24"/>
          <w:szCs w:val="24"/>
          <w:lang w:eastAsia="cs-CZ"/>
        </w:rPr>
        <w:t>zaměřil n</w:t>
      </w:r>
      <w:r w:rsidR="00DD79F9" w:rsidRPr="00104B63">
        <w:rPr>
          <w:rFonts w:cstheme="minorHAnsi"/>
          <w:sz w:val="24"/>
          <w:szCs w:val="24"/>
          <w:lang w:eastAsia="cs-CZ"/>
        </w:rPr>
        <w:t xml:space="preserve">a </w:t>
      </w:r>
      <w:r w:rsidR="004A12EC">
        <w:rPr>
          <w:rFonts w:cstheme="minorHAnsi"/>
          <w:sz w:val="24"/>
          <w:szCs w:val="24"/>
          <w:lang w:eastAsia="cs-CZ"/>
        </w:rPr>
        <w:t xml:space="preserve">to, zda byl </w:t>
      </w:r>
      <w:r w:rsidR="00DD79F9" w:rsidRPr="00104B63">
        <w:rPr>
          <w:rFonts w:cstheme="minorHAnsi"/>
          <w:sz w:val="24"/>
          <w:szCs w:val="24"/>
          <w:lang w:eastAsia="cs-CZ"/>
        </w:rPr>
        <w:t>systém předávání informací a</w:t>
      </w:r>
      <w:r w:rsidR="004A12EC">
        <w:rPr>
          <w:rFonts w:cstheme="minorHAnsi"/>
          <w:sz w:val="24"/>
          <w:szCs w:val="24"/>
          <w:lang w:eastAsia="cs-CZ"/>
        </w:rPr>
        <w:t> </w:t>
      </w:r>
      <w:r w:rsidR="00DD79F9" w:rsidRPr="00104B63">
        <w:rPr>
          <w:rFonts w:cstheme="minorHAnsi"/>
          <w:sz w:val="24"/>
          <w:szCs w:val="24"/>
          <w:lang w:eastAsia="cs-CZ"/>
        </w:rPr>
        <w:t xml:space="preserve">vzájemné spolupráce kontrolních orgánů </w:t>
      </w:r>
      <w:r w:rsidR="004A12EC">
        <w:rPr>
          <w:rFonts w:cstheme="minorHAnsi"/>
          <w:sz w:val="24"/>
          <w:szCs w:val="24"/>
          <w:lang w:eastAsia="cs-CZ"/>
        </w:rPr>
        <w:t xml:space="preserve">nastaven </w:t>
      </w:r>
      <w:r w:rsidR="00DD79F9" w:rsidRPr="00104B63">
        <w:rPr>
          <w:rFonts w:cstheme="minorHAnsi"/>
          <w:sz w:val="24"/>
          <w:szCs w:val="24"/>
          <w:lang w:eastAsia="cs-CZ"/>
        </w:rPr>
        <w:t>tak, aby docházelo k doměření daně a</w:t>
      </w:r>
      <w:r w:rsidR="004A12EC">
        <w:rPr>
          <w:rFonts w:cstheme="minorHAnsi"/>
          <w:sz w:val="24"/>
          <w:szCs w:val="24"/>
          <w:lang w:eastAsia="cs-CZ"/>
        </w:rPr>
        <w:t> </w:t>
      </w:r>
      <w:r w:rsidR="00DD79F9" w:rsidRPr="00104B63">
        <w:rPr>
          <w:rFonts w:cstheme="minorHAnsi"/>
          <w:sz w:val="24"/>
          <w:szCs w:val="24"/>
          <w:lang w:eastAsia="cs-CZ"/>
        </w:rPr>
        <w:t>pojistného z nelegálně vyplacených odměn</w:t>
      </w:r>
      <w:r w:rsidR="00FB3DD9">
        <w:rPr>
          <w:rFonts w:cstheme="minorHAnsi"/>
          <w:sz w:val="24"/>
          <w:szCs w:val="24"/>
          <w:lang w:eastAsia="cs-CZ"/>
        </w:rPr>
        <w:t xml:space="preserve">. NKÚ dále </w:t>
      </w:r>
      <w:r w:rsidR="004A12EC">
        <w:rPr>
          <w:rFonts w:cstheme="minorHAnsi"/>
          <w:sz w:val="24"/>
          <w:szCs w:val="24"/>
          <w:lang w:eastAsia="cs-CZ"/>
        </w:rPr>
        <w:t>prověřil</w:t>
      </w:r>
      <w:r w:rsidR="00504D3F">
        <w:rPr>
          <w:rFonts w:cstheme="minorHAnsi"/>
          <w:sz w:val="24"/>
          <w:szCs w:val="24"/>
          <w:lang w:eastAsia="cs-CZ"/>
        </w:rPr>
        <w:t xml:space="preserve">, </w:t>
      </w:r>
      <w:r w:rsidR="00DD79F9" w:rsidRPr="00104B63">
        <w:rPr>
          <w:rFonts w:cstheme="minorHAnsi"/>
          <w:sz w:val="24"/>
          <w:szCs w:val="24"/>
          <w:lang w:eastAsia="cs-CZ"/>
        </w:rPr>
        <w:t xml:space="preserve">zda MF a MPSV </w:t>
      </w:r>
      <w:r w:rsidR="00FB3DD9" w:rsidRPr="00104B63">
        <w:rPr>
          <w:rFonts w:cstheme="minorHAnsi"/>
          <w:sz w:val="24"/>
          <w:szCs w:val="24"/>
          <w:lang w:eastAsia="cs-CZ"/>
        </w:rPr>
        <w:t>zajistily</w:t>
      </w:r>
      <w:r w:rsidR="004A12EC">
        <w:rPr>
          <w:rFonts w:cstheme="minorHAnsi"/>
          <w:sz w:val="24"/>
          <w:szCs w:val="24"/>
          <w:lang w:eastAsia="cs-CZ"/>
        </w:rPr>
        <w:t>, aby jejich</w:t>
      </w:r>
      <w:r w:rsidR="00FB3DD9" w:rsidRPr="00104B63">
        <w:rPr>
          <w:rFonts w:cstheme="minorHAnsi"/>
          <w:sz w:val="24"/>
          <w:szCs w:val="24"/>
          <w:lang w:eastAsia="cs-CZ"/>
        </w:rPr>
        <w:t xml:space="preserve"> </w:t>
      </w:r>
      <w:r w:rsidR="004A12EC">
        <w:rPr>
          <w:rFonts w:cstheme="minorHAnsi"/>
          <w:sz w:val="24"/>
          <w:szCs w:val="24"/>
          <w:lang w:eastAsia="cs-CZ"/>
        </w:rPr>
        <w:t xml:space="preserve">podřízené orgány </w:t>
      </w:r>
      <w:r w:rsidR="00DD79F9" w:rsidRPr="00104B63">
        <w:rPr>
          <w:rFonts w:cstheme="minorHAnsi"/>
          <w:sz w:val="24"/>
          <w:szCs w:val="24"/>
          <w:lang w:eastAsia="cs-CZ"/>
        </w:rPr>
        <w:t>pln</w:t>
      </w:r>
      <w:r w:rsidR="004A12EC">
        <w:rPr>
          <w:rFonts w:cstheme="minorHAnsi"/>
          <w:sz w:val="24"/>
          <w:szCs w:val="24"/>
          <w:lang w:eastAsia="cs-CZ"/>
        </w:rPr>
        <w:t>ily</w:t>
      </w:r>
      <w:r w:rsidR="00DD79F9" w:rsidRPr="00104B63">
        <w:rPr>
          <w:rFonts w:cstheme="minorHAnsi"/>
          <w:sz w:val="24"/>
          <w:szCs w:val="24"/>
          <w:lang w:eastAsia="cs-CZ"/>
        </w:rPr>
        <w:t xml:space="preserve"> </w:t>
      </w:r>
      <w:r w:rsidR="004A12EC">
        <w:rPr>
          <w:rFonts w:cstheme="minorHAnsi"/>
          <w:sz w:val="24"/>
          <w:szCs w:val="24"/>
          <w:lang w:eastAsia="cs-CZ"/>
        </w:rPr>
        <w:t xml:space="preserve">v oblasti </w:t>
      </w:r>
      <w:r w:rsidR="004A12EC" w:rsidRPr="00104B63">
        <w:rPr>
          <w:rFonts w:cstheme="minorHAnsi"/>
          <w:sz w:val="24"/>
          <w:szCs w:val="24"/>
          <w:lang w:eastAsia="cs-CZ"/>
        </w:rPr>
        <w:t>nelegální</w:t>
      </w:r>
      <w:r w:rsidR="004A12EC">
        <w:rPr>
          <w:rFonts w:cstheme="minorHAnsi"/>
          <w:sz w:val="24"/>
          <w:szCs w:val="24"/>
          <w:lang w:eastAsia="cs-CZ"/>
        </w:rPr>
        <w:t>ho</w:t>
      </w:r>
      <w:r w:rsidR="004A12EC" w:rsidRPr="00104B63">
        <w:rPr>
          <w:rFonts w:cstheme="minorHAnsi"/>
          <w:sz w:val="24"/>
          <w:szCs w:val="24"/>
          <w:lang w:eastAsia="cs-CZ"/>
        </w:rPr>
        <w:t xml:space="preserve"> zaměstnávání</w:t>
      </w:r>
      <w:r w:rsidR="004A12EC">
        <w:rPr>
          <w:rFonts w:cstheme="minorHAnsi"/>
          <w:sz w:val="24"/>
          <w:szCs w:val="24"/>
          <w:lang w:eastAsia="cs-CZ"/>
        </w:rPr>
        <w:t xml:space="preserve"> </w:t>
      </w:r>
      <w:r w:rsidR="00DD79F9" w:rsidRPr="00104B63">
        <w:rPr>
          <w:rFonts w:cstheme="minorHAnsi"/>
          <w:sz w:val="24"/>
          <w:szCs w:val="24"/>
          <w:lang w:eastAsia="cs-CZ"/>
        </w:rPr>
        <w:t>zákonem stanoven</w:t>
      </w:r>
      <w:r w:rsidR="004A12EC">
        <w:rPr>
          <w:rFonts w:cstheme="minorHAnsi"/>
          <w:sz w:val="24"/>
          <w:szCs w:val="24"/>
          <w:lang w:eastAsia="cs-CZ"/>
        </w:rPr>
        <w:t>é</w:t>
      </w:r>
      <w:r w:rsidR="00DD79F9" w:rsidRPr="00104B63">
        <w:rPr>
          <w:rFonts w:cstheme="minorHAnsi"/>
          <w:sz w:val="24"/>
          <w:szCs w:val="24"/>
          <w:lang w:eastAsia="cs-CZ"/>
        </w:rPr>
        <w:t xml:space="preserve"> povinnost</w:t>
      </w:r>
      <w:r w:rsidR="004A12EC">
        <w:rPr>
          <w:rFonts w:cstheme="minorHAnsi"/>
          <w:sz w:val="24"/>
          <w:szCs w:val="24"/>
          <w:lang w:eastAsia="cs-CZ"/>
        </w:rPr>
        <w:t>i</w:t>
      </w:r>
      <w:r w:rsidR="00DD79F9" w:rsidRPr="00104B63">
        <w:rPr>
          <w:rFonts w:cstheme="minorHAnsi"/>
          <w:sz w:val="24"/>
          <w:szCs w:val="24"/>
          <w:lang w:eastAsia="cs-CZ"/>
        </w:rPr>
        <w:t xml:space="preserve">. Dále se kontrola zaměřila na peněžní prostředky </w:t>
      </w:r>
      <w:r w:rsidR="004A12EC" w:rsidRPr="00104B63">
        <w:rPr>
          <w:rFonts w:cstheme="minorHAnsi"/>
          <w:sz w:val="24"/>
          <w:szCs w:val="24"/>
          <w:lang w:eastAsia="cs-CZ"/>
        </w:rPr>
        <w:t xml:space="preserve">vynaložené </w:t>
      </w:r>
      <w:r w:rsidR="004A12EC">
        <w:rPr>
          <w:rFonts w:cstheme="minorHAnsi"/>
          <w:sz w:val="24"/>
          <w:szCs w:val="24"/>
          <w:lang w:eastAsia="cs-CZ"/>
        </w:rPr>
        <w:t>Ministerstvem financí</w:t>
      </w:r>
      <w:r w:rsidR="00DD79F9" w:rsidRPr="00104B63">
        <w:rPr>
          <w:rFonts w:cstheme="minorHAnsi"/>
          <w:sz w:val="24"/>
          <w:szCs w:val="24"/>
          <w:lang w:eastAsia="cs-CZ"/>
        </w:rPr>
        <w:t xml:space="preserve"> </w:t>
      </w:r>
      <w:r w:rsidRPr="00104B63">
        <w:rPr>
          <w:rFonts w:cstheme="minorHAnsi"/>
          <w:sz w:val="24"/>
          <w:szCs w:val="24"/>
          <w:lang w:eastAsia="cs-CZ"/>
        </w:rPr>
        <w:t>na veřejné zdravotní pojištění</w:t>
      </w:r>
      <w:r w:rsidR="00D96725">
        <w:rPr>
          <w:rFonts w:cstheme="minorHAnsi"/>
          <w:sz w:val="24"/>
          <w:szCs w:val="24"/>
          <w:lang w:eastAsia="cs-CZ"/>
        </w:rPr>
        <w:t xml:space="preserve"> </w:t>
      </w:r>
      <w:r w:rsidRPr="00104B63">
        <w:rPr>
          <w:rFonts w:cstheme="minorHAnsi"/>
          <w:sz w:val="24"/>
          <w:szCs w:val="24"/>
          <w:lang w:eastAsia="cs-CZ"/>
        </w:rPr>
        <w:t>za nelegálně pracující uchazeče o zaměstnání</w:t>
      </w:r>
      <w:r w:rsidR="0086595E">
        <w:rPr>
          <w:rFonts w:cstheme="minorHAnsi"/>
          <w:sz w:val="24"/>
          <w:szCs w:val="24"/>
          <w:lang w:eastAsia="cs-CZ"/>
        </w:rPr>
        <w:t xml:space="preserve"> a </w:t>
      </w:r>
      <w:r w:rsidR="009E47C5">
        <w:rPr>
          <w:rFonts w:cstheme="minorHAnsi"/>
          <w:sz w:val="24"/>
          <w:szCs w:val="24"/>
          <w:lang w:eastAsia="cs-CZ"/>
        </w:rPr>
        <w:t>ověřila rovněž</w:t>
      </w:r>
      <w:r w:rsidR="004A12EC">
        <w:rPr>
          <w:rFonts w:cstheme="minorHAnsi"/>
          <w:sz w:val="24"/>
          <w:szCs w:val="24"/>
          <w:lang w:eastAsia="cs-CZ"/>
        </w:rPr>
        <w:t>, zda MF žádalo o vrácení</w:t>
      </w:r>
      <w:r w:rsidR="0086595E">
        <w:rPr>
          <w:rFonts w:cstheme="minorHAnsi"/>
          <w:sz w:val="24"/>
          <w:szCs w:val="24"/>
          <w:lang w:eastAsia="cs-CZ"/>
        </w:rPr>
        <w:t xml:space="preserve"> těchto vratitelných přeplatků</w:t>
      </w:r>
      <w:r w:rsidR="009E47C5">
        <w:rPr>
          <w:rFonts w:cstheme="minorHAnsi"/>
          <w:sz w:val="24"/>
          <w:szCs w:val="24"/>
          <w:lang w:eastAsia="cs-CZ"/>
        </w:rPr>
        <w:t xml:space="preserve"> zpět</w:t>
      </w:r>
      <w:r>
        <w:rPr>
          <w:rFonts w:cstheme="minorHAnsi"/>
          <w:sz w:val="24"/>
          <w:szCs w:val="24"/>
          <w:lang w:eastAsia="cs-CZ"/>
        </w:rPr>
        <w:t>.</w:t>
      </w:r>
    </w:p>
    <w:p w14:paraId="70374F03" w14:textId="52312212" w:rsidR="003D75C0" w:rsidRDefault="003D75C0" w:rsidP="006164D5">
      <w:pPr>
        <w:spacing w:line="240" w:lineRule="auto"/>
        <w:jc w:val="both"/>
        <w:rPr>
          <w:rFonts w:cstheme="minorHAnsi"/>
          <w:sz w:val="24"/>
          <w:szCs w:val="24"/>
          <w:lang w:eastAsia="cs-CZ"/>
        </w:rPr>
      </w:pPr>
      <w:r w:rsidRPr="00C47E97">
        <w:rPr>
          <w:rFonts w:cstheme="minorHAnsi"/>
          <w:sz w:val="24"/>
          <w:szCs w:val="24"/>
          <w:lang w:eastAsia="cs-CZ"/>
        </w:rPr>
        <w:t xml:space="preserve">Kontrolovaný objem </w:t>
      </w:r>
      <w:r w:rsidR="005D7971">
        <w:rPr>
          <w:rFonts w:cstheme="minorHAnsi"/>
          <w:sz w:val="24"/>
          <w:szCs w:val="24"/>
          <w:lang w:eastAsia="cs-CZ"/>
        </w:rPr>
        <w:t xml:space="preserve">v celkové výši 1,1 mld. Kč </w:t>
      </w:r>
      <w:r w:rsidRPr="00C47E97">
        <w:rPr>
          <w:rFonts w:cstheme="minorHAnsi"/>
          <w:sz w:val="24"/>
          <w:szCs w:val="24"/>
          <w:lang w:eastAsia="cs-CZ"/>
        </w:rPr>
        <w:t xml:space="preserve">byl stanoven </w:t>
      </w:r>
      <w:r w:rsidR="009C70D2">
        <w:rPr>
          <w:rFonts w:cstheme="minorHAnsi"/>
          <w:sz w:val="24"/>
          <w:szCs w:val="24"/>
          <w:lang w:eastAsia="cs-CZ"/>
        </w:rPr>
        <w:t>jako</w:t>
      </w:r>
      <w:r w:rsidR="00BF022C">
        <w:rPr>
          <w:rFonts w:cstheme="minorHAnsi"/>
          <w:sz w:val="24"/>
          <w:szCs w:val="24"/>
          <w:lang w:eastAsia="cs-CZ"/>
        </w:rPr>
        <w:t xml:space="preserve"> </w:t>
      </w:r>
      <w:r w:rsidRPr="00C47E97">
        <w:rPr>
          <w:rFonts w:cstheme="minorHAnsi"/>
          <w:sz w:val="24"/>
          <w:szCs w:val="24"/>
          <w:lang w:eastAsia="cs-CZ"/>
        </w:rPr>
        <w:t>hodnot</w:t>
      </w:r>
      <w:r w:rsidR="0044620C">
        <w:rPr>
          <w:rFonts w:cstheme="minorHAnsi"/>
          <w:sz w:val="24"/>
          <w:szCs w:val="24"/>
          <w:lang w:eastAsia="cs-CZ"/>
        </w:rPr>
        <w:t>a</w:t>
      </w:r>
      <w:r w:rsidR="00FD5A79">
        <w:rPr>
          <w:rFonts w:cstheme="minorHAnsi"/>
          <w:sz w:val="24"/>
          <w:szCs w:val="24"/>
          <w:lang w:eastAsia="cs-CZ"/>
        </w:rPr>
        <w:t xml:space="preserve"> celkového objemu nedoplatků vymožených </w:t>
      </w:r>
      <w:r w:rsidR="009C57FD">
        <w:rPr>
          <w:rFonts w:cstheme="minorHAnsi"/>
          <w:sz w:val="24"/>
          <w:szCs w:val="24"/>
          <w:lang w:eastAsia="cs-CZ"/>
        </w:rPr>
        <w:t>Celní správou</w:t>
      </w:r>
      <w:r w:rsidR="00FD5A79">
        <w:rPr>
          <w:rFonts w:cstheme="minorHAnsi"/>
          <w:sz w:val="24"/>
          <w:szCs w:val="24"/>
          <w:lang w:eastAsia="cs-CZ"/>
        </w:rPr>
        <w:t xml:space="preserve"> ČR</w:t>
      </w:r>
      <w:r w:rsidR="00C61078">
        <w:rPr>
          <w:rFonts w:cstheme="minorHAnsi"/>
          <w:sz w:val="24"/>
          <w:szCs w:val="24"/>
          <w:lang w:eastAsia="cs-CZ"/>
        </w:rPr>
        <w:t xml:space="preserve"> </w:t>
      </w:r>
      <w:r w:rsidR="00C61078">
        <w:rPr>
          <w:rFonts w:ascii="Calibri" w:eastAsia="Calibri" w:hAnsi="Calibri" w:cs="Calibri"/>
          <w:sz w:val="24"/>
          <w:szCs w:val="24"/>
          <w:lang w:eastAsia="cs-CZ" w:bidi="cs-CZ"/>
        </w:rPr>
        <w:t>(dále také „</w:t>
      </w:r>
      <w:r w:rsidR="00C61078" w:rsidRPr="007B5195">
        <w:rPr>
          <w:rFonts w:ascii="Calibri" w:eastAsia="Calibri" w:hAnsi="Calibri" w:cs="Calibri"/>
          <w:sz w:val="24"/>
          <w:szCs w:val="24"/>
          <w:lang w:eastAsia="cs-CZ" w:bidi="cs-CZ"/>
        </w:rPr>
        <w:t>CS ČR</w:t>
      </w:r>
      <w:r w:rsidR="00C61078">
        <w:rPr>
          <w:rFonts w:ascii="Calibri" w:eastAsia="Calibri" w:hAnsi="Calibri" w:cs="Calibri"/>
          <w:sz w:val="24"/>
          <w:szCs w:val="24"/>
          <w:lang w:eastAsia="cs-CZ" w:bidi="cs-CZ"/>
        </w:rPr>
        <w:t>“)</w:t>
      </w:r>
      <w:r w:rsidR="00FD5A79">
        <w:rPr>
          <w:rFonts w:cstheme="minorHAnsi"/>
          <w:sz w:val="24"/>
          <w:szCs w:val="24"/>
          <w:lang w:eastAsia="cs-CZ"/>
        </w:rPr>
        <w:t xml:space="preserve">, doměřené </w:t>
      </w:r>
      <w:r w:rsidR="009C57FD">
        <w:rPr>
          <w:rFonts w:cstheme="minorHAnsi"/>
          <w:sz w:val="24"/>
          <w:szCs w:val="24"/>
          <w:lang w:eastAsia="cs-CZ"/>
        </w:rPr>
        <w:t>daně z</w:t>
      </w:r>
      <w:r w:rsidR="00247E8E">
        <w:rPr>
          <w:rFonts w:cstheme="minorHAnsi"/>
          <w:sz w:val="24"/>
          <w:szCs w:val="24"/>
          <w:lang w:eastAsia="cs-CZ"/>
        </w:rPr>
        <w:t xml:space="preserve"> </w:t>
      </w:r>
      <w:r w:rsidR="009C57FD">
        <w:rPr>
          <w:rFonts w:cstheme="minorHAnsi"/>
          <w:sz w:val="24"/>
          <w:szCs w:val="24"/>
          <w:lang w:eastAsia="cs-CZ"/>
        </w:rPr>
        <w:t>příjmů fyzických osob</w:t>
      </w:r>
      <w:r w:rsidR="00FD5A79">
        <w:rPr>
          <w:rFonts w:cstheme="minorHAnsi"/>
          <w:sz w:val="24"/>
          <w:szCs w:val="24"/>
          <w:lang w:eastAsia="cs-CZ"/>
        </w:rPr>
        <w:t xml:space="preserve">, doměřeného pojistného </w:t>
      </w:r>
      <w:r w:rsidR="009C57FD">
        <w:rPr>
          <w:rFonts w:cstheme="minorHAnsi"/>
          <w:sz w:val="24"/>
          <w:szCs w:val="24"/>
          <w:lang w:eastAsia="cs-CZ"/>
        </w:rPr>
        <w:t>na sociální zabezpečení</w:t>
      </w:r>
      <w:r w:rsidR="00FD5A79">
        <w:rPr>
          <w:rFonts w:cstheme="minorHAnsi"/>
          <w:sz w:val="24"/>
          <w:szCs w:val="24"/>
          <w:lang w:eastAsia="cs-CZ"/>
        </w:rPr>
        <w:t xml:space="preserve"> a pravomocně uložených pokut</w:t>
      </w:r>
      <w:r w:rsidR="00FD0762">
        <w:rPr>
          <w:rFonts w:cstheme="minorHAnsi"/>
          <w:sz w:val="24"/>
          <w:szCs w:val="24"/>
          <w:lang w:eastAsia="cs-CZ"/>
        </w:rPr>
        <w:t>, které udělil</w:t>
      </w:r>
      <w:r w:rsidR="00FD5A79">
        <w:rPr>
          <w:rFonts w:cstheme="minorHAnsi"/>
          <w:sz w:val="24"/>
          <w:szCs w:val="24"/>
          <w:lang w:eastAsia="cs-CZ"/>
        </w:rPr>
        <w:t xml:space="preserve"> </w:t>
      </w:r>
      <w:r w:rsidR="00FD0762" w:rsidRPr="00090DB2">
        <w:rPr>
          <w:rFonts w:ascii="Calibri" w:eastAsia="Calibri" w:hAnsi="Calibri" w:cs="Calibri"/>
          <w:sz w:val="24"/>
          <w:szCs w:val="24"/>
        </w:rPr>
        <w:t>SÚIP</w:t>
      </w:r>
      <w:r w:rsidR="00FD0762">
        <w:rPr>
          <w:rFonts w:ascii="Calibri" w:eastAsia="Calibri" w:hAnsi="Calibri" w:cs="Calibri"/>
          <w:sz w:val="24"/>
          <w:szCs w:val="24"/>
        </w:rPr>
        <w:t xml:space="preserve"> </w:t>
      </w:r>
      <w:r w:rsidR="00FD5A79">
        <w:rPr>
          <w:rFonts w:cstheme="minorHAnsi"/>
          <w:sz w:val="24"/>
          <w:szCs w:val="24"/>
          <w:lang w:eastAsia="cs-CZ"/>
        </w:rPr>
        <w:t xml:space="preserve">za </w:t>
      </w:r>
      <w:r w:rsidR="00303186" w:rsidRPr="00090DB2">
        <w:rPr>
          <w:rFonts w:ascii="Calibri" w:eastAsia="Calibri" w:hAnsi="Calibri" w:cs="Calibri"/>
          <w:sz w:val="24"/>
          <w:szCs w:val="24"/>
        </w:rPr>
        <w:t>přestupky související s nelegálním zaměstnáváním</w:t>
      </w:r>
      <w:r w:rsidR="00936E09" w:rsidRPr="0073354A">
        <w:rPr>
          <w:rFonts w:cstheme="minorHAnsi"/>
          <w:sz w:val="24"/>
          <w:szCs w:val="24"/>
          <w:lang w:eastAsia="cs-CZ"/>
        </w:rPr>
        <w:t>.</w:t>
      </w:r>
    </w:p>
    <w:p w14:paraId="16FDB17F" w14:textId="2BA14FDA" w:rsidR="006104F0" w:rsidRPr="00FD23C6" w:rsidRDefault="006104F0" w:rsidP="006164D5">
      <w:pPr>
        <w:autoSpaceDE w:val="0"/>
        <w:autoSpaceDN w:val="0"/>
        <w:adjustRightInd w:val="0"/>
        <w:spacing w:before="120" w:line="240" w:lineRule="auto"/>
        <w:jc w:val="both"/>
        <w:rPr>
          <w:rFonts w:ascii="Calibri" w:eastAsia="Times New Roman" w:hAnsi="Calibri" w:cs="Calibri"/>
          <w:sz w:val="24"/>
          <w:szCs w:val="24"/>
          <w:lang w:eastAsia="cs-CZ"/>
        </w:rPr>
      </w:pPr>
      <w:r w:rsidRPr="00FD23C6">
        <w:rPr>
          <w:rFonts w:ascii="Calibri" w:eastAsia="Times New Roman" w:hAnsi="Calibri" w:cs="Calibri"/>
          <w:sz w:val="24"/>
          <w:szCs w:val="24"/>
          <w:lang w:eastAsia="cs-CZ"/>
        </w:rPr>
        <w:t xml:space="preserve">NKÚ </w:t>
      </w:r>
      <w:r>
        <w:rPr>
          <w:rFonts w:ascii="Calibri" w:eastAsia="Times New Roman" w:hAnsi="Calibri" w:cs="Calibri"/>
          <w:sz w:val="24"/>
          <w:szCs w:val="24"/>
          <w:lang w:eastAsia="cs-CZ"/>
        </w:rPr>
        <w:t xml:space="preserve">se mimo jiné zaměřil na kontrolu odstranění nedostatku zjištěného </w:t>
      </w:r>
      <w:r w:rsidR="00FD0762">
        <w:rPr>
          <w:rFonts w:ascii="Calibri" w:eastAsia="Times New Roman" w:hAnsi="Calibri" w:cs="Calibri"/>
          <w:sz w:val="24"/>
          <w:szCs w:val="24"/>
          <w:lang w:eastAsia="cs-CZ"/>
        </w:rPr>
        <w:t xml:space="preserve">při </w:t>
      </w:r>
      <w:r w:rsidRPr="00FD23C6">
        <w:rPr>
          <w:rFonts w:ascii="Calibri" w:eastAsia="Times New Roman" w:hAnsi="Calibri" w:cs="Calibri"/>
          <w:sz w:val="24"/>
          <w:szCs w:val="24"/>
          <w:lang w:eastAsia="cs-CZ"/>
        </w:rPr>
        <w:t>KA č. 18/32</w:t>
      </w:r>
      <w:r>
        <w:rPr>
          <w:rFonts w:ascii="Calibri" w:eastAsia="Times New Roman" w:hAnsi="Calibri" w:cs="Calibri"/>
          <w:sz w:val="24"/>
          <w:szCs w:val="24"/>
          <w:lang w:eastAsia="cs-CZ"/>
        </w:rPr>
        <w:t xml:space="preserve">, </w:t>
      </w:r>
      <w:r w:rsidR="00FD0762">
        <w:rPr>
          <w:rFonts w:ascii="Calibri" w:eastAsia="Times New Roman" w:hAnsi="Calibri" w:cs="Calibri"/>
          <w:sz w:val="24"/>
          <w:szCs w:val="24"/>
          <w:lang w:eastAsia="cs-CZ"/>
        </w:rPr>
        <w:t>která ukázala</w:t>
      </w:r>
      <w:r w:rsidRPr="00FD23C6">
        <w:rPr>
          <w:rFonts w:ascii="Calibri" w:eastAsia="Times New Roman" w:hAnsi="Calibri" w:cs="Calibri"/>
          <w:sz w:val="24"/>
          <w:szCs w:val="24"/>
          <w:lang w:eastAsia="cs-CZ"/>
        </w:rPr>
        <w:t xml:space="preserve">, že předávání informací z oblasti nelegálního zaměstnávání mezi jednotlivými kontrolovanými osobami bylo nefunkční. </w:t>
      </w:r>
    </w:p>
    <w:p w14:paraId="14DF0780" w14:textId="36C96D8F" w:rsidR="00FF46CC" w:rsidRPr="00C47E97" w:rsidRDefault="00FF46CC" w:rsidP="00FF46CC">
      <w:pPr>
        <w:spacing w:after="240" w:line="240" w:lineRule="auto"/>
        <w:jc w:val="both"/>
        <w:rPr>
          <w:rFonts w:cstheme="minorHAnsi"/>
          <w:sz w:val="24"/>
          <w:szCs w:val="24"/>
        </w:rPr>
      </w:pPr>
      <w:r w:rsidRPr="00C47E97">
        <w:rPr>
          <w:rFonts w:cstheme="minorHAnsi"/>
          <w:sz w:val="24"/>
          <w:szCs w:val="24"/>
        </w:rPr>
        <w:t>Kontrolováno bylo období let 201</w:t>
      </w:r>
      <w:r w:rsidR="00FD5A79">
        <w:rPr>
          <w:rFonts w:cstheme="minorHAnsi"/>
          <w:sz w:val="24"/>
          <w:szCs w:val="24"/>
        </w:rPr>
        <w:t>9</w:t>
      </w:r>
      <w:r w:rsidRPr="00C47E97">
        <w:rPr>
          <w:rFonts w:cstheme="minorHAnsi"/>
          <w:sz w:val="24"/>
          <w:szCs w:val="24"/>
        </w:rPr>
        <w:t>–202</w:t>
      </w:r>
      <w:r w:rsidR="00FD5A79">
        <w:rPr>
          <w:rFonts w:cstheme="minorHAnsi"/>
          <w:sz w:val="24"/>
          <w:szCs w:val="24"/>
        </w:rPr>
        <w:t>3</w:t>
      </w:r>
      <w:r w:rsidRPr="00C47E97">
        <w:rPr>
          <w:rFonts w:cstheme="minorHAnsi"/>
          <w:sz w:val="24"/>
          <w:szCs w:val="24"/>
        </w:rPr>
        <w:t xml:space="preserve"> a v případě věcných souvislostí i období předcházející a navazující.</w:t>
      </w:r>
    </w:p>
    <w:p w14:paraId="4B2F7212" w14:textId="77777777" w:rsidR="00B53558" w:rsidRDefault="0093232C" w:rsidP="00F17689">
      <w:pPr>
        <w:spacing w:after="120" w:line="264" w:lineRule="auto"/>
        <w:ind w:left="567" w:hanging="567"/>
        <w:jc w:val="both"/>
        <w:rPr>
          <w:rFonts w:cstheme="minorHAnsi"/>
          <w:bCs/>
          <w:sz w:val="20"/>
          <w:szCs w:val="24"/>
        </w:rPr>
      </w:pPr>
      <w:r w:rsidRPr="00C47E97">
        <w:rPr>
          <w:rFonts w:cstheme="minorHAnsi"/>
          <w:b/>
          <w:bCs/>
          <w:sz w:val="20"/>
          <w:szCs w:val="24"/>
        </w:rPr>
        <w:t>Pozn.:</w:t>
      </w:r>
      <w:r w:rsidRPr="00C47E97">
        <w:rPr>
          <w:rFonts w:cstheme="minorHAnsi"/>
          <w:bCs/>
          <w:sz w:val="20"/>
          <w:szCs w:val="24"/>
        </w:rPr>
        <w:t xml:space="preserve"> </w:t>
      </w:r>
      <w:r w:rsidRPr="00C47E97">
        <w:rPr>
          <w:rFonts w:cstheme="minorHAnsi"/>
          <w:bCs/>
          <w:sz w:val="20"/>
          <w:szCs w:val="24"/>
        </w:rPr>
        <w:tab/>
        <w:t>Právní předpisy uvedené v tomto kontrolním závěru jsou aplikovány ve znění účinném pro kontrolované období.</w:t>
      </w:r>
    </w:p>
    <w:p w14:paraId="7637FBB2" w14:textId="77777777" w:rsidR="009C57FD" w:rsidRPr="00C47E97" w:rsidRDefault="009C57FD" w:rsidP="00F17689">
      <w:pPr>
        <w:spacing w:after="120" w:line="264" w:lineRule="auto"/>
        <w:ind w:left="567" w:hanging="567"/>
        <w:jc w:val="both"/>
        <w:rPr>
          <w:rFonts w:cstheme="minorHAnsi"/>
          <w:bCs/>
          <w:sz w:val="20"/>
          <w:szCs w:val="24"/>
        </w:rPr>
      </w:pPr>
    </w:p>
    <w:p w14:paraId="5CBFCFBA" w14:textId="77777777" w:rsidR="003F61DA" w:rsidRPr="00514400" w:rsidRDefault="00B53E8F" w:rsidP="006164D5">
      <w:pPr>
        <w:pStyle w:val="Nadpis1"/>
        <w:keepLines/>
        <w:numPr>
          <w:ilvl w:val="0"/>
          <w:numId w:val="0"/>
        </w:numPr>
        <w:overflowPunct/>
        <w:autoSpaceDE/>
        <w:autoSpaceDN/>
        <w:adjustRightInd/>
        <w:spacing w:before="0" w:after="240" w:line="264" w:lineRule="auto"/>
        <w:textAlignment w:val="auto"/>
        <w:rPr>
          <w:sz w:val="28"/>
          <w:szCs w:val="24"/>
        </w:rPr>
      </w:pPr>
      <w:r w:rsidRPr="00C47E97">
        <w:rPr>
          <w:sz w:val="28"/>
          <w:szCs w:val="24"/>
        </w:rPr>
        <w:lastRenderedPageBreak/>
        <w:t>IV.</w:t>
      </w:r>
      <w:r w:rsidR="00FB4608" w:rsidRPr="00C47E97">
        <w:rPr>
          <w:sz w:val="28"/>
          <w:szCs w:val="24"/>
        </w:rPr>
        <w:t xml:space="preserve"> </w:t>
      </w:r>
      <w:r w:rsidR="0093232C" w:rsidRPr="00C47E97">
        <w:rPr>
          <w:sz w:val="28"/>
          <w:szCs w:val="24"/>
        </w:rPr>
        <w:t>Podrobné skutečnosti zjištěné kontrolou</w:t>
      </w:r>
    </w:p>
    <w:p w14:paraId="4590FA59" w14:textId="30FF9183" w:rsidR="00960F45" w:rsidRDefault="00C27D7C" w:rsidP="006164D5">
      <w:pPr>
        <w:pStyle w:val="NadpisKZ"/>
        <w:numPr>
          <w:ilvl w:val="0"/>
          <w:numId w:val="17"/>
        </w:numPr>
        <w:spacing w:after="240"/>
      </w:pPr>
      <w:r>
        <w:t xml:space="preserve">Kontrolované osoby </w:t>
      </w:r>
      <w:r w:rsidR="000D2400" w:rsidRPr="000D2400">
        <w:t>neplnily při předávání informací stanovené termíny a některé informace si nepředávaly vůbec</w:t>
      </w:r>
    </w:p>
    <w:p w14:paraId="531C89D7" w14:textId="77777777" w:rsidR="005D7971" w:rsidRPr="007C104C" w:rsidRDefault="005D7971" w:rsidP="006164D5">
      <w:pPr>
        <w:pStyle w:val="Nadpis3"/>
        <w:spacing w:after="160"/>
        <w:jc w:val="left"/>
      </w:pPr>
      <w:r w:rsidRPr="007C104C">
        <w:t>Předávání informací z oblasti nelegálního zaměstnávání mezi jednotlivými kontrolovanými osobami</w:t>
      </w:r>
    </w:p>
    <w:p w14:paraId="2F8C41F9" w14:textId="08EFF749" w:rsidR="00722D60" w:rsidRPr="007E1AED" w:rsidRDefault="00FB0204" w:rsidP="007E1AED">
      <w:pPr>
        <w:spacing w:line="240" w:lineRule="auto"/>
        <w:jc w:val="both"/>
        <w:rPr>
          <w:sz w:val="24"/>
          <w:szCs w:val="24"/>
          <w:lang w:eastAsia="cs-CZ"/>
        </w:rPr>
      </w:pPr>
      <w:r>
        <w:rPr>
          <w:sz w:val="24"/>
          <w:szCs w:val="24"/>
          <w:lang w:eastAsia="cs-CZ"/>
        </w:rPr>
        <w:t>J</w:t>
      </w:r>
      <w:r w:rsidR="003D3EFA">
        <w:rPr>
          <w:sz w:val="24"/>
          <w:szCs w:val="24"/>
          <w:lang w:eastAsia="cs-CZ"/>
        </w:rPr>
        <w:t xml:space="preserve">ednotlivé orgány státní správy </w:t>
      </w:r>
      <w:r w:rsidR="00DB2862">
        <w:rPr>
          <w:sz w:val="24"/>
          <w:szCs w:val="24"/>
          <w:lang w:eastAsia="cs-CZ"/>
        </w:rPr>
        <w:t>byly</w:t>
      </w:r>
      <w:r w:rsidR="00722B99">
        <w:rPr>
          <w:sz w:val="24"/>
          <w:szCs w:val="24"/>
          <w:lang w:eastAsia="cs-CZ"/>
        </w:rPr>
        <w:t xml:space="preserve"> </w:t>
      </w:r>
      <w:r w:rsidR="003D3EFA">
        <w:rPr>
          <w:sz w:val="24"/>
          <w:szCs w:val="24"/>
          <w:lang w:eastAsia="cs-CZ"/>
        </w:rPr>
        <w:t xml:space="preserve">při sdílení informací z oblasti nelegálního zaměstnávání </w:t>
      </w:r>
      <w:r w:rsidR="00DB2862">
        <w:rPr>
          <w:sz w:val="24"/>
          <w:szCs w:val="24"/>
          <w:lang w:eastAsia="cs-CZ"/>
        </w:rPr>
        <w:t>vázány postupem</w:t>
      </w:r>
      <w:r w:rsidR="007951EE">
        <w:rPr>
          <w:sz w:val="24"/>
          <w:szCs w:val="24"/>
          <w:lang w:eastAsia="cs-CZ"/>
        </w:rPr>
        <w:t xml:space="preserve"> </w:t>
      </w:r>
      <w:r w:rsidR="003D3EFA">
        <w:rPr>
          <w:sz w:val="24"/>
          <w:szCs w:val="24"/>
          <w:lang w:eastAsia="cs-CZ"/>
        </w:rPr>
        <w:t>podle zákona č. 280/2009 Sb.</w:t>
      </w:r>
      <w:r w:rsidR="009A6695">
        <w:rPr>
          <w:rStyle w:val="Znakapoznpodarou"/>
          <w:sz w:val="24"/>
          <w:szCs w:val="24"/>
          <w:lang w:eastAsia="cs-CZ"/>
        </w:rPr>
        <w:footnoteReference w:id="21"/>
      </w:r>
      <w:r w:rsidR="003D3EFA">
        <w:rPr>
          <w:sz w:val="24"/>
          <w:szCs w:val="24"/>
          <w:lang w:eastAsia="cs-CZ"/>
        </w:rPr>
        <w:t xml:space="preserve"> a zákona</w:t>
      </w:r>
      <w:r w:rsidR="00052BA5">
        <w:rPr>
          <w:sz w:val="24"/>
          <w:szCs w:val="24"/>
          <w:lang w:eastAsia="cs-CZ"/>
        </w:rPr>
        <w:t xml:space="preserve"> </w:t>
      </w:r>
      <w:r w:rsidR="003D3EFA">
        <w:rPr>
          <w:sz w:val="24"/>
          <w:szCs w:val="24"/>
          <w:lang w:eastAsia="cs-CZ"/>
        </w:rPr>
        <w:t>č. 187/2006 Sb.</w:t>
      </w:r>
      <w:r w:rsidR="004A3633">
        <w:rPr>
          <w:rStyle w:val="Znakapoznpodarou"/>
          <w:sz w:val="24"/>
          <w:szCs w:val="24"/>
          <w:lang w:eastAsia="cs-CZ"/>
        </w:rPr>
        <w:footnoteReference w:id="22"/>
      </w:r>
    </w:p>
    <w:p w14:paraId="148F74F1" w14:textId="64D08BB3" w:rsidR="00AD2E5C" w:rsidRPr="00E260D9" w:rsidRDefault="00AD2E5C" w:rsidP="006164D5">
      <w:pPr>
        <w:spacing w:after="60" w:line="240" w:lineRule="auto"/>
        <w:jc w:val="both"/>
        <w:rPr>
          <w:b/>
          <w:bCs/>
          <w:sz w:val="24"/>
          <w:szCs w:val="24"/>
          <w:lang w:eastAsia="cs-CZ"/>
        </w:rPr>
      </w:pPr>
      <w:r w:rsidRPr="00E260D9">
        <w:rPr>
          <w:b/>
          <w:bCs/>
          <w:sz w:val="24"/>
          <w:szCs w:val="24"/>
          <w:lang w:eastAsia="cs-CZ"/>
        </w:rPr>
        <w:t>Schéma č. 1: Systém předávání informací</w:t>
      </w:r>
    </w:p>
    <w:p w14:paraId="60ADA966" w14:textId="22CE708D" w:rsidR="00AD2E5C" w:rsidRDefault="00AD2E5C" w:rsidP="00046D81">
      <w:pPr>
        <w:spacing w:line="240" w:lineRule="auto"/>
        <w:jc w:val="both"/>
        <w:rPr>
          <w:sz w:val="24"/>
          <w:szCs w:val="24"/>
          <w:lang w:eastAsia="cs-CZ"/>
        </w:rPr>
      </w:pPr>
      <w:r>
        <w:rPr>
          <w:noProof/>
        </w:rPr>
        <w:drawing>
          <wp:inline distT="0" distB="0" distL="0" distR="0" wp14:anchorId="0CEBB094" wp14:editId="4361E10A">
            <wp:extent cx="5760208" cy="4841359"/>
            <wp:effectExtent l="0" t="0" r="0" b="0"/>
            <wp:docPr id="217839136" name="Obrázek 11" descr="Obsah obrázku text, snímek obrazovky, diagram,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39136" name="Obrázek 11" descr="Obsah obrázku text, snímek obrazovky, diagram, Písmo&#10;&#10;Obsah vygenerovaný umělou inteligencí může být nesprávný."/>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752" b="8199"/>
                    <a:stretch/>
                  </pic:blipFill>
                  <pic:spPr bwMode="auto">
                    <a:xfrm>
                      <a:off x="0" y="0"/>
                      <a:ext cx="5760720" cy="4841789"/>
                    </a:xfrm>
                    <a:prstGeom prst="rect">
                      <a:avLst/>
                    </a:prstGeom>
                    <a:noFill/>
                    <a:ln>
                      <a:noFill/>
                    </a:ln>
                    <a:extLst>
                      <a:ext uri="{53640926-AAD7-44D8-BBD7-CCE9431645EC}">
                        <a14:shadowObscured xmlns:a14="http://schemas.microsoft.com/office/drawing/2010/main"/>
                      </a:ext>
                    </a:extLst>
                  </pic:spPr>
                </pic:pic>
              </a:graphicData>
            </a:graphic>
          </wp:inline>
        </w:drawing>
      </w:r>
    </w:p>
    <w:p w14:paraId="545441E4" w14:textId="4A9DDE7D" w:rsidR="00AD2E5C" w:rsidRPr="006164D5" w:rsidRDefault="00AD2E5C" w:rsidP="006164D5">
      <w:pPr>
        <w:spacing w:after="240" w:line="240" w:lineRule="auto"/>
        <w:jc w:val="both"/>
        <w:rPr>
          <w:sz w:val="20"/>
          <w:szCs w:val="20"/>
          <w:lang w:eastAsia="cs-CZ"/>
        </w:rPr>
      </w:pPr>
      <w:r w:rsidRPr="006164D5">
        <w:rPr>
          <w:b/>
          <w:bCs/>
          <w:sz w:val="20"/>
          <w:szCs w:val="20"/>
          <w:lang w:eastAsia="cs-CZ"/>
        </w:rPr>
        <w:t>Zdroj:</w:t>
      </w:r>
      <w:r w:rsidRPr="006164D5">
        <w:rPr>
          <w:sz w:val="20"/>
          <w:szCs w:val="20"/>
          <w:lang w:eastAsia="cs-CZ"/>
        </w:rPr>
        <w:t xml:space="preserve"> </w:t>
      </w:r>
      <w:r w:rsidR="00FB631B">
        <w:rPr>
          <w:sz w:val="20"/>
          <w:szCs w:val="20"/>
          <w:lang w:eastAsia="cs-CZ"/>
        </w:rPr>
        <w:t xml:space="preserve">informace zjištěné kontrolou; graficky </w:t>
      </w:r>
      <w:r w:rsidRPr="006164D5">
        <w:rPr>
          <w:sz w:val="20"/>
          <w:szCs w:val="20"/>
          <w:lang w:eastAsia="cs-CZ"/>
        </w:rPr>
        <w:t>zpracoval NKÚ</w:t>
      </w:r>
      <w:r w:rsidR="00722D60" w:rsidRPr="006164D5">
        <w:rPr>
          <w:sz w:val="20"/>
          <w:szCs w:val="20"/>
          <w:lang w:eastAsia="cs-CZ"/>
        </w:rPr>
        <w:t>.</w:t>
      </w:r>
    </w:p>
    <w:p w14:paraId="65E0F1C3" w14:textId="59007674" w:rsidR="00612166" w:rsidRPr="005B2AAD" w:rsidRDefault="00612166" w:rsidP="00046D81">
      <w:pPr>
        <w:spacing w:line="240" w:lineRule="auto"/>
        <w:jc w:val="both"/>
        <w:rPr>
          <w:rFonts w:ascii="Calibri" w:hAnsi="Calibri" w:cs="Calibri"/>
          <w:sz w:val="24"/>
          <w:szCs w:val="24"/>
        </w:rPr>
      </w:pPr>
      <w:r w:rsidRPr="005B2AAD">
        <w:rPr>
          <w:rFonts w:ascii="Calibri" w:hAnsi="Calibri" w:cs="Calibri"/>
          <w:sz w:val="24"/>
          <w:szCs w:val="24"/>
        </w:rPr>
        <w:t xml:space="preserve">Předávání informací mezi SÚIP a jinými orgány státní správy </w:t>
      </w:r>
      <w:r w:rsidR="00DB2862">
        <w:rPr>
          <w:rFonts w:ascii="Calibri" w:hAnsi="Calibri" w:cs="Calibri"/>
          <w:sz w:val="24"/>
          <w:szCs w:val="24"/>
        </w:rPr>
        <w:t>bylo</w:t>
      </w:r>
      <w:r w:rsidRPr="005B2AAD">
        <w:rPr>
          <w:rFonts w:ascii="Calibri" w:hAnsi="Calibri" w:cs="Calibri"/>
          <w:sz w:val="24"/>
          <w:szCs w:val="24"/>
        </w:rPr>
        <w:t xml:space="preserve"> upraveno prostřednictvím vnitřních předpisů a metodik SÚIP. </w:t>
      </w:r>
      <w:r>
        <w:rPr>
          <w:rFonts w:ascii="Calibri" w:hAnsi="Calibri" w:cs="Calibri"/>
          <w:sz w:val="24"/>
          <w:szCs w:val="24"/>
        </w:rPr>
        <w:t xml:space="preserve">Tyto </w:t>
      </w:r>
      <w:r w:rsidR="0014297A">
        <w:rPr>
          <w:rFonts w:ascii="Calibri" w:hAnsi="Calibri" w:cs="Calibri"/>
          <w:sz w:val="24"/>
          <w:szCs w:val="24"/>
        </w:rPr>
        <w:t>interní</w:t>
      </w:r>
      <w:r w:rsidR="0014297A" w:rsidRPr="005B2AAD">
        <w:rPr>
          <w:rFonts w:ascii="Calibri" w:hAnsi="Calibri" w:cs="Calibri"/>
          <w:sz w:val="24"/>
          <w:szCs w:val="24"/>
        </w:rPr>
        <w:t xml:space="preserve"> </w:t>
      </w:r>
      <w:r w:rsidR="0014297A">
        <w:rPr>
          <w:rFonts w:ascii="Calibri" w:hAnsi="Calibri" w:cs="Calibri"/>
          <w:sz w:val="24"/>
          <w:szCs w:val="24"/>
        </w:rPr>
        <w:t xml:space="preserve">předpisy </w:t>
      </w:r>
      <w:r w:rsidRPr="005B2AAD">
        <w:rPr>
          <w:rFonts w:ascii="Calibri" w:hAnsi="Calibri" w:cs="Calibri"/>
          <w:sz w:val="24"/>
          <w:szCs w:val="24"/>
        </w:rPr>
        <w:t>upravují zásady a shrnují zákon</w:t>
      </w:r>
      <w:r w:rsidR="00B57E89">
        <w:rPr>
          <w:rFonts w:ascii="Calibri" w:hAnsi="Calibri" w:cs="Calibri"/>
          <w:sz w:val="24"/>
          <w:szCs w:val="24"/>
        </w:rPr>
        <w:t>né</w:t>
      </w:r>
      <w:r w:rsidRPr="005B2AAD">
        <w:rPr>
          <w:rFonts w:ascii="Calibri" w:hAnsi="Calibri" w:cs="Calibri"/>
          <w:sz w:val="24"/>
          <w:szCs w:val="24"/>
        </w:rPr>
        <w:t xml:space="preserve"> povinnosti orgánů inspekce práce </w:t>
      </w:r>
      <w:r w:rsidR="00BC23E9">
        <w:rPr>
          <w:rFonts w:ascii="Calibri" w:hAnsi="Calibri" w:cs="Calibri"/>
          <w:sz w:val="24"/>
          <w:szCs w:val="24"/>
        </w:rPr>
        <w:t>v oblasti</w:t>
      </w:r>
      <w:r w:rsidR="00B57E89">
        <w:rPr>
          <w:rFonts w:ascii="Calibri" w:hAnsi="Calibri" w:cs="Calibri"/>
          <w:sz w:val="24"/>
          <w:szCs w:val="24"/>
        </w:rPr>
        <w:t xml:space="preserve"> </w:t>
      </w:r>
      <w:r w:rsidRPr="005B2AAD">
        <w:rPr>
          <w:rFonts w:ascii="Calibri" w:hAnsi="Calibri" w:cs="Calibri"/>
          <w:sz w:val="24"/>
          <w:szCs w:val="24"/>
        </w:rPr>
        <w:t>předáv</w:t>
      </w:r>
      <w:r w:rsidR="00B57E89">
        <w:rPr>
          <w:rFonts w:ascii="Calibri" w:hAnsi="Calibri" w:cs="Calibri"/>
          <w:sz w:val="24"/>
          <w:szCs w:val="24"/>
        </w:rPr>
        <w:t>ání</w:t>
      </w:r>
      <w:r w:rsidRPr="005B2AAD">
        <w:rPr>
          <w:rFonts w:ascii="Calibri" w:hAnsi="Calibri" w:cs="Calibri"/>
          <w:sz w:val="24"/>
          <w:szCs w:val="24"/>
        </w:rPr>
        <w:t xml:space="preserve"> zjištěn</w:t>
      </w:r>
      <w:r w:rsidR="00B57E89">
        <w:rPr>
          <w:rFonts w:ascii="Calibri" w:hAnsi="Calibri" w:cs="Calibri"/>
          <w:sz w:val="24"/>
          <w:szCs w:val="24"/>
        </w:rPr>
        <w:t>ých</w:t>
      </w:r>
      <w:r w:rsidRPr="005B2AAD">
        <w:rPr>
          <w:rFonts w:ascii="Calibri" w:hAnsi="Calibri" w:cs="Calibri"/>
          <w:sz w:val="24"/>
          <w:szCs w:val="24"/>
        </w:rPr>
        <w:t xml:space="preserve"> skutečnost</w:t>
      </w:r>
      <w:r w:rsidR="00B57E89">
        <w:rPr>
          <w:rFonts w:ascii="Calibri" w:hAnsi="Calibri" w:cs="Calibri"/>
          <w:sz w:val="24"/>
          <w:szCs w:val="24"/>
        </w:rPr>
        <w:t>í</w:t>
      </w:r>
      <w:r w:rsidRPr="005B2AAD">
        <w:rPr>
          <w:rFonts w:ascii="Calibri" w:hAnsi="Calibri" w:cs="Calibri"/>
          <w:sz w:val="24"/>
          <w:szCs w:val="24"/>
        </w:rPr>
        <w:t xml:space="preserve"> a výsledk</w:t>
      </w:r>
      <w:r w:rsidR="00B57E89">
        <w:rPr>
          <w:rFonts w:ascii="Calibri" w:hAnsi="Calibri" w:cs="Calibri"/>
          <w:sz w:val="24"/>
          <w:szCs w:val="24"/>
        </w:rPr>
        <w:t>ů</w:t>
      </w:r>
      <w:r w:rsidRPr="005B2AAD">
        <w:rPr>
          <w:rFonts w:ascii="Calibri" w:hAnsi="Calibri" w:cs="Calibri"/>
          <w:sz w:val="24"/>
          <w:szCs w:val="24"/>
        </w:rPr>
        <w:t xml:space="preserve"> činnosti </w:t>
      </w:r>
      <w:r w:rsidR="00B57E89">
        <w:rPr>
          <w:rFonts w:ascii="Calibri" w:hAnsi="Calibri" w:cs="Calibri"/>
          <w:sz w:val="24"/>
          <w:szCs w:val="24"/>
        </w:rPr>
        <w:t xml:space="preserve">SÚIP </w:t>
      </w:r>
      <w:r w:rsidRPr="005B2AAD">
        <w:rPr>
          <w:rFonts w:ascii="Calibri" w:hAnsi="Calibri" w:cs="Calibri"/>
          <w:sz w:val="24"/>
          <w:szCs w:val="24"/>
        </w:rPr>
        <w:t>jiným orgánům státní správy. Metodické pokyny stanoví, jaké údaje a</w:t>
      </w:r>
      <w:r w:rsidR="00BC23E9">
        <w:rPr>
          <w:rFonts w:ascii="Calibri" w:hAnsi="Calibri" w:cs="Calibri"/>
          <w:sz w:val="24"/>
          <w:szCs w:val="24"/>
        </w:rPr>
        <w:t> </w:t>
      </w:r>
      <w:r w:rsidRPr="005B2AAD">
        <w:rPr>
          <w:rFonts w:ascii="Calibri" w:hAnsi="Calibri" w:cs="Calibri"/>
          <w:sz w:val="24"/>
          <w:szCs w:val="24"/>
        </w:rPr>
        <w:t>dokumenty, v</w:t>
      </w:r>
      <w:r w:rsidR="00052BA5">
        <w:rPr>
          <w:rFonts w:ascii="Calibri" w:hAnsi="Calibri" w:cs="Calibri"/>
          <w:sz w:val="24"/>
          <w:szCs w:val="24"/>
        </w:rPr>
        <w:t> </w:t>
      </w:r>
      <w:r w:rsidRPr="005B2AAD">
        <w:rPr>
          <w:rFonts w:ascii="Calibri" w:hAnsi="Calibri" w:cs="Calibri"/>
          <w:sz w:val="24"/>
          <w:szCs w:val="24"/>
        </w:rPr>
        <w:t>jakém rozsahu, v jaké lhůtě a kterému příslušnému úřadu mají být poskytnuty.</w:t>
      </w:r>
    </w:p>
    <w:p w14:paraId="25400A0F" w14:textId="01B8A1CC" w:rsidR="00612166" w:rsidRDefault="00256773" w:rsidP="006164D5">
      <w:pPr>
        <w:spacing w:line="240" w:lineRule="auto"/>
        <w:jc w:val="both"/>
        <w:rPr>
          <w:rFonts w:ascii="Calibri" w:hAnsi="Calibri" w:cs="Calibri"/>
          <w:sz w:val="24"/>
          <w:szCs w:val="24"/>
        </w:rPr>
      </w:pPr>
      <w:r w:rsidRPr="005B2AAD">
        <w:rPr>
          <w:rFonts w:ascii="Calibri" w:hAnsi="Calibri" w:cs="Calibri"/>
          <w:sz w:val="24"/>
          <w:szCs w:val="24"/>
        </w:rPr>
        <w:lastRenderedPageBreak/>
        <w:t>SÚIP</w:t>
      </w:r>
      <w:r>
        <w:rPr>
          <w:rFonts w:ascii="Calibri" w:hAnsi="Calibri" w:cs="Calibri"/>
          <w:sz w:val="24"/>
          <w:szCs w:val="24"/>
        </w:rPr>
        <w:t xml:space="preserve"> </w:t>
      </w:r>
      <w:r w:rsidRPr="005B2AAD">
        <w:rPr>
          <w:rFonts w:ascii="Calibri" w:hAnsi="Calibri" w:cs="Calibri"/>
          <w:sz w:val="24"/>
          <w:szCs w:val="24"/>
        </w:rPr>
        <w:t>předáv</w:t>
      </w:r>
      <w:r w:rsidR="001E6998">
        <w:rPr>
          <w:rFonts w:ascii="Calibri" w:hAnsi="Calibri" w:cs="Calibri"/>
          <w:sz w:val="24"/>
          <w:szCs w:val="24"/>
        </w:rPr>
        <w:t>al</w:t>
      </w:r>
      <w:r w:rsidRPr="005B2AAD">
        <w:rPr>
          <w:rFonts w:ascii="Calibri" w:hAnsi="Calibri" w:cs="Calibri"/>
          <w:sz w:val="24"/>
          <w:szCs w:val="24"/>
        </w:rPr>
        <w:t xml:space="preserve"> </w:t>
      </w:r>
      <w:r>
        <w:rPr>
          <w:rFonts w:ascii="Calibri" w:hAnsi="Calibri" w:cs="Calibri"/>
          <w:sz w:val="24"/>
          <w:szCs w:val="24"/>
        </w:rPr>
        <w:t>i</w:t>
      </w:r>
      <w:r w:rsidR="0014297A">
        <w:rPr>
          <w:rFonts w:ascii="Calibri" w:hAnsi="Calibri" w:cs="Calibri"/>
          <w:sz w:val="24"/>
          <w:szCs w:val="24"/>
        </w:rPr>
        <w:t>nformace z</w:t>
      </w:r>
      <w:r w:rsidR="00612166" w:rsidRPr="005B2AAD">
        <w:rPr>
          <w:rFonts w:ascii="Calibri" w:hAnsi="Calibri" w:cs="Calibri"/>
          <w:sz w:val="24"/>
          <w:szCs w:val="24"/>
        </w:rPr>
        <w:t xml:space="preserve"> kontrolní činnosti </w:t>
      </w:r>
      <w:r w:rsidR="00C92B99">
        <w:rPr>
          <w:rFonts w:ascii="Calibri" w:hAnsi="Calibri" w:cs="Calibri"/>
          <w:sz w:val="24"/>
          <w:szCs w:val="24"/>
        </w:rPr>
        <w:t xml:space="preserve">orgánům </w:t>
      </w:r>
      <w:r w:rsidR="00C61078">
        <w:rPr>
          <w:rFonts w:ascii="Calibri" w:hAnsi="Calibri" w:cs="Calibri"/>
          <w:sz w:val="24"/>
          <w:szCs w:val="24"/>
        </w:rPr>
        <w:t>FS</w:t>
      </w:r>
      <w:r w:rsidR="00612166" w:rsidRPr="005B2AAD">
        <w:rPr>
          <w:rFonts w:ascii="Calibri" w:hAnsi="Calibri" w:cs="Calibri"/>
          <w:sz w:val="24"/>
          <w:szCs w:val="24"/>
        </w:rPr>
        <w:t xml:space="preserve"> ČR</w:t>
      </w:r>
      <w:r w:rsidR="00C92B99">
        <w:rPr>
          <w:rFonts w:ascii="Calibri" w:hAnsi="Calibri" w:cs="Calibri"/>
          <w:sz w:val="24"/>
          <w:szCs w:val="24"/>
        </w:rPr>
        <w:t>,</w:t>
      </w:r>
      <w:r w:rsidR="004B5F54">
        <w:rPr>
          <w:rFonts w:ascii="Calibri" w:hAnsi="Calibri" w:cs="Calibri"/>
          <w:sz w:val="24"/>
          <w:szCs w:val="24"/>
        </w:rPr>
        <w:t xml:space="preserve"> CS ČR,</w:t>
      </w:r>
      <w:r w:rsidR="00612166">
        <w:rPr>
          <w:rFonts w:ascii="Calibri" w:hAnsi="Calibri" w:cs="Calibri"/>
          <w:sz w:val="24"/>
          <w:szCs w:val="24"/>
        </w:rPr>
        <w:t xml:space="preserve"> </w:t>
      </w:r>
      <w:r w:rsidR="0014297A">
        <w:rPr>
          <w:rFonts w:ascii="Calibri" w:hAnsi="Calibri" w:cs="Calibri"/>
          <w:sz w:val="24"/>
          <w:szCs w:val="24"/>
        </w:rPr>
        <w:t>ČSSZ</w:t>
      </w:r>
      <w:r w:rsidR="00C92B99">
        <w:rPr>
          <w:rFonts w:ascii="Calibri" w:hAnsi="Calibri" w:cs="Calibri"/>
          <w:sz w:val="24"/>
          <w:szCs w:val="24"/>
        </w:rPr>
        <w:t>,</w:t>
      </w:r>
      <w:r w:rsidR="00612166">
        <w:rPr>
          <w:rFonts w:ascii="Calibri" w:hAnsi="Calibri" w:cs="Calibri"/>
          <w:sz w:val="24"/>
          <w:szCs w:val="24"/>
        </w:rPr>
        <w:t xml:space="preserve"> </w:t>
      </w:r>
      <w:r w:rsidR="00612166" w:rsidRPr="005B2AAD">
        <w:rPr>
          <w:rFonts w:ascii="Calibri" w:hAnsi="Calibri" w:cs="Calibri"/>
          <w:sz w:val="24"/>
          <w:szCs w:val="24"/>
        </w:rPr>
        <w:t>Úřadu práce ČR</w:t>
      </w:r>
      <w:r w:rsidR="00C92B99">
        <w:rPr>
          <w:rFonts w:ascii="Calibri" w:hAnsi="Calibri" w:cs="Calibri"/>
          <w:sz w:val="24"/>
          <w:szCs w:val="24"/>
        </w:rPr>
        <w:t>,</w:t>
      </w:r>
      <w:r w:rsidR="00612166">
        <w:rPr>
          <w:rFonts w:ascii="Calibri" w:hAnsi="Calibri" w:cs="Calibri"/>
          <w:sz w:val="24"/>
          <w:szCs w:val="24"/>
        </w:rPr>
        <w:t xml:space="preserve"> </w:t>
      </w:r>
      <w:r w:rsidR="00612166" w:rsidRPr="005B2AAD">
        <w:rPr>
          <w:rFonts w:ascii="Calibri" w:hAnsi="Calibri" w:cs="Calibri"/>
          <w:sz w:val="24"/>
          <w:szCs w:val="24"/>
        </w:rPr>
        <w:t>Odboru azylové a migrační politiky M</w:t>
      </w:r>
      <w:r w:rsidR="00743A2C">
        <w:rPr>
          <w:rFonts w:ascii="Calibri" w:hAnsi="Calibri" w:cs="Calibri"/>
          <w:sz w:val="24"/>
          <w:szCs w:val="24"/>
        </w:rPr>
        <w:t>inisterstva vnitra</w:t>
      </w:r>
      <w:r w:rsidR="00612166" w:rsidRPr="005B2AAD">
        <w:rPr>
          <w:rFonts w:ascii="Calibri" w:hAnsi="Calibri" w:cs="Calibri"/>
          <w:sz w:val="24"/>
          <w:szCs w:val="24"/>
        </w:rPr>
        <w:t xml:space="preserve"> </w:t>
      </w:r>
      <w:r w:rsidR="0014297A">
        <w:rPr>
          <w:rFonts w:ascii="Calibri" w:hAnsi="Calibri" w:cs="Calibri"/>
          <w:sz w:val="24"/>
          <w:szCs w:val="24"/>
        </w:rPr>
        <w:t>a</w:t>
      </w:r>
      <w:r w:rsidR="00612166">
        <w:rPr>
          <w:rFonts w:ascii="Calibri" w:hAnsi="Calibri" w:cs="Calibri"/>
          <w:sz w:val="24"/>
          <w:szCs w:val="24"/>
        </w:rPr>
        <w:t xml:space="preserve"> </w:t>
      </w:r>
      <w:r w:rsidR="00612166" w:rsidRPr="005B2AAD">
        <w:rPr>
          <w:rFonts w:ascii="Calibri" w:hAnsi="Calibri" w:cs="Calibri"/>
          <w:sz w:val="24"/>
          <w:szCs w:val="24"/>
        </w:rPr>
        <w:t>Službě cizinecké policie</w:t>
      </w:r>
      <w:r w:rsidR="00303186">
        <w:rPr>
          <w:rFonts w:ascii="Calibri" w:hAnsi="Calibri" w:cs="Calibri"/>
          <w:sz w:val="24"/>
          <w:szCs w:val="24"/>
        </w:rPr>
        <w:t xml:space="preserve"> (útvar Policie</w:t>
      </w:r>
      <w:r w:rsidR="00BC23E9">
        <w:rPr>
          <w:rFonts w:ascii="Calibri" w:hAnsi="Calibri" w:cs="Calibri"/>
          <w:sz w:val="24"/>
          <w:szCs w:val="24"/>
        </w:rPr>
        <w:t> </w:t>
      </w:r>
      <w:r w:rsidR="00303186">
        <w:rPr>
          <w:rFonts w:ascii="Calibri" w:hAnsi="Calibri" w:cs="Calibri"/>
          <w:sz w:val="24"/>
          <w:szCs w:val="24"/>
        </w:rPr>
        <w:t>ČR)</w:t>
      </w:r>
      <w:r w:rsidR="00FB0204">
        <w:rPr>
          <w:rFonts w:ascii="Calibri" w:hAnsi="Calibri" w:cs="Calibri"/>
          <w:sz w:val="24"/>
          <w:szCs w:val="24"/>
        </w:rPr>
        <w:t>.</w:t>
      </w:r>
    </w:p>
    <w:p w14:paraId="24694761" w14:textId="2F4B7664" w:rsidR="00612166" w:rsidRPr="009861DA" w:rsidRDefault="0014297A" w:rsidP="006164D5">
      <w:pPr>
        <w:spacing w:line="240" w:lineRule="auto"/>
        <w:jc w:val="both"/>
        <w:rPr>
          <w:rFonts w:ascii="Calibri" w:hAnsi="Calibri" w:cs="Calibri"/>
          <w:sz w:val="24"/>
          <w:szCs w:val="24"/>
        </w:rPr>
      </w:pPr>
      <w:r>
        <w:rPr>
          <w:rFonts w:ascii="Calibri" w:hAnsi="Calibri" w:cs="Calibri"/>
          <w:sz w:val="24"/>
          <w:szCs w:val="24"/>
        </w:rPr>
        <w:t>SÚIP</w:t>
      </w:r>
      <w:r w:rsidR="00612166" w:rsidRPr="009861DA">
        <w:rPr>
          <w:rFonts w:ascii="Calibri" w:hAnsi="Calibri" w:cs="Calibri"/>
          <w:sz w:val="24"/>
          <w:szCs w:val="24"/>
        </w:rPr>
        <w:t xml:space="preserve"> a </w:t>
      </w:r>
      <w:r>
        <w:rPr>
          <w:rFonts w:ascii="Calibri" w:hAnsi="Calibri" w:cs="Calibri"/>
          <w:sz w:val="24"/>
          <w:szCs w:val="24"/>
        </w:rPr>
        <w:t>GŘC</w:t>
      </w:r>
      <w:r w:rsidR="00612166" w:rsidRPr="009861DA">
        <w:rPr>
          <w:rFonts w:ascii="Calibri" w:hAnsi="Calibri" w:cs="Calibri"/>
          <w:sz w:val="24"/>
          <w:szCs w:val="24"/>
        </w:rPr>
        <w:t xml:space="preserve"> uzavřely dne 24. 8. 2020 </w:t>
      </w:r>
      <w:r w:rsidR="00BC23E9">
        <w:rPr>
          <w:rFonts w:ascii="Calibri" w:hAnsi="Calibri" w:cs="Calibri"/>
          <w:sz w:val="24"/>
          <w:szCs w:val="24"/>
        </w:rPr>
        <w:t>„d</w:t>
      </w:r>
      <w:r w:rsidR="00612166" w:rsidRPr="009861DA">
        <w:rPr>
          <w:rFonts w:ascii="Calibri" w:hAnsi="Calibri" w:cs="Calibri"/>
          <w:sz w:val="24"/>
          <w:szCs w:val="24"/>
        </w:rPr>
        <w:t>ohodu o spolupráci</w:t>
      </w:r>
      <w:r w:rsidR="00BC23E9">
        <w:rPr>
          <w:rFonts w:ascii="Calibri" w:hAnsi="Calibri" w:cs="Calibri"/>
          <w:sz w:val="24"/>
          <w:szCs w:val="24"/>
        </w:rPr>
        <w:t>“</w:t>
      </w:r>
      <w:r w:rsidR="00612166" w:rsidRPr="009861DA">
        <w:rPr>
          <w:rFonts w:ascii="Calibri" w:hAnsi="Calibri" w:cs="Calibri"/>
          <w:sz w:val="24"/>
          <w:szCs w:val="24"/>
        </w:rPr>
        <w:t xml:space="preserve">, která upravovala </w:t>
      </w:r>
      <w:r w:rsidR="00090DB2" w:rsidRPr="009861DA">
        <w:rPr>
          <w:rFonts w:ascii="Calibri" w:hAnsi="Calibri" w:cs="Calibri"/>
          <w:sz w:val="24"/>
          <w:szCs w:val="24"/>
        </w:rPr>
        <w:t xml:space="preserve">postupy </w:t>
      </w:r>
      <w:r w:rsidR="00BC23E9">
        <w:rPr>
          <w:rFonts w:ascii="Calibri" w:hAnsi="Calibri" w:cs="Calibri"/>
          <w:sz w:val="24"/>
          <w:szCs w:val="24"/>
        </w:rPr>
        <w:br/>
      </w:r>
      <w:r w:rsidR="00090DB2">
        <w:rPr>
          <w:rFonts w:ascii="Calibri" w:hAnsi="Calibri" w:cs="Calibri"/>
          <w:sz w:val="24"/>
          <w:szCs w:val="24"/>
        </w:rPr>
        <w:t>např.</w:t>
      </w:r>
      <w:r w:rsidR="00AE16DB">
        <w:rPr>
          <w:rFonts w:ascii="Calibri" w:hAnsi="Calibri" w:cs="Calibri"/>
          <w:sz w:val="24"/>
          <w:szCs w:val="24"/>
        </w:rPr>
        <w:t xml:space="preserve"> při provádění společných kontrol, koordinaci kontrolní činnosti nebo předávání informací z vymáhání uložených pokut </w:t>
      </w:r>
      <w:r w:rsidR="00BC23E9">
        <w:rPr>
          <w:rFonts w:ascii="Calibri" w:hAnsi="Calibri" w:cs="Calibri"/>
          <w:sz w:val="24"/>
          <w:szCs w:val="24"/>
        </w:rPr>
        <w:t>(</w:t>
      </w:r>
      <w:r w:rsidR="00AE16DB">
        <w:rPr>
          <w:rFonts w:ascii="Calibri" w:hAnsi="Calibri" w:cs="Calibri"/>
          <w:sz w:val="24"/>
          <w:szCs w:val="24"/>
        </w:rPr>
        <w:t>jedenkrát ročně</w:t>
      </w:r>
      <w:r w:rsidR="00BC23E9">
        <w:rPr>
          <w:rFonts w:ascii="Calibri" w:hAnsi="Calibri" w:cs="Calibri"/>
          <w:sz w:val="24"/>
          <w:szCs w:val="24"/>
        </w:rPr>
        <w:t>)</w:t>
      </w:r>
      <w:r w:rsidR="00AE16DB">
        <w:rPr>
          <w:rFonts w:ascii="Calibri" w:hAnsi="Calibri" w:cs="Calibri"/>
          <w:sz w:val="24"/>
          <w:szCs w:val="24"/>
        </w:rPr>
        <w:t>.</w:t>
      </w:r>
    </w:p>
    <w:p w14:paraId="27AB43CA" w14:textId="7557E990" w:rsidR="00612166" w:rsidRDefault="00612166" w:rsidP="006164D5">
      <w:pPr>
        <w:spacing w:line="240" w:lineRule="auto"/>
        <w:jc w:val="both"/>
        <w:rPr>
          <w:rFonts w:cstheme="minorHAnsi"/>
          <w:sz w:val="24"/>
          <w:szCs w:val="24"/>
        </w:rPr>
      </w:pPr>
      <w:r w:rsidRPr="002302CF">
        <w:rPr>
          <w:rFonts w:cstheme="minorHAnsi"/>
          <w:sz w:val="24"/>
          <w:szCs w:val="24"/>
        </w:rPr>
        <w:t xml:space="preserve">NKÚ zjišťoval, zda orgány inspekce práce předávaly GŘC pravomocná rozhodnutí o uložení pokuty k výběru/vymáhání a dále neuhrazené náklady řízení k vymáhání, a to </w:t>
      </w:r>
      <w:r w:rsidRPr="002302CF">
        <w:rPr>
          <w:rFonts w:cstheme="minorHAnsi"/>
          <w:color w:val="000000"/>
          <w:sz w:val="24"/>
          <w:szCs w:val="24"/>
          <w:lang w:eastAsia="cs-CZ" w:bidi="cs-CZ"/>
        </w:rPr>
        <w:t>nejpozději do 30</w:t>
      </w:r>
      <w:r w:rsidR="00BC23E9">
        <w:rPr>
          <w:rFonts w:cstheme="minorHAnsi"/>
          <w:color w:val="000000"/>
          <w:sz w:val="24"/>
          <w:szCs w:val="24"/>
          <w:lang w:eastAsia="cs-CZ" w:bidi="cs-CZ"/>
        </w:rPr>
        <w:t> </w:t>
      </w:r>
      <w:r w:rsidRPr="002302CF">
        <w:rPr>
          <w:rFonts w:cstheme="minorHAnsi"/>
          <w:color w:val="000000"/>
          <w:sz w:val="24"/>
          <w:szCs w:val="24"/>
          <w:lang w:eastAsia="cs-CZ" w:bidi="cs-CZ"/>
        </w:rPr>
        <w:t>dnů ode dne nabytí právní moci rozhodnutí o uložení pokuty</w:t>
      </w:r>
      <w:r w:rsidR="00046D81">
        <w:rPr>
          <w:rFonts w:cstheme="minorHAnsi"/>
          <w:color w:val="000000"/>
          <w:sz w:val="24"/>
          <w:szCs w:val="24"/>
          <w:lang w:eastAsia="cs-CZ" w:bidi="cs-CZ"/>
        </w:rPr>
        <w:t xml:space="preserve"> podle ustanovení § 162 zákona</w:t>
      </w:r>
      <w:r w:rsidR="00BC23E9">
        <w:rPr>
          <w:rFonts w:cstheme="minorHAnsi"/>
          <w:color w:val="000000"/>
          <w:sz w:val="24"/>
          <w:szCs w:val="24"/>
          <w:lang w:eastAsia="cs-CZ" w:bidi="cs-CZ"/>
        </w:rPr>
        <w:t> </w:t>
      </w:r>
      <w:r w:rsidR="00046D81">
        <w:rPr>
          <w:rFonts w:cstheme="minorHAnsi"/>
          <w:color w:val="000000"/>
          <w:sz w:val="24"/>
          <w:szCs w:val="24"/>
          <w:lang w:eastAsia="cs-CZ" w:bidi="cs-CZ"/>
        </w:rPr>
        <w:t>č. 280/2009 Sb.</w:t>
      </w:r>
      <w:r w:rsidRPr="002302CF">
        <w:rPr>
          <w:rFonts w:cstheme="minorHAnsi"/>
          <w:sz w:val="24"/>
          <w:szCs w:val="24"/>
        </w:rPr>
        <w:t xml:space="preserve"> </w:t>
      </w:r>
    </w:p>
    <w:p w14:paraId="724B45C2" w14:textId="43F1CF16" w:rsidR="00612166" w:rsidRPr="006164D5" w:rsidRDefault="00612166" w:rsidP="00E12E8B">
      <w:pPr>
        <w:widowControl w:val="0"/>
        <w:spacing w:after="40" w:line="240" w:lineRule="auto"/>
        <w:ind w:left="1276" w:hanging="1276"/>
        <w:rPr>
          <w:rFonts w:ascii="Calibri" w:eastAsia="Calibri" w:hAnsi="Calibri" w:cs="Calibri"/>
          <w:color w:val="000000"/>
          <w:sz w:val="24"/>
          <w:szCs w:val="24"/>
          <w:lang w:eastAsia="cs-CZ" w:bidi="cs-CZ"/>
        </w:rPr>
      </w:pPr>
      <w:r w:rsidRPr="000875FF">
        <w:rPr>
          <w:rFonts w:ascii="Calibri" w:eastAsia="Calibri" w:hAnsi="Calibri" w:cs="Calibri"/>
          <w:b/>
          <w:bCs/>
          <w:color w:val="000000"/>
          <w:sz w:val="24"/>
          <w:szCs w:val="24"/>
          <w:lang w:eastAsia="cs-CZ" w:bidi="cs-CZ"/>
        </w:rPr>
        <w:t xml:space="preserve">Tabulka č. </w:t>
      </w:r>
      <w:r>
        <w:rPr>
          <w:rFonts w:ascii="Calibri" w:eastAsia="Calibri" w:hAnsi="Calibri" w:cs="Calibri"/>
          <w:b/>
          <w:bCs/>
          <w:color w:val="000000"/>
          <w:sz w:val="24"/>
          <w:szCs w:val="24"/>
          <w:lang w:eastAsia="cs-CZ" w:bidi="cs-CZ"/>
        </w:rPr>
        <w:t>1</w:t>
      </w:r>
      <w:r w:rsidR="00E12E8B">
        <w:rPr>
          <w:rFonts w:ascii="Calibri" w:eastAsia="Calibri" w:hAnsi="Calibri" w:cs="Calibri"/>
          <w:b/>
          <w:bCs/>
          <w:color w:val="000000"/>
          <w:sz w:val="24"/>
          <w:szCs w:val="24"/>
          <w:lang w:eastAsia="cs-CZ" w:bidi="cs-CZ"/>
        </w:rPr>
        <w:t xml:space="preserve">: </w:t>
      </w:r>
      <w:r w:rsidRPr="000875FF">
        <w:rPr>
          <w:rFonts w:ascii="Calibri" w:eastAsia="Calibri" w:hAnsi="Calibri" w:cs="Calibri"/>
          <w:b/>
          <w:bCs/>
          <w:color w:val="000000"/>
          <w:sz w:val="24"/>
          <w:szCs w:val="24"/>
          <w:lang w:eastAsia="cs-CZ" w:bidi="cs-CZ"/>
        </w:rPr>
        <w:t>Počet pravomocných rozhodnutí</w:t>
      </w:r>
      <w:r w:rsidR="00CB6C96">
        <w:rPr>
          <w:rFonts w:ascii="Calibri" w:eastAsia="Calibri" w:hAnsi="Calibri" w:cs="Calibri"/>
          <w:b/>
          <w:bCs/>
          <w:color w:val="000000"/>
          <w:sz w:val="24"/>
          <w:szCs w:val="24"/>
          <w:lang w:eastAsia="cs-CZ" w:bidi="cs-CZ"/>
        </w:rPr>
        <w:t>*</w:t>
      </w:r>
      <w:r w:rsidRPr="000875FF">
        <w:rPr>
          <w:rFonts w:ascii="Calibri" w:eastAsia="Calibri" w:hAnsi="Calibri" w:cs="Calibri"/>
          <w:b/>
          <w:bCs/>
          <w:color w:val="000000"/>
          <w:sz w:val="24"/>
          <w:szCs w:val="24"/>
          <w:lang w:eastAsia="cs-CZ" w:bidi="cs-CZ"/>
        </w:rPr>
        <w:t xml:space="preserve"> předaných </w:t>
      </w:r>
      <w:r w:rsidR="00CB6C96">
        <w:rPr>
          <w:rFonts w:ascii="Calibri" w:eastAsia="Calibri" w:hAnsi="Calibri" w:cs="Calibri"/>
          <w:b/>
          <w:bCs/>
          <w:color w:val="000000"/>
          <w:sz w:val="24"/>
          <w:szCs w:val="24"/>
          <w:lang w:eastAsia="cs-CZ" w:bidi="cs-CZ"/>
        </w:rPr>
        <w:t>Celní správě České republiky</w:t>
      </w:r>
      <w:r w:rsidR="003D36C0">
        <w:rPr>
          <w:rFonts w:ascii="Calibri" w:eastAsia="Calibri" w:hAnsi="Calibri" w:cs="Calibri"/>
          <w:b/>
          <w:bCs/>
          <w:color w:val="000000"/>
          <w:sz w:val="24"/>
          <w:szCs w:val="24"/>
          <w:lang w:eastAsia="cs-CZ" w:bidi="cs-CZ"/>
        </w:rPr>
        <w:t xml:space="preserve"> v letech 2019 až 2023</w:t>
      </w:r>
    </w:p>
    <w:tbl>
      <w:tblPr>
        <w:tblOverlap w:val="never"/>
        <w:tblW w:w="9114" w:type="dxa"/>
        <w:jc w:val="center"/>
        <w:tblLayout w:type="fixed"/>
        <w:tblCellMar>
          <w:left w:w="10" w:type="dxa"/>
          <w:right w:w="10" w:type="dxa"/>
        </w:tblCellMar>
        <w:tblLook w:val="04A0" w:firstRow="1" w:lastRow="0" w:firstColumn="1" w:lastColumn="0" w:noHBand="0" w:noVBand="1"/>
      </w:tblPr>
      <w:tblGrid>
        <w:gridCol w:w="1013"/>
        <w:gridCol w:w="1502"/>
        <w:gridCol w:w="1910"/>
        <w:gridCol w:w="2347"/>
        <w:gridCol w:w="2342"/>
      </w:tblGrid>
      <w:tr w:rsidR="00612166" w:rsidRPr="000875FF" w14:paraId="3CF39BAF" w14:textId="77777777" w:rsidTr="006164D5">
        <w:trPr>
          <w:trHeight w:hRule="exact" w:val="907"/>
          <w:jc w:val="center"/>
        </w:trPr>
        <w:tc>
          <w:tcPr>
            <w:tcW w:w="1013" w:type="dxa"/>
            <w:tcBorders>
              <w:top w:val="single" w:sz="4" w:space="0" w:color="auto"/>
              <w:left w:val="single" w:sz="4" w:space="0" w:color="auto"/>
            </w:tcBorders>
            <w:shd w:val="clear" w:color="auto" w:fill="E6E6E6"/>
            <w:vAlign w:val="center"/>
          </w:tcPr>
          <w:p w14:paraId="4CC00E66" w14:textId="77777777" w:rsidR="00612166" w:rsidRPr="000875FF" w:rsidRDefault="00612166" w:rsidP="00B30F7C">
            <w:pPr>
              <w:widowControl w:val="0"/>
              <w:spacing w:after="0" w:line="240" w:lineRule="auto"/>
              <w:jc w:val="center"/>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Rok</w:t>
            </w:r>
          </w:p>
        </w:tc>
        <w:tc>
          <w:tcPr>
            <w:tcW w:w="1502" w:type="dxa"/>
            <w:tcBorders>
              <w:top w:val="single" w:sz="4" w:space="0" w:color="auto"/>
              <w:left w:val="single" w:sz="4" w:space="0" w:color="auto"/>
            </w:tcBorders>
            <w:shd w:val="clear" w:color="auto" w:fill="E6E6E6"/>
            <w:vAlign w:val="center"/>
          </w:tcPr>
          <w:p w14:paraId="7EF540AF" w14:textId="77777777" w:rsidR="00612166" w:rsidRPr="000875FF" w:rsidRDefault="00612166" w:rsidP="00665949">
            <w:pPr>
              <w:widowControl w:val="0"/>
              <w:spacing w:after="0" w:line="240" w:lineRule="auto"/>
              <w:jc w:val="center"/>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Počet</w:t>
            </w:r>
          </w:p>
          <w:p w14:paraId="21BF6D6A" w14:textId="2EA25396" w:rsidR="00612166" w:rsidRPr="000875FF" w:rsidRDefault="00612166" w:rsidP="00665949">
            <w:pPr>
              <w:autoSpaceDE w:val="0"/>
              <w:autoSpaceDN w:val="0"/>
              <w:adjustRightInd w:val="0"/>
              <w:spacing w:after="0" w:line="240" w:lineRule="auto"/>
              <w:jc w:val="center"/>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rozhodnutí</w:t>
            </w:r>
            <w:r w:rsidR="00CB6C96">
              <w:rPr>
                <w:rFonts w:ascii="Calibri" w:eastAsia="Calibri" w:hAnsi="Calibri" w:cs="Calibri"/>
                <w:b/>
                <w:bCs/>
                <w:color w:val="000000"/>
                <w:sz w:val="20"/>
                <w:szCs w:val="20"/>
                <w:lang w:eastAsia="cs-CZ" w:bidi="cs-CZ"/>
              </w:rPr>
              <w:t>*</w:t>
            </w:r>
            <w:r w:rsidRPr="000875FF">
              <w:rPr>
                <w:rFonts w:ascii="Calibri" w:eastAsia="Calibri" w:hAnsi="Calibri" w:cs="Calibri"/>
                <w:b/>
                <w:bCs/>
                <w:color w:val="000000"/>
                <w:sz w:val="20"/>
                <w:szCs w:val="20"/>
                <w:lang w:eastAsia="cs-CZ" w:bidi="cs-CZ"/>
              </w:rPr>
              <w:t xml:space="preserve"> zaslaných </w:t>
            </w:r>
            <w:r w:rsidRPr="00AA2FC9">
              <w:rPr>
                <w:rFonts w:cstheme="minorHAnsi"/>
                <w:b/>
                <w:sz w:val="20"/>
                <w:szCs w:val="20"/>
              </w:rPr>
              <w:t>CÚ</w:t>
            </w:r>
            <w:r w:rsidR="001E6998" w:rsidRPr="006164D5">
              <w:rPr>
                <w:rFonts w:cstheme="minorHAnsi"/>
                <w:b/>
                <w:sz w:val="20"/>
                <w:szCs w:val="20"/>
              </w:rPr>
              <w:t>*</w:t>
            </w:r>
            <w:r w:rsidR="00CB6C96">
              <w:rPr>
                <w:rFonts w:cstheme="minorHAnsi"/>
                <w:b/>
                <w:sz w:val="20"/>
                <w:szCs w:val="20"/>
              </w:rPr>
              <w:t>*</w:t>
            </w:r>
          </w:p>
        </w:tc>
        <w:tc>
          <w:tcPr>
            <w:tcW w:w="1910" w:type="dxa"/>
            <w:tcBorders>
              <w:top w:val="single" w:sz="4" w:space="0" w:color="auto"/>
              <w:left w:val="single" w:sz="4" w:space="0" w:color="auto"/>
            </w:tcBorders>
            <w:shd w:val="clear" w:color="auto" w:fill="E6E6E6"/>
            <w:vAlign w:val="center"/>
          </w:tcPr>
          <w:p w14:paraId="47D54E74" w14:textId="246D7E1B" w:rsidR="00612166" w:rsidRPr="008A1125" w:rsidRDefault="00612166" w:rsidP="006164D5">
            <w:pPr>
              <w:widowControl w:val="0"/>
              <w:spacing w:after="0" w:line="240" w:lineRule="auto"/>
              <w:ind w:firstLine="19"/>
              <w:jc w:val="center"/>
              <w:rPr>
                <w:rFonts w:ascii="Calibri" w:eastAsia="Calibri" w:hAnsi="Calibri" w:cs="Calibri"/>
                <w:color w:val="000000"/>
                <w:sz w:val="16"/>
                <w:szCs w:val="16"/>
                <w:vertAlign w:val="superscript"/>
                <w:lang w:eastAsia="cs-CZ" w:bidi="cs-CZ"/>
              </w:rPr>
            </w:pPr>
            <w:r w:rsidRPr="000875FF">
              <w:rPr>
                <w:rFonts w:ascii="Calibri" w:eastAsia="Calibri" w:hAnsi="Calibri" w:cs="Calibri"/>
                <w:b/>
                <w:bCs/>
                <w:color w:val="000000"/>
                <w:sz w:val="20"/>
                <w:szCs w:val="20"/>
                <w:lang w:eastAsia="cs-CZ" w:bidi="cs-CZ"/>
              </w:rPr>
              <w:t>Počet rozhodnutí</w:t>
            </w:r>
            <w:r w:rsidR="00CB6C96">
              <w:rPr>
                <w:rFonts w:ascii="Calibri" w:eastAsia="Calibri" w:hAnsi="Calibri" w:cs="Calibri"/>
                <w:b/>
                <w:bCs/>
                <w:color w:val="000000"/>
                <w:sz w:val="20"/>
                <w:szCs w:val="20"/>
                <w:lang w:eastAsia="cs-CZ" w:bidi="cs-CZ"/>
              </w:rPr>
              <w:t>*</w:t>
            </w:r>
            <w:r w:rsidRPr="000875FF">
              <w:rPr>
                <w:rFonts w:ascii="Calibri" w:eastAsia="Calibri" w:hAnsi="Calibri" w:cs="Calibri"/>
                <w:b/>
                <w:bCs/>
                <w:color w:val="000000"/>
                <w:sz w:val="20"/>
                <w:szCs w:val="20"/>
                <w:lang w:eastAsia="cs-CZ" w:bidi="cs-CZ"/>
              </w:rPr>
              <w:t xml:space="preserve"> zaslaných CÚ do 30 dnů od nabytí PM</w:t>
            </w:r>
            <w:r w:rsidR="008A1125" w:rsidRPr="006164D5">
              <w:rPr>
                <w:rFonts w:ascii="Calibri" w:eastAsia="Calibri" w:hAnsi="Calibri" w:cs="Calibri"/>
                <w:b/>
                <w:bCs/>
                <w:color w:val="000000"/>
                <w:sz w:val="20"/>
                <w:szCs w:val="20"/>
                <w:lang w:eastAsia="cs-CZ" w:bidi="cs-CZ"/>
              </w:rPr>
              <w:t>**</w:t>
            </w:r>
            <w:r w:rsidR="00CB6C96">
              <w:rPr>
                <w:rFonts w:ascii="Calibri" w:eastAsia="Calibri" w:hAnsi="Calibri" w:cs="Calibri"/>
                <w:b/>
                <w:bCs/>
                <w:color w:val="000000"/>
                <w:sz w:val="20"/>
                <w:szCs w:val="20"/>
                <w:lang w:eastAsia="cs-CZ" w:bidi="cs-CZ"/>
              </w:rPr>
              <w:t>*</w:t>
            </w:r>
          </w:p>
        </w:tc>
        <w:tc>
          <w:tcPr>
            <w:tcW w:w="2347" w:type="dxa"/>
            <w:tcBorders>
              <w:top w:val="single" w:sz="4" w:space="0" w:color="auto"/>
              <w:left w:val="single" w:sz="4" w:space="0" w:color="auto"/>
            </w:tcBorders>
            <w:shd w:val="clear" w:color="auto" w:fill="E6E6E6"/>
            <w:vAlign w:val="center"/>
          </w:tcPr>
          <w:p w14:paraId="5D2F94E7" w14:textId="61707191" w:rsidR="00612166" w:rsidRPr="000875FF" w:rsidRDefault="00612166" w:rsidP="006164D5">
            <w:pPr>
              <w:widowControl w:val="0"/>
              <w:spacing w:after="0" w:line="240" w:lineRule="auto"/>
              <w:ind w:left="95"/>
              <w:jc w:val="center"/>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Počet rozhodnutí</w:t>
            </w:r>
            <w:r w:rsidR="00CB6C96">
              <w:rPr>
                <w:rFonts w:ascii="Calibri" w:eastAsia="Calibri" w:hAnsi="Calibri" w:cs="Calibri"/>
                <w:b/>
                <w:bCs/>
                <w:color w:val="000000"/>
                <w:sz w:val="20"/>
                <w:szCs w:val="20"/>
                <w:lang w:eastAsia="cs-CZ" w:bidi="cs-CZ"/>
              </w:rPr>
              <w:t>*</w:t>
            </w:r>
            <w:r w:rsidRPr="000875FF">
              <w:rPr>
                <w:rFonts w:ascii="Calibri" w:eastAsia="Calibri" w:hAnsi="Calibri" w:cs="Calibri"/>
                <w:b/>
                <w:bCs/>
                <w:color w:val="000000"/>
                <w:sz w:val="20"/>
                <w:szCs w:val="20"/>
                <w:lang w:eastAsia="cs-CZ" w:bidi="cs-CZ"/>
              </w:rPr>
              <w:t xml:space="preserve"> zaslaných CÚ ve lhůtě 31 až 100 dnů od nabytí PM</w:t>
            </w:r>
          </w:p>
        </w:tc>
        <w:tc>
          <w:tcPr>
            <w:tcW w:w="2342" w:type="dxa"/>
            <w:tcBorders>
              <w:top w:val="single" w:sz="4" w:space="0" w:color="auto"/>
              <w:left w:val="single" w:sz="4" w:space="0" w:color="auto"/>
              <w:right w:val="single" w:sz="4" w:space="0" w:color="auto"/>
            </w:tcBorders>
            <w:shd w:val="clear" w:color="auto" w:fill="E6E6E6"/>
            <w:vAlign w:val="center"/>
          </w:tcPr>
          <w:p w14:paraId="057036D1" w14:textId="31C1A3C4" w:rsidR="00612166" w:rsidRPr="000875FF" w:rsidRDefault="00612166" w:rsidP="006164D5">
            <w:pPr>
              <w:widowControl w:val="0"/>
              <w:spacing w:after="0" w:line="240" w:lineRule="auto"/>
              <w:ind w:left="18" w:hanging="18"/>
              <w:jc w:val="center"/>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Počet rozhodnutí</w:t>
            </w:r>
            <w:r w:rsidR="00CB6C96">
              <w:rPr>
                <w:rFonts w:ascii="Calibri" w:eastAsia="Calibri" w:hAnsi="Calibri" w:cs="Calibri"/>
                <w:b/>
                <w:bCs/>
                <w:color w:val="000000"/>
                <w:sz w:val="20"/>
                <w:szCs w:val="20"/>
                <w:lang w:eastAsia="cs-CZ" w:bidi="cs-CZ"/>
              </w:rPr>
              <w:t>*</w:t>
            </w:r>
            <w:r w:rsidRPr="000875FF">
              <w:rPr>
                <w:rFonts w:ascii="Calibri" w:eastAsia="Calibri" w:hAnsi="Calibri" w:cs="Calibri"/>
                <w:b/>
                <w:bCs/>
                <w:color w:val="000000"/>
                <w:sz w:val="20"/>
                <w:szCs w:val="20"/>
                <w:lang w:eastAsia="cs-CZ" w:bidi="cs-CZ"/>
              </w:rPr>
              <w:t xml:space="preserve"> zaslaných CÚ po více než 100 dnech od nabytí PM</w:t>
            </w:r>
          </w:p>
        </w:tc>
      </w:tr>
      <w:tr w:rsidR="00612166" w:rsidRPr="000875FF" w14:paraId="078B5D66" w14:textId="77777777" w:rsidTr="00230B7D">
        <w:trPr>
          <w:trHeight w:hRule="exact" w:val="283"/>
          <w:jc w:val="center"/>
        </w:trPr>
        <w:tc>
          <w:tcPr>
            <w:tcW w:w="1013" w:type="dxa"/>
            <w:tcBorders>
              <w:top w:val="single" w:sz="4" w:space="0" w:color="auto"/>
              <w:left w:val="single" w:sz="4" w:space="0" w:color="auto"/>
            </w:tcBorders>
            <w:shd w:val="clear" w:color="auto" w:fill="FFFFFF"/>
            <w:vAlign w:val="center"/>
          </w:tcPr>
          <w:p w14:paraId="68A86569" w14:textId="77777777" w:rsidR="00612166" w:rsidRPr="00582BC4" w:rsidRDefault="00612166" w:rsidP="00230B7D">
            <w:pPr>
              <w:widowControl w:val="0"/>
              <w:spacing w:after="0" w:line="240" w:lineRule="auto"/>
              <w:jc w:val="center"/>
              <w:rPr>
                <w:rFonts w:ascii="Calibri" w:eastAsia="Calibri" w:hAnsi="Calibri" w:cs="Calibri"/>
                <w:bCs/>
                <w:color w:val="000000"/>
                <w:sz w:val="20"/>
                <w:szCs w:val="20"/>
                <w:lang w:eastAsia="cs-CZ" w:bidi="cs-CZ"/>
              </w:rPr>
            </w:pPr>
            <w:r w:rsidRPr="00582BC4">
              <w:rPr>
                <w:rFonts w:ascii="Calibri" w:eastAsia="Calibri" w:hAnsi="Calibri" w:cs="Calibri"/>
                <w:bCs/>
                <w:color w:val="000000"/>
                <w:sz w:val="20"/>
                <w:szCs w:val="20"/>
                <w:lang w:eastAsia="cs-CZ" w:bidi="cs-CZ"/>
              </w:rPr>
              <w:t>2019</w:t>
            </w:r>
          </w:p>
        </w:tc>
        <w:tc>
          <w:tcPr>
            <w:tcW w:w="1502" w:type="dxa"/>
            <w:tcBorders>
              <w:top w:val="single" w:sz="4" w:space="0" w:color="auto"/>
              <w:left w:val="single" w:sz="4" w:space="0" w:color="auto"/>
            </w:tcBorders>
            <w:shd w:val="clear" w:color="auto" w:fill="FFFFFF"/>
            <w:vAlign w:val="center"/>
          </w:tcPr>
          <w:p w14:paraId="1F474902" w14:textId="77777777" w:rsidR="00612166" w:rsidRPr="000875FF" w:rsidRDefault="00612166" w:rsidP="00230B7D">
            <w:pPr>
              <w:widowControl w:val="0"/>
              <w:spacing w:after="0" w:line="240" w:lineRule="auto"/>
              <w:ind w:right="51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386</w:t>
            </w:r>
          </w:p>
        </w:tc>
        <w:tc>
          <w:tcPr>
            <w:tcW w:w="1910" w:type="dxa"/>
            <w:tcBorders>
              <w:top w:val="single" w:sz="4" w:space="0" w:color="auto"/>
              <w:left w:val="single" w:sz="4" w:space="0" w:color="auto"/>
            </w:tcBorders>
            <w:shd w:val="clear" w:color="auto" w:fill="FFFFFF"/>
            <w:vAlign w:val="center"/>
          </w:tcPr>
          <w:p w14:paraId="0CC89FBB" w14:textId="77777777" w:rsidR="00612166" w:rsidRPr="000875FF" w:rsidRDefault="00612166" w:rsidP="00230B7D">
            <w:pPr>
              <w:widowControl w:val="0"/>
              <w:spacing w:after="0" w:line="240" w:lineRule="auto"/>
              <w:ind w:right="68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329</w:t>
            </w:r>
          </w:p>
        </w:tc>
        <w:tc>
          <w:tcPr>
            <w:tcW w:w="2347" w:type="dxa"/>
            <w:tcBorders>
              <w:top w:val="single" w:sz="4" w:space="0" w:color="auto"/>
              <w:left w:val="single" w:sz="4" w:space="0" w:color="auto"/>
            </w:tcBorders>
            <w:shd w:val="clear" w:color="auto" w:fill="FFFFFF"/>
            <w:vAlign w:val="center"/>
          </w:tcPr>
          <w:p w14:paraId="07A47FC9"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55</w:t>
            </w:r>
          </w:p>
        </w:tc>
        <w:tc>
          <w:tcPr>
            <w:tcW w:w="2342" w:type="dxa"/>
            <w:tcBorders>
              <w:top w:val="single" w:sz="4" w:space="0" w:color="auto"/>
              <w:left w:val="single" w:sz="4" w:space="0" w:color="auto"/>
              <w:right w:val="single" w:sz="4" w:space="0" w:color="auto"/>
            </w:tcBorders>
            <w:shd w:val="clear" w:color="auto" w:fill="FFFFFF"/>
            <w:vAlign w:val="center"/>
          </w:tcPr>
          <w:p w14:paraId="4CC6F3FF"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2</w:t>
            </w:r>
          </w:p>
        </w:tc>
      </w:tr>
      <w:tr w:rsidR="00612166" w:rsidRPr="000875FF" w14:paraId="454AFF5D" w14:textId="77777777" w:rsidTr="00230B7D">
        <w:trPr>
          <w:trHeight w:hRule="exact" w:val="283"/>
          <w:jc w:val="center"/>
        </w:trPr>
        <w:tc>
          <w:tcPr>
            <w:tcW w:w="1013" w:type="dxa"/>
            <w:tcBorders>
              <w:top w:val="single" w:sz="4" w:space="0" w:color="auto"/>
              <w:left w:val="single" w:sz="4" w:space="0" w:color="auto"/>
            </w:tcBorders>
            <w:shd w:val="clear" w:color="auto" w:fill="FFFFFF"/>
            <w:vAlign w:val="center"/>
          </w:tcPr>
          <w:p w14:paraId="088ACAC7" w14:textId="77777777" w:rsidR="00612166" w:rsidRPr="00582BC4" w:rsidRDefault="00612166" w:rsidP="00230B7D">
            <w:pPr>
              <w:widowControl w:val="0"/>
              <w:spacing w:after="0" w:line="240" w:lineRule="auto"/>
              <w:jc w:val="center"/>
              <w:rPr>
                <w:rFonts w:ascii="Calibri" w:eastAsia="Calibri" w:hAnsi="Calibri" w:cs="Calibri"/>
                <w:bCs/>
                <w:color w:val="000000"/>
                <w:sz w:val="20"/>
                <w:szCs w:val="20"/>
                <w:lang w:eastAsia="cs-CZ" w:bidi="cs-CZ"/>
              </w:rPr>
            </w:pPr>
            <w:r w:rsidRPr="00582BC4">
              <w:rPr>
                <w:rFonts w:ascii="Calibri" w:eastAsia="Calibri" w:hAnsi="Calibri" w:cs="Calibri"/>
                <w:bCs/>
                <w:color w:val="000000"/>
                <w:sz w:val="20"/>
                <w:szCs w:val="20"/>
                <w:lang w:eastAsia="cs-CZ" w:bidi="cs-CZ"/>
              </w:rPr>
              <w:t>2020</w:t>
            </w:r>
          </w:p>
        </w:tc>
        <w:tc>
          <w:tcPr>
            <w:tcW w:w="1502" w:type="dxa"/>
            <w:tcBorders>
              <w:top w:val="single" w:sz="4" w:space="0" w:color="auto"/>
              <w:left w:val="single" w:sz="4" w:space="0" w:color="auto"/>
            </w:tcBorders>
            <w:shd w:val="clear" w:color="auto" w:fill="FFFFFF"/>
            <w:vAlign w:val="center"/>
          </w:tcPr>
          <w:p w14:paraId="4F91FB06" w14:textId="77777777" w:rsidR="00612166" w:rsidRPr="000875FF" w:rsidRDefault="00612166" w:rsidP="00230B7D">
            <w:pPr>
              <w:widowControl w:val="0"/>
              <w:spacing w:after="0" w:line="240" w:lineRule="auto"/>
              <w:ind w:right="51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435</w:t>
            </w:r>
          </w:p>
        </w:tc>
        <w:tc>
          <w:tcPr>
            <w:tcW w:w="1910" w:type="dxa"/>
            <w:tcBorders>
              <w:top w:val="single" w:sz="4" w:space="0" w:color="auto"/>
              <w:left w:val="single" w:sz="4" w:space="0" w:color="auto"/>
            </w:tcBorders>
            <w:shd w:val="clear" w:color="auto" w:fill="FFFFFF"/>
            <w:vAlign w:val="center"/>
          </w:tcPr>
          <w:p w14:paraId="2E580101" w14:textId="77777777" w:rsidR="00612166" w:rsidRPr="000875FF" w:rsidRDefault="00612166" w:rsidP="00230B7D">
            <w:pPr>
              <w:widowControl w:val="0"/>
              <w:spacing w:after="0" w:line="240" w:lineRule="auto"/>
              <w:ind w:right="68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390</w:t>
            </w:r>
          </w:p>
        </w:tc>
        <w:tc>
          <w:tcPr>
            <w:tcW w:w="2347" w:type="dxa"/>
            <w:tcBorders>
              <w:top w:val="single" w:sz="4" w:space="0" w:color="auto"/>
              <w:left w:val="single" w:sz="4" w:space="0" w:color="auto"/>
            </w:tcBorders>
            <w:shd w:val="clear" w:color="auto" w:fill="FFFFFF"/>
            <w:vAlign w:val="center"/>
          </w:tcPr>
          <w:p w14:paraId="012B4574"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41</w:t>
            </w:r>
          </w:p>
        </w:tc>
        <w:tc>
          <w:tcPr>
            <w:tcW w:w="2342" w:type="dxa"/>
            <w:tcBorders>
              <w:top w:val="single" w:sz="4" w:space="0" w:color="auto"/>
              <w:left w:val="single" w:sz="4" w:space="0" w:color="auto"/>
              <w:right w:val="single" w:sz="4" w:space="0" w:color="auto"/>
            </w:tcBorders>
            <w:shd w:val="clear" w:color="auto" w:fill="FFFFFF"/>
            <w:vAlign w:val="center"/>
          </w:tcPr>
          <w:p w14:paraId="74142E8E"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4</w:t>
            </w:r>
          </w:p>
        </w:tc>
      </w:tr>
      <w:tr w:rsidR="00612166" w:rsidRPr="000875FF" w14:paraId="44CA5DD9" w14:textId="77777777" w:rsidTr="00230B7D">
        <w:trPr>
          <w:trHeight w:hRule="exact" w:val="283"/>
          <w:jc w:val="center"/>
        </w:trPr>
        <w:tc>
          <w:tcPr>
            <w:tcW w:w="1013" w:type="dxa"/>
            <w:tcBorders>
              <w:top w:val="single" w:sz="4" w:space="0" w:color="auto"/>
              <w:left w:val="single" w:sz="4" w:space="0" w:color="auto"/>
            </w:tcBorders>
            <w:shd w:val="clear" w:color="auto" w:fill="FFFFFF"/>
            <w:vAlign w:val="center"/>
          </w:tcPr>
          <w:p w14:paraId="693368E0" w14:textId="77777777" w:rsidR="00612166" w:rsidRPr="00582BC4" w:rsidRDefault="00612166" w:rsidP="00230B7D">
            <w:pPr>
              <w:widowControl w:val="0"/>
              <w:spacing w:after="0" w:line="240" w:lineRule="auto"/>
              <w:jc w:val="center"/>
              <w:rPr>
                <w:rFonts w:ascii="Calibri" w:eastAsia="Calibri" w:hAnsi="Calibri" w:cs="Calibri"/>
                <w:bCs/>
                <w:color w:val="000000"/>
                <w:sz w:val="20"/>
                <w:szCs w:val="20"/>
                <w:lang w:eastAsia="cs-CZ" w:bidi="cs-CZ"/>
              </w:rPr>
            </w:pPr>
            <w:r w:rsidRPr="00582BC4">
              <w:rPr>
                <w:rFonts w:ascii="Calibri" w:eastAsia="Calibri" w:hAnsi="Calibri" w:cs="Calibri"/>
                <w:bCs/>
                <w:color w:val="000000"/>
                <w:sz w:val="20"/>
                <w:szCs w:val="20"/>
                <w:lang w:eastAsia="cs-CZ" w:bidi="cs-CZ"/>
              </w:rPr>
              <w:t>2021</w:t>
            </w:r>
          </w:p>
        </w:tc>
        <w:tc>
          <w:tcPr>
            <w:tcW w:w="1502" w:type="dxa"/>
            <w:tcBorders>
              <w:top w:val="single" w:sz="4" w:space="0" w:color="auto"/>
              <w:left w:val="single" w:sz="4" w:space="0" w:color="auto"/>
            </w:tcBorders>
            <w:shd w:val="clear" w:color="auto" w:fill="FFFFFF"/>
            <w:vAlign w:val="center"/>
          </w:tcPr>
          <w:p w14:paraId="744B4E43" w14:textId="77777777" w:rsidR="00612166" w:rsidRPr="000875FF" w:rsidRDefault="00612166" w:rsidP="00230B7D">
            <w:pPr>
              <w:widowControl w:val="0"/>
              <w:spacing w:after="0" w:line="240" w:lineRule="auto"/>
              <w:ind w:right="51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547</w:t>
            </w:r>
          </w:p>
        </w:tc>
        <w:tc>
          <w:tcPr>
            <w:tcW w:w="1910" w:type="dxa"/>
            <w:tcBorders>
              <w:top w:val="single" w:sz="4" w:space="0" w:color="auto"/>
              <w:left w:val="single" w:sz="4" w:space="0" w:color="auto"/>
            </w:tcBorders>
            <w:shd w:val="clear" w:color="auto" w:fill="FFFFFF"/>
            <w:vAlign w:val="center"/>
          </w:tcPr>
          <w:p w14:paraId="080647F8" w14:textId="77777777" w:rsidR="00612166" w:rsidRPr="000875FF" w:rsidRDefault="00612166" w:rsidP="00230B7D">
            <w:pPr>
              <w:widowControl w:val="0"/>
              <w:spacing w:after="0" w:line="240" w:lineRule="auto"/>
              <w:ind w:right="68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470</w:t>
            </w:r>
          </w:p>
        </w:tc>
        <w:tc>
          <w:tcPr>
            <w:tcW w:w="2347" w:type="dxa"/>
            <w:tcBorders>
              <w:top w:val="single" w:sz="4" w:space="0" w:color="auto"/>
              <w:left w:val="single" w:sz="4" w:space="0" w:color="auto"/>
            </w:tcBorders>
            <w:shd w:val="clear" w:color="auto" w:fill="FFFFFF"/>
            <w:vAlign w:val="center"/>
          </w:tcPr>
          <w:p w14:paraId="7403B0A9"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75</w:t>
            </w:r>
          </w:p>
        </w:tc>
        <w:tc>
          <w:tcPr>
            <w:tcW w:w="2342" w:type="dxa"/>
            <w:tcBorders>
              <w:top w:val="single" w:sz="4" w:space="0" w:color="auto"/>
              <w:left w:val="single" w:sz="4" w:space="0" w:color="auto"/>
              <w:right w:val="single" w:sz="4" w:space="0" w:color="auto"/>
            </w:tcBorders>
            <w:shd w:val="clear" w:color="auto" w:fill="FFFFFF"/>
            <w:vAlign w:val="center"/>
          </w:tcPr>
          <w:p w14:paraId="4C9D2CBE"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2</w:t>
            </w:r>
          </w:p>
        </w:tc>
      </w:tr>
      <w:tr w:rsidR="00612166" w:rsidRPr="000875FF" w14:paraId="00AF6AB9" w14:textId="77777777" w:rsidTr="00230B7D">
        <w:trPr>
          <w:trHeight w:hRule="exact" w:val="283"/>
          <w:jc w:val="center"/>
        </w:trPr>
        <w:tc>
          <w:tcPr>
            <w:tcW w:w="1013" w:type="dxa"/>
            <w:tcBorders>
              <w:top w:val="single" w:sz="4" w:space="0" w:color="auto"/>
              <w:left w:val="single" w:sz="4" w:space="0" w:color="auto"/>
            </w:tcBorders>
            <w:shd w:val="clear" w:color="auto" w:fill="FFFFFF"/>
            <w:vAlign w:val="center"/>
          </w:tcPr>
          <w:p w14:paraId="227F2C18" w14:textId="77777777" w:rsidR="00612166" w:rsidRPr="00582BC4" w:rsidRDefault="00612166" w:rsidP="00230B7D">
            <w:pPr>
              <w:widowControl w:val="0"/>
              <w:spacing w:after="0" w:line="240" w:lineRule="auto"/>
              <w:jc w:val="center"/>
              <w:rPr>
                <w:rFonts w:ascii="Calibri" w:eastAsia="Calibri" w:hAnsi="Calibri" w:cs="Calibri"/>
                <w:bCs/>
                <w:color w:val="000000"/>
                <w:sz w:val="20"/>
                <w:szCs w:val="20"/>
                <w:lang w:eastAsia="cs-CZ" w:bidi="cs-CZ"/>
              </w:rPr>
            </w:pPr>
            <w:r w:rsidRPr="00582BC4">
              <w:rPr>
                <w:rFonts w:ascii="Calibri" w:eastAsia="Calibri" w:hAnsi="Calibri" w:cs="Calibri"/>
                <w:bCs/>
                <w:color w:val="000000"/>
                <w:sz w:val="20"/>
                <w:szCs w:val="20"/>
                <w:lang w:eastAsia="cs-CZ" w:bidi="cs-CZ"/>
              </w:rPr>
              <w:t>2022</w:t>
            </w:r>
          </w:p>
        </w:tc>
        <w:tc>
          <w:tcPr>
            <w:tcW w:w="1502" w:type="dxa"/>
            <w:tcBorders>
              <w:top w:val="single" w:sz="4" w:space="0" w:color="auto"/>
              <w:left w:val="single" w:sz="4" w:space="0" w:color="auto"/>
            </w:tcBorders>
            <w:shd w:val="clear" w:color="auto" w:fill="FFFFFF"/>
            <w:vAlign w:val="center"/>
          </w:tcPr>
          <w:p w14:paraId="03CB5B88" w14:textId="77777777" w:rsidR="00612166" w:rsidRPr="000875FF" w:rsidRDefault="00612166" w:rsidP="00230B7D">
            <w:pPr>
              <w:widowControl w:val="0"/>
              <w:spacing w:after="0" w:line="240" w:lineRule="auto"/>
              <w:ind w:right="51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594</w:t>
            </w:r>
          </w:p>
        </w:tc>
        <w:tc>
          <w:tcPr>
            <w:tcW w:w="1910" w:type="dxa"/>
            <w:tcBorders>
              <w:top w:val="single" w:sz="4" w:space="0" w:color="auto"/>
              <w:left w:val="single" w:sz="4" w:space="0" w:color="auto"/>
            </w:tcBorders>
            <w:shd w:val="clear" w:color="auto" w:fill="FFFFFF"/>
            <w:vAlign w:val="center"/>
          </w:tcPr>
          <w:p w14:paraId="2B831679" w14:textId="77777777" w:rsidR="00612166" w:rsidRPr="000875FF" w:rsidRDefault="00612166" w:rsidP="00230B7D">
            <w:pPr>
              <w:widowControl w:val="0"/>
              <w:spacing w:after="0" w:line="240" w:lineRule="auto"/>
              <w:ind w:right="68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521</w:t>
            </w:r>
          </w:p>
        </w:tc>
        <w:tc>
          <w:tcPr>
            <w:tcW w:w="2347" w:type="dxa"/>
            <w:tcBorders>
              <w:top w:val="single" w:sz="4" w:space="0" w:color="auto"/>
              <w:left w:val="single" w:sz="4" w:space="0" w:color="auto"/>
            </w:tcBorders>
            <w:shd w:val="clear" w:color="auto" w:fill="FFFFFF"/>
            <w:vAlign w:val="center"/>
          </w:tcPr>
          <w:p w14:paraId="5F01DDEC"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71</w:t>
            </w:r>
          </w:p>
        </w:tc>
        <w:tc>
          <w:tcPr>
            <w:tcW w:w="2342" w:type="dxa"/>
            <w:tcBorders>
              <w:top w:val="single" w:sz="4" w:space="0" w:color="auto"/>
              <w:left w:val="single" w:sz="4" w:space="0" w:color="auto"/>
              <w:right w:val="single" w:sz="4" w:space="0" w:color="auto"/>
            </w:tcBorders>
            <w:shd w:val="clear" w:color="auto" w:fill="FFFFFF"/>
            <w:vAlign w:val="center"/>
          </w:tcPr>
          <w:p w14:paraId="65AB88E3"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2</w:t>
            </w:r>
          </w:p>
        </w:tc>
      </w:tr>
      <w:tr w:rsidR="00612166" w:rsidRPr="000875FF" w14:paraId="7696FFF3" w14:textId="77777777" w:rsidTr="00230B7D">
        <w:trPr>
          <w:trHeight w:hRule="exact" w:val="283"/>
          <w:jc w:val="center"/>
        </w:trPr>
        <w:tc>
          <w:tcPr>
            <w:tcW w:w="1013" w:type="dxa"/>
            <w:tcBorders>
              <w:top w:val="single" w:sz="4" w:space="0" w:color="auto"/>
              <w:left w:val="single" w:sz="4" w:space="0" w:color="auto"/>
            </w:tcBorders>
            <w:shd w:val="clear" w:color="auto" w:fill="FFFFFF"/>
            <w:vAlign w:val="center"/>
          </w:tcPr>
          <w:p w14:paraId="649DF127" w14:textId="77777777" w:rsidR="00612166" w:rsidRPr="00582BC4" w:rsidRDefault="00612166" w:rsidP="00230B7D">
            <w:pPr>
              <w:widowControl w:val="0"/>
              <w:spacing w:after="0" w:line="240" w:lineRule="auto"/>
              <w:jc w:val="center"/>
              <w:rPr>
                <w:rFonts w:ascii="Calibri" w:eastAsia="Calibri" w:hAnsi="Calibri" w:cs="Calibri"/>
                <w:bCs/>
                <w:color w:val="000000"/>
                <w:sz w:val="20"/>
                <w:szCs w:val="20"/>
                <w:lang w:eastAsia="cs-CZ" w:bidi="cs-CZ"/>
              </w:rPr>
            </w:pPr>
            <w:r w:rsidRPr="00582BC4">
              <w:rPr>
                <w:rFonts w:ascii="Calibri" w:eastAsia="Calibri" w:hAnsi="Calibri" w:cs="Calibri"/>
                <w:bCs/>
                <w:color w:val="000000"/>
                <w:sz w:val="20"/>
                <w:szCs w:val="20"/>
                <w:lang w:eastAsia="cs-CZ" w:bidi="cs-CZ"/>
              </w:rPr>
              <w:t>2023</w:t>
            </w:r>
          </w:p>
        </w:tc>
        <w:tc>
          <w:tcPr>
            <w:tcW w:w="1502" w:type="dxa"/>
            <w:tcBorders>
              <w:top w:val="single" w:sz="4" w:space="0" w:color="auto"/>
              <w:left w:val="single" w:sz="4" w:space="0" w:color="auto"/>
            </w:tcBorders>
            <w:shd w:val="clear" w:color="auto" w:fill="FFFFFF"/>
            <w:vAlign w:val="center"/>
          </w:tcPr>
          <w:p w14:paraId="1A395CFB" w14:textId="77777777" w:rsidR="00612166" w:rsidRPr="000875FF" w:rsidRDefault="00612166" w:rsidP="00230B7D">
            <w:pPr>
              <w:widowControl w:val="0"/>
              <w:spacing w:after="0" w:line="240" w:lineRule="auto"/>
              <w:ind w:right="51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488</w:t>
            </w:r>
          </w:p>
        </w:tc>
        <w:tc>
          <w:tcPr>
            <w:tcW w:w="1910" w:type="dxa"/>
            <w:tcBorders>
              <w:top w:val="single" w:sz="4" w:space="0" w:color="auto"/>
              <w:left w:val="single" w:sz="4" w:space="0" w:color="auto"/>
            </w:tcBorders>
            <w:shd w:val="clear" w:color="auto" w:fill="FFFFFF"/>
            <w:vAlign w:val="center"/>
          </w:tcPr>
          <w:p w14:paraId="25B0D922" w14:textId="77777777" w:rsidR="00612166" w:rsidRPr="000875FF" w:rsidRDefault="00612166" w:rsidP="00230B7D">
            <w:pPr>
              <w:widowControl w:val="0"/>
              <w:spacing w:after="0" w:line="240" w:lineRule="auto"/>
              <w:ind w:right="680"/>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455</w:t>
            </w:r>
          </w:p>
        </w:tc>
        <w:tc>
          <w:tcPr>
            <w:tcW w:w="2347" w:type="dxa"/>
            <w:tcBorders>
              <w:top w:val="single" w:sz="4" w:space="0" w:color="auto"/>
              <w:left w:val="single" w:sz="4" w:space="0" w:color="auto"/>
            </w:tcBorders>
            <w:shd w:val="clear" w:color="auto" w:fill="FFFFFF"/>
            <w:vAlign w:val="center"/>
          </w:tcPr>
          <w:p w14:paraId="0C86BFED"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32</w:t>
            </w:r>
          </w:p>
        </w:tc>
        <w:tc>
          <w:tcPr>
            <w:tcW w:w="2342" w:type="dxa"/>
            <w:tcBorders>
              <w:top w:val="single" w:sz="4" w:space="0" w:color="auto"/>
              <w:left w:val="single" w:sz="4" w:space="0" w:color="auto"/>
              <w:right w:val="single" w:sz="4" w:space="0" w:color="auto"/>
            </w:tcBorders>
            <w:shd w:val="clear" w:color="auto" w:fill="FFFFFF"/>
            <w:vAlign w:val="center"/>
          </w:tcPr>
          <w:p w14:paraId="287DA105"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color w:val="000000"/>
                <w:sz w:val="20"/>
                <w:szCs w:val="20"/>
                <w:lang w:eastAsia="cs-CZ" w:bidi="cs-CZ"/>
              </w:rPr>
              <w:t>1</w:t>
            </w:r>
          </w:p>
        </w:tc>
      </w:tr>
      <w:tr w:rsidR="00612166" w:rsidRPr="000875FF" w14:paraId="01562739" w14:textId="77777777" w:rsidTr="00230B7D">
        <w:trPr>
          <w:trHeight w:hRule="exact" w:val="283"/>
          <w:jc w:val="center"/>
        </w:trPr>
        <w:tc>
          <w:tcPr>
            <w:tcW w:w="1013" w:type="dxa"/>
            <w:tcBorders>
              <w:top w:val="single" w:sz="4" w:space="0" w:color="auto"/>
              <w:left w:val="single" w:sz="4" w:space="0" w:color="auto"/>
              <w:bottom w:val="single" w:sz="4" w:space="0" w:color="auto"/>
            </w:tcBorders>
            <w:shd w:val="clear" w:color="auto" w:fill="FFFFFF"/>
            <w:vAlign w:val="center"/>
          </w:tcPr>
          <w:p w14:paraId="19E603E4" w14:textId="77777777" w:rsidR="00612166" w:rsidRPr="000875FF" w:rsidRDefault="00612166" w:rsidP="00230B7D">
            <w:pPr>
              <w:widowControl w:val="0"/>
              <w:spacing w:after="0" w:line="240" w:lineRule="auto"/>
              <w:jc w:val="center"/>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Celkem</w:t>
            </w:r>
          </w:p>
        </w:tc>
        <w:tc>
          <w:tcPr>
            <w:tcW w:w="1502" w:type="dxa"/>
            <w:tcBorders>
              <w:top w:val="single" w:sz="4" w:space="0" w:color="auto"/>
              <w:left w:val="single" w:sz="4" w:space="0" w:color="auto"/>
              <w:bottom w:val="single" w:sz="4" w:space="0" w:color="auto"/>
            </w:tcBorders>
            <w:shd w:val="clear" w:color="auto" w:fill="FFFFFF"/>
            <w:vAlign w:val="center"/>
          </w:tcPr>
          <w:p w14:paraId="283009FC" w14:textId="77777777" w:rsidR="00612166" w:rsidRPr="000875FF" w:rsidRDefault="00612166" w:rsidP="00230B7D">
            <w:pPr>
              <w:widowControl w:val="0"/>
              <w:spacing w:after="0" w:line="240" w:lineRule="auto"/>
              <w:ind w:right="510"/>
              <w:jc w:val="right"/>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2 450</w:t>
            </w:r>
          </w:p>
        </w:tc>
        <w:tc>
          <w:tcPr>
            <w:tcW w:w="1910" w:type="dxa"/>
            <w:tcBorders>
              <w:top w:val="single" w:sz="4" w:space="0" w:color="auto"/>
              <w:left w:val="single" w:sz="4" w:space="0" w:color="auto"/>
              <w:bottom w:val="single" w:sz="4" w:space="0" w:color="auto"/>
            </w:tcBorders>
            <w:shd w:val="clear" w:color="auto" w:fill="FFFFFF"/>
            <w:vAlign w:val="center"/>
          </w:tcPr>
          <w:p w14:paraId="55FBDF50" w14:textId="77777777" w:rsidR="00612166" w:rsidRPr="000875FF" w:rsidRDefault="00612166" w:rsidP="00230B7D">
            <w:pPr>
              <w:widowControl w:val="0"/>
              <w:spacing w:after="0" w:line="240" w:lineRule="auto"/>
              <w:ind w:right="680"/>
              <w:jc w:val="right"/>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2 165</w:t>
            </w:r>
          </w:p>
        </w:tc>
        <w:tc>
          <w:tcPr>
            <w:tcW w:w="2347" w:type="dxa"/>
            <w:tcBorders>
              <w:top w:val="single" w:sz="4" w:space="0" w:color="auto"/>
              <w:left w:val="single" w:sz="4" w:space="0" w:color="auto"/>
              <w:bottom w:val="single" w:sz="4" w:space="0" w:color="auto"/>
            </w:tcBorders>
            <w:shd w:val="clear" w:color="auto" w:fill="FFFFFF"/>
            <w:vAlign w:val="center"/>
          </w:tcPr>
          <w:p w14:paraId="3AB2E6F1"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274</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tcPr>
          <w:p w14:paraId="7C526E15" w14:textId="77777777" w:rsidR="00612166" w:rsidRPr="000875FF" w:rsidRDefault="00612166" w:rsidP="007239BD">
            <w:pPr>
              <w:widowControl w:val="0"/>
              <w:spacing w:after="0" w:line="240" w:lineRule="auto"/>
              <w:ind w:right="964"/>
              <w:jc w:val="right"/>
              <w:rPr>
                <w:rFonts w:ascii="Calibri" w:eastAsia="Calibri" w:hAnsi="Calibri" w:cs="Calibri"/>
                <w:color w:val="000000"/>
                <w:sz w:val="20"/>
                <w:szCs w:val="20"/>
                <w:lang w:eastAsia="cs-CZ" w:bidi="cs-CZ"/>
              </w:rPr>
            </w:pPr>
            <w:r w:rsidRPr="000875FF">
              <w:rPr>
                <w:rFonts w:ascii="Calibri" w:eastAsia="Calibri" w:hAnsi="Calibri" w:cs="Calibri"/>
                <w:b/>
                <w:bCs/>
                <w:color w:val="000000"/>
                <w:sz w:val="20"/>
                <w:szCs w:val="20"/>
                <w:lang w:eastAsia="cs-CZ" w:bidi="cs-CZ"/>
              </w:rPr>
              <w:t>11</w:t>
            </w:r>
          </w:p>
        </w:tc>
      </w:tr>
    </w:tbl>
    <w:p w14:paraId="612B7877" w14:textId="77777777" w:rsidR="00612166" w:rsidRPr="006164D5" w:rsidRDefault="00612166" w:rsidP="00612166">
      <w:pPr>
        <w:widowControl w:val="0"/>
        <w:spacing w:after="0" w:line="240" w:lineRule="auto"/>
        <w:rPr>
          <w:rFonts w:ascii="Calibri" w:eastAsia="Calibri" w:hAnsi="Calibri" w:cs="Calibri"/>
          <w:color w:val="000000"/>
          <w:sz w:val="20"/>
          <w:szCs w:val="20"/>
          <w:lang w:eastAsia="cs-CZ" w:bidi="cs-CZ"/>
        </w:rPr>
      </w:pPr>
      <w:r w:rsidRPr="006164D5">
        <w:rPr>
          <w:rFonts w:ascii="Calibri" w:eastAsia="Calibri" w:hAnsi="Calibri" w:cs="Calibri"/>
          <w:b/>
          <w:bCs/>
          <w:color w:val="000000"/>
          <w:sz w:val="20"/>
          <w:szCs w:val="20"/>
          <w:lang w:eastAsia="cs-CZ" w:bidi="cs-CZ"/>
        </w:rPr>
        <w:t>Zdroj:</w:t>
      </w:r>
      <w:r w:rsidRPr="006164D5">
        <w:rPr>
          <w:rFonts w:ascii="Calibri" w:eastAsia="Calibri" w:hAnsi="Calibri" w:cs="Calibri"/>
          <w:color w:val="000000"/>
          <w:sz w:val="20"/>
          <w:szCs w:val="20"/>
          <w:lang w:eastAsia="cs-CZ" w:bidi="cs-CZ"/>
        </w:rPr>
        <w:t xml:space="preserve"> </w:t>
      </w:r>
      <w:r w:rsidR="004A3633" w:rsidRPr="006164D5">
        <w:rPr>
          <w:rFonts w:ascii="Calibri" w:eastAsia="Calibri" w:hAnsi="Calibri" w:cs="Calibri"/>
          <w:color w:val="000000"/>
          <w:sz w:val="20"/>
          <w:szCs w:val="20"/>
          <w:lang w:eastAsia="cs-CZ" w:bidi="cs-CZ"/>
        </w:rPr>
        <w:t>SÚIP</w:t>
      </w:r>
      <w:r w:rsidRPr="006164D5">
        <w:rPr>
          <w:rFonts w:ascii="Calibri" w:eastAsia="Calibri" w:hAnsi="Calibri" w:cs="Calibri"/>
          <w:color w:val="000000"/>
          <w:sz w:val="20"/>
          <w:szCs w:val="20"/>
          <w:lang w:eastAsia="cs-CZ" w:bidi="cs-CZ"/>
        </w:rPr>
        <w:t>; vlastní zpracování NKÚ.</w:t>
      </w:r>
    </w:p>
    <w:p w14:paraId="3B8096A1" w14:textId="61B83A78" w:rsidR="00CB6C96" w:rsidRDefault="00CB6C96" w:rsidP="006164D5">
      <w:pPr>
        <w:widowControl w:val="0"/>
        <w:tabs>
          <w:tab w:val="left" w:pos="1985"/>
        </w:tabs>
        <w:spacing w:after="0" w:line="240" w:lineRule="auto"/>
        <w:ind w:left="426" w:hanging="426"/>
        <w:rPr>
          <w:rFonts w:ascii="Calibri" w:eastAsia="Calibri" w:hAnsi="Calibri" w:cs="Calibri"/>
          <w:color w:val="000000"/>
          <w:sz w:val="20"/>
          <w:szCs w:val="20"/>
          <w:lang w:eastAsia="cs-CZ" w:bidi="cs-CZ"/>
        </w:rPr>
      </w:pPr>
      <w:r>
        <w:rPr>
          <w:rFonts w:ascii="Calibri" w:eastAsia="Calibri" w:hAnsi="Calibri" w:cs="Calibri"/>
          <w:color w:val="000000"/>
          <w:sz w:val="20"/>
          <w:szCs w:val="20"/>
          <w:lang w:eastAsia="cs-CZ" w:bidi="cs-CZ"/>
        </w:rPr>
        <w:t>*</w:t>
      </w:r>
      <w:r>
        <w:rPr>
          <w:rFonts w:ascii="Calibri" w:eastAsia="Calibri" w:hAnsi="Calibri" w:cs="Calibri"/>
          <w:color w:val="000000"/>
          <w:sz w:val="20"/>
          <w:szCs w:val="20"/>
          <w:lang w:eastAsia="cs-CZ" w:bidi="cs-CZ"/>
        </w:rPr>
        <w:tab/>
        <w:t>Rozhodnutí = rozhodnutí o uložení pokuty za oblast nelegálního zaměstnávání.</w:t>
      </w:r>
    </w:p>
    <w:p w14:paraId="03DF7CBC" w14:textId="5CD73A3C" w:rsidR="008A0596" w:rsidRDefault="001E6998" w:rsidP="006164D5">
      <w:pPr>
        <w:widowControl w:val="0"/>
        <w:tabs>
          <w:tab w:val="left" w:pos="1985"/>
        </w:tabs>
        <w:spacing w:after="0" w:line="240" w:lineRule="auto"/>
        <w:ind w:left="426" w:hanging="426"/>
        <w:rPr>
          <w:rFonts w:ascii="Calibri" w:eastAsia="Calibri" w:hAnsi="Calibri" w:cs="Calibri"/>
          <w:color w:val="000000"/>
          <w:sz w:val="20"/>
          <w:szCs w:val="20"/>
          <w:lang w:eastAsia="cs-CZ" w:bidi="cs-CZ"/>
        </w:rPr>
      </w:pPr>
      <w:r w:rsidRPr="006164D5">
        <w:rPr>
          <w:rFonts w:ascii="Calibri" w:eastAsia="Calibri" w:hAnsi="Calibri" w:cs="Calibri"/>
          <w:color w:val="000000"/>
          <w:sz w:val="20"/>
          <w:szCs w:val="20"/>
          <w:lang w:eastAsia="cs-CZ" w:bidi="cs-CZ"/>
        </w:rPr>
        <w:t>*</w:t>
      </w:r>
      <w:r w:rsidR="00CB6C96">
        <w:rPr>
          <w:rFonts w:ascii="Calibri" w:eastAsia="Calibri" w:hAnsi="Calibri" w:cs="Calibri"/>
          <w:color w:val="000000"/>
          <w:sz w:val="20"/>
          <w:szCs w:val="20"/>
          <w:lang w:eastAsia="cs-CZ" w:bidi="cs-CZ"/>
        </w:rPr>
        <w:t>*</w:t>
      </w:r>
      <w:r w:rsidR="008A0596">
        <w:rPr>
          <w:rFonts w:ascii="Calibri" w:eastAsia="Calibri" w:hAnsi="Calibri" w:cs="Calibri"/>
          <w:color w:val="000000"/>
          <w:sz w:val="20"/>
          <w:szCs w:val="20"/>
          <w:lang w:eastAsia="cs-CZ" w:bidi="cs-CZ"/>
        </w:rPr>
        <w:tab/>
      </w:r>
      <w:r w:rsidR="003D36C0" w:rsidRPr="006164D5">
        <w:rPr>
          <w:rFonts w:ascii="Calibri" w:eastAsia="Calibri" w:hAnsi="Calibri" w:cs="Calibri"/>
          <w:color w:val="000000"/>
          <w:sz w:val="20"/>
          <w:szCs w:val="20"/>
          <w:lang w:eastAsia="cs-CZ" w:bidi="cs-CZ"/>
        </w:rPr>
        <w:t>CÚ = celní úřad</w:t>
      </w:r>
      <w:r w:rsidR="00CB6C96">
        <w:rPr>
          <w:rFonts w:ascii="Calibri" w:eastAsia="Calibri" w:hAnsi="Calibri" w:cs="Calibri"/>
          <w:color w:val="000000"/>
          <w:sz w:val="20"/>
          <w:szCs w:val="20"/>
          <w:lang w:eastAsia="cs-CZ" w:bidi="cs-CZ"/>
        </w:rPr>
        <w:t>y.</w:t>
      </w:r>
      <w:r w:rsidR="003D36C0" w:rsidRPr="006164D5">
        <w:rPr>
          <w:rFonts w:ascii="Calibri" w:eastAsia="Calibri" w:hAnsi="Calibri" w:cs="Calibri"/>
          <w:color w:val="000000"/>
          <w:sz w:val="20"/>
          <w:szCs w:val="20"/>
          <w:lang w:eastAsia="cs-CZ" w:bidi="cs-CZ"/>
        </w:rPr>
        <w:t xml:space="preserve"> </w:t>
      </w:r>
    </w:p>
    <w:p w14:paraId="5BB9675D" w14:textId="48C2D98A" w:rsidR="003D36C0" w:rsidRPr="006164D5" w:rsidRDefault="001E6998" w:rsidP="006164D5">
      <w:pPr>
        <w:widowControl w:val="0"/>
        <w:tabs>
          <w:tab w:val="left" w:pos="1985"/>
        </w:tabs>
        <w:spacing w:after="0" w:line="240" w:lineRule="auto"/>
        <w:ind w:left="426" w:hanging="426"/>
        <w:rPr>
          <w:rFonts w:ascii="Calibri" w:eastAsia="Calibri" w:hAnsi="Calibri" w:cs="Calibri"/>
          <w:color w:val="000000"/>
          <w:sz w:val="20"/>
          <w:szCs w:val="20"/>
          <w:lang w:eastAsia="cs-CZ" w:bidi="cs-CZ"/>
        </w:rPr>
      </w:pPr>
      <w:r w:rsidRPr="006164D5">
        <w:rPr>
          <w:rFonts w:ascii="Calibri" w:eastAsia="Calibri" w:hAnsi="Calibri" w:cs="Calibri"/>
          <w:color w:val="000000"/>
          <w:sz w:val="20"/>
          <w:szCs w:val="20"/>
          <w:lang w:eastAsia="cs-CZ" w:bidi="cs-CZ"/>
        </w:rPr>
        <w:t>**</w:t>
      </w:r>
      <w:r w:rsidR="00CB6C96">
        <w:rPr>
          <w:rFonts w:ascii="Calibri" w:eastAsia="Calibri" w:hAnsi="Calibri" w:cs="Calibri"/>
          <w:color w:val="000000"/>
          <w:sz w:val="20"/>
          <w:szCs w:val="20"/>
          <w:lang w:eastAsia="cs-CZ" w:bidi="cs-CZ"/>
        </w:rPr>
        <w:t>*</w:t>
      </w:r>
      <w:r w:rsidR="008A0596">
        <w:rPr>
          <w:rFonts w:ascii="Calibri" w:eastAsia="Calibri" w:hAnsi="Calibri" w:cs="Calibri"/>
          <w:color w:val="000000"/>
          <w:sz w:val="20"/>
          <w:szCs w:val="20"/>
          <w:lang w:eastAsia="cs-CZ" w:bidi="cs-CZ"/>
        </w:rPr>
        <w:tab/>
      </w:r>
      <w:r w:rsidR="003D36C0" w:rsidRPr="006164D5">
        <w:rPr>
          <w:rFonts w:ascii="Calibri" w:eastAsia="Calibri" w:hAnsi="Calibri" w:cs="Calibri"/>
          <w:color w:val="000000"/>
          <w:sz w:val="20"/>
          <w:szCs w:val="20"/>
          <w:lang w:eastAsia="cs-CZ" w:bidi="cs-CZ"/>
        </w:rPr>
        <w:t>PM = právní moc</w:t>
      </w:r>
      <w:r w:rsidR="00DB2862" w:rsidRPr="006164D5">
        <w:rPr>
          <w:rFonts w:ascii="Calibri" w:eastAsia="Calibri" w:hAnsi="Calibri" w:cs="Calibri"/>
          <w:color w:val="000000"/>
          <w:sz w:val="20"/>
          <w:szCs w:val="20"/>
          <w:lang w:eastAsia="cs-CZ" w:bidi="cs-CZ"/>
        </w:rPr>
        <w:t>.</w:t>
      </w:r>
    </w:p>
    <w:p w14:paraId="2E77B719" w14:textId="3C0522E8" w:rsidR="00612166" w:rsidRDefault="00612166" w:rsidP="006164D5">
      <w:pPr>
        <w:spacing w:before="240" w:line="240" w:lineRule="auto"/>
        <w:jc w:val="both"/>
        <w:rPr>
          <w:rFonts w:cstheme="minorHAnsi"/>
          <w:bCs/>
          <w:color w:val="000000"/>
          <w:sz w:val="24"/>
          <w:szCs w:val="24"/>
          <w:lang w:eastAsia="cs-CZ" w:bidi="cs-CZ"/>
        </w:rPr>
      </w:pPr>
      <w:r w:rsidRPr="00F71AF1">
        <w:rPr>
          <w:rFonts w:cstheme="minorHAnsi"/>
          <w:bCs/>
          <w:color w:val="000000"/>
          <w:sz w:val="24"/>
          <w:szCs w:val="24"/>
          <w:lang w:eastAsia="cs-CZ" w:bidi="cs-CZ"/>
        </w:rPr>
        <w:t xml:space="preserve">NKÚ zjistil, že orgány inspekce práce v letech 2019 až 2023 porušily ustanovení § 162 zákona č. 280/2009 Sb. tím, že ve stanovené lhůtě nepředaly celním úřadům (v rámci dělené správy) celkem 285 rozhodnutí, z toho 11 rozhodnutí </w:t>
      </w:r>
      <w:r w:rsidR="006164D5">
        <w:rPr>
          <w:rFonts w:cstheme="minorHAnsi"/>
          <w:bCs/>
          <w:color w:val="000000"/>
          <w:sz w:val="24"/>
          <w:szCs w:val="24"/>
          <w:lang w:eastAsia="cs-CZ" w:bidi="cs-CZ"/>
        </w:rPr>
        <w:t xml:space="preserve">předaly </w:t>
      </w:r>
      <w:r w:rsidR="000441E2">
        <w:rPr>
          <w:rFonts w:cstheme="minorHAnsi"/>
          <w:bCs/>
          <w:color w:val="000000"/>
          <w:sz w:val="24"/>
          <w:szCs w:val="24"/>
          <w:lang w:eastAsia="cs-CZ" w:bidi="cs-CZ"/>
        </w:rPr>
        <w:t xml:space="preserve">po více </w:t>
      </w:r>
      <w:r w:rsidRPr="00F71AF1">
        <w:rPr>
          <w:rFonts w:cstheme="minorHAnsi"/>
          <w:bCs/>
          <w:color w:val="000000"/>
          <w:sz w:val="24"/>
          <w:szCs w:val="24"/>
          <w:lang w:eastAsia="cs-CZ" w:bidi="cs-CZ"/>
        </w:rPr>
        <w:t>než 100 dn</w:t>
      </w:r>
      <w:r w:rsidR="000441E2">
        <w:rPr>
          <w:rFonts w:cstheme="minorHAnsi"/>
          <w:bCs/>
          <w:color w:val="000000"/>
          <w:sz w:val="24"/>
          <w:szCs w:val="24"/>
          <w:lang w:eastAsia="cs-CZ" w:bidi="cs-CZ"/>
        </w:rPr>
        <w:t>ech</w:t>
      </w:r>
      <w:r w:rsidRPr="00F71AF1">
        <w:rPr>
          <w:rFonts w:cstheme="minorHAnsi"/>
          <w:bCs/>
          <w:color w:val="000000"/>
          <w:sz w:val="24"/>
          <w:szCs w:val="24"/>
          <w:lang w:eastAsia="cs-CZ" w:bidi="cs-CZ"/>
        </w:rPr>
        <w:t xml:space="preserve"> od nabytí právní moci</w:t>
      </w:r>
      <w:r w:rsidR="00CB109E">
        <w:rPr>
          <w:rFonts w:cstheme="minorHAnsi"/>
          <w:bCs/>
          <w:color w:val="000000"/>
          <w:sz w:val="24"/>
          <w:szCs w:val="24"/>
          <w:lang w:eastAsia="cs-CZ" w:bidi="cs-CZ"/>
        </w:rPr>
        <w:t xml:space="preserve"> </w:t>
      </w:r>
      <w:r w:rsidR="000441E2">
        <w:rPr>
          <w:rFonts w:cstheme="minorHAnsi"/>
          <w:bCs/>
          <w:color w:val="000000"/>
          <w:sz w:val="24"/>
          <w:szCs w:val="24"/>
          <w:lang w:eastAsia="cs-CZ" w:bidi="cs-CZ"/>
        </w:rPr>
        <w:t>(jednalo se o</w:t>
      </w:r>
      <w:r w:rsidR="00CB109E">
        <w:rPr>
          <w:rFonts w:cstheme="minorHAnsi"/>
          <w:bCs/>
          <w:color w:val="000000"/>
          <w:sz w:val="24"/>
          <w:szCs w:val="24"/>
          <w:lang w:eastAsia="cs-CZ" w:bidi="cs-CZ"/>
        </w:rPr>
        <w:t xml:space="preserve"> 1</w:t>
      </w:r>
      <w:r w:rsidR="00326FBD">
        <w:rPr>
          <w:rFonts w:cstheme="minorHAnsi"/>
          <w:bCs/>
          <w:color w:val="000000"/>
          <w:sz w:val="24"/>
          <w:szCs w:val="24"/>
          <w:lang w:eastAsia="cs-CZ" w:bidi="cs-CZ"/>
        </w:rPr>
        <w:t>1,6</w:t>
      </w:r>
      <w:r w:rsidR="00CB109E">
        <w:rPr>
          <w:rFonts w:cstheme="minorHAnsi"/>
          <w:bCs/>
          <w:color w:val="000000"/>
          <w:sz w:val="24"/>
          <w:szCs w:val="24"/>
          <w:lang w:eastAsia="cs-CZ" w:bidi="cs-CZ"/>
        </w:rPr>
        <w:t xml:space="preserve"> % ze všech zaslaných rozhodnutí</w:t>
      </w:r>
      <w:r w:rsidR="000441E2">
        <w:rPr>
          <w:rFonts w:cstheme="minorHAnsi"/>
          <w:bCs/>
          <w:color w:val="000000"/>
          <w:sz w:val="24"/>
          <w:szCs w:val="24"/>
          <w:lang w:eastAsia="cs-CZ" w:bidi="cs-CZ"/>
        </w:rPr>
        <w:t>)</w:t>
      </w:r>
      <w:r w:rsidRPr="00F71AF1">
        <w:rPr>
          <w:rFonts w:cstheme="minorHAnsi"/>
          <w:bCs/>
          <w:color w:val="000000"/>
          <w:sz w:val="24"/>
          <w:szCs w:val="24"/>
          <w:lang w:eastAsia="cs-CZ" w:bidi="cs-CZ"/>
        </w:rPr>
        <w:t>.</w:t>
      </w:r>
      <w:r w:rsidRPr="002302CF">
        <w:rPr>
          <w:rFonts w:cstheme="minorHAnsi"/>
          <w:bCs/>
          <w:color w:val="000000"/>
          <w:sz w:val="24"/>
          <w:szCs w:val="24"/>
          <w:lang w:eastAsia="cs-CZ" w:bidi="cs-CZ"/>
        </w:rPr>
        <w:t xml:space="preserve"> </w:t>
      </w:r>
    </w:p>
    <w:p w14:paraId="41B7FFB1" w14:textId="3FEDEFC8" w:rsidR="0076271E" w:rsidRDefault="0076271E" w:rsidP="006164D5">
      <w:pPr>
        <w:widowControl w:val="0"/>
        <w:spacing w:line="240" w:lineRule="auto"/>
        <w:jc w:val="both"/>
        <w:rPr>
          <w:rFonts w:ascii="Calibri" w:eastAsia="Calibri" w:hAnsi="Calibri" w:cs="Calibri"/>
          <w:sz w:val="24"/>
          <w:szCs w:val="24"/>
          <w:lang w:eastAsia="cs-CZ" w:bidi="cs-CZ"/>
        </w:rPr>
      </w:pPr>
      <w:r>
        <w:rPr>
          <w:rFonts w:ascii="Calibri" w:eastAsia="Calibri" w:hAnsi="Calibri" w:cs="Calibri"/>
          <w:sz w:val="24"/>
          <w:szCs w:val="24"/>
          <w:lang w:eastAsia="cs-CZ" w:bidi="cs-CZ"/>
        </w:rPr>
        <w:t>I p</w:t>
      </w:r>
      <w:r w:rsidRPr="007B5195">
        <w:rPr>
          <w:rFonts w:ascii="Calibri" w:eastAsia="Calibri" w:hAnsi="Calibri" w:cs="Calibri"/>
          <w:sz w:val="24"/>
          <w:szCs w:val="24"/>
          <w:lang w:eastAsia="cs-CZ" w:bidi="cs-CZ"/>
        </w:rPr>
        <w:t xml:space="preserve">řes nastavení pravidel o poskytování zpětné vazby v </w:t>
      </w:r>
      <w:r w:rsidR="000441E2">
        <w:rPr>
          <w:rFonts w:ascii="Calibri" w:eastAsia="Calibri" w:hAnsi="Calibri" w:cs="Calibri"/>
          <w:sz w:val="24"/>
          <w:szCs w:val="24"/>
          <w:lang w:eastAsia="cs-CZ" w:bidi="cs-CZ"/>
        </w:rPr>
        <w:t>„d</w:t>
      </w:r>
      <w:r w:rsidRPr="007B5195">
        <w:rPr>
          <w:rFonts w:ascii="Calibri" w:eastAsia="Calibri" w:hAnsi="Calibri" w:cs="Calibri"/>
          <w:sz w:val="24"/>
          <w:szCs w:val="24"/>
          <w:lang w:eastAsia="cs-CZ" w:bidi="cs-CZ"/>
        </w:rPr>
        <w:t>ohodě o spolupráci</w:t>
      </w:r>
      <w:r w:rsidR="000441E2">
        <w:rPr>
          <w:rFonts w:ascii="Calibri" w:eastAsia="Calibri" w:hAnsi="Calibri" w:cs="Calibri"/>
          <w:sz w:val="24"/>
          <w:szCs w:val="24"/>
          <w:lang w:eastAsia="cs-CZ" w:bidi="cs-CZ"/>
        </w:rPr>
        <w:t>“</w:t>
      </w:r>
      <w:r w:rsidRPr="007B5195">
        <w:rPr>
          <w:rFonts w:ascii="Calibri" w:eastAsia="Calibri" w:hAnsi="Calibri" w:cs="Calibri"/>
          <w:sz w:val="24"/>
          <w:szCs w:val="24"/>
          <w:lang w:eastAsia="cs-CZ" w:bidi="cs-CZ"/>
        </w:rPr>
        <w:t xml:space="preserve"> </w:t>
      </w:r>
      <w:r w:rsidR="000441E2">
        <w:rPr>
          <w:rFonts w:ascii="Calibri" w:eastAsia="Calibri" w:hAnsi="Calibri" w:cs="Calibri"/>
          <w:sz w:val="24"/>
          <w:szCs w:val="24"/>
          <w:lang w:eastAsia="cs-CZ" w:bidi="cs-CZ"/>
        </w:rPr>
        <w:t>(</w:t>
      </w:r>
      <w:r w:rsidRPr="007B5195">
        <w:rPr>
          <w:rFonts w:ascii="Calibri" w:eastAsia="Calibri" w:hAnsi="Calibri" w:cs="Calibri"/>
          <w:sz w:val="24"/>
          <w:szCs w:val="24"/>
          <w:lang w:eastAsia="cs-CZ" w:bidi="cs-CZ"/>
        </w:rPr>
        <w:t>člán</w:t>
      </w:r>
      <w:r w:rsidR="000441E2">
        <w:rPr>
          <w:rFonts w:ascii="Calibri" w:eastAsia="Calibri" w:hAnsi="Calibri" w:cs="Calibri"/>
          <w:sz w:val="24"/>
          <w:szCs w:val="24"/>
          <w:lang w:eastAsia="cs-CZ" w:bidi="cs-CZ"/>
        </w:rPr>
        <w:t>e</w:t>
      </w:r>
      <w:r w:rsidRPr="007B5195">
        <w:rPr>
          <w:rFonts w:ascii="Calibri" w:eastAsia="Calibri" w:hAnsi="Calibri" w:cs="Calibri"/>
          <w:sz w:val="24"/>
          <w:szCs w:val="24"/>
          <w:lang w:eastAsia="cs-CZ" w:bidi="cs-CZ"/>
        </w:rPr>
        <w:t xml:space="preserve">k 7 bod 2) SÚIP nepředával </w:t>
      </w:r>
      <w:r w:rsidR="001E6998">
        <w:rPr>
          <w:rFonts w:ascii="Calibri" w:eastAsia="Calibri" w:hAnsi="Calibri" w:cs="Calibri"/>
          <w:sz w:val="24"/>
          <w:szCs w:val="24"/>
          <w:lang w:eastAsia="cs-CZ" w:bidi="cs-CZ"/>
        </w:rPr>
        <w:t xml:space="preserve">jedenkrát </w:t>
      </w:r>
      <w:r w:rsidRPr="007B5195">
        <w:rPr>
          <w:rFonts w:ascii="Calibri" w:eastAsia="Calibri" w:hAnsi="Calibri" w:cs="Calibri"/>
          <w:sz w:val="24"/>
          <w:szCs w:val="24"/>
          <w:lang w:eastAsia="cs-CZ" w:bidi="cs-CZ"/>
        </w:rPr>
        <w:t xml:space="preserve">ročně </w:t>
      </w:r>
      <w:r w:rsidR="00944400">
        <w:rPr>
          <w:rFonts w:ascii="Calibri" w:eastAsia="Calibri" w:hAnsi="Calibri" w:cs="Calibri"/>
          <w:sz w:val="24"/>
          <w:szCs w:val="24"/>
          <w:lang w:eastAsia="cs-CZ" w:bidi="cs-CZ"/>
        </w:rPr>
        <w:t>GŘC</w:t>
      </w:r>
      <w:r w:rsidRPr="007B5195">
        <w:rPr>
          <w:rFonts w:ascii="Calibri" w:eastAsia="Calibri" w:hAnsi="Calibri" w:cs="Calibri"/>
          <w:sz w:val="24"/>
          <w:szCs w:val="24"/>
          <w:lang w:eastAsia="cs-CZ" w:bidi="cs-CZ"/>
        </w:rPr>
        <w:t xml:space="preserve"> </w:t>
      </w:r>
      <w:r w:rsidR="000441E2">
        <w:rPr>
          <w:rFonts w:ascii="Calibri" w:eastAsia="Calibri" w:hAnsi="Calibri" w:cs="Calibri"/>
          <w:sz w:val="24"/>
          <w:szCs w:val="24"/>
          <w:lang w:eastAsia="cs-CZ" w:bidi="cs-CZ"/>
        </w:rPr>
        <w:t>požadované informace</w:t>
      </w:r>
      <w:r w:rsidR="001E6998">
        <w:rPr>
          <w:rFonts w:ascii="Calibri" w:eastAsia="Calibri" w:hAnsi="Calibri" w:cs="Calibri"/>
          <w:sz w:val="24"/>
          <w:szCs w:val="24"/>
          <w:lang w:eastAsia="cs-CZ" w:bidi="cs-CZ"/>
        </w:rPr>
        <w:t>.</w:t>
      </w:r>
      <w:r w:rsidRPr="007B5195">
        <w:rPr>
          <w:rFonts w:ascii="Calibri" w:eastAsia="Calibri" w:hAnsi="Calibri" w:cs="Calibri"/>
          <w:sz w:val="24"/>
          <w:szCs w:val="24"/>
          <w:lang w:eastAsia="cs-CZ" w:bidi="cs-CZ"/>
        </w:rPr>
        <w:t xml:space="preserve"> </w:t>
      </w:r>
    </w:p>
    <w:p w14:paraId="4AD8F953" w14:textId="6AB86E99" w:rsidR="00612166" w:rsidRDefault="003D19FB" w:rsidP="00612166">
      <w:pPr>
        <w:spacing w:line="240" w:lineRule="auto"/>
        <w:jc w:val="both"/>
        <w:rPr>
          <w:sz w:val="24"/>
          <w:szCs w:val="24"/>
        </w:rPr>
      </w:pPr>
      <w:r>
        <w:rPr>
          <w:sz w:val="24"/>
          <w:szCs w:val="24"/>
        </w:rPr>
        <w:t xml:space="preserve">Dále </w:t>
      </w:r>
      <w:r w:rsidRPr="009861DA">
        <w:rPr>
          <w:sz w:val="24"/>
          <w:szCs w:val="24"/>
        </w:rPr>
        <w:t xml:space="preserve">SÚIP </w:t>
      </w:r>
      <w:r>
        <w:rPr>
          <w:sz w:val="24"/>
          <w:szCs w:val="24"/>
        </w:rPr>
        <w:t xml:space="preserve">uzavřel </w:t>
      </w:r>
      <w:r w:rsidR="000441E2">
        <w:rPr>
          <w:sz w:val="24"/>
          <w:szCs w:val="24"/>
        </w:rPr>
        <w:t>„d</w:t>
      </w:r>
      <w:r w:rsidR="00612166">
        <w:rPr>
          <w:sz w:val="24"/>
          <w:szCs w:val="24"/>
        </w:rPr>
        <w:t>ohodu o spolupráci s</w:t>
      </w:r>
      <w:r w:rsidR="000441E2">
        <w:rPr>
          <w:sz w:val="24"/>
          <w:szCs w:val="24"/>
        </w:rPr>
        <w:t> </w:t>
      </w:r>
      <w:r>
        <w:rPr>
          <w:sz w:val="24"/>
          <w:szCs w:val="24"/>
        </w:rPr>
        <w:t>GFŘ</w:t>
      </w:r>
      <w:r w:rsidR="000441E2">
        <w:rPr>
          <w:sz w:val="24"/>
          <w:szCs w:val="24"/>
        </w:rPr>
        <w:t>“</w:t>
      </w:r>
      <w:r w:rsidR="00612166">
        <w:rPr>
          <w:sz w:val="24"/>
          <w:szCs w:val="24"/>
        </w:rPr>
        <w:t>, a to</w:t>
      </w:r>
      <w:r w:rsidR="00612166" w:rsidRPr="009861DA">
        <w:rPr>
          <w:sz w:val="24"/>
          <w:szCs w:val="24"/>
        </w:rPr>
        <w:t xml:space="preserve"> dne 18. 12. 2020 s účinností od 1. 1. 2021</w:t>
      </w:r>
      <w:r w:rsidR="00612166">
        <w:rPr>
          <w:sz w:val="24"/>
          <w:szCs w:val="24"/>
        </w:rPr>
        <w:t>.</w:t>
      </w:r>
      <w:r w:rsidR="00612166" w:rsidRPr="009861DA">
        <w:rPr>
          <w:sz w:val="24"/>
          <w:szCs w:val="24"/>
        </w:rPr>
        <w:t xml:space="preserve"> Tato dohoda upravuje rámec vzájemné spolupráce mezi smluvními stranami při provádění vyhledávací a kontrolní činnosti orgánů </w:t>
      </w:r>
      <w:r w:rsidR="00C61078">
        <w:rPr>
          <w:sz w:val="24"/>
          <w:szCs w:val="24"/>
        </w:rPr>
        <w:t>FS ČR</w:t>
      </w:r>
      <w:r w:rsidR="00612166" w:rsidRPr="009861DA">
        <w:rPr>
          <w:sz w:val="24"/>
          <w:szCs w:val="24"/>
        </w:rPr>
        <w:t xml:space="preserve"> a orgánů inspekce práce v oblasti boje proti nelegálnímu zaměstnávání. </w:t>
      </w:r>
      <w:r w:rsidR="001E6998">
        <w:rPr>
          <w:sz w:val="24"/>
          <w:szCs w:val="24"/>
        </w:rPr>
        <w:t>P</w:t>
      </w:r>
      <w:r w:rsidR="00612166" w:rsidRPr="009861DA">
        <w:rPr>
          <w:sz w:val="24"/>
          <w:szCs w:val="24"/>
        </w:rPr>
        <w:t>oskytování údajů je dle dohody podstatné pro účinné postihování daňových úniků a zvýšení efektivity vyhledávacích, analytických a</w:t>
      </w:r>
      <w:r w:rsidR="00247E8E">
        <w:rPr>
          <w:sz w:val="24"/>
          <w:szCs w:val="24"/>
        </w:rPr>
        <w:t xml:space="preserve"> </w:t>
      </w:r>
      <w:r w:rsidR="00612166" w:rsidRPr="009861DA">
        <w:rPr>
          <w:sz w:val="24"/>
          <w:szCs w:val="24"/>
        </w:rPr>
        <w:t>kontrolních postupů orgánů</w:t>
      </w:r>
      <w:r w:rsidR="00150937">
        <w:rPr>
          <w:sz w:val="24"/>
          <w:szCs w:val="24"/>
        </w:rPr>
        <w:t xml:space="preserve"> </w:t>
      </w:r>
      <w:r w:rsidR="00C61078">
        <w:rPr>
          <w:sz w:val="24"/>
          <w:szCs w:val="24"/>
        </w:rPr>
        <w:t>FS ČR</w:t>
      </w:r>
      <w:r w:rsidR="00612166" w:rsidRPr="009861DA">
        <w:rPr>
          <w:sz w:val="24"/>
          <w:szCs w:val="24"/>
        </w:rPr>
        <w:t>.</w:t>
      </w:r>
      <w:r w:rsidR="00612166" w:rsidRPr="000875FF">
        <w:rPr>
          <w:sz w:val="24"/>
          <w:szCs w:val="24"/>
        </w:rPr>
        <w:t xml:space="preserve"> </w:t>
      </w:r>
    </w:p>
    <w:p w14:paraId="00E1BEB2" w14:textId="1BFC8E54" w:rsidR="00612166" w:rsidRPr="000A1440" w:rsidRDefault="00612166" w:rsidP="00747922">
      <w:pPr>
        <w:spacing w:line="240" w:lineRule="auto"/>
        <w:jc w:val="both"/>
        <w:rPr>
          <w:sz w:val="24"/>
          <w:szCs w:val="24"/>
        </w:rPr>
      </w:pPr>
      <w:r w:rsidRPr="000A1440">
        <w:rPr>
          <w:sz w:val="24"/>
          <w:szCs w:val="24"/>
        </w:rPr>
        <w:t xml:space="preserve">Spolupráce mezi SÚIP a GFŘ na základě uvedené dohody </w:t>
      </w:r>
      <w:r w:rsidR="00940CBE">
        <w:rPr>
          <w:sz w:val="24"/>
          <w:szCs w:val="24"/>
        </w:rPr>
        <w:t>spočívala</w:t>
      </w:r>
      <w:r w:rsidRPr="000A1440">
        <w:rPr>
          <w:sz w:val="24"/>
          <w:szCs w:val="24"/>
        </w:rPr>
        <w:t xml:space="preserve"> zejména </w:t>
      </w:r>
      <w:r w:rsidR="00940CBE">
        <w:rPr>
          <w:sz w:val="24"/>
          <w:szCs w:val="24"/>
        </w:rPr>
        <w:t>v </w:t>
      </w:r>
      <w:r w:rsidR="00007360">
        <w:rPr>
          <w:sz w:val="24"/>
          <w:szCs w:val="24"/>
        </w:rPr>
        <w:t>p</w:t>
      </w:r>
      <w:r w:rsidRPr="000A1440">
        <w:rPr>
          <w:sz w:val="24"/>
          <w:szCs w:val="24"/>
        </w:rPr>
        <w:t>ředávání informací z kontrol</w:t>
      </w:r>
      <w:r w:rsidR="00007360">
        <w:rPr>
          <w:sz w:val="24"/>
          <w:szCs w:val="24"/>
        </w:rPr>
        <w:t>, v</w:t>
      </w:r>
      <w:r w:rsidRPr="000A1440">
        <w:rPr>
          <w:sz w:val="24"/>
          <w:szCs w:val="24"/>
        </w:rPr>
        <w:t>ýměně zkušeností s aplikací právních norem a</w:t>
      </w:r>
      <w:r w:rsidR="00792AF1">
        <w:rPr>
          <w:sz w:val="24"/>
          <w:szCs w:val="24"/>
        </w:rPr>
        <w:t> </w:t>
      </w:r>
      <w:r w:rsidRPr="000A1440">
        <w:rPr>
          <w:sz w:val="24"/>
          <w:szCs w:val="24"/>
        </w:rPr>
        <w:t>jejich výkladů</w:t>
      </w:r>
      <w:r w:rsidR="00007360">
        <w:rPr>
          <w:sz w:val="24"/>
          <w:szCs w:val="24"/>
        </w:rPr>
        <w:t>, v</w:t>
      </w:r>
      <w:r w:rsidRPr="000A1440">
        <w:rPr>
          <w:sz w:val="24"/>
          <w:szCs w:val="24"/>
        </w:rPr>
        <w:t>zdělávání</w:t>
      </w:r>
      <w:r w:rsidR="00007360">
        <w:rPr>
          <w:sz w:val="24"/>
          <w:szCs w:val="24"/>
        </w:rPr>
        <w:t>, p</w:t>
      </w:r>
      <w:r w:rsidRPr="000A1440">
        <w:rPr>
          <w:sz w:val="24"/>
          <w:szCs w:val="24"/>
        </w:rPr>
        <w:t>oskytování výsledků již ukončených správních řízení orgány inspekce práce</w:t>
      </w:r>
      <w:r w:rsidR="00007360">
        <w:rPr>
          <w:sz w:val="24"/>
          <w:szCs w:val="24"/>
        </w:rPr>
        <w:t>.</w:t>
      </w:r>
    </w:p>
    <w:p w14:paraId="6F5D6876" w14:textId="250A555D" w:rsidR="00612166" w:rsidRPr="009861DA" w:rsidRDefault="00612166" w:rsidP="00747922">
      <w:pPr>
        <w:spacing w:before="120" w:line="240" w:lineRule="auto"/>
        <w:jc w:val="both"/>
        <w:rPr>
          <w:sz w:val="24"/>
          <w:szCs w:val="24"/>
        </w:rPr>
      </w:pPr>
      <w:r w:rsidRPr="009861DA">
        <w:rPr>
          <w:sz w:val="24"/>
          <w:szCs w:val="24"/>
        </w:rPr>
        <w:t xml:space="preserve">NKÚ ověřoval, zda v kontrolovaném období předávaly orgány inspekce práce </w:t>
      </w:r>
      <w:r w:rsidR="00940CBE">
        <w:rPr>
          <w:sz w:val="24"/>
          <w:szCs w:val="24"/>
        </w:rPr>
        <w:t>Finanční správě</w:t>
      </w:r>
      <w:r w:rsidRPr="009861DA">
        <w:rPr>
          <w:sz w:val="24"/>
          <w:szCs w:val="24"/>
        </w:rPr>
        <w:t xml:space="preserve"> ČR </w:t>
      </w:r>
      <w:r w:rsidR="00022DB7">
        <w:rPr>
          <w:sz w:val="24"/>
          <w:szCs w:val="24"/>
        </w:rPr>
        <w:t>kontrolní protokoly obsahující informace</w:t>
      </w:r>
      <w:r w:rsidRPr="009861DA">
        <w:rPr>
          <w:sz w:val="24"/>
          <w:szCs w:val="24"/>
        </w:rPr>
        <w:t xml:space="preserve">, které </w:t>
      </w:r>
      <w:r w:rsidR="00022DB7">
        <w:rPr>
          <w:sz w:val="24"/>
          <w:szCs w:val="24"/>
        </w:rPr>
        <w:t xml:space="preserve">by mohly </w:t>
      </w:r>
      <w:r w:rsidR="00090DB2">
        <w:rPr>
          <w:sz w:val="24"/>
          <w:szCs w:val="24"/>
        </w:rPr>
        <w:t xml:space="preserve">mít </w:t>
      </w:r>
      <w:r w:rsidR="00090DB2" w:rsidRPr="009861DA">
        <w:rPr>
          <w:sz w:val="24"/>
          <w:szCs w:val="24"/>
        </w:rPr>
        <w:t>vztah</w:t>
      </w:r>
      <w:r w:rsidRPr="009861DA">
        <w:rPr>
          <w:sz w:val="24"/>
          <w:szCs w:val="24"/>
        </w:rPr>
        <w:t xml:space="preserve"> ke správě daní. </w:t>
      </w:r>
      <w:r w:rsidR="003D19FB">
        <w:rPr>
          <w:sz w:val="24"/>
          <w:szCs w:val="24"/>
        </w:rPr>
        <w:t xml:space="preserve">V rámci KA </w:t>
      </w:r>
      <w:r w:rsidR="00940CBE">
        <w:rPr>
          <w:sz w:val="24"/>
          <w:szCs w:val="24"/>
        </w:rPr>
        <w:t>č. </w:t>
      </w:r>
      <w:r w:rsidR="003D19FB">
        <w:rPr>
          <w:sz w:val="24"/>
          <w:szCs w:val="24"/>
        </w:rPr>
        <w:t xml:space="preserve">18/32 NKÚ zjistil, že k </w:t>
      </w:r>
      <w:r w:rsidRPr="009861DA">
        <w:rPr>
          <w:sz w:val="24"/>
          <w:szCs w:val="24"/>
        </w:rPr>
        <w:t xml:space="preserve">předávání kontrolních protokolů </w:t>
      </w:r>
      <w:r w:rsidR="003D19FB">
        <w:rPr>
          <w:sz w:val="24"/>
          <w:szCs w:val="24"/>
        </w:rPr>
        <w:t>nedocházelo</w:t>
      </w:r>
      <w:r>
        <w:rPr>
          <w:sz w:val="24"/>
          <w:szCs w:val="24"/>
        </w:rPr>
        <w:t>.</w:t>
      </w:r>
    </w:p>
    <w:p w14:paraId="6D7D60BD" w14:textId="084DD829" w:rsidR="00612166" w:rsidRPr="009861DA" w:rsidRDefault="00DB2862" w:rsidP="00747922">
      <w:pPr>
        <w:spacing w:line="240" w:lineRule="auto"/>
        <w:jc w:val="both"/>
        <w:rPr>
          <w:sz w:val="24"/>
          <w:szCs w:val="24"/>
        </w:rPr>
      </w:pPr>
      <w:r w:rsidRPr="006F1789">
        <w:rPr>
          <w:sz w:val="24"/>
          <w:szCs w:val="24"/>
        </w:rPr>
        <w:lastRenderedPageBreak/>
        <w:t>D</w:t>
      </w:r>
      <w:r w:rsidR="00940CBE" w:rsidRPr="006F1789">
        <w:rPr>
          <w:sz w:val="24"/>
          <w:szCs w:val="24"/>
        </w:rPr>
        <w:t>le</w:t>
      </w:r>
      <w:r w:rsidR="00612166" w:rsidRPr="006F1789">
        <w:rPr>
          <w:sz w:val="24"/>
          <w:szCs w:val="24"/>
        </w:rPr>
        <w:t xml:space="preserve"> </w:t>
      </w:r>
      <w:r w:rsidR="00940CBE" w:rsidRPr="006F1789">
        <w:rPr>
          <w:sz w:val="24"/>
          <w:szCs w:val="24"/>
        </w:rPr>
        <w:t>„d</w:t>
      </w:r>
      <w:r w:rsidR="00612166" w:rsidRPr="006F1789">
        <w:rPr>
          <w:sz w:val="24"/>
          <w:szCs w:val="24"/>
        </w:rPr>
        <w:t>ohody</w:t>
      </w:r>
      <w:r w:rsidR="008C0F1F" w:rsidRPr="006F1789">
        <w:rPr>
          <w:sz w:val="24"/>
          <w:szCs w:val="24"/>
        </w:rPr>
        <w:t xml:space="preserve"> o spolupráci</w:t>
      </w:r>
      <w:r w:rsidR="008C0F1F">
        <w:rPr>
          <w:sz w:val="24"/>
          <w:szCs w:val="24"/>
        </w:rPr>
        <w:t xml:space="preserve"> s</w:t>
      </w:r>
      <w:r w:rsidR="00940CBE">
        <w:rPr>
          <w:sz w:val="24"/>
          <w:szCs w:val="24"/>
        </w:rPr>
        <w:t> </w:t>
      </w:r>
      <w:r w:rsidR="008C0F1F">
        <w:rPr>
          <w:sz w:val="24"/>
          <w:szCs w:val="24"/>
        </w:rPr>
        <w:t>GFŘ</w:t>
      </w:r>
      <w:r w:rsidR="00940CBE">
        <w:rPr>
          <w:sz w:val="24"/>
          <w:szCs w:val="24"/>
        </w:rPr>
        <w:t>“</w:t>
      </w:r>
      <w:r w:rsidR="00612166" w:rsidRPr="009861DA">
        <w:rPr>
          <w:sz w:val="24"/>
          <w:szCs w:val="24"/>
        </w:rPr>
        <w:t xml:space="preserve"> mají orgány inspekce práce předávat svá kontrolní zjištění za kalendářní měsíc vždy nejpozději do 10. dne následujícího měsíce, a to prostřednictvím SÚIP do datové schránky GFŘ. </w:t>
      </w:r>
    </w:p>
    <w:p w14:paraId="7DF5315C" w14:textId="209FDC69" w:rsidR="00612166" w:rsidRPr="009861DA" w:rsidRDefault="00612166" w:rsidP="00747922">
      <w:pPr>
        <w:spacing w:line="240" w:lineRule="auto"/>
        <w:jc w:val="both"/>
        <w:rPr>
          <w:sz w:val="24"/>
          <w:szCs w:val="24"/>
        </w:rPr>
      </w:pPr>
      <w:r w:rsidRPr="009861DA">
        <w:rPr>
          <w:sz w:val="24"/>
          <w:szCs w:val="24"/>
        </w:rPr>
        <w:t>NKÚ z</w:t>
      </w:r>
      <w:r w:rsidR="003530E8">
        <w:rPr>
          <w:sz w:val="24"/>
          <w:szCs w:val="24"/>
        </w:rPr>
        <w:t>jistil</w:t>
      </w:r>
      <w:r w:rsidRPr="009861DA">
        <w:rPr>
          <w:sz w:val="24"/>
          <w:szCs w:val="24"/>
        </w:rPr>
        <w:t xml:space="preserve">, že SÚIP v letech 2021 až 2023 předával </w:t>
      </w:r>
      <w:r w:rsidR="003530E8">
        <w:rPr>
          <w:sz w:val="24"/>
          <w:szCs w:val="24"/>
        </w:rPr>
        <w:t>jedenkrát</w:t>
      </w:r>
      <w:r w:rsidRPr="009861DA">
        <w:rPr>
          <w:sz w:val="24"/>
          <w:szCs w:val="24"/>
        </w:rPr>
        <w:t xml:space="preserve"> měsíčně sestavu s výsledky kontrol formou strukturovaného seznamu s průvodním dopisem prostřednictvím datové schránky. Protokoly o kontrole ukládal SÚIP na cloudové úložiště, které je přístupné pro potřeby GFŘ.</w:t>
      </w:r>
      <w:r>
        <w:rPr>
          <w:sz w:val="24"/>
          <w:szCs w:val="24"/>
        </w:rPr>
        <w:t xml:space="preserve"> </w:t>
      </w:r>
      <w:r w:rsidRPr="00144819">
        <w:rPr>
          <w:sz w:val="24"/>
          <w:szCs w:val="24"/>
        </w:rPr>
        <w:t xml:space="preserve">NKÚ však zjistil, že SÚIP </w:t>
      </w:r>
      <w:r w:rsidR="00B21B57">
        <w:rPr>
          <w:sz w:val="24"/>
          <w:szCs w:val="24"/>
        </w:rPr>
        <w:t>nepostupoval v souladu s</w:t>
      </w:r>
      <w:r w:rsidR="00B21B57" w:rsidRPr="00144819">
        <w:rPr>
          <w:sz w:val="24"/>
          <w:szCs w:val="24"/>
        </w:rPr>
        <w:t xml:space="preserve"> </w:t>
      </w:r>
      <w:r w:rsidRPr="00144819">
        <w:rPr>
          <w:sz w:val="24"/>
          <w:szCs w:val="24"/>
        </w:rPr>
        <w:t>ustanovení</w:t>
      </w:r>
      <w:r w:rsidR="00722B99">
        <w:rPr>
          <w:sz w:val="24"/>
          <w:szCs w:val="24"/>
        </w:rPr>
        <w:t>m</w:t>
      </w:r>
      <w:r w:rsidR="00CD2BAE">
        <w:rPr>
          <w:sz w:val="24"/>
          <w:szCs w:val="24"/>
        </w:rPr>
        <w:t xml:space="preserve"> </w:t>
      </w:r>
      <w:r w:rsidRPr="00144819">
        <w:rPr>
          <w:sz w:val="24"/>
          <w:szCs w:val="24"/>
        </w:rPr>
        <w:t xml:space="preserve">§ 59 odst. 2 </w:t>
      </w:r>
      <w:r w:rsidR="00007360">
        <w:rPr>
          <w:sz w:val="24"/>
          <w:szCs w:val="24"/>
        </w:rPr>
        <w:t>zákona č. 280/2009 Sb.</w:t>
      </w:r>
      <w:r w:rsidRPr="00144819">
        <w:rPr>
          <w:sz w:val="24"/>
          <w:szCs w:val="24"/>
        </w:rPr>
        <w:t xml:space="preserve">, když minimálně v 214 případech nepředal </w:t>
      </w:r>
      <w:r w:rsidR="00940CBE">
        <w:rPr>
          <w:sz w:val="24"/>
          <w:szCs w:val="24"/>
        </w:rPr>
        <w:t>údaje</w:t>
      </w:r>
      <w:r w:rsidR="00631AC7">
        <w:rPr>
          <w:sz w:val="24"/>
          <w:szCs w:val="24"/>
        </w:rPr>
        <w:t xml:space="preserve"> </w:t>
      </w:r>
      <w:r w:rsidR="00CD2BAE" w:rsidRPr="00DB2862">
        <w:rPr>
          <w:sz w:val="24"/>
          <w:szCs w:val="24"/>
        </w:rPr>
        <w:t>uveden</w:t>
      </w:r>
      <w:r w:rsidR="00631AC7">
        <w:rPr>
          <w:sz w:val="24"/>
          <w:szCs w:val="24"/>
        </w:rPr>
        <w:t>é</w:t>
      </w:r>
      <w:r w:rsidR="00CD2BAE" w:rsidRPr="00DB2862">
        <w:rPr>
          <w:sz w:val="24"/>
          <w:szCs w:val="24"/>
        </w:rPr>
        <w:t xml:space="preserve"> v </w:t>
      </w:r>
      <w:r w:rsidRPr="00DB2862">
        <w:rPr>
          <w:sz w:val="24"/>
          <w:szCs w:val="24"/>
        </w:rPr>
        <w:t>kontrolní</w:t>
      </w:r>
      <w:r w:rsidR="00CD2BAE" w:rsidRPr="00DB2862">
        <w:rPr>
          <w:sz w:val="24"/>
          <w:szCs w:val="24"/>
        </w:rPr>
        <w:t>ch</w:t>
      </w:r>
      <w:r w:rsidRPr="00DB2862">
        <w:rPr>
          <w:sz w:val="24"/>
          <w:szCs w:val="24"/>
        </w:rPr>
        <w:t xml:space="preserve"> protokol</w:t>
      </w:r>
      <w:r w:rsidR="00CD2BAE" w:rsidRPr="00DB2862">
        <w:rPr>
          <w:sz w:val="24"/>
          <w:szCs w:val="24"/>
        </w:rPr>
        <w:t>ech</w:t>
      </w:r>
      <w:r w:rsidRPr="00144819">
        <w:rPr>
          <w:sz w:val="24"/>
          <w:szCs w:val="24"/>
        </w:rPr>
        <w:t xml:space="preserve"> ve lhůtě 30</w:t>
      </w:r>
      <w:r w:rsidR="007239BD">
        <w:rPr>
          <w:sz w:val="24"/>
          <w:szCs w:val="24"/>
        </w:rPr>
        <w:t xml:space="preserve"> </w:t>
      </w:r>
      <w:r w:rsidRPr="00144819">
        <w:rPr>
          <w:sz w:val="24"/>
          <w:szCs w:val="24"/>
        </w:rPr>
        <w:t>dnů od provedeného kontrolního zjištění.</w:t>
      </w:r>
      <w:r w:rsidR="00663CB3">
        <w:rPr>
          <w:sz w:val="24"/>
          <w:szCs w:val="24"/>
        </w:rPr>
        <w:t xml:space="preserve"> </w:t>
      </w:r>
      <w:r w:rsidR="00DB2862">
        <w:rPr>
          <w:sz w:val="24"/>
          <w:szCs w:val="24"/>
        </w:rPr>
        <w:t>P</w:t>
      </w:r>
      <w:r w:rsidR="00663CB3">
        <w:rPr>
          <w:sz w:val="24"/>
          <w:szCs w:val="24"/>
        </w:rPr>
        <w:t xml:space="preserve">ozdní předání bylo způsobeno nastavením předávání </w:t>
      </w:r>
      <w:r w:rsidR="00B21B57">
        <w:rPr>
          <w:sz w:val="24"/>
          <w:szCs w:val="24"/>
        </w:rPr>
        <w:t xml:space="preserve">kontrolních </w:t>
      </w:r>
      <w:r w:rsidR="00663CB3">
        <w:rPr>
          <w:sz w:val="24"/>
          <w:szCs w:val="24"/>
        </w:rPr>
        <w:t>protokolů</w:t>
      </w:r>
      <w:r w:rsidR="00052BA5">
        <w:rPr>
          <w:sz w:val="24"/>
          <w:szCs w:val="24"/>
        </w:rPr>
        <w:t xml:space="preserve"> </w:t>
      </w:r>
      <w:r w:rsidR="00663CB3">
        <w:rPr>
          <w:sz w:val="24"/>
          <w:szCs w:val="24"/>
        </w:rPr>
        <w:t>v </w:t>
      </w:r>
      <w:r w:rsidR="00940CBE">
        <w:rPr>
          <w:sz w:val="24"/>
          <w:szCs w:val="24"/>
        </w:rPr>
        <w:t>„d</w:t>
      </w:r>
      <w:r w:rsidR="00663CB3">
        <w:rPr>
          <w:sz w:val="24"/>
          <w:szCs w:val="24"/>
        </w:rPr>
        <w:t xml:space="preserve">ohodě </w:t>
      </w:r>
      <w:r w:rsidR="00745EEF">
        <w:rPr>
          <w:sz w:val="24"/>
          <w:szCs w:val="24"/>
        </w:rPr>
        <w:t xml:space="preserve">o spolupráci </w:t>
      </w:r>
      <w:r w:rsidR="00663CB3">
        <w:rPr>
          <w:sz w:val="24"/>
          <w:szCs w:val="24"/>
        </w:rPr>
        <w:t>s</w:t>
      </w:r>
      <w:r w:rsidR="00940CBE">
        <w:rPr>
          <w:sz w:val="24"/>
          <w:szCs w:val="24"/>
        </w:rPr>
        <w:t> </w:t>
      </w:r>
      <w:r w:rsidR="00663CB3">
        <w:rPr>
          <w:sz w:val="24"/>
          <w:szCs w:val="24"/>
        </w:rPr>
        <w:t>GFŘ</w:t>
      </w:r>
      <w:r w:rsidR="00940CBE">
        <w:rPr>
          <w:sz w:val="24"/>
          <w:szCs w:val="24"/>
        </w:rPr>
        <w:t>“</w:t>
      </w:r>
      <w:r w:rsidR="00663CB3">
        <w:rPr>
          <w:sz w:val="24"/>
          <w:szCs w:val="24"/>
        </w:rPr>
        <w:t xml:space="preserve">. </w:t>
      </w:r>
      <w:r w:rsidR="00052BA5">
        <w:rPr>
          <w:sz w:val="24"/>
          <w:szCs w:val="24"/>
        </w:rPr>
        <w:t>Ani dohodnutá</w:t>
      </w:r>
      <w:r w:rsidR="00663CB3">
        <w:rPr>
          <w:sz w:val="24"/>
          <w:szCs w:val="24"/>
        </w:rPr>
        <w:t xml:space="preserve"> desetidenní lhůta pro odeslání </w:t>
      </w:r>
      <w:r w:rsidR="00B21B57">
        <w:rPr>
          <w:sz w:val="24"/>
          <w:szCs w:val="24"/>
        </w:rPr>
        <w:t xml:space="preserve">kontrolních </w:t>
      </w:r>
      <w:r w:rsidR="00663CB3">
        <w:rPr>
          <w:sz w:val="24"/>
          <w:szCs w:val="24"/>
        </w:rPr>
        <w:t>protokolů v případech jejich vypořádání v</w:t>
      </w:r>
      <w:r w:rsidR="007239BD">
        <w:rPr>
          <w:sz w:val="24"/>
          <w:szCs w:val="24"/>
        </w:rPr>
        <w:t xml:space="preserve"> </w:t>
      </w:r>
      <w:r w:rsidR="00663CB3">
        <w:rPr>
          <w:sz w:val="24"/>
          <w:szCs w:val="24"/>
        </w:rPr>
        <w:t xml:space="preserve">prvních dnech předchozího kalendářního měsíce nezajistila předání všech </w:t>
      </w:r>
      <w:r w:rsidR="00940CBE">
        <w:rPr>
          <w:sz w:val="24"/>
          <w:szCs w:val="24"/>
        </w:rPr>
        <w:t xml:space="preserve">kontrolních </w:t>
      </w:r>
      <w:r w:rsidR="00663CB3">
        <w:rPr>
          <w:sz w:val="24"/>
          <w:szCs w:val="24"/>
        </w:rPr>
        <w:t>protokolů do 30 dnů od provedení kontrolního zjištění v souladu s ustanovením §</w:t>
      </w:r>
      <w:r w:rsidR="00792AF1">
        <w:rPr>
          <w:sz w:val="24"/>
          <w:szCs w:val="24"/>
        </w:rPr>
        <w:t> </w:t>
      </w:r>
      <w:r w:rsidR="006164D5">
        <w:rPr>
          <w:sz w:val="24"/>
          <w:szCs w:val="24"/>
        </w:rPr>
        <w:t>5</w:t>
      </w:r>
      <w:r w:rsidR="00663CB3">
        <w:rPr>
          <w:sz w:val="24"/>
          <w:szCs w:val="24"/>
        </w:rPr>
        <w:t>9 zákona č. 280/2009 Sb.</w:t>
      </w:r>
    </w:p>
    <w:p w14:paraId="684C3F86" w14:textId="781B83CE" w:rsidR="00612166" w:rsidRPr="0070553D" w:rsidRDefault="00612166" w:rsidP="00007360">
      <w:pPr>
        <w:spacing w:line="240" w:lineRule="auto"/>
        <w:jc w:val="both"/>
        <w:rPr>
          <w:sz w:val="24"/>
          <w:szCs w:val="24"/>
        </w:rPr>
      </w:pPr>
      <w:r>
        <w:rPr>
          <w:sz w:val="24"/>
          <w:szCs w:val="24"/>
        </w:rPr>
        <w:t xml:space="preserve">SÚIP a </w:t>
      </w:r>
      <w:r w:rsidRPr="009861DA">
        <w:rPr>
          <w:sz w:val="24"/>
          <w:szCs w:val="24"/>
        </w:rPr>
        <w:t>GFŘ si dále dojednaly</w:t>
      </w:r>
      <w:r w:rsidR="00673C2E">
        <w:rPr>
          <w:sz w:val="24"/>
          <w:szCs w:val="24"/>
        </w:rPr>
        <w:t>, že SÚIP bude zasílat Generálnímu finančnímu ředitelství údaje</w:t>
      </w:r>
      <w:r w:rsidRPr="009861DA">
        <w:rPr>
          <w:sz w:val="24"/>
          <w:szCs w:val="24"/>
        </w:rPr>
        <w:t xml:space="preserve"> o</w:t>
      </w:r>
      <w:r w:rsidR="006F1789">
        <w:rPr>
          <w:sz w:val="24"/>
          <w:szCs w:val="24"/>
        </w:rPr>
        <w:t> </w:t>
      </w:r>
      <w:r w:rsidRPr="009861DA">
        <w:rPr>
          <w:sz w:val="24"/>
          <w:szCs w:val="24"/>
        </w:rPr>
        <w:t>počtu ukončených správních řízení a o výši uložených pokut</w:t>
      </w:r>
      <w:r w:rsidR="00673C2E">
        <w:rPr>
          <w:sz w:val="24"/>
          <w:szCs w:val="24"/>
        </w:rPr>
        <w:t xml:space="preserve"> a GFŘ bude naopak poskytovat Státnímu úřadu inspekce práce </w:t>
      </w:r>
      <w:r w:rsidR="006F1789">
        <w:rPr>
          <w:sz w:val="24"/>
          <w:szCs w:val="24"/>
        </w:rPr>
        <w:t>materiály</w:t>
      </w:r>
      <w:r w:rsidRPr="009861DA">
        <w:rPr>
          <w:sz w:val="24"/>
          <w:szCs w:val="24"/>
        </w:rPr>
        <w:t xml:space="preserve"> o trendech a vývoji situace v oblasti nelegálního zaměstnávání. </w:t>
      </w:r>
      <w:r w:rsidR="00673C2E">
        <w:rPr>
          <w:sz w:val="24"/>
          <w:szCs w:val="24"/>
        </w:rPr>
        <w:t>K</w:t>
      </w:r>
      <w:r w:rsidR="007239BD">
        <w:rPr>
          <w:sz w:val="24"/>
          <w:szCs w:val="24"/>
        </w:rPr>
        <w:t xml:space="preserve"> </w:t>
      </w:r>
      <w:r w:rsidR="00673C2E">
        <w:rPr>
          <w:sz w:val="24"/>
          <w:szCs w:val="24"/>
        </w:rPr>
        <w:t>výměně informací mělo docházet dvakrát ročně a plnění dohody měly smluvní strany jedenkrát ročně společně vyhodnotit.</w:t>
      </w:r>
      <w:r w:rsidR="00090DB2" w:rsidRPr="009E548D">
        <w:rPr>
          <w:sz w:val="24"/>
          <w:szCs w:val="24"/>
        </w:rPr>
        <w:t xml:space="preserve"> NKÚ</w:t>
      </w:r>
      <w:r w:rsidRPr="009E548D">
        <w:rPr>
          <w:sz w:val="24"/>
          <w:szCs w:val="24"/>
        </w:rPr>
        <w:t xml:space="preserve"> zjistil, že SÚIP v letech 2021 a 2022 nepřed</w:t>
      </w:r>
      <w:r w:rsidR="00673C2E">
        <w:rPr>
          <w:sz w:val="24"/>
          <w:szCs w:val="24"/>
        </w:rPr>
        <w:t xml:space="preserve">al </w:t>
      </w:r>
      <w:r w:rsidR="006F1789">
        <w:rPr>
          <w:sz w:val="24"/>
          <w:szCs w:val="24"/>
        </w:rPr>
        <w:t>požadované</w:t>
      </w:r>
      <w:r w:rsidR="00443ED6">
        <w:rPr>
          <w:sz w:val="24"/>
          <w:szCs w:val="24"/>
        </w:rPr>
        <w:t xml:space="preserve"> informace vůbec </w:t>
      </w:r>
      <w:r w:rsidR="00090DB2">
        <w:rPr>
          <w:sz w:val="24"/>
          <w:szCs w:val="24"/>
        </w:rPr>
        <w:t xml:space="preserve">a </w:t>
      </w:r>
      <w:r w:rsidR="00090DB2" w:rsidRPr="009E548D">
        <w:rPr>
          <w:sz w:val="24"/>
          <w:szCs w:val="24"/>
        </w:rPr>
        <w:t>za</w:t>
      </w:r>
      <w:r w:rsidRPr="009E548D">
        <w:rPr>
          <w:sz w:val="24"/>
          <w:szCs w:val="24"/>
        </w:rPr>
        <w:t xml:space="preserve"> rok 2023 </w:t>
      </w:r>
      <w:r w:rsidR="00673C2E">
        <w:rPr>
          <w:sz w:val="24"/>
          <w:szCs w:val="24"/>
        </w:rPr>
        <w:t xml:space="preserve">je </w:t>
      </w:r>
      <w:r w:rsidRPr="009E548D">
        <w:rPr>
          <w:sz w:val="24"/>
          <w:szCs w:val="24"/>
        </w:rPr>
        <w:t xml:space="preserve">předal e-mailem dne 7. 5. 2024. Roční hodnocení plnění </w:t>
      </w:r>
      <w:r w:rsidR="00837753">
        <w:rPr>
          <w:sz w:val="24"/>
          <w:szCs w:val="24"/>
        </w:rPr>
        <w:t>d</w:t>
      </w:r>
      <w:r w:rsidRPr="009E548D">
        <w:rPr>
          <w:sz w:val="24"/>
          <w:szCs w:val="24"/>
        </w:rPr>
        <w:t xml:space="preserve">ohody mezi SÚIP a GFŘ nebylo </w:t>
      </w:r>
      <w:r w:rsidR="00673C2E">
        <w:rPr>
          <w:sz w:val="24"/>
          <w:szCs w:val="24"/>
        </w:rPr>
        <w:t>prováděno</w:t>
      </w:r>
      <w:r w:rsidRPr="009E548D">
        <w:rPr>
          <w:sz w:val="24"/>
          <w:szCs w:val="24"/>
        </w:rPr>
        <w:t>.</w:t>
      </w:r>
    </w:p>
    <w:p w14:paraId="502DE79F" w14:textId="76257FDB" w:rsidR="00612166" w:rsidRPr="009E548D" w:rsidRDefault="00612166" w:rsidP="006164D5">
      <w:pPr>
        <w:widowControl w:val="0"/>
        <w:spacing w:line="240" w:lineRule="auto"/>
        <w:jc w:val="both"/>
        <w:rPr>
          <w:sz w:val="24"/>
          <w:szCs w:val="24"/>
        </w:rPr>
      </w:pPr>
      <w:r w:rsidRPr="009E548D">
        <w:rPr>
          <w:sz w:val="24"/>
          <w:szCs w:val="24"/>
        </w:rPr>
        <w:t xml:space="preserve">Dále NKÚ zjišťoval, jaké informace z kontrolní činnosti a v jakých lhůtách předával SÚIP v letech 2019 až 2023 </w:t>
      </w:r>
      <w:r w:rsidR="00DE67AB">
        <w:rPr>
          <w:sz w:val="24"/>
          <w:szCs w:val="24"/>
        </w:rPr>
        <w:t>ČSSZ</w:t>
      </w:r>
      <w:r w:rsidRPr="009E548D">
        <w:rPr>
          <w:sz w:val="24"/>
          <w:szCs w:val="24"/>
        </w:rPr>
        <w:t xml:space="preserve">. Metodika kontrol </w:t>
      </w:r>
      <w:r w:rsidR="00DE67AB">
        <w:rPr>
          <w:sz w:val="24"/>
          <w:szCs w:val="24"/>
        </w:rPr>
        <w:t>nelegálního zaměstnávání</w:t>
      </w:r>
      <w:r w:rsidR="00DE67AB" w:rsidRPr="009E548D">
        <w:rPr>
          <w:sz w:val="24"/>
          <w:szCs w:val="24"/>
        </w:rPr>
        <w:t xml:space="preserve"> </w:t>
      </w:r>
      <w:r w:rsidRPr="009E548D">
        <w:rPr>
          <w:sz w:val="24"/>
          <w:szCs w:val="24"/>
        </w:rPr>
        <w:t xml:space="preserve">upravovala předávání zjištění, která mají vazbu na činnost správních orgánů </w:t>
      </w:r>
      <w:r w:rsidR="006F1789">
        <w:rPr>
          <w:sz w:val="24"/>
          <w:szCs w:val="24"/>
        </w:rPr>
        <w:t>(</w:t>
      </w:r>
      <w:r w:rsidRPr="009E548D">
        <w:rPr>
          <w:sz w:val="24"/>
          <w:szCs w:val="24"/>
        </w:rPr>
        <w:t>tedy i ČSSZ</w:t>
      </w:r>
      <w:r w:rsidR="006F1789">
        <w:rPr>
          <w:sz w:val="24"/>
          <w:szCs w:val="24"/>
        </w:rPr>
        <w:t>)</w:t>
      </w:r>
      <w:r w:rsidRPr="009E548D">
        <w:rPr>
          <w:sz w:val="24"/>
          <w:szCs w:val="24"/>
        </w:rPr>
        <w:t xml:space="preserve">, pouze obecně </w:t>
      </w:r>
      <w:r w:rsidR="006F1789">
        <w:rPr>
          <w:sz w:val="24"/>
          <w:szCs w:val="24"/>
        </w:rPr>
        <w:t xml:space="preserve">a </w:t>
      </w:r>
      <w:r w:rsidRPr="009E548D">
        <w:rPr>
          <w:sz w:val="24"/>
          <w:szCs w:val="24"/>
        </w:rPr>
        <w:t>bez určení konkrétních informací, jichž se předávání týká</w:t>
      </w:r>
      <w:r w:rsidR="006F1789">
        <w:rPr>
          <w:sz w:val="24"/>
          <w:szCs w:val="24"/>
        </w:rPr>
        <w:t>;</w:t>
      </w:r>
      <w:r w:rsidRPr="009E548D">
        <w:rPr>
          <w:sz w:val="24"/>
          <w:szCs w:val="24"/>
        </w:rPr>
        <w:t xml:space="preserve"> </w:t>
      </w:r>
      <w:r w:rsidR="006F1789">
        <w:rPr>
          <w:sz w:val="24"/>
          <w:szCs w:val="24"/>
        </w:rPr>
        <w:t>stanovila však</w:t>
      </w:r>
      <w:r w:rsidRPr="009E548D">
        <w:rPr>
          <w:sz w:val="24"/>
          <w:szCs w:val="24"/>
        </w:rPr>
        <w:t xml:space="preserve">, že zjištění </w:t>
      </w:r>
      <w:r w:rsidR="006F1789">
        <w:rPr>
          <w:sz w:val="24"/>
          <w:szCs w:val="24"/>
        </w:rPr>
        <w:t>mají</w:t>
      </w:r>
      <w:r w:rsidR="006F1789" w:rsidRPr="009E548D">
        <w:rPr>
          <w:sz w:val="24"/>
          <w:szCs w:val="24"/>
        </w:rPr>
        <w:t xml:space="preserve"> </w:t>
      </w:r>
      <w:r w:rsidRPr="009E548D">
        <w:rPr>
          <w:sz w:val="24"/>
          <w:szCs w:val="24"/>
        </w:rPr>
        <w:t>být předá</w:t>
      </w:r>
      <w:r w:rsidR="006F1789">
        <w:rPr>
          <w:sz w:val="24"/>
          <w:szCs w:val="24"/>
        </w:rPr>
        <w:t>vá</w:t>
      </w:r>
      <w:r w:rsidRPr="009E548D">
        <w:rPr>
          <w:sz w:val="24"/>
          <w:szCs w:val="24"/>
        </w:rPr>
        <w:t>na bez prodlení.</w:t>
      </w:r>
    </w:p>
    <w:p w14:paraId="0C1BA6D7" w14:textId="73C7A1DD" w:rsidR="00612166" w:rsidRDefault="00612166" w:rsidP="00BF5BA7">
      <w:pPr>
        <w:spacing w:line="240" w:lineRule="auto"/>
        <w:jc w:val="both"/>
        <w:rPr>
          <w:sz w:val="24"/>
          <w:szCs w:val="24"/>
        </w:rPr>
      </w:pPr>
      <w:r w:rsidRPr="00051727">
        <w:rPr>
          <w:sz w:val="24"/>
          <w:szCs w:val="24"/>
        </w:rPr>
        <w:t>NKÚ zjistil, že SÚIP předával v kontrolovaném období protokoly se skutečnostmi, které nasvědčovaly neplnění povinnost</w:t>
      </w:r>
      <w:r w:rsidR="006F1789">
        <w:rPr>
          <w:sz w:val="24"/>
          <w:szCs w:val="24"/>
        </w:rPr>
        <w:t>í</w:t>
      </w:r>
      <w:r w:rsidRPr="00051727">
        <w:rPr>
          <w:sz w:val="24"/>
          <w:szCs w:val="24"/>
        </w:rPr>
        <w:t xml:space="preserve"> v oblasti pojištění</w:t>
      </w:r>
      <w:r w:rsidR="006F1789">
        <w:rPr>
          <w:sz w:val="24"/>
          <w:szCs w:val="24"/>
        </w:rPr>
        <w:t>,</w:t>
      </w:r>
      <w:r w:rsidRPr="00051727">
        <w:rPr>
          <w:sz w:val="24"/>
          <w:szCs w:val="24"/>
        </w:rPr>
        <w:t xml:space="preserve"> dle ustanovení § 117 odst. 5 písm. b) z</w:t>
      </w:r>
      <w:r w:rsidR="00792ADD">
        <w:rPr>
          <w:sz w:val="24"/>
          <w:szCs w:val="24"/>
        </w:rPr>
        <w:t>ákona</w:t>
      </w:r>
      <w:r w:rsidRPr="00051727">
        <w:rPr>
          <w:sz w:val="24"/>
          <w:szCs w:val="24"/>
        </w:rPr>
        <w:t xml:space="preserve"> č. 187/2006 Sb</w:t>
      </w:r>
      <w:r w:rsidR="00090DB2">
        <w:rPr>
          <w:sz w:val="24"/>
          <w:szCs w:val="24"/>
        </w:rPr>
        <w:t>.</w:t>
      </w:r>
      <w:r w:rsidR="009A6695">
        <w:rPr>
          <w:rStyle w:val="Znakapoznpodarou"/>
          <w:sz w:val="24"/>
          <w:szCs w:val="24"/>
        </w:rPr>
        <w:footnoteReference w:id="23"/>
      </w:r>
      <w:r w:rsidRPr="00051727">
        <w:rPr>
          <w:sz w:val="24"/>
          <w:szCs w:val="24"/>
        </w:rPr>
        <w:t xml:space="preserve"> </w:t>
      </w:r>
      <w:r w:rsidR="00BF5BA7">
        <w:rPr>
          <w:sz w:val="24"/>
          <w:szCs w:val="24"/>
        </w:rPr>
        <w:t>O</w:t>
      </w:r>
      <w:r w:rsidRPr="00051727">
        <w:rPr>
          <w:sz w:val="24"/>
          <w:szCs w:val="24"/>
        </w:rPr>
        <w:t xml:space="preserve">blastní inspektoráty práce </w:t>
      </w:r>
      <w:r w:rsidR="00BF5BA7" w:rsidRPr="00051727">
        <w:rPr>
          <w:sz w:val="24"/>
          <w:szCs w:val="24"/>
        </w:rPr>
        <w:t>předaly</w:t>
      </w:r>
      <w:r w:rsidR="00FA27BB">
        <w:rPr>
          <w:sz w:val="24"/>
          <w:szCs w:val="24"/>
        </w:rPr>
        <w:t xml:space="preserve"> ČSSZ</w:t>
      </w:r>
      <w:r w:rsidR="00BF5BA7" w:rsidRPr="00051727">
        <w:rPr>
          <w:sz w:val="24"/>
          <w:szCs w:val="24"/>
        </w:rPr>
        <w:t xml:space="preserve"> </w:t>
      </w:r>
      <w:r w:rsidRPr="00051727">
        <w:rPr>
          <w:sz w:val="24"/>
          <w:szCs w:val="24"/>
        </w:rPr>
        <w:t>v letech 2019 až 2023 min.</w:t>
      </w:r>
      <w:r w:rsidR="00617D40">
        <w:rPr>
          <w:sz w:val="24"/>
          <w:szCs w:val="24"/>
        </w:rPr>
        <w:t> </w:t>
      </w:r>
      <w:r w:rsidRPr="00051727">
        <w:rPr>
          <w:sz w:val="24"/>
          <w:szCs w:val="24"/>
        </w:rPr>
        <w:t>2 118 protokolů o kontrole.</w:t>
      </w:r>
      <w:r w:rsidR="00BF5BA7">
        <w:rPr>
          <w:sz w:val="24"/>
          <w:szCs w:val="24"/>
        </w:rPr>
        <w:t xml:space="preserve"> </w:t>
      </w:r>
    </w:p>
    <w:p w14:paraId="36E65E24" w14:textId="49111128" w:rsidR="00090DB2" w:rsidRDefault="008720BB" w:rsidP="006164D5">
      <w:pPr>
        <w:pStyle w:val="Zkladntext1"/>
        <w:shd w:val="clear" w:color="auto" w:fill="auto"/>
        <w:spacing w:after="160"/>
        <w:rPr>
          <w:color w:val="000000"/>
          <w:lang w:eastAsia="cs-CZ" w:bidi="cs-CZ"/>
        </w:rPr>
      </w:pPr>
      <w:r>
        <w:rPr>
          <w:color w:val="000000"/>
          <w:lang w:eastAsia="cs-CZ" w:bidi="cs-CZ"/>
        </w:rPr>
        <w:t>Kontrolu v</w:t>
      </w:r>
      <w:r w:rsidR="00617D40">
        <w:rPr>
          <w:color w:val="000000"/>
          <w:lang w:eastAsia="cs-CZ" w:bidi="cs-CZ"/>
        </w:rPr>
        <w:t xml:space="preserve"> </w:t>
      </w:r>
      <w:r w:rsidR="00163B72">
        <w:rPr>
          <w:color w:val="000000"/>
          <w:lang w:eastAsia="cs-CZ" w:bidi="cs-CZ"/>
        </w:rPr>
        <w:t xml:space="preserve">oblasti nelegálního zaměstnávání </w:t>
      </w:r>
      <w:r>
        <w:rPr>
          <w:color w:val="000000"/>
          <w:lang w:eastAsia="cs-CZ" w:bidi="cs-CZ"/>
        </w:rPr>
        <w:t>vykonáv</w:t>
      </w:r>
      <w:r w:rsidR="00617D40">
        <w:rPr>
          <w:color w:val="000000"/>
          <w:lang w:eastAsia="cs-CZ" w:bidi="cs-CZ"/>
        </w:rPr>
        <w:t>á</w:t>
      </w:r>
      <w:r>
        <w:rPr>
          <w:color w:val="000000"/>
          <w:lang w:eastAsia="cs-CZ" w:bidi="cs-CZ"/>
        </w:rPr>
        <w:t xml:space="preserve"> </w:t>
      </w:r>
      <w:r w:rsidR="00163B72">
        <w:rPr>
          <w:color w:val="000000"/>
          <w:lang w:eastAsia="cs-CZ" w:bidi="cs-CZ"/>
        </w:rPr>
        <w:t>d</w:t>
      </w:r>
      <w:r w:rsidR="00163B72" w:rsidRPr="009861DA">
        <w:rPr>
          <w:color w:val="000000"/>
          <w:lang w:eastAsia="cs-CZ" w:bidi="cs-CZ"/>
        </w:rPr>
        <w:t>le § 126 odst. 4 z</w:t>
      </w:r>
      <w:r w:rsidR="00E356C5">
        <w:rPr>
          <w:color w:val="000000"/>
          <w:lang w:eastAsia="cs-CZ" w:bidi="cs-CZ"/>
        </w:rPr>
        <w:t>ákona</w:t>
      </w:r>
      <w:r w:rsidR="00163B72" w:rsidRPr="009861DA">
        <w:rPr>
          <w:color w:val="000000"/>
          <w:lang w:eastAsia="cs-CZ" w:bidi="cs-CZ"/>
        </w:rPr>
        <w:t xml:space="preserve"> </w:t>
      </w:r>
      <w:r w:rsidR="00837753">
        <w:rPr>
          <w:color w:val="000000"/>
          <w:lang w:eastAsia="cs-CZ" w:bidi="cs-CZ"/>
        </w:rPr>
        <w:t>o</w:t>
      </w:r>
      <w:r>
        <w:rPr>
          <w:color w:val="000000"/>
          <w:lang w:eastAsia="cs-CZ" w:bidi="cs-CZ"/>
        </w:rPr>
        <w:t> </w:t>
      </w:r>
      <w:r w:rsidR="00837753">
        <w:rPr>
          <w:color w:val="000000"/>
          <w:lang w:eastAsia="cs-CZ" w:bidi="cs-CZ"/>
        </w:rPr>
        <w:t>zaměstnanosti</w:t>
      </w:r>
      <w:r w:rsidR="00163B72" w:rsidRPr="009861DA">
        <w:rPr>
          <w:color w:val="000000"/>
          <w:lang w:eastAsia="cs-CZ" w:bidi="cs-CZ"/>
        </w:rPr>
        <w:t xml:space="preserve"> </w:t>
      </w:r>
      <w:r>
        <w:rPr>
          <w:color w:val="000000"/>
          <w:lang w:eastAsia="cs-CZ" w:bidi="cs-CZ"/>
        </w:rPr>
        <w:t xml:space="preserve">i </w:t>
      </w:r>
      <w:r w:rsidR="00617D40">
        <w:rPr>
          <w:color w:val="000000"/>
          <w:lang w:eastAsia="cs-CZ" w:bidi="cs-CZ"/>
        </w:rPr>
        <w:t>C</w:t>
      </w:r>
      <w:r w:rsidR="00163B72" w:rsidRPr="009861DA">
        <w:rPr>
          <w:color w:val="000000"/>
          <w:lang w:eastAsia="cs-CZ" w:bidi="cs-CZ"/>
        </w:rPr>
        <w:t xml:space="preserve">elní </w:t>
      </w:r>
      <w:r w:rsidR="00617D40">
        <w:rPr>
          <w:color w:val="000000"/>
          <w:lang w:eastAsia="cs-CZ" w:bidi="cs-CZ"/>
        </w:rPr>
        <w:t>správa ČR</w:t>
      </w:r>
      <w:r>
        <w:rPr>
          <w:color w:val="000000"/>
          <w:lang w:eastAsia="cs-CZ" w:bidi="cs-CZ"/>
        </w:rPr>
        <w:t>. T</w:t>
      </w:r>
      <w:r w:rsidR="00617D40">
        <w:rPr>
          <w:color w:val="000000"/>
          <w:lang w:eastAsia="cs-CZ" w:bidi="cs-CZ"/>
        </w:rPr>
        <w:t>a</w:t>
      </w:r>
      <w:r w:rsidR="00163B72" w:rsidRPr="009861DA">
        <w:rPr>
          <w:color w:val="000000"/>
          <w:lang w:eastAsia="cs-CZ" w:bidi="cs-CZ"/>
        </w:rPr>
        <w:t xml:space="preserve"> informuje o provedených kontrolách příslušný oblastní inspektorát práce a v případě zjištění nedostatků předává tomuto oblastnímu inspektorátu podklady pro zahájení správního řízení o uložení pokuty.</w:t>
      </w:r>
    </w:p>
    <w:p w14:paraId="3AC64039" w14:textId="77777777" w:rsidR="007E1AED" w:rsidRDefault="007E1AED">
      <w:pPr>
        <w:rPr>
          <w:rFonts w:ascii="Calibri" w:eastAsia="Calibri" w:hAnsi="Calibri" w:cs="Calibri"/>
          <w:b/>
          <w:bCs/>
          <w:color w:val="000000"/>
          <w:sz w:val="24"/>
          <w:szCs w:val="24"/>
          <w:lang w:eastAsia="cs-CZ" w:bidi="cs-CZ"/>
        </w:rPr>
      </w:pPr>
      <w:r>
        <w:rPr>
          <w:rFonts w:ascii="Calibri" w:eastAsia="Calibri" w:hAnsi="Calibri" w:cs="Calibri"/>
          <w:b/>
          <w:bCs/>
          <w:color w:val="000000"/>
          <w:sz w:val="24"/>
          <w:szCs w:val="24"/>
          <w:lang w:eastAsia="cs-CZ" w:bidi="cs-CZ"/>
        </w:rPr>
        <w:br w:type="page"/>
      </w:r>
    </w:p>
    <w:p w14:paraId="13810D23" w14:textId="0242FFAD" w:rsidR="00AD184B" w:rsidRPr="006164D5" w:rsidRDefault="00AD184B" w:rsidP="006164D5">
      <w:pPr>
        <w:widowControl w:val="0"/>
        <w:spacing w:after="40" w:line="240" w:lineRule="auto"/>
        <w:ind w:left="1304" w:hanging="1304"/>
        <w:jc w:val="both"/>
        <w:rPr>
          <w:rFonts w:ascii="Calibri" w:eastAsia="Calibri" w:hAnsi="Calibri" w:cs="Calibri"/>
          <w:color w:val="000000"/>
          <w:sz w:val="24"/>
          <w:szCs w:val="24"/>
          <w:lang w:eastAsia="cs-CZ" w:bidi="cs-CZ"/>
        </w:rPr>
      </w:pPr>
      <w:r w:rsidRPr="007B5195">
        <w:rPr>
          <w:rFonts w:ascii="Calibri" w:eastAsia="Calibri" w:hAnsi="Calibri" w:cs="Calibri"/>
          <w:b/>
          <w:bCs/>
          <w:color w:val="000000"/>
          <w:sz w:val="24"/>
          <w:szCs w:val="24"/>
          <w:lang w:eastAsia="cs-CZ" w:bidi="cs-CZ"/>
        </w:rPr>
        <w:lastRenderedPageBreak/>
        <w:t xml:space="preserve">Tabulka č. </w:t>
      </w:r>
      <w:r>
        <w:rPr>
          <w:rFonts w:ascii="Calibri" w:eastAsia="Calibri" w:hAnsi="Calibri" w:cs="Calibri"/>
          <w:b/>
          <w:bCs/>
          <w:color w:val="000000"/>
          <w:sz w:val="24"/>
          <w:szCs w:val="24"/>
          <w:lang w:eastAsia="cs-CZ" w:bidi="cs-CZ"/>
        </w:rPr>
        <w:t>2</w:t>
      </w:r>
      <w:r w:rsidR="00E12E8B">
        <w:rPr>
          <w:rFonts w:ascii="Calibri" w:eastAsia="Calibri" w:hAnsi="Calibri" w:cs="Calibri"/>
          <w:b/>
          <w:bCs/>
          <w:color w:val="000000"/>
          <w:sz w:val="24"/>
          <w:szCs w:val="24"/>
          <w:lang w:eastAsia="cs-CZ" w:bidi="cs-CZ"/>
        </w:rPr>
        <w:t xml:space="preserve">: </w:t>
      </w:r>
      <w:r w:rsidR="00140BBF">
        <w:rPr>
          <w:rFonts w:ascii="Calibri" w:eastAsia="Calibri" w:hAnsi="Calibri" w:cs="Calibri"/>
          <w:b/>
          <w:bCs/>
          <w:color w:val="000000"/>
          <w:sz w:val="24"/>
          <w:szCs w:val="24"/>
          <w:lang w:eastAsia="cs-CZ" w:bidi="cs-CZ"/>
        </w:rPr>
        <w:tab/>
      </w:r>
      <w:r w:rsidR="00BC3D9B">
        <w:rPr>
          <w:rFonts w:ascii="Calibri" w:eastAsia="Calibri" w:hAnsi="Calibri" w:cs="Calibri"/>
          <w:b/>
          <w:bCs/>
          <w:color w:val="000000"/>
          <w:sz w:val="24"/>
          <w:szCs w:val="24"/>
          <w:lang w:eastAsia="cs-CZ" w:bidi="cs-CZ"/>
        </w:rPr>
        <w:t>Využití</w:t>
      </w:r>
      <w:r w:rsidRPr="007B5195">
        <w:rPr>
          <w:rFonts w:ascii="Calibri" w:eastAsia="Calibri" w:hAnsi="Calibri" w:cs="Calibri"/>
          <w:b/>
          <w:bCs/>
          <w:color w:val="000000"/>
          <w:sz w:val="24"/>
          <w:szCs w:val="24"/>
          <w:lang w:eastAsia="cs-CZ" w:bidi="cs-CZ"/>
        </w:rPr>
        <w:t xml:space="preserve"> </w:t>
      </w:r>
      <w:r w:rsidR="00617D40" w:rsidRPr="007B5195">
        <w:rPr>
          <w:rFonts w:ascii="Calibri" w:eastAsia="Calibri" w:hAnsi="Calibri" w:cs="Calibri"/>
          <w:b/>
          <w:bCs/>
          <w:color w:val="000000"/>
          <w:sz w:val="24"/>
          <w:szCs w:val="24"/>
          <w:lang w:eastAsia="cs-CZ" w:bidi="cs-CZ"/>
        </w:rPr>
        <w:t>kontrol</w:t>
      </w:r>
      <w:r w:rsidR="00617D40">
        <w:rPr>
          <w:rFonts w:ascii="Calibri" w:eastAsia="Calibri" w:hAnsi="Calibri" w:cs="Calibri"/>
          <w:b/>
          <w:bCs/>
          <w:color w:val="000000"/>
          <w:sz w:val="24"/>
          <w:szCs w:val="24"/>
          <w:lang w:eastAsia="cs-CZ" w:bidi="cs-CZ"/>
        </w:rPr>
        <w:t>ních</w:t>
      </w:r>
      <w:r w:rsidR="00617D40" w:rsidRPr="007B5195">
        <w:rPr>
          <w:rFonts w:ascii="Calibri" w:eastAsia="Calibri" w:hAnsi="Calibri" w:cs="Calibri"/>
          <w:b/>
          <w:bCs/>
          <w:color w:val="000000"/>
          <w:sz w:val="24"/>
          <w:szCs w:val="24"/>
          <w:lang w:eastAsia="cs-CZ" w:bidi="cs-CZ"/>
        </w:rPr>
        <w:t xml:space="preserve"> </w:t>
      </w:r>
      <w:r w:rsidRPr="007B5195">
        <w:rPr>
          <w:rFonts w:ascii="Calibri" w:eastAsia="Calibri" w:hAnsi="Calibri" w:cs="Calibri"/>
          <w:b/>
          <w:bCs/>
          <w:color w:val="000000"/>
          <w:sz w:val="24"/>
          <w:szCs w:val="24"/>
          <w:lang w:eastAsia="cs-CZ" w:bidi="cs-CZ"/>
        </w:rPr>
        <w:t>protokolů CS ČR předaných S</w:t>
      </w:r>
      <w:r w:rsidR="00617D40">
        <w:rPr>
          <w:rFonts w:ascii="Calibri" w:eastAsia="Calibri" w:hAnsi="Calibri" w:cs="Calibri"/>
          <w:b/>
          <w:bCs/>
          <w:color w:val="000000"/>
          <w:sz w:val="24"/>
          <w:szCs w:val="24"/>
          <w:lang w:eastAsia="cs-CZ" w:bidi="cs-CZ"/>
        </w:rPr>
        <w:t>tátnímu úřadu inspekce práce</w:t>
      </w:r>
      <w:r w:rsidRPr="007B5195">
        <w:rPr>
          <w:rFonts w:ascii="Calibri" w:eastAsia="Calibri" w:hAnsi="Calibri" w:cs="Calibri"/>
          <w:b/>
          <w:bCs/>
          <w:color w:val="000000"/>
          <w:sz w:val="24"/>
          <w:szCs w:val="24"/>
          <w:lang w:eastAsia="cs-CZ" w:bidi="cs-CZ"/>
        </w:rPr>
        <w:t xml:space="preserve"> v</w:t>
      </w:r>
      <w:r w:rsidR="00140BBF">
        <w:rPr>
          <w:rFonts w:ascii="Calibri" w:eastAsia="Calibri" w:hAnsi="Calibri" w:cs="Calibri"/>
          <w:b/>
          <w:bCs/>
          <w:color w:val="000000"/>
          <w:sz w:val="24"/>
          <w:szCs w:val="24"/>
          <w:lang w:eastAsia="cs-CZ" w:bidi="cs-CZ"/>
        </w:rPr>
        <w:t> </w:t>
      </w:r>
      <w:r w:rsidRPr="007B5195">
        <w:rPr>
          <w:rFonts w:ascii="Calibri" w:eastAsia="Calibri" w:hAnsi="Calibri" w:cs="Calibri"/>
          <w:b/>
          <w:bCs/>
          <w:color w:val="000000"/>
          <w:sz w:val="24"/>
          <w:szCs w:val="24"/>
          <w:lang w:eastAsia="cs-CZ" w:bidi="cs-CZ"/>
        </w:rPr>
        <w:t xml:space="preserve">letech 2019 a 2023 </w:t>
      </w:r>
    </w:p>
    <w:tbl>
      <w:tblPr>
        <w:tblOverlap w:val="never"/>
        <w:tblW w:w="9072" w:type="dxa"/>
        <w:jc w:val="center"/>
        <w:tblLayout w:type="fixed"/>
        <w:tblCellMar>
          <w:left w:w="10" w:type="dxa"/>
          <w:right w:w="10" w:type="dxa"/>
        </w:tblCellMar>
        <w:tblLook w:val="04A0" w:firstRow="1" w:lastRow="0" w:firstColumn="1" w:lastColumn="0" w:noHBand="0" w:noVBand="1"/>
      </w:tblPr>
      <w:tblGrid>
        <w:gridCol w:w="4325"/>
        <w:gridCol w:w="2373"/>
        <w:gridCol w:w="2374"/>
      </w:tblGrid>
      <w:tr w:rsidR="00AD184B" w:rsidRPr="007B5195" w14:paraId="0F862FD6" w14:textId="77777777" w:rsidTr="00E12E8B">
        <w:trPr>
          <w:trHeight w:hRule="exact" w:val="451"/>
          <w:jc w:val="center"/>
        </w:trPr>
        <w:tc>
          <w:tcPr>
            <w:tcW w:w="4325" w:type="dxa"/>
            <w:tcBorders>
              <w:top w:val="single" w:sz="4" w:space="0" w:color="auto"/>
              <w:left w:val="single" w:sz="4" w:space="0" w:color="auto"/>
            </w:tcBorders>
            <w:shd w:val="clear" w:color="auto" w:fill="E6E6E6"/>
            <w:vAlign w:val="center"/>
          </w:tcPr>
          <w:p w14:paraId="58E1B2AF" w14:textId="77777777" w:rsidR="00AD184B" w:rsidRPr="00E468FB" w:rsidRDefault="00AD184B" w:rsidP="00640825">
            <w:pPr>
              <w:autoSpaceDE w:val="0"/>
              <w:autoSpaceDN w:val="0"/>
              <w:adjustRightInd w:val="0"/>
              <w:spacing w:after="0" w:line="240" w:lineRule="auto"/>
              <w:jc w:val="center"/>
              <w:rPr>
                <w:rFonts w:cstheme="minorHAnsi"/>
                <w:b/>
                <w:sz w:val="20"/>
                <w:szCs w:val="20"/>
              </w:rPr>
            </w:pPr>
            <w:r w:rsidRPr="00E468FB">
              <w:rPr>
                <w:rFonts w:cstheme="minorHAnsi"/>
                <w:b/>
                <w:sz w:val="20"/>
                <w:szCs w:val="20"/>
              </w:rPr>
              <w:t>Způsob vyřízení protokolů CS ČR</w:t>
            </w:r>
          </w:p>
        </w:tc>
        <w:tc>
          <w:tcPr>
            <w:tcW w:w="2373" w:type="dxa"/>
            <w:tcBorders>
              <w:top w:val="single" w:sz="4" w:space="0" w:color="auto"/>
              <w:left w:val="single" w:sz="4" w:space="0" w:color="auto"/>
            </w:tcBorders>
            <w:shd w:val="clear" w:color="auto" w:fill="E6E6E6"/>
            <w:vAlign w:val="center"/>
          </w:tcPr>
          <w:p w14:paraId="6590BB8A" w14:textId="77777777" w:rsidR="00AD184B" w:rsidRPr="00E468FB" w:rsidRDefault="00AD184B" w:rsidP="00640825">
            <w:pPr>
              <w:autoSpaceDE w:val="0"/>
              <w:autoSpaceDN w:val="0"/>
              <w:adjustRightInd w:val="0"/>
              <w:spacing w:after="0" w:line="240" w:lineRule="auto"/>
              <w:jc w:val="center"/>
              <w:rPr>
                <w:rFonts w:cstheme="minorHAnsi"/>
                <w:b/>
                <w:sz w:val="20"/>
                <w:szCs w:val="20"/>
              </w:rPr>
            </w:pPr>
            <w:r w:rsidRPr="00E468FB">
              <w:rPr>
                <w:rFonts w:cstheme="minorHAnsi"/>
                <w:b/>
                <w:sz w:val="20"/>
                <w:szCs w:val="20"/>
              </w:rPr>
              <w:t>Rok 2019</w:t>
            </w:r>
          </w:p>
        </w:tc>
        <w:tc>
          <w:tcPr>
            <w:tcW w:w="2374" w:type="dxa"/>
            <w:tcBorders>
              <w:top w:val="single" w:sz="4" w:space="0" w:color="auto"/>
              <w:left w:val="single" w:sz="4" w:space="0" w:color="auto"/>
              <w:right w:val="single" w:sz="4" w:space="0" w:color="auto"/>
            </w:tcBorders>
            <w:shd w:val="clear" w:color="auto" w:fill="E6E6E6"/>
            <w:vAlign w:val="center"/>
          </w:tcPr>
          <w:p w14:paraId="7C778069" w14:textId="77777777" w:rsidR="00AD184B" w:rsidRPr="00E468FB" w:rsidRDefault="00AD184B" w:rsidP="00640825">
            <w:pPr>
              <w:autoSpaceDE w:val="0"/>
              <w:autoSpaceDN w:val="0"/>
              <w:adjustRightInd w:val="0"/>
              <w:spacing w:after="0" w:line="240" w:lineRule="auto"/>
              <w:jc w:val="center"/>
              <w:rPr>
                <w:rFonts w:cstheme="minorHAnsi"/>
                <w:b/>
                <w:sz w:val="20"/>
                <w:szCs w:val="20"/>
              </w:rPr>
            </w:pPr>
            <w:r w:rsidRPr="00E468FB">
              <w:rPr>
                <w:rFonts w:cstheme="minorHAnsi"/>
                <w:b/>
                <w:sz w:val="20"/>
                <w:szCs w:val="20"/>
              </w:rPr>
              <w:t>Rok 2023</w:t>
            </w:r>
          </w:p>
        </w:tc>
      </w:tr>
      <w:tr w:rsidR="00AD184B" w:rsidRPr="007B5195" w14:paraId="0BE6E3D0" w14:textId="77777777" w:rsidTr="006164D5">
        <w:trPr>
          <w:trHeight w:val="272"/>
          <w:jc w:val="center"/>
        </w:trPr>
        <w:tc>
          <w:tcPr>
            <w:tcW w:w="4325" w:type="dxa"/>
            <w:tcBorders>
              <w:top w:val="single" w:sz="4" w:space="0" w:color="auto"/>
              <w:left w:val="single" w:sz="4" w:space="0" w:color="auto"/>
            </w:tcBorders>
            <w:shd w:val="clear" w:color="auto" w:fill="FFFFFF"/>
            <w:vAlign w:val="center"/>
          </w:tcPr>
          <w:p w14:paraId="29E5E99A" w14:textId="77777777" w:rsidR="00AD184B" w:rsidRPr="00BF5BA7" w:rsidRDefault="00AD184B" w:rsidP="006164D5">
            <w:pPr>
              <w:widowControl w:val="0"/>
              <w:spacing w:after="0" w:line="240" w:lineRule="auto"/>
              <w:ind w:left="57"/>
              <w:rPr>
                <w:rFonts w:ascii="Calibri" w:eastAsia="Calibri" w:hAnsi="Calibri" w:cs="Calibri"/>
                <w:color w:val="000000"/>
                <w:sz w:val="20"/>
                <w:szCs w:val="20"/>
                <w:lang w:eastAsia="cs-CZ" w:bidi="cs-CZ"/>
              </w:rPr>
            </w:pPr>
            <w:r w:rsidRPr="00BF5BA7">
              <w:rPr>
                <w:rFonts w:ascii="Calibri" w:eastAsia="Calibri" w:hAnsi="Calibri" w:cs="Calibri"/>
                <w:color w:val="000000"/>
                <w:sz w:val="20"/>
                <w:szCs w:val="20"/>
                <w:lang w:eastAsia="cs-CZ" w:bidi="cs-CZ"/>
              </w:rPr>
              <w:t>Počet protokolů předaných OIP</w:t>
            </w:r>
            <w:r w:rsidR="00440BD0" w:rsidRPr="00665949">
              <w:rPr>
                <w:rFonts w:ascii="Calibri" w:eastAsia="Calibri" w:hAnsi="Calibri" w:cs="Calibri"/>
                <w:color w:val="000000"/>
                <w:sz w:val="20"/>
                <w:szCs w:val="20"/>
                <w:lang w:eastAsia="cs-CZ" w:bidi="cs-CZ"/>
              </w:rPr>
              <w:t>*</w:t>
            </w:r>
          </w:p>
        </w:tc>
        <w:tc>
          <w:tcPr>
            <w:tcW w:w="2373" w:type="dxa"/>
            <w:tcBorders>
              <w:top w:val="single" w:sz="4" w:space="0" w:color="auto"/>
              <w:left w:val="single" w:sz="4" w:space="0" w:color="auto"/>
            </w:tcBorders>
            <w:shd w:val="clear" w:color="auto" w:fill="FFFFFF"/>
            <w:vAlign w:val="center"/>
          </w:tcPr>
          <w:p w14:paraId="743F9002"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b/>
                <w:bCs/>
                <w:color w:val="000000"/>
                <w:sz w:val="20"/>
                <w:szCs w:val="20"/>
                <w:lang w:eastAsia="cs-CZ" w:bidi="cs-CZ"/>
              </w:rPr>
              <w:t>380</w:t>
            </w:r>
          </w:p>
        </w:tc>
        <w:tc>
          <w:tcPr>
            <w:tcW w:w="2374" w:type="dxa"/>
            <w:tcBorders>
              <w:top w:val="single" w:sz="4" w:space="0" w:color="auto"/>
              <w:left w:val="single" w:sz="4" w:space="0" w:color="auto"/>
              <w:right w:val="single" w:sz="4" w:space="0" w:color="auto"/>
            </w:tcBorders>
            <w:shd w:val="clear" w:color="auto" w:fill="FFFFFF"/>
            <w:vAlign w:val="center"/>
          </w:tcPr>
          <w:p w14:paraId="45849F7A"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b/>
                <w:bCs/>
                <w:color w:val="000000"/>
                <w:sz w:val="20"/>
                <w:szCs w:val="20"/>
                <w:lang w:eastAsia="cs-CZ" w:bidi="cs-CZ"/>
              </w:rPr>
              <w:t>279</w:t>
            </w:r>
          </w:p>
        </w:tc>
      </w:tr>
      <w:tr w:rsidR="00AD184B" w:rsidRPr="007B5195" w14:paraId="5859BF87" w14:textId="77777777" w:rsidTr="006164D5">
        <w:trPr>
          <w:trHeight w:val="272"/>
          <w:jc w:val="center"/>
        </w:trPr>
        <w:tc>
          <w:tcPr>
            <w:tcW w:w="4325" w:type="dxa"/>
            <w:tcBorders>
              <w:top w:val="single" w:sz="4" w:space="0" w:color="auto"/>
              <w:left w:val="single" w:sz="4" w:space="0" w:color="auto"/>
            </w:tcBorders>
            <w:shd w:val="clear" w:color="auto" w:fill="FFFFFF"/>
            <w:vAlign w:val="bottom"/>
          </w:tcPr>
          <w:p w14:paraId="33BE69E5" w14:textId="77777777" w:rsidR="00AD184B" w:rsidRPr="007B5195" w:rsidRDefault="00AD184B" w:rsidP="006164D5">
            <w:pPr>
              <w:widowControl w:val="0"/>
              <w:spacing w:after="0" w:line="240" w:lineRule="auto"/>
              <w:ind w:left="57"/>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Přestupkové řízení ukončeno</w:t>
            </w:r>
          </w:p>
        </w:tc>
        <w:tc>
          <w:tcPr>
            <w:tcW w:w="2373" w:type="dxa"/>
            <w:tcBorders>
              <w:top w:val="single" w:sz="4" w:space="0" w:color="auto"/>
              <w:left w:val="single" w:sz="4" w:space="0" w:color="auto"/>
            </w:tcBorders>
            <w:shd w:val="clear" w:color="auto" w:fill="FFFFFF"/>
            <w:vAlign w:val="center"/>
          </w:tcPr>
          <w:p w14:paraId="2AF14D09"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127</w:t>
            </w:r>
          </w:p>
        </w:tc>
        <w:tc>
          <w:tcPr>
            <w:tcW w:w="2374" w:type="dxa"/>
            <w:tcBorders>
              <w:top w:val="single" w:sz="4" w:space="0" w:color="auto"/>
              <w:left w:val="single" w:sz="4" w:space="0" w:color="auto"/>
              <w:right w:val="single" w:sz="4" w:space="0" w:color="auto"/>
            </w:tcBorders>
            <w:shd w:val="clear" w:color="auto" w:fill="FFFFFF"/>
            <w:vAlign w:val="center"/>
          </w:tcPr>
          <w:p w14:paraId="062519C1"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57</w:t>
            </w:r>
          </w:p>
        </w:tc>
      </w:tr>
      <w:tr w:rsidR="00AD184B" w:rsidRPr="007B5195" w14:paraId="275452DA" w14:textId="77777777" w:rsidTr="006164D5">
        <w:trPr>
          <w:trHeight w:val="272"/>
          <w:jc w:val="center"/>
        </w:trPr>
        <w:tc>
          <w:tcPr>
            <w:tcW w:w="4325" w:type="dxa"/>
            <w:tcBorders>
              <w:top w:val="single" w:sz="4" w:space="0" w:color="auto"/>
              <w:left w:val="single" w:sz="4" w:space="0" w:color="auto"/>
            </w:tcBorders>
            <w:shd w:val="clear" w:color="auto" w:fill="FFFFFF"/>
            <w:vAlign w:val="bottom"/>
          </w:tcPr>
          <w:p w14:paraId="061583A6" w14:textId="77777777" w:rsidR="00AD184B" w:rsidRPr="007B5195" w:rsidRDefault="00AD184B" w:rsidP="006164D5">
            <w:pPr>
              <w:widowControl w:val="0"/>
              <w:spacing w:after="0" w:line="240" w:lineRule="auto"/>
              <w:ind w:left="57"/>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Přestupkové řízení probíhá</w:t>
            </w:r>
          </w:p>
        </w:tc>
        <w:tc>
          <w:tcPr>
            <w:tcW w:w="2373" w:type="dxa"/>
            <w:tcBorders>
              <w:top w:val="single" w:sz="4" w:space="0" w:color="auto"/>
              <w:left w:val="single" w:sz="4" w:space="0" w:color="auto"/>
            </w:tcBorders>
            <w:shd w:val="clear" w:color="auto" w:fill="FFFFFF"/>
            <w:vAlign w:val="center"/>
          </w:tcPr>
          <w:p w14:paraId="02683679"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7</w:t>
            </w:r>
          </w:p>
        </w:tc>
        <w:tc>
          <w:tcPr>
            <w:tcW w:w="2374" w:type="dxa"/>
            <w:tcBorders>
              <w:top w:val="single" w:sz="4" w:space="0" w:color="auto"/>
              <w:left w:val="single" w:sz="4" w:space="0" w:color="auto"/>
              <w:right w:val="single" w:sz="4" w:space="0" w:color="auto"/>
            </w:tcBorders>
            <w:shd w:val="clear" w:color="auto" w:fill="FFFFFF"/>
            <w:vAlign w:val="center"/>
          </w:tcPr>
          <w:p w14:paraId="72FE7827"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10</w:t>
            </w:r>
          </w:p>
        </w:tc>
      </w:tr>
      <w:tr w:rsidR="00AD184B" w:rsidRPr="007B5195" w14:paraId="19D2FC20" w14:textId="77777777" w:rsidTr="006164D5">
        <w:trPr>
          <w:trHeight w:val="272"/>
          <w:jc w:val="center"/>
        </w:trPr>
        <w:tc>
          <w:tcPr>
            <w:tcW w:w="4325" w:type="dxa"/>
            <w:tcBorders>
              <w:top w:val="single" w:sz="4" w:space="0" w:color="auto"/>
              <w:left w:val="single" w:sz="4" w:space="0" w:color="auto"/>
            </w:tcBorders>
            <w:shd w:val="clear" w:color="auto" w:fill="FFFFFF"/>
            <w:vAlign w:val="bottom"/>
          </w:tcPr>
          <w:p w14:paraId="68FB4824" w14:textId="77777777" w:rsidR="00AD184B" w:rsidRPr="007B5195" w:rsidRDefault="00AD184B" w:rsidP="006164D5">
            <w:pPr>
              <w:widowControl w:val="0"/>
              <w:spacing w:after="0" w:line="240" w:lineRule="auto"/>
              <w:ind w:left="57"/>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Přestupkové řízení bude zahájeno</w:t>
            </w:r>
          </w:p>
        </w:tc>
        <w:tc>
          <w:tcPr>
            <w:tcW w:w="2373" w:type="dxa"/>
            <w:tcBorders>
              <w:top w:val="single" w:sz="4" w:space="0" w:color="auto"/>
              <w:left w:val="single" w:sz="4" w:space="0" w:color="auto"/>
            </w:tcBorders>
            <w:shd w:val="clear" w:color="auto" w:fill="FFFFFF"/>
            <w:vAlign w:val="center"/>
          </w:tcPr>
          <w:p w14:paraId="0B0B69D8"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0</w:t>
            </w:r>
          </w:p>
        </w:tc>
        <w:tc>
          <w:tcPr>
            <w:tcW w:w="2374" w:type="dxa"/>
            <w:tcBorders>
              <w:top w:val="single" w:sz="4" w:space="0" w:color="auto"/>
              <w:left w:val="single" w:sz="4" w:space="0" w:color="auto"/>
              <w:right w:val="single" w:sz="4" w:space="0" w:color="auto"/>
            </w:tcBorders>
            <w:shd w:val="clear" w:color="auto" w:fill="FFFFFF"/>
            <w:vAlign w:val="center"/>
          </w:tcPr>
          <w:p w14:paraId="4FE83200"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108</w:t>
            </w:r>
          </w:p>
        </w:tc>
      </w:tr>
      <w:tr w:rsidR="00AD184B" w:rsidRPr="007B5195" w14:paraId="7FCF4B37" w14:textId="77777777" w:rsidTr="006164D5">
        <w:trPr>
          <w:trHeight w:val="272"/>
          <w:jc w:val="center"/>
        </w:trPr>
        <w:tc>
          <w:tcPr>
            <w:tcW w:w="4325" w:type="dxa"/>
            <w:tcBorders>
              <w:top w:val="single" w:sz="4" w:space="0" w:color="auto"/>
              <w:left w:val="single" w:sz="4" w:space="0" w:color="auto"/>
              <w:bottom w:val="single" w:sz="4" w:space="0" w:color="auto"/>
            </w:tcBorders>
            <w:shd w:val="clear" w:color="auto" w:fill="FFFFFF"/>
            <w:vAlign w:val="bottom"/>
          </w:tcPr>
          <w:p w14:paraId="4E1F0E19" w14:textId="77777777" w:rsidR="00AD184B" w:rsidRPr="007B5195" w:rsidRDefault="00AD184B" w:rsidP="006164D5">
            <w:pPr>
              <w:widowControl w:val="0"/>
              <w:spacing w:after="0" w:line="240" w:lineRule="auto"/>
              <w:ind w:left="57"/>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Inspektorát provedl nebo provede vlastní kontrolu</w:t>
            </w:r>
          </w:p>
        </w:tc>
        <w:tc>
          <w:tcPr>
            <w:tcW w:w="2373" w:type="dxa"/>
            <w:tcBorders>
              <w:top w:val="single" w:sz="4" w:space="0" w:color="auto"/>
              <w:left w:val="single" w:sz="4" w:space="0" w:color="auto"/>
              <w:bottom w:val="single" w:sz="4" w:space="0" w:color="auto"/>
            </w:tcBorders>
            <w:shd w:val="clear" w:color="auto" w:fill="FFFFFF"/>
            <w:vAlign w:val="center"/>
          </w:tcPr>
          <w:p w14:paraId="186CB0F2"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11</w:t>
            </w:r>
          </w:p>
        </w:tc>
        <w:tc>
          <w:tcPr>
            <w:tcW w:w="2374" w:type="dxa"/>
            <w:tcBorders>
              <w:top w:val="single" w:sz="4" w:space="0" w:color="auto"/>
              <w:left w:val="single" w:sz="4" w:space="0" w:color="auto"/>
              <w:bottom w:val="single" w:sz="4" w:space="0" w:color="auto"/>
              <w:right w:val="single" w:sz="4" w:space="0" w:color="auto"/>
            </w:tcBorders>
            <w:shd w:val="clear" w:color="auto" w:fill="FFFFFF"/>
            <w:vAlign w:val="center"/>
          </w:tcPr>
          <w:p w14:paraId="1CCD01EB"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19</w:t>
            </w:r>
          </w:p>
        </w:tc>
      </w:tr>
      <w:tr w:rsidR="00AD184B" w:rsidRPr="007B5195" w14:paraId="36A28B81" w14:textId="77777777" w:rsidTr="006164D5">
        <w:trPr>
          <w:trHeight w:val="272"/>
          <w:jc w:val="center"/>
        </w:trPr>
        <w:tc>
          <w:tcPr>
            <w:tcW w:w="4325" w:type="dxa"/>
            <w:tcBorders>
              <w:top w:val="single" w:sz="4" w:space="0" w:color="auto"/>
              <w:left w:val="single" w:sz="4" w:space="0" w:color="auto"/>
              <w:bottom w:val="single" w:sz="4" w:space="0" w:color="auto"/>
            </w:tcBorders>
            <w:shd w:val="clear" w:color="auto" w:fill="FFFFFF"/>
            <w:vAlign w:val="bottom"/>
          </w:tcPr>
          <w:p w14:paraId="4E857BAF" w14:textId="77777777" w:rsidR="00AD184B" w:rsidRPr="007B5195" w:rsidRDefault="00AD184B" w:rsidP="006164D5">
            <w:pPr>
              <w:widowControl w:val="0"/>
              <w:spacing w:after="0" w:line="240" w:lineRule="auto"/>
              <w:ind w:left="57"/>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Odloženo</w:t>
            </w:r>
          </w:p>
        </w:tc>
        <w:tc>
          <w:tcPr>
            <w:tcW w:w="2373" w:type="dxa"/>
            <w:tcBorders>
              <w:top w:val="single" w:sz="4" w:space="0" w:color="auto"/>
              <w:left w:val="single" w:sz="4" w:space="0" w:color="auto"/>
              <w:bottom w:val="single" w:sz="4" w:space="0" w:color="auto"/>
            </w:tcBorders>
            <w:shd w:val="clear" w:color="auto" w:fill="FFFFFF"/>
            <w:vAlign w:val="center"/>
          </w:tcPr>
          <w:p w14:paraId="71E6C868"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235</w:t>
            </w:r>
          </w:p>
        </w:tc>
        <w:tc>
          <w:tcPr>
            <w:tcW w:w="2374" w:type="dxa"/>
            <w:tcBorders>
              <w:top w:val="single" w:sz="4" w:space="0" w:color="auto"/>
              <w:left w:val="single" w:sz="4" w:space="0" w:color="auto"/>
              <w:bottom w:val="single" w:sz="4" w:space="0" w:color="auto"/>
              <w:right w:val="single" w:sz="4" w:space="0" w:color="auto"/>
            </w:tcBorders>
            <w:shd w:val="clear" w:color="auto" w:fill="FFFFFF"/>
            <w:vAlign w:val="center"/>
          </w:tcPr>
          <w:p w14:paraId="3DA323D6" w14:textId="77777777" w:rsidR="00AD184B" w:rsidRPr="007B5195" w:rsidRDefault="00AD184B" w:rsidP="006164D5">
            <w:pPr>
              <w:widowControl w:val="0"/>
              <w:spacing w:after="0" w:line="240" w:lineRule="auto"/>
              <w:ind w:right="170"/>
              <w:jc w:val="right"/>
              <w:rPr>
                <w:rFonts w:ascii="Calibri" w:eastAsia="Calibri" w:hAnsi="Calibri" w:cs="Calibri"/>
                <w:color w:val="000000"/>
                <w:sz w:val="20"/>
                <w:szCs w:val="20"/>
                <w:lang w:eastAsia="cs-CZ" w:bidi="cs-CZ"/>
              </w:rPr>
            </w:pPr>
            <w:r w:rsidRPr="007B5195">
              <w:rPr>
                <w:rFonts w:ascii="Calibri" w:eastAsia="Calibri" w:hAnsi="Calibri" w:cs="Calibri"/>
                <w:color w:val="000000"/>
                <w:sz w:val="20"/>
                <w:szCs w:val="20"/>
                <w:lang w:eastAsia="cs-CZ" w:bidi="cs-CZ"/>
              </w:rPr>
              <w:t>85</w:t>
            </w:r>
          </w:p>
        </w:tc>
      </w:tr>
    </w:tbl>
    <w:p w14:paraId="14CEA7A3" w14:textId="4C084081" w:rsidR="00AD184B" w:rsidRPr="006164D5" w:rsidRDefault="00AD184B" w:rsidP="00AD184B">
      <w:pPr>
        <w:widowControl w:val="0"/>
        <w:spacing w:after="0" w:line="240" w:lineRule="auto"/>
        <w:jc w:val="both"/>
        <w:rPr>
          <w:rFonts w:ascii="Calibri" w:eastAsia="Calibri" w:hAnsi="Calibri" w:cs="Calibri"/>
          <w:color w:val="000000"/>
          <w:sz w:val="20"/>
          <w:szCs w:val="20"/>
          <w:lang w:eastAsia="cs-CZ" w:bidi="cs-CZ"/>
        </w:rPr>
      </w:pPr>
      <w:r w:rsidRPr="006164D5">
        <w:rPr>
          <w:rFonts w:ascii="Calibri" w:eastAsia="Calibri" w:hAnsi="Calibri" w:cs="Calibri"/>
          <w:b/>
          <w:bCs/>
          <w:color w:val="000000"/>
          <w:sz w:val="20"/>
          <w:szCs w:val="20"/>
          <w:lang w:eastAsia="cs-CZ" w:bidi="cs-CZ"/>
        </w:rPr>
        <w:t>Zdroj:</w:t>
      </w:r>
      <w:r w:rsidRPr="006164D5">
        <w:rPr>
          <w:rFonts w:ascii="Calibri" w:eastAsia="Calibri" w:hAnsi="Calibri" w:cs="Calibri"/>
          <w:color w:val="000000"/>
          <w:sz w:val="20"/>
          <w:szCs w:val="20"/>
          <w:lang w:eastAsia="cs-CZ" w:bidi="cs-CZ"/>
        </w:rPr>
        <w:t xml:space="preserve"> SÚIP</w:t>
      </w:r>
      <w:r w:rsidR="00F351B6" w:rsidRPr="006164D5">
        <w:rPr>
          <w:rFonts w:ascii="Calibri" w:eastAsia="Calibri" w:hAnsi="Calibri" w:cs="Calibri"/>
          <w:color w:val="000000"/>
          <w:sz w:val="20"/>
          <w:szCs w:val="20"/>
          <w:lang w:eastAsia="cs-CZ" w:bidi="cs-CZ"/>
        </w:rPr>
        <w:t>.</w:t>
      </w:r>
    </w:p>
    <w:p w14:paraId="5701CE89" w14:textId="5F574B57" w:rsidR="00440BD0" w:rsidRPr="006164D5" w:rsidRDefault="00440BD0" w:rsidP="006164D5">
      <w:pPr>
        <w:widowControl w:val="0"/>
        <w:spacing w:after="240" w:line="240" w:lineRule="auto"/>
        <w:ind w:left="284" w:hanging="284"/>
        <w:jc w:val="both"/>
        <w:rPr>
          <w:rFonts w:ascii="Calibri" w:eastAsia="Calibri" w:hAnsi="Calibri" w:cs="Calibri"/>
          <w:color w:val="000000"/>
          <w:sz w:val="20"/>
          <w:szCs w:val="20"/>
          <w:lang w:eastAsia="cs-CZ" w:bidi="cs-CZ"/>
        </w:rPr>
      </w:pPr>
      <w:r w:rsidRPr="006164D5">
        <w:rPr>
          <w:rFonts w:ascii="Calibri" w:eastAsia="Calibri" w:hAnsi="Calibri" w:cs="Calibri"/>
          <w:color w:val="000000"/>
          <w:sz w:val="20"/>
          <w:szCs w:val="20"/>
          <w:lang w:eastAsia="cs-CZ" w:bidi="cs-CZ"/>
        </w:rPr>
        <w:t>*</w:t>
      </w:r>
      <w:r w:rsidR="00617D40">
        <w:rPr>
          <w:rFonts w:ascii="Calibri" w:eastAsia="Calibri" w:hAnsi="Calibri" w:cs="Calibri"/>
          <w:color w:val="000000"/>
          <w:sz w:val="20"/>
          <w:szCs w:val="20"/>
          <w:lang w:eastAsia="cs-CZ" w:bidi="cs-CZ"/>
        </w:rPr>
        <w:t xml:space="preserve"> </w:t>
      </w:r>
      <w:r w:rsidR="00665949">
        <w:rPr>
          <w:rFonts w:ascii="Calibri" w:eastAsia="Calibri" w:hAnsi="Calibri" w:cs="Calibri"/>
          <w:color w:val="000000"/>
          <w:sz w:val="20"/>
          <w:szCs w:val="20"/>
          <w:lang w:eastAsia="cs-CZ" w:bidi="cs-CZ"/>
        </w:rPr>
        <w:t>O</w:t>
      </w:r>
      <w:r w:rsidR="00FA27BB" w:rsidRPr="006164D5">
        <w:rPr>
          <w:rFonts w:ascii="Calibri" w:eastAsia="Calibri" w:hAnsi="Calibri" w:cs="Calibri"/>
          <w:color w:val="000000"/>
          <w:sz w:val="20"/>
          <w:szCs w:val="20"/>
          <w:lang w:eastAsia="cs-CZ" w:bidi="cs-CZ"/>
        </w:rPr>
        <w:t xml:space="preserve">blastní </w:t>
      </w:r>
      <w:r w:rsidRPr="006164D5">
        <w:rPr>
          <w:rFonts w:ascii="Calibri" w:eastAsia="Calibri" w:hAnsi="Calibri" w:cs="Calibri"/>
          <w:color w:val="000000"/>
          <w:sz w:val="20"/>
          <w:szCs w:val="20"/>
          <w:lang w:eastAsia="cs-CZ" w:bidi="cs-CZ"/>
        </w:rPr>
        <w:t>inspektorát práce (dále také „OIP“)</w:t>
      </w:r>
      <w:r w:rsidR="00F351B6" w:rsidRPr="006164D5">
        <w:rPr>
          <w:rFonts w:ascii="Calibri" w:eastAsia="Calibri" w:hAnsi="Calibri" w:cs="Calibri"/>
          <w:color w:val="000000"/>
          <w:sz w:val="20"/>
          <w:szCs w:val="20"/>
          <w:lang w:eastAsia="cs-CZ" w:bidi="cs-CZ"/>
        </w:rPr>
        <w:t>.</w:t>
      </w:r>
    </w:p>
    <w:p w14:paraId="7B5D520E" w14:textId="32F238A5" w:rsidR="00AD184B" w:rsidRPr="007B5195" w:rsidRDefault="00AD184B" w:rsidP="006164D5">
      <w:pPr>
        <w:widowControl w:val="0"/>
        <w:spacing w:line="240" w:lineRule="auto"/>
        <w:jc w:val="both"/>
        <w:rPr>
          <w:rFonts w:ascii="Calibri" w:eastAsia="Calibri" w:hAnsi="Calibri" w:cs="Calibri"/>
          <w:sz w:val="24"/>
          <w:szCs w:val="24"/>
          <w:lang w:eastAsia="cs-CZ" w:bidi="cs-CZ"/>
        </w:rPr>
      </w:pPr>
      <w:r>
        <w:rPr>
          <w:rFonts w:ascii="Calibri" w:eastAsia="Calibri" w:hAnsi="Calibri" w:cs="Calibri"/>
          <w:sz w:val="24"/>
          <w:szCs w:val="24"/>
          <w:lang w:eastAsia="cs-CZ" w:bidi="cs-CZ"/>
        </w:rPr>
        <w:t xml:space="preserve">Nejčastějším důvodem pro odložení bylo konstatování, že odpovědnost za přestupek zanikla, došlé oznámení neodůvodňovalo zahájení řízení o přestupku </w:t>
      </w:r>
      <w:r w:rsidR="00140BBF">
        <w:rPr>
          <w:rFonts w:ascii="Calibri" w:eastAsia="Calibri" w:hAnsi="Calibri" w:cs="Calibri"/>
          <w:sz w:val="24"/>
          <w:szCs w:val="24"/>
          <w:lang w:eastAsia="cs-CZ" w:bidi="cs-CZ"/>
        </w:rPr>
        <w:t>nebo</w:t>
      </w:r>
      <w:r>
        <w:rPr>
          <w:rFonts w:ascii="Calibri" w:eastAsia="Calibri" w:hAnsi="Calibri" w:cs="Calibri"/>
          <w:sz w:val="24"/>
          <w:szCs w:val="24"/>
          <w:lang w:eastAsia="cs-CZ" w:bidi="cs-CZ"/>
        </w:rPr>
        <w:t xml:space="preserve"> že byla vyhodnocena nízká míra společenské škodlivosti.</w:t>
      </w:r>
    </w:p>
    <w:p w14:paraId="4621DFB1" w14:textId="5FBFB7D1" w:rsidR="00B40223" w:rsidRDefault="00C61078" w:rsidP="006164D5">
      <w:pPr>
        <w:pStyle w:val="Zkladntext1"/>
        <w:shd w:val="clear" w:color="auto" w:fill="auto"/>
        <w:spacing w:after="160"/>
      </w:pPr>
      <w:r>
        <w:t>CS</w:t>
      </w:r>
      <w:r w:rsidR="00AD184B">
        <w:t xml:space="preserve"> </w:t>
      </w:r>
      <w:r w:rsidR="00526597">
        <w:t xml:space="preserve">ČR </w:t>
      </w:r>
      <w:r w:rsidR="00140BBF">
        <w:t>má</w:t>
      </w:r>
      <w:r w:rsidR="00AD184B">
        <w:t xml:space="preserve"> stanoven</w:t>
      </w:r>
      <w:r w:rsidR="00140BBF">
        <w:t>u</w:t>
      </w:r>
      <w:r w:rsidR="00AD184B">
        <w:t xml:space="preserve"> kompetenc</w:t>
      </w:r>
      <w:r w:rsidR="00140BBF">
        <w:t>i</w:t>
      </w:r>
      <w:r w:rsidR="00AD184B">
        <w:t xml:space="preserve"> k vymáhání pokut za </w:t>
      </w:r>
      <w:r w:rsidR="003A3A9B">
        <w:t>NLZ</w:t>
      </w:r>
      <w:r w:rsidR="00AD184B">
        <w:t xml:space="preserve"> v § 8 odst. 2 zákona č.</w:t>
      </w:r>
      <w:r w:rsidR="00052BA5">
        <w:t> </w:t>
      </w:r>
      <w:r w:rsidR="00AD184B">
        <w:t xml:space="preserve">17/2012 Sb., o Celní správě ČR. Předávání </w:t>
      </w:r>
      <w:r w:rsidR="0051724E" w:rsidRPr="00090DB2">
        <w:t>údaj</w:t>
      </w:r>
      <w:r w:rsidR="0051724E">
        <w:t>ů</w:t>
      </w:r>
      <w:r w:rsidR="0051724E" w:rsidRPr="00090DB2">
        <w:t xml:space="preserve"> ke správ</w:t>
      </w:r>
      <w:r w:rsidR="0051724E" w:rsidRPr="00090DB2">
        <w:rPr>
          <w:rFonts w:hint="eastAsia"/>
        </w:rPr>
        <w:t>ě</w:t>
      </w:r>
      <w:r w:rsidR="0051724E" w:rsidRPr="00090DB2">
        <w:t xml:space="preserve"> placení</w:t>
      </w:r>
      <w:r w:rsidR="00140BBF">
        <w:t xml:space="preserve"> </w:t>
      </w:r>
      <w:r w:rsidR="00AD184B">
        <w:t>peněžitých plnění a</w:t>
      </w:r>
      <w:r w:rsidR="00052BA5">
        <w:t> </w:t>
      </w:r>
      <w:r w:rsidR="00AD184B">
        <w:t xml:space="preserve">předávání informací mezi </w:t>
      </w:r>
      <w:r w:rsidR="0051724E">
        <w:t xml:space="preserve">orgánem veřejné moci </w:t>
      </w:r>
      <w:r w:rsidR="00AD184B">
        <w:t xml:space="preserve">a celním úřadem upravuje § 162 zákona č. 280/2009 Sb. </w:t>
      </w:r>
      <w:r w:rsidR="00052BA5">
        <w:t xml:space="preserve">Za účelem spolupráce při plnění povinností dle </w:t>
      </w:r>
      <w:r w:rsidR="00AD184B">
        <w:t>zákona č. 280/2009 Sb. uzavřely GŘC a SÚIP v</w:t>
      </w:r>
      <w:r w:rsidR="00D478C0">
        <w:t> </w:t>
      </w:r>
      <w:r w:rsidR="00AD184B">
        <w:t>srpnu</w:t>
      </w:r>
      <w:r w:rsidR="00D478C0">
        <w:t xml:space="preserve"> 2020 </w:t>
      </w:r>
      <w:r w:rsidR="00140BBF">
        <w:t>„d</w:t>
      </w:r>
      <w:r w:rsidR="00D478C0">
        <w:t>ohodu o spolupráci</w:t>
      </w:r>
      <w:r w:rsidR="00140BBF">
        <w:t>“</w:t>
      </w:r>
      <w:r w:rsidR="00D478C0">
        <w:t xml:space="preserve">, jejímž předmětem je mj. úprava vztahů v rámci plnění povinnosti </w:t>
      </w:r>
      <w:r w:rsidR="00140BBF">
        <w:t xml:space="preserve">orgánů inspekce práce </w:t>
      </w:r>
      <w:r w:rsidR="00D478C0">
        <w:t xml:space="preserve">předávat informace o pravomocně uložených pokutách orgánům </w:t>
      </w:r>
      <w:r w:rsidR="00526597">
        <w:t>C</w:t>
      </w:r>
      <w:r>
        <w:t>S</w:t>
      </w:r>
      <w:r w:rsidR="00526597">
        <w:t xml:space="preserve"> ČR</w:t>
      </w:r>
      <w:r w:rsidR="00D478C0">
        <w:t xml:space="preserve"> z důvodu vybírání a vymáhání sankcí v rámci dělené správy. </w:t>
      </w:r>
      <w:r w:rsidR="00A65D26" w:rsidRPr="002302CF">
        <w:t xml:space="preserve">NKÚ </w:t>
      </w:r>
      <w:r w:rsidR="00A65D26">
        <w:t xml:space="preserve">také </w:t>
      </w:r>
      <w:r w:rsidR="00A65D26" w:rsidRPr="002302CF">
        <w:t>zjišťoval</w:t>
      </w:r>
      <w:r w:rsidR="00A65D26">
        <w:t xml:space="preserve">, </w:t>
      </w:r>
      <w:r w:rsidR="00A65D26" w:rsidRPr="002302CF">
        <w:t xml:space="preserve">zda GŘC poskytovalo v souladu s uzavřenou </w:t>
      </w:r>
      <w:r w:rsidR="00140BBF">
        <w:t>„</w:t>
      </w:r>
      <w:r w:rsidR="00A65D26">
        <w:t>d</w:t>
      </w:r>
      <w:r w:rsidR="00A65D26" w:rsidRPr="002302CF">
        <w:t>ohodou o spolupráci</w:t>
      </w:r>
      <w:r w:rsidR="00140BBF">
        <w:t>“</w:t>
      </w:r>
      <w:r w:rsidR="00A65D26" w:rsidRPr="002302CF">
        <w:t xml:space="preserve"> S</w:t>
      </w:r>
      <w:r w:rsidR="00140BBF">
        <w:t>tátnímu úřadu inspekce práce</w:t>
      </w:r>
      <w:r w:rsidR="00A65D26" w:rsidRPr="002302CF">
        <w:t xml:space="preserve"> </w:t>
      </w:r>
      <w:r w:rsidR="00140BBF">
        <w:t>následně informace</w:t>
      </w:r>
      <w:r w:rsidR="00A65D26" w:rsidRPr="002302CF">
        <w:t xml:space="preserve"> o vybraných/vymožených pokutách a nákladech řízení</w:t>
      </w:r>
      <w:r w:rsidR="00140BBF">
        <w:t>.</w:t>
      </w:r>
      <w:r w:rsidR="009A6695">
        <w:rPr>
          <w:rStyle w:val="Znakapoznpodarou"/>
        </w:rPr>
        <w:footnoteReference w:id="24"/>
      </w:r>
    </w:p>
    <w:p w14:paraId="4442A918" w14:textId="494D9DF8" w:rsidR="00D478C0" w:rsidRPr="00D478C0" w:rsidRDefault="00D478C0" w:rsidP="009E5766">
      <w:pPr>
        <w:keepNext/>
        <w:spacing w:after="40"/>
        <w:jc w:val="both"/>
        <w:rPr>
          <w:rFonts w:ascii="Calibri" w:eastAsia="Calibri" w:hAnsi="Calibri" w:cs="Calibri"/>
          <w:b/>
          <w:bCs/>
          <w:color w:val="000000"/>
          <w:sz w:val="24"/>
          <w:szCs w:val="24"/>
          <w:lang w:eastAsia="cs-CZ" w:bidi="cs-CZ"/>
        </w:rPr>
      </w:pPr>
      <w:r w:rsidRPr="00D478C0">
        <w:rPr>
          <w:rFonts w:cstheme="minorHAnsi"/>
          <w:b/>
          <w:bCs/>
          <w:sz w:val="24"/>
          <w:szCs w:val="24"/>
        </w:rPr>
        <w:t xml:space="preserve">Tabulka č. </w:t>
      </w:r>
      <w:r>
        <w:rPr>
          <w:rFonts w:cstheme="minorHAnsi"/>
          <w:b/>
          <w:bCs/>
          <w:sz w:val="24"/>
          <w:szCs w:val="24"/>
        </w:rPr>
        <w:t>3</w:t>
      </w:r>
      <w:bookmarkStart w:id="10" w:name="_Hlk193975747"/>
      <w:r w:rsidR="00E12E8B">
        <w:rPr>
          <w:rFonts w:cstheme="minorHAnsi"/>
          <w:b/>
          <w:bCs/>
          <w:sz w:val="24"/>
          <w:szCs w:val="24"/>
        </w:rPr>
        <w:t xml:space="preserve">: </w:t>
      </w:r>
      <w:r w:rsidR="009E5766">
        <w:rPr>
          <w:rFonts w:cstheme="minorHAnsi"/>
          <w:b/>
          <w:bCs/>
          <w:sz w:val="24"/>
          <w:szCs w:val="24"/>
        </w:rPr>
        <w:t>Přehled</w:t>
      </w:r>
      <w:r w:rsidRPr="00D478C0">
        <w:rPr>
          <w:rFonts w:cstheme="minorHAnsi"/>
          <w:b/>
          <w:bCs/>
          <w:sz w:val="24"/>
          <w:szCs w:val="24"/>
        </w:rPr>
        <w:t xml:space="preserve"> vymáhaných pohledávek převzatých </w:t>
      </w:r>
      <w:r w:rsidR="00BC3D9B">
        <w:rPr>
          <w:rFonts w:cstheme="minorHAnsi"/>
          <w:b/>
          <w:bCs/>
          <w:sz w:val="24"/>
          <w:szCs w:val="24"/>
        </w:rPr>
        <w:t>C</w:t>
      </w:r>
      <w:r w:rsidR="00140BBF">
        <w:rPr>
          <w:rFonts w:cstheme="minorHAnsi"/>
          <w:b/>
          <w:bCs/>
          <w:sz w:val="24"/>
          <w:szCs w:val="24"/>
        </w:rPr>
        <w:t>elní správou</w:t>
      </w:r>
      <w:r w:rsidR="00BC3D9B">
        <w:rPr>
          <w:rFonts w:cstheme="minorHAnsi"/>
          <w:b/>
          <w:bCs/>
          <w:sz w:val="24"/>
          <w:szCs w:val="24"/>
        </w:rPr>
        <w:t xml:space="preserve"> ČR </w:t>
      </w:r>
      <w:r w:rsidRPr="00D478C0">
        <w:rPr>
          <w:rFonts w:cstheme="minorHAnsi"/>
          <w:b/>
          <w:bCs/>
          <w:sz w:val="24"/>
          <w:szCs w:val="24"/>
        </w:rPr>
        <w:t>od SÚIP a OIP</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2045"/>
        <w:gridCol w:w="2339"/>
        <w:gridCol w:w="2742"/>
        <w:gridCol w:w="1104"/>
      </w:tblGrid>
      <w:tr w:rsidR="00D478C0" w14:paraId="4B26A4D3" w14:textId="77777777" w:rsidTr="006164D5">
        <w:trPr>
          <w:trHeight w:val="20"/>
        </w:trPr>
        <w:tc>
          <w:tcPr>
            <w:tcW w:w="0" w:type="auto"/>
            <w:shd w:val="clear" w:color="auto" w:fill="E6E6E6"/>
            <w:vAlign w:val="center"/>
          </w:tcPr>
          <w:p w14:paraId="4C5DDC34"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b/>
                <w:bCs/>
                <w:sz w:val="20"/>
                <w:szCs w:val="20"/>
              </w:rPr>
              <w:t>Rok</w:t>
            </w:r>
          </w:p>
        </w:tc>
        <w:tc>
          <w:tcPr>
            <w:tcW w:w="0" w:type="auto"/>
            <w:shd w:val="clear" w:color="auto" w:fill="E6E6E6"/>
            <w:vAlign w:val="center"/>
          </w:tcPr>
          <w:p w14:paraId="47D5929A"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b/>
                <w:bCs/>
                <w:sz w:val="20"/>
                <w:szCs w:val="20"/>
              </w:rPr>
              <w:t>Počet zaevidovaných PP</w:t>
            </w:r>
            <w:r w:rsidR="00526597" w:rsidRPr="006164D5">
              <w:rPr>
                <w:rFonts w:cstheme="minorHAnsi"/>
                <w:b/>
                <w:bCs/>
                <w:sz w:val="20"/>
                <w:szCs w:val="20"/>
              </w:rPr>
              <w:t>*</w:t>
            </w:r>
            <w:r w:rsidRPr="00B77569">
              <w:rPr>
                <w:rFonts w:cstheme="minorHAnsi"/>
                <w:b/>
                <w:bCs/>
                <w:sz w:val="20"/>
                <w:szCs w:val="20"/>
              </w:rPr>
              <w:t xml:space="preserve"> (ks)</w:t>
            </w:r>
          </w:p>
        </w:tc>
        <w:tc>
          <w:tcPr>
            <w:tcW w:w="0" w:type="auto"/>
            <w:shd w:val="clear" w:color="auto" w:fill="E6E6E6"/>
            <w:vAlign w:val="center"/>
          </w:tcPr>
          <w:p w14:paraId="6766045F" w14:textId="5868617F" w:rsidR="00D478C0" w:rsidRDefault="00D478C0" w:rsidP="00140BBF">
            <w:pPr>
              <w:autoSpaceDE w:val="0"/>
              <w:autoSpaceDN w:val="0"/>
              <w:adjustRightInd w:val="0"/>
              <w:spacing w:after="0" w:line="240" w:lineRule="auto"/>
              <w:jc w:val="center"/>
              <w:rPr>
                <w:rFonts w:cstheme="minorHAnsi"/>
                <w:b/>
                <w:bCs/>
                <w:sz w:val="20"/>
                <w:szCs w:val="20"/>
              </w:rPr>
            </w:pPr>
            <w:r w:rsidRPr="00B77569">
              <w:rPr>
                <w:rFonts w:cstheme="minorHAnsi"/>
                <w:b/>
                <w:bCs/>
                <w:sz w:val="20"/>
                <w:szCs w:val="20"/>
              </w:rPr>
              <w:t>Celková hodnota zaevidovaných PP</w:t>
            </w:r>
            <w:r w:rsidR="00140BBF">
              <w:rPr>
                <w:rFonts w:cstheme="minorHAnsi"/>
                <w:b/>
                <w:bCs/>
                <w:sz w:val="20"/>
                <w:szCs w:val="20"/>
              </w:rPr>
              <w:t>*</w:t>
            </w:r>
          </w:p>
          <w:p w14:paraId="4FC295F7"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b/>
                <w:bCs/>
                <w:sz w:val="20"/>
                <w:szCs w:val="20"/>
              </w:rPr>
              <w:t>(v tis. Kč)</w:t>
            </w:r>
          </w:p>
        </w:tc>
        <w:tc>
          <w:tcPr>
            <w:tcW w:w="0" w:type="auto"/>
            <w:shd w:val="clear" w:color="auto" w:fill="E6E6E6"/>
            <w:vAlign w:val="center"/>
          </w:tcPr>
          <w:p w14:paraId="76FFFC52" w14:textId="159E7B56"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b/>
                <w:bCs/>
                <w:sz w:val="20"/>
                <w:szCs w:val="20"/>
              </w:rPr>
              <w:t>Celková hodnota vybraných a</w:t>
            </w:r>
            <w:r w:rsidR="00140BBF">
              <w:rPr>
                <w:rFonts w:cstheme="minorHAnsi"/>
                <w:b/>
                <w:bCs/>
                <w:sz w:val="20"/>
                <w:szCs w:val="20"/>
              </w:rPr>
              <w:t> </w:t>
            </w:r>
            <w:r w:rsidRPr="00B77569">
              <w:rPr>
                <w:rFonts w:cstheme="minorHAnsi"/>
                <w:b/>
                <w:bCs/>
                <w:sz w:val="20"/>
                <w:szCs w:val="20"/>
              </w:rPr>
              <w:t>vymožených PP</w:t>
            </w:r>
            <w:r w:rsidR="00140BBF">
              <w:rPr>
                <w:rFonts w:cstheme="minorHAnsi"/>
                <w:b/>
                <w:bCs/>
                <w:sz w:val="20"/>
                <w:szCs w:val="20"/>
              </w:rPr>
              <w:t>*</w:t>
            </w:r>
          </w:p>
          <w:p w14:paraId="557FBC97" w14:textId="6CF1C9DB"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b/>
                <w:bCs/>
                <w:sz w:val="20"/>
                <w:szCs w:val="20"/>
              </w:rPr>
              <w:t>(v tis. Kč)</w:t>
            </w:r>
          </w:p>
        </w:tc>
        <w:tc>
          <w:tcPr>
            <w:tcW w:w="0" w:type="auto"/>
            <w:shd w:val="clear" w:color="auto" w:fill="E6E6E6"/>
            <w:vAlign w:val="center"/>
          </w:tcPr>
          <w:p w14:paraId="2072CECA" w14:textId="77777777" w:rsidR="00D478C0" w:rsidRDefault="00D478C0" w:rsidP="00140BBF">
            <w:pPr>
              <w:autoSpaceDE w:val="0"/>
              <w:autoSpaceDN w:val="0"/>
              <w:adjustRightInd w:val="0"/>
              <w:spacing w:after="0" w:line="240" w:lineRule="auto"/>
              <w:jc w:val="center"/>
              <w:rPr>
                <w:rFonts w:cstheme="minorHAnsi"/>
                <w:b/>
                <w:bCs/>
                <w:sz w:val="20"/>
                <w:szCs w:val="20"/>
              </w:rPr>
            </w:pPr>
            <w:r>
              <w:rPr>
                <w:rFonts w:cstheme="minorHAnsi"/>
                <w:b/>
                <w:bCs/>
                <w:sz w:val="20"/>
                <w:szCs w:val="20"/>
              </w:rPr>
              <w:t>%</w:t>
            </w:r>
          </w:p>
          <w:p w14:paraId="6F73DE5E" w14:textId="77777777" w:rsidR="00D478C0" w:rsidRPr="00B77569" w:rsidRDefault="00D478C0" w:rsidP="00140BBF">
            <w:pPr>
              <w:autoSpaceDE w:val="0"/>
              <w:autoSpaceDN w:val="0"/>
              <w:adjustRightInd w:val="0"/>
              <w:spacing w:after="0" w:line="240" w:lineRule="auto"/>
              <w:jc w:val="center"/>
              <w:rPr>
                <w:rFonts w:cstheme="minorHAnsi"/>
                <w:b/>
                <w:bCs/>
                <w:sz w:val="20"/>
                <w:szCs w:val="20"/>
              </w:rPr>
            </w:pPr>
            <w:r>
              <w:rPr>
                <w:rFonts w:cstheme="minorHAnsi"/>
                <w:b/>
                <w:bCs/>
                <w:sz w:val="20"/>
                <w:szCs w:val="20"/>
              </w:rPr>
              <w:t>úspěšnosti</w:t>
            </w:r>
          </w:p>
        </w:tc>
      </w:tr>
      <w:tr w:rsidR="00D478C0" w14:paraId="4D9F8955" w14:textId="77777777" w:rsidTr="006164D5">
        <w:trPr>
          <w:trHeight w:val="20"/>
        </w:trPr>
        <w:tc>
          <w:tcPr>
            <w:tcW w:w="0" w:type="auto"/>
            <w:vAlign w:val="center"/>
          </w:tcPr>
          <w:p w14:paraId="248E030D"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sz w:val="20"/>
                <w:szCs w:val="20"/>
              </w:rPr>
              <w:t>2019</w:t>
            </w:r>
          </w:p>
        </w:tc>
        <w:tc>
          <w:tcPr>
            <w:tcW w:w="0" w:type="auto"/>
            <w:vAlign w:val="center"/>
          </w:tcPr>
          <w:p w14:paraId="7717DFBD"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1 496</w:t>
            </w:r>
          </w:p>
        </w:tc>
        <w:tc>
          <w:tcPr>
            <w:tcW w:w="0" w:type="auto"/>
            <w:vAlign w:val="center"/>
          </w:tcPr>
          <w:p w14:paraId="69EF4394"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171 188,70</w:t>
            </w:r>
          </w:p>
        </w:tc>
        <w:tc>
          <w:tcPr>
            <w:tcW w:w="0" w:type="auto"/>
            <w:vAlign w:val="center"/>
          </w:tcPr>
          <w:p w14:paraId="1B007097"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66 725,06</w:t>
            </w:r>
          </w:p>
        </w:tc>
        <w:tc>
          <w:tcPr>
            <w:tcW w:w="0" w:type="auto"/>
            <w:vAlign w:val="center"/>
          </w:tcPr>
          <w:p w14:paraId="7AEC12F0"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Pr>
                <w:rFonts w:cstheme="minorHAnsi"/>
                <w:sz w:val="20"/>
                <w:szCs w:val="20"/>
              </w:rPr>
              <w:t>39,0</w:t>
            </w:r>
          </w:p>
        </w:tc>
      </w:tr>
      <w:tr w:rsidR="00D478C0" w14:paraId="0179BE4B" w14:textId="77777777" w:rsidTr="006164D5">
        <w:trPr>
          <w:trHeight w:val="20"/>
        </w:trPr>
        <w:tc>
          <w:tcPr>
            <w:tcW w:w="0" w:type="auto"/>
            <w:vAlign w:val="center"/>
          </w:tcPr>
          <w:p w14:paraId="7C645D5D"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sz w:val="20"/>
                <w:szCs w:val="20"/>
              </w:rPr>
              <w:t>2020</w:t>
            </w:r>
          </w:p>
        </w:tc>
        <w:tc>
          <w:tcPr>
            <w:tcW w:w="0" w:type="auto"/>
            <w:vAlign w:val="center"/>
          </w:tcPr>
          <w:p w14:paraId="315EB0AC"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1 048</w:t>
            </w:r>
          </w:p>
        </w:tc>
        <w:tc>
          <w:tcPr>
            <w:tcW w:w="0" w:type="auto"/>
            <w:vAlign w:val="center"/>
          </w:tcPr>
          <w:p w14:paraId="18AC81F1"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172 831,99</w:t>
            </w:r>
          </w:p>
        </w:tc>
        <w:tc>
          <w:tcPr>
            <w:tcW w:w="0" w:type="auto"/>
            <w:vAlign w:val="center"/>
          </w:tcPr>
          <w:p w14:paraId="2D01AAA8"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50 018,83</w:t>
            </w:r>
          </w:p>
        </w:tc>
        <w:tc>
          <w:tcPr>
            <w:tcW w:w="0" w:type="auto"/>
            <w:vAlign w:val="center"/>
          </w:tcPr>
          <w:p w14:paraId="33FCBA09"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Pr>
                <w:rFonts w:cstheme="minorHAnsi"/>
                <w:sz w:val="20"/>
                <w:szCs w:val="20"/>
              </w:rPr>
              <w:t>28,9</w:t>
            </w:r>
          </w:p>
        </w:tc>
      </w:tr>
      <w:tr w:rsidR="00D478C0" w14:paraId="30A5A8F3" w14:textId="77777777" w:rsidTr="006164D5">
        <w:trPr>
          <w:trHeight w:val="20"/>
        </w:trPr>
        <w:tc>
          <w:tcPr>
            <w:tcW w:w="0" w:type="auto"/>
            <w:vAlign w:val="center"/>
          </w:tcPr>
          <w:p w14:paraId="3686009D"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sz w:val="20"/>
                <w:szCs w:val="20"/>
              </w:rPr>
              <w:t>2021</w:t>
            </w:r>
          </w:p>
        </w:tc>
        <w:tc>
          <w:tcPr>
            <w:tcW w:w="0" w:type="auto"/>
            <w:vAlign w:val="center"/>
          </w:tcPr>
          <w:p w14:paraId="4DD257CF"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1 398</w:t>
            </w:r>
          </w:p>
        </w:tc>
        <w:tc>
          <w:tcPr>
            <w:tcW w:w="0" w:type="auto"/>
            <w:vAlign w:val="center"/>
          </w:tcPr>
          <w:p w14:paraId="197F7E29"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220 445,54</w:t>
            </w:r>
          </w:p>
        </w:tc>
        <w:tc>
          <w:tcPr>
            <w:tcW w:w="0" w:type="auto"/>
            <w:vAlign w:val="center"/>
          </w:tcPr>
          <w:p w14:paraId="4B17BC31"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63 980,58</w:t>
            </w:r>
          </w:p>
        </w:tc>
        <w:tc>
          <w:tcPr>
            <w:tcW w:w="0" w:type="auto"/>
            <w:vAlign w:val="center"/>
          </w:tcPr>
          <w:p w14:paraId="689B80B6"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Pr>
                <w:rFonts w:cstheme="minorHAnsi"/>
                <w:sz w:val="20"/>
                <w:szCs w:val="20"/>
              </w:rPr>
              <w:t>29,0</w:t>
            </w:r>
          </w:p>
        </w:tc>
      </w:tr>
      <w:tr w:rsidR="00D478C0" w14:paraId="05F9C9B6" w14:textId="77777777" w:rsidTr="006164D5">
        <w:trPr>
          <w:trHeight w:val="20"/>
        </w:trPr>
        <w:tc>
          <w:tcPr>
            <w:tcW w:w="0" w:type="auto"/>
            <w:vAlign w:val="center"/>
          </w:tcPr>
          <w:p w14:paraId="5E4F3C28"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sz w:val="20"/>
                <w:szCs w:val="20"/>
              </w:rPr>
              <w:t>2022</w:t>
            </w:r>
          </w:p>
        </w:tc>
        <w:tc>
          <w:tcPr>
            <w:tcW w:w="0" w:type="auto"/>
            <w:vAlign w:val="center"/>
          </w:tcPr>
          <w:p w14:paraId="20C3A81E"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1 669</w:t>
            </w:r>
          </w:p>
        </w:tc>
        <w:tc>
          <w:tcPr>
            <w:tcW w:w="0" w:type="auto"/>
            <w:vAlign w:val="center"/>
          </w:tcPr>
          <w:p w14:paraId="0D155BB8"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200 473,00</w:t>
            </w:r>
          </w:p>
        </w:tc>
        <w:tc>
          <w:tcPr>
            <w:tcW w:w="0" w:type="auto"/>
            <w:vAlign w:val="center"/>
          </w:tcPr>
          <w:p w14:paraId="076C6D00"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83 607,56</w:t>
            </w:r>
          </w:p>
        </w:tc>
        <w:tc>
          <w:tcPr>
            <w:tcW w:w="0" w:type="auto"/>
            <w:vAlign w:val="center"/>
          </w:tcPr>
          <w:p w14:paraId="659E5398"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Pr>
                <w:rFonts w:cstheme="minorHAnsi"/>
                <w:sz w:val="20"/>
                <w:szCs w:val="20"/>
              </w:rPr>
              <w:t>41,7</w:t>
            </w:r>
          </w:p>
        </w:tc>
      </w:tr>
      <w:tr w:rsidR="00D478C0" w14:paraId="07E6F8C4" w14:textId="77777777" w:rsidTr="006164D5">
        <w:trPr>
          <w:trHeight w:val="20"/>
        </w:trPr>
        <w:tc>
          <w:tcPr>
            <w:tcW w:w="0" w:type="auto"/>
            <w:vAlign w:val="center"/>
          </w:tcPr>
          <w:p w14:paraId="5ABBF646" w14:textId="77777777" w:rsidR="00D478C0" w:rsidRPr="00B77569" w:rsidRDefault="00D478C0" w:rsidP="00140BBF">
            <w:pPr>
              <w:autoSpaceDE w:val="0"/>
              <w:autoSpaceDN w:val="0"/>
              <w:adjustRightInd w:val="0"/>
              <w:spacing w:after="0" w:line="240" w:lineRule="auto"/>
              <w:jc w:val="center"/>
              <w:rPr>
                <w:rFonts w:cstheme="minorHAnsi"/>
                <w:sz w:val="20"/>
                <w:szCs w:val="20"/>
              </w:rPr>
            </w:pPr>
            <w:r w:rsidRPr="00B77569">
              <w:rPr>
                <w:rFonts w:cstheme="minorHAnsi"/>
                <w:sz w:val="20"/>
                <w:szCs w:val="20"/>
              </w:rPr>
              <w:t>2023</w:t>
            </w:r>
          </w:p>
        </w:tc>
        <w:tc>
          <w:tcPr>
            <w:tcW w:w="0" w:type="auto"/>
            <w:vAlign w:val="center"/>
          </w:tcPr>
          <w:p w14:paraId="77E3CD3E"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1 184</w:t>
            </w:r>
          </w:p>
        </w:tc>
        <w:tc>
          <w:tcPr>
            <w:tcW w:w="0" w:type="auto"/>
            <w:vAlign w:val="center"/>
          </w:tcPr>
          <w:p w14:paraId="7945C05A"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168 469,50</w:t>
            </w:r>
          </w:p>
        </w:tc>
        <w:tc>
          <w:tcPr>
            <w:tcW w:w="0" w:type="auto"/>
            <w:vAlign w:val="center"/>
          </w:tcPr>
          <w:p w14:paraId="03F12E37"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sidRPr="00B77569">
              <w:rPr>
                <w:rFonts w:cstheme="minorHAnsi"/>
                <w:sz w:val="20"/>
                <w:szCs w:val="20"/>
              </w:rPr>
              <w:t>80 897,27</w:t>
            </w:r>
          </w:p>
        </w:tc>
        <w:tc>
          <w:tcPr>
            <w:tcW w:w="0" w:type="auto"/>
            <w:vAlign w:val="center"/>
          </w:tcPr>
          <w:p w14:paraId="5686AEA6" w14:textId="77777777" w:rsidR="00D478C0" w:rsidRPr="00B77569" w:rsidRDefault="00D478C0" w:rsidP="006164D5">
            <w:pPr>
              <w:autoSpaceDE w:val="0"/>
              <w:autoSpaceDN w:val="0"/>
              <w:adjustRightInd w:val="0"/>
              <w:spacing w:after="0" w:line="240" w:lineRule="auto"/>
              <w:ind w:right="113"/>
              <w:jc w:val="right"/>
              <w:rPr>
                <w:rFonts w:cstheme="minorHAnsi"/>
                <w:sz w:val="20"/>
                <w:szCs w:val="20"/>
              </w:rPr>
            </w:pPr>
            <w:r>
              <w:rPr>
                <w:rFonts w:cstheme="minorHAnsi"/>
                <w:sz w:val="20"/>
                <w:szCs w:val="20"/>
              </w:rPr>
              <w:t>48,0</w:t>
            </w:r>
          </w:p>
        </w:tc>
      </w:tr>
      <w:tr w:rsidR="00D478C0" w14:paraId="0C504784" w14:textId="77777777" w:rsidTr="006164D5">
        <w:trPr>
          <w:trHeight w:val="20"/>
        </w:trPr>
        <w:tc>
          <w:tcPr>
            <w:tcW w:w="0" w:type="auto"/>
            <w:vAlign w:val="center"/>
          </w:tcPr>
          <w:p w14:paraId="42E21E3E" w14:textId="77777777" w:rsidR="00D478C0" w:rsidRPr="00F3558C" w:rsidRDefault="00D478C0" w:rsidP="00140BBF">
            <w:pPr>
              <w:autoSpaceDE w:val="0"/>
              <w:autoSpaceDN w:val="0"/>
              <w:adjustRightInd w:val="0"/>
              <w:spacing w:after="0" w:line="240" w:lineRule="auto"/>
              <w:jc w:val="center"/>
              <w:rPr>
                <w:rFonts w:cstheme="minorHAnsi"/>
                <w:b/>
                <w:bCs/>
                <w:sz w:val="20"/>
                <w:szCs w:val="20"/>
              </w:rPr>
            </w:pPr>
            <w:r w:rsidRPr="00F3558C">
              <w:rPr>
                <w:rFonts w:cstheme="minorHAnsi"/>
                <w:b/>
                <w:bCs/>
                <w:sz w:val="20"/>
                <w:szCs w:val="20"/>
              </w:rPr>
              <w:t>Celkem</w:t>
            </w:r>
          </w:p>
        </w:tc>
        <w:tc>
          <w:tcPr>
            <w:tcW w:w="0" w:type="auto"/>
            <w:vAlign w:val="center"/>
          </w:tcPr>
          <w:p w14:paraId="77AEFC59" w14:textId="77777777" w:rsidR="00D478C0" w:rsidRPr="00F3558C" w:rsidRDefault="00D478C0" w:rsidP="006164D5">
            <w:pPr>
              <w:autoSpaceDE w:val="0"/>
              <w:autoSpaceDN w:val="0"/>
              <w:adjustRightInd w:val="0"/>
              <w:spacing w:after="0" w:line="240" w:lineRule="auto"/>
              <w:ind w:right="113"/>
              <w:jc w:val="right"/>
              <w:rPr>
                <w:rFonts w:cstheme="minorHAnsi"/>
                <w:b/>
                <w:bCs/>
                <w:sz w:val="20"/>
                <w:szCs w:val="20"/>
              </w:rPr>
            </w:pPr>
            <w:r w:rsidRPr="00F3558C">
              <w:rPr>
                <w:rFonts w:cstheme="minorHAnsi"/>
                <w:b/>
                <w:bCs/>
                <w:sz w:val="20"/>
                <w:szCs w:val="20"/>
              </w:rPr>
              <w:t>6 795</w:t>
            </w:r>
          </w:p>
        </w:tc>
        <w:tc>
          <w:tcPr>
            <w:tcW w:w="0" w:type="auto"/>
            <w:vAlign w:val="center"/>
          </w:tcPr>
          <w:p w14:paraId="0F13DBA5" w14:textId="77777777" w:rsidR="00D478C0" w:rsidRPr="00F3558C" w:rsidRDefault="00D478C0" w:rsidP="006164D5">
            <w:pPr>
              <w:autoSpaceDE w:val="0"/>
              <w:autoSpaceDN w:val="0"/>
              <w:adjustRightInd w:val="0"/>
              <w:spacing w:after="0" w:line="240" w:lineRule="auto"/>
              <w:ind w:right="113"/>
              <w:jc w:val="right"/>
              <w:rPr>
                <w:rFonts w:cstheme="minorHAnsi"/>
                <w:b/>
                <w:bCs/>
                <w:sz w:val="20"/>
                <w:szCs w:val="20"/>
              </w:rPr>
            </w:pPr>
            <w:r w:rsidRPr="00F3558C">
              <w:rPr>
                <w:rFonts w:cstheme="minorHAnsi"/>
                <w:b/>
                <w:bCs/>
                <w:sz w:val="20"/>
                <w:szCs w:val="20"/>
              </w:rPr>
              <w:t>933 408,73</w:t>
            </w:r>
          </w:p>
        </w:tc>
        <w:tc>
          <w:tcPr>
            <w:tcW w:w="0" w:type="auto"/>
            <w:vAlign w:val="center"/>
          </w:tcPr>
          <w:p w14:paraId="07DDFF6B" w14:textId="77777777" w:rsidR="00D478C0" w:rsidRPr="00F3558C" w:rsidRDefault="00D478C0" w:rsidP="006164D5">
            <w:pPr>
              <w:autoSpaceDE w:val="0"/>
              <w:autoSpaceDN w:val="0"/>
              <w:adjustRightInd w:val="0"/>
              <w:spacing w:after="0" w:line="240" w:lineRule="auto"/>
              <w:ind w:right="113"/>
              <w:jc w:val="right"/>
              <w:rPr>
                <w:rFonts w:cstheme="minorHAnsi"/>
                <w:b/>
                <w:bCs/>
                <w:sz w:val="20"/>
                <w:szCs w:val="20"/>
              </w:rPr>
            </w:pPr>
            <w:r w:rsidRPr="00F3558C">
              <w:rPr>
                <w:rFonts w:cstheme="minorHAnsi"/>
                <w:b/>
                <w:bCs/>
                <w:sz w:val="20"/>
                <w:szCs w:val="20"/>
              </w:rPr>
              <w:t>345 229,30</w:t>
            </w:r>
          </w:p>
        </w:tc>
        <w:tc>
          <w:tcPr>
            <w:tcW w:w="0" w:type="auto"/>
            <w:vAlign w:val="center"/>
          </w:tcPr>
          <w:p w14:paraId="6A9C615E" w14:textId="0B120192" w:rsidR="00D478C0" w:rsidRPr="00090DB2" w:rsidRDefault="00FA27BB" w:rsidP="006164D5">
            <w:pPr>
              <w:autoSpaceDE w:val="0"/>
              <w:autoSpaceDN w:val="0"/>
              <w:adjustRightInd w:val="0"/>
              <w:spacing w:after="0" w:line="240" w:lineRule="auto"/>
              <w:ind w:right="113"/>
              <w:jc w:val="right"/>
              <w:rPr>
                <w:rFonts w:cstheme="minorHAnsi"/>
                <w:b/>
                <w:sz w:val="20"/>
                <w:szCs w:val="20"/>
              </w:rPr>
            </w:pPr>
            <w:r w:rsidRPr="00090DB2">
              <w:rPr>
                <w:rFonts w:cstheme="minorHAnsi"/>
                <w:b/>
                <w:sz w:val="20"/>
                <w:szCs w:val="20"/>
              </w:rPr>
              <w:t>37,0 %</w:t>
            </w:r>
          </w:p>
        </w:tc>
      </w:tr>
    </w:tbl>
    <w:p w14:paraId="7ED449CC" w14:textId="7BEE5A78" w:rsidR="00D478C0" w:rsidRPr="006164D5" w:rsidRDefault="00D478C0" w:rsidP="00440BD0">
      <w:pPr>
        <w:spacing w:after="0"/>
        <w:rPr>
          <w:sz w:val="20"/>
          <w:szCs w:val="20"/>
        </w:rPr>
      </w:pPr>
      <w:r w:rsidRPr="006164D5">
        <w:rPr>
          <w:b/>
          <w:bCs/>
          <w:sz w:val="20"/>
          <w:szCs w:val="20"/>
        </w:rPr>
        <w:t>Zdroj:</w:t>
      </w:r>
      <w:r w:rsidRPr="006164D5">
        <w:rPr>
          <w:sz w:val="20"/>
          <w:szCs w:val="20"/>
        </w:rPr>
        <w:t xml:space="preserve"> GŘC.</w:t>
      </w:r>
    </w:p>
    <w:p w14:paraId="312015D0" w14:textId="0211B1B2" w:rsidR="00440BD0" w:rsidRPr="006164D5" w:rsidRDefault="00440BD0" w:rsidP="006164D5">
      <w:pPr>
        <w:spacing w:after="0"/>
        <w:ind w:left="284" w:hanging="284"/>
        <w:rPr>
          <w:sz w:val="20"/>
          <w:szCs w:val="20"/>
        </w:rPr>
      </w:pPr>
      <w:r w:rsidRPr="006164D5">
        <w:rPr>
          <w:rFonts w:cstheme="minorHAnsi"/>
          <w:sz w:val="20"/>
          <w:szCs w:val="20"/>
        </w:rPr>
        <w:t>*</w:t>
      </w:r>
      <w:r w:rsidR="00140BBF">
        <w:rPr>
          <w:rFonts w:cstheme="minorHAnsi"/>
          <w:sz w:val="20"/>
          <w:szCs w:val="20"/>
        </w:rPr>
        <w:t xml:space="preserve"> </w:t>
      </w:r>
      <w:r w:rsidR="00837753" w:rsidRPr="006164D5">
        <w:rPr>
          <w:rFonts w:cstheme="minorHAnsi"/>
          <w:sz w:val="20"/>
          <w:szCs w:val="20"/>
        </w:rPr>
        <w:t xml:space="preserve">PP </w:t>
      </w:r>
      <w:r w:rsidRPr="006164D5">
        <w:rPr>
          <w:rFonts w:cstheme="minorHAnsi"/>
          <w:sz w:val="20"/>
          <w:szCs w:val="20"/>
        </w:rPr>
        <w:t xml:space="preserve">= </w:t>
      </w:r>
      <w:r w:rsidRPr="006164D5">
        <w:rPr>
          <w:sz w:val="20"/>
          <w:szCs w:val="20"/>
        </w:rPr>
        <w:t>peněžitá plnění</w:t>
      </w:r>
      <w:r w:rsidR="008A0596">
        <w:rPr>
          <w:sz w:val="20"/>
          <w:szCs w:val="20"/>
        </w:rPr>
        <w:t>.</w:t>
      </w:r>
    </w:p>
    <w:p w14:paraId="706F84BE" w14:textId="4D045D94" w:rsidR="00163B72" w:rsidRDefault="00163B72" w:rsidP="006164D5">
      <w:pPr>
        <w:widowControl w:val="0"/>
        <w:spacing w:before="240" w:line="240" w:lineRule="auto"/>
        <w:jc w:val="both"/>
        <w:rPr>
          <w:rFonts w:ascii="Calibri" w:eastAsia="Calibri" w:hAnsi="Calibri" w:cs="Calibri"/>
          <w:color w:val="000000"/>
          <w:sz w:val="24"/>
          <w:szCs w:val="24"/>
          <w:lang w:eastAsia="cs-CZ" w:bidi="cs-CZ"/>
        </w:rPr>
      </w:pPr>
      <w:r>
        <w:rPr>
          <w:rFonts w:ascii="Calibri" w:eastAsia="Calibri" w:hAnsi="Calibri" w:cs="Calibri"/>
          <w:color w:val="000000"/>
          <w:sz w:val="24"/>
          <w:szCs w:val="24"/>
          <w:lang w:eastAsia="cs-CZ" w:bidi="cs-CZ"/>
        </w:rPr>
        <w:t xml:space="preserve">NKÚ zjistil, že </w:t>
      </w:r>
      <w:r w:rsidRPr="000875FF">
        <w:rPr>
          <w:rFonts w:ascii="Calibri" w:eastAsia="Calibri" w:hAnsi="Calibri" w:cs="Calibri"/>
          <w:color w:val="000000"/>
          <w:sz w:val="24"/>
          <w:szCs w:val="24"/>
          <w:lang w:eastAsia="cs-CZ" w:bidi="cs-CZ"/>
        </w:rPr>
        <w:t>GŘC za roky 2020 až 2023 nepředávalo</w:t>
      </w:r>
      <w:r w:rsidR="00AC739C">
        <w:rPr>
          <w:rFonts w:ascii="Calibri" w:eastAsia="Calibri" w:hAnsi="Calibri" w:cs="Calibri"/>
          <w:color w:val="000000"/>
          <w:sz w:val="24"/>
          <w:szCs w:val="24"/>
          <w:lang w:eastAsia="cs-CZ" w:bidi="cs-CZ"/>
        </w:rPr>
        <w:t xml:space="preserve"> SÚIP</w:t>
      </w:r>
      <w:r w:rsidRPr="000875FF">
        <w:rPr>
          <w:rFonts w:ascii="Calibri" w:eastAsia="Calibri" w:hAnsi="Calibri" w:cs="Calibri"/>
          <w:color w:val="000000"/>
          <w:sz w:val="24"/>
          <w:szCs w:val="24"/>
          <w:lang w:eastAsia="cs-CZ" w:bidi="cs-CZ"/>
        </w:rPr>
        <w:t xml:space="preserve"> </w:t>
      </w:r>
      <w:r w:rsidR="00582BC4" w:rsidRPr="00F351B6">
        <w:rPr>
          <w:rFonts w:ascii="Calibri" w:eastAsia="Calibri" w:hAnsi="Calibri" w:cs="Calibri"/>
          <w:color w:val="000000"/>
          <w:sz w:val="24"/>
          <w:szCs w:val="24"/>
          <w:lang w:eastAsia="cs-CZ" w:bidi="cs-CZ"/>
        </w:rPr>
        <w:t>jedenkrát</w:t>
      </w:r>
      <w:r w:rsidRPr="00F351B6">
        <w:rPr>
          <w:rFonts w:ascii="Calibri" w:eastAsia="Calibri" w:hAnsi="Calibri" w:cs="Calibri"/>
          <w:color w:val="000000"/>
          <w:sz w:val="24"/>
          <w:szCs w:val="24"/>
          <w:lang w:eastAsia="cs-CZ" w:bidi="cs-CZ"/>
        </w:rPr>
        <w:t xml:space="preserve"> ročně</w:t>
      </w:r>
      <w:r w:rsidRPr="000875FF">
        <w:rPr>
          <w:rFonts w:ascii="Calibri" w:eastAsia="Calibri" w:hAnsi="Calibri" w:cs="Calibri"/>
          <w:color w:val="000000"/>
          <w:sz w:val="24"/>
          <w:szCs w:val="24"/>
          <w:lang w:eastAsia="cs-CZ" w:bidi="cs-CZ"/>
        </w:rPr>
        <w:t xml:space="preserve"> informace z</w:t>
      </w:r>
      <w:r w:rsidR="00CD2BAE">
        <w:rPr>
          <w:rFonts w:ascii="Calibri" w:eastAsia="Calibri" w:hAnsi="Calibri" w:cs="Calibri"/>
          <w:color w:val="000000"/>
          <w:sz w:val="24"/>
          <w:szCs w:val="24"/>
          <w:lang w:eastAsia="cs-CZ" w:bidi="cs-CZ"/>
        </w:rPr>
        <w:t> </w:t>
      </w:r>
      <w:r w:rsidRPr="000875FF">
        <w:rPr>
          <w:rFonts w:ascii="Calibri" w:eastAsia="Calibri" w:hAnsi="Calibri" w:cs="Calibri"/>
          <w:color w:val="000000"/>
          <w:sz w:val="24"/>
          <w:szCs w:val="24"/>
          <w:lang w:eastAsia="cs-CZ" w:bidi="cs-CZ"/>
        </w:rPr>
        <w:t>vymáhání uložených pokut předaných do správy celním úřadům.</w:t>
      </w:r>
    </w:p>
    <w:p w14:paraId="35A403E9" w14:textId="7B051AD1" w:rsidR="00163B72" w:rsidRPr="0070553D" w:rsidRDefault="00163B72" w:rsidP="006164D5">
      <w:pPr>
        <w:spacing w:line="240" w:lineRule="auto"/>
        <w:jc w:val="both"/>
        <w:rPr>
          <w:rFonts w:cstheme="minorHAnsi"/>
          <w:sz w:val="24"/>
          <w:szCs w:val="24"/>
        </w:rPr>
      </w:pPr>
      <w:r w:rsidRPr="009861DA">
        <w:rPr>
          <w:sz w:val="24"/>
          <w:szCs w:val="24"/>
        </w:rPr>
        <w:t xml:space="preserve">GŘC </w:t>
      </w:r>
      <w:r>
        <w:rPr>
          <w:sz w:val="24"/>
          <w:szCs w:val="24"/>
        </w:rPr>
        <w:t xml:space="preserve">a </w:t>
      </w:r>
      <w:r w:rsidRPr="009861DA">
        <w:rPr>
          <w:sz w:val="24"/>
          <w:szCs w:val="24"/>
        </w:rPr>
        <w:t xml:space="preserve">GFŘ uzavřely </w:t>
      </w:r>
      <w:r w:rsidR="0051724E">
        <w:rPr>
          <w:sz w:val="24"/>
          <w:szCs w:val="24"/>
        </w:rPr>
        <w:t xml:space="preserve">dne </w:t>
      </w:r>
      <w:r w:rsidRPr="009861DA">
        <w:rPr>
          <w:sz w:val="24"/>
          <w:szCs w:val="24"/>
        </w:rPr>
        <w:t xml:space="preserve">16. 12. 2015 </w:t>
      </w:r>
      <w:r w:rsidR="009E5766">
        <w:rPr>
          <w:sz w:val="24"/>
          <w:szCs w:val="24"/>
        </w:rPr>
        <w:t>„</w:t>
      </w:r>
      <w:r w:rsidR="009E5766">
        <w:rPr>
          <w:rFonts w:cstheme="minorHAnsi"/>
          <w:sz w:val="24"/>
          <w:szCs w:val="24"/>
        </w:rPr>
        <w:t>d</w:t>
      </w:r>
      <w:r w:rsidRPr="009861DA">
        <w:rPr>
          <w:rFonts w:cstheme="minorHAnsi"/>
          <w:sz w:val="24"/>
          <w:szCs w:val="24"/>
        </w:rPr>
        <w:t xml:space="preserve">ohodu o spolupráci mezi </w:t>
      </w:r>
      <w:r w:rsidR="00C61078">
        <w:rPr>
          <w:rFonts w:cstheme="minorHAnsi"/>
          <w:sz w:val="24"/>
          <w:szCs w:val="24"/>
        </w:rPr>
        <w:t>CS ČR</w:t>
      </w:r>
      <w:r w:rsidRPr="009861DA">
        <w:rPr>
          <w:rFonts w:cstheme="minorHAnsi"/>
          <w:sz w:val="24"/>
          <w:szCs w:val="24"/>
        </w:rPr>
        <w:t xml:space="preserve"> a </w:t>
      </w:r>
      <w:r w:rsidR="00C61078">
        <w:rPr>
          <w:rFonts w:cstheme="minorHAnsi"/>
          <w:sz w:val="24"/>
          <w:szCs w:val="24"/>
        </w:rPr>
        <w:t>FS ČR</w:t>
      </w:r>
      <w:r w:rsidR="009E5766">
        <w:rPr>
          <w:rFonts w:cstheme="minorHAnsi"/>
          <w:sz w:val="24"/>
          <w:szCs w:val="24"/>
        </w:rPr>
        <w:t>“</w:t>
      </w:r>
      <w:r w:rsidRPr="009861DA">
        <w:rPr>
          <w:rFonts w:cstheme="minorHAnsi"/>
          <w:sz w:val="24"/>
          <w:szCs w:val="24"/>
        </w:rPr>
        <w:t>,</w:t>
      </w:r>
      <w:r w:rsidRPr="009861DA">
        <w:rPr>
          <w:sz w:val="24"/>
          <w:szCs w:val="24"/>
        </w:rPr>
        <w:t xml:space="preserve"> jejímž cílem bylo stanov</w:t>
      </w:r>
      <w:r w:rsidR="009E5766">
        <w:rPr>
          <w:sz w:val="24"/>
          <w:szCs w:val="24"/>
        </w:rPr>
        <w:t>it</w:t>
      </w:r>
      <w:r w:rsidRPr="009861DA">
        <w:rPr>
          <w:sz w:val="24"/>
          <w:szCs w:val="24"/>
        </w:rPr>
        <w:t xml:space="preserve"> základní pravid</w:t>
      </w:r>
      <w:r w:rsidR="009E5766">
        <w:rPr>
          <w:sz w:val="24"/>
          <w:szCs w:val="24"/>
        </w:rPr>
        <w:t>la</w:t>
      </w:r>
      <w:r w:rsidRPr="009861DA">
        <w:rPr>
          <w:sz w:val="24"/>
          <w:szCs w:val="24"/>
        </w:rPr>
        <w:t xml:space="preserve"> a způsob</w:t>
      </w:r>
      <w:r w:rsidR="009E5766">
        <w:rPr>
          <w:sz w:val="24"/>
          <w:szCs w:val="24"/>
        </w:rPr>
        <w:t>y</w:t>
      </w:r>
      <w:r w:rsidRPr="009861DA">
        <w:rPr>
          <w:sz w:val="24"/>
          <w:szCs w:val="24"/>
        </w:rPr>
        <w:t xml:space="preserve"> poskytování vzájemné součinnosti při plnění úkolů GFŘ a GŘC a </w:t>
      </w:r>
      <w:r w:rsidR="0051724E">
        <w:rPr>
          <w:sz w:val="24"/>
          <w:szCs w:val="24"/>
        </w:rPr>
        <w:t>urychl</w:t>
      </w:r>
      <w:r w:rsidR="009E5766">
        <w:rPr>
          <w:sz w:val="24"/>
          <w:szCs w:val="24"/>
        </w:rPr>
        <w:t>it</w:t>
      </w:r>
      <w:r w:rsidR="0051724E">
        <w:rPr>
          <w:sz w:val="24"/>
          <w:szCs w:val="24"/>
        </w:rPr>
        <w:t xml:space="preserve"> a zefektivn</w:t>
      </w:r>
      <w:r w:rsidR="009E5766">
        <w:rPr>
          <w:sz w:val="24"/>
          <w:szCs w:val="24"/>
        </w:rPr>
        <w:t>it</w:t>
      </w:r>
      <w:r w:rsidRPr="009861DA">
        <w:rPr>
          <w:sz w:val="24"/>
          <w:szCs w:val="24"/>
        </w:rPr>
        <w:t xml:space="preserve"> činnost obou stran. Prováděcí protokol o poskytování informací uzavřel</w:t>
      </w:r>
      <w:r w:rsidR="009E5766">
        <w:rPr>
          <w:sz w:val="24"/>
          <w:szCs w:val="24"/>
        </w:rPr>
        <w:t>y</w:t>
      </w:r>
      <w:r w:rsidRPr="009861DA">
        <w:rPr>
          <w:sz w:val="24"/>
          <w:szCs w:val="24"/>
        </w:rPr>
        <w:t xml:space="preserve"> GFŘ a GŘC dne 14. října 2021 a jeho účelem </w:t>
      </w:r>
      <w:r w:rsidR="005D287E">
        <w:rPr>
          <w:sz w:val="24"/>
          <w:szCs w:val="24"/>
        </w:rPr>
        <w:t>bylo</w:t>
      </w:r>
      <w:r w:rsidRPr="009861DA">
        <w:rPr>
          <w:sz w:val="24"/>
          <w:szCs w:val="24"/>
        </w:rPr>
        <w:t xml:space="preserve"> stanov</w:t>
      </w:r>
      <w:r w:rsidR="009E5766">
        <w:rPr>
          <w:sz w:val="24"/>
          <w:szCs w:val="24"/>
        </w:rPr>
        <w:t>it</w:t>
      </w:r>
      <w:r w:rsidRPr="009861DA">
        <w:rPr>
          <w:sz w:val="24"/>
          <w:szCs w:val="24"/>
        </w:rPr>
        <w:t xml:space="preserve"> seznam evidencí </w:t>
      </w:r>
      <w:r w:rsidR="009E5766">
        <w:rPr>
          <w:sz w:val="24"/>
          <w:szCs w:val="24"/>
        </w:rPr>
        <w:t>a upravit</w:t>
      </w:r>
      <w:r w:rsidRPr="009861DA">
        <w:rPr>
          <w:sz w:val="24"/>
          <w:szCs w:val="24"/>
        </w:rPr>
        <w:t xml:space="preserve"> rozsah, podmín</w:t>
      </w:r>
      <w:r w:rsidR="009E5766">
        <w:rPr>
          <w:sz w:val="24"/>
          <w:szCs w:val="24"/>
        </w:rPr>
        <w:t>ky</w:t>
      </w:r>
      <w:r w:rsidRPr="009861DA">
        <w:rPr>
          <w:sz w:val="24"/>
          <w:szCs w:val="24"/>
        </w:rPr>
        <w:t>, postup</w:t>
      </w:r>
      <w:r w:rsidR="009E5766">
        <w:rPr>
          <w:sz w:val="24"/>
          <w:szCs w:val="24"/>
        </w:rPr>
        <w:t>y</w:t>
      </w:r>
      <w:r w:rsidRPr="009861DA">
        <w:rPr>
          <w:sz w:val="24"/>
          <w:szCs w:val="24"/>
        </w:rPr>
        <w:t xml:space="preserve"> a způsob</w:t>
      </w:r>
      <w:r w:rsidR="009E5766">
        <w:rPr>
          <w:sz w:val="24"/>
          <w:szCs w:val="24"/>
        </w:rPr>
        <w:t>y</w:t>
      </w:r>
      <w:r w:rsidRPr="009861DA">
        <w:rPr>
          <w:sz w:val="24"/>
          <w:szCs w:val="24"/>
        </w:rPr>
        <w:t xml:space="preserve"> poskytování informací z</w:t>
      </w:r>
      <w:r w:rsidR="00140BBF">
        <w:rPr>
          <w:sz w:val="24"/>
          <w:szCs w:val="24"/>
        </w:rPr>
        <w:t> </w:t>
      </w:r>
      <w:r w:rsidRPr="009861DA">
        <w:rPr>
          <w:sz w:val="24"/>
          <w:szCs w:val="24"/>
        </w:rPr>
        <w:t xml:space="preserve">evidencí dálkovým přístupem nebo datovým reportem. GŘC poskytovalo údaje z mobilního dohledu, tj. </w:t>
      </w:r>
      <w:r w:rsidR="005E7D20">
        <w:rPr>
          <w:sz w:val="24"/>
          <w:szCs w:val="24"/>
        </w:rPr>
        <w:lastRenderedPageBreak/>
        <w:t>z </w:t>
      </w:r>
      <w:r w:rsidRPr="009861DA">
        <w:rPr>
          <w:sz w:val="24"/>
          <w:szCs w:val="24"/>
        </w:rPr>
        <w:t xml:space="preserve">evidence </w:t>
      </w:r>
      <w:r w:rsidR="005E7D20" w:rsidRPr="009861DA">
        <w:rPr>
          <w:sz w:val="24"/>
          <w:szCs w:val="24"/>
        </w:rPr>
        <w:t xml:space="preserve">kontrol </w:t>
      </w:r>
      <w:r w:rsidRPr="009861DA">
        <w:rPr>
          <w:sz w:val="24"/>
          <w:szCs w:val="24"/>
        </w:rPr>
        <w:t xml:space="preserve">provedených útvary dohledu CS ČR. Předávanými údaji </w:t>
      </w:r>
      <w:r w:rsidR="00174E78">
        <w:rPr>
          <w:sz w:val="24"/>
          <w:szCs w:val="24"/>
        </w:rPr>
        <w:t>byly</w:t>
      </w:r>
      <w:r w:rsidRPr="009861DA">
        <w:rPr>
          <w:sz w:val="24"/>
          <w:szCs w:val="24"/>
        </w:rPr>
        <w:t xml:space="preserve"> údaje o</w:t>
      </w:r>
      <w:r w:rsidR="005E7D20">
        <w:rPr>
          <w:sz w:val="24"/>
          <w:szCs w:val="24"/>
        </w:rPr>
        <w:t> </w:t>
      </w:r>
      <w:r w:rsidRPr="009861DA">
        <w:rPr>
          <w:sz w:val="24"/>
          <w:szCs w:val="24"/>
        </w:rPr>
        <w:t>zahájení kontroly, poplatníkovi, místě a výsledku šetření pro vybrané druhy činnosti včetně protokolů k nelegálnímu zaměstnávání.</w:t>
      </w:r>
      <w:r>
        <w:rPr>
          <w:rFonts w:cstheme="minorHAnsi"/>
          <w:sz w:val="24"/>
          <w:szCs w:val="24"/>
        </w:rPr>
        <w:t xml:space="preserve"> </w:t>
      </w:r>
      <w:r w:rsidR="00677BB6">
        <w:rPr>
          <w:sz w:val="24"/>
          <w:szCs w:val="24"/>
        </w:rPr>
        <w:t>NKÚ zjistil, že</w:t>
      </w:r>
      <w:r w:rsidRPr="009861DA">
        <w:rPr>
          <w:sz w:val="24"/>
          <w:szCs w:val="24"/>
        </w:rPr>
        <w:t xml:space="preserve"> GŘC předáv</w:t>
      </w:r>
      <w:r w:rsidR="00677BB6">
        <w:rPr>
          <w:sz w:val="24"/>
          <w:szCs w:val="24"/>
        </w:rPr>
        <w:t>alo</w:t>
      </w:r>
      <w:r w:rsidRPr="009861DA">
        <w:rPr>
          <w:sz w:val="24"/>
          <w:szCs w:val="24"/>
        </w:rPr>
        <w:t xml:space="preserve"> kontrolní protokoly včetně příloh pravidelně v měsíčních intervalech vždy na konci měsíce na sdílený server GFŘ. </w:t>
      </w:r>
    </w:p>
    <w:p w14:paraId="7036C72D" w14:textId="2D502EB8" w:rsidR="00FB0EFD" w:rsidRDefault="00FB0EFD" w:rsidP="008600FC">
      <w:pPr>
        <w:spacing w:line="240" w:lineRule="auto"/>
        <w:jc w:val="both"/>
        <w:rPr>
          <w:sz w:val="24"/>
          <w:szCs w:val="24"/>
        </w:rPr>
      </w:pPr>
      <w:r>
        <w:rPr>
          <w:sz w:val="24"/>
          <w:szCs w:val="24"/>
        </w:rPr>
        <w:t xml:space="preserve">NKÚ zjistil, </w:t>
      </w:r>
      <w:r w:rsidR="00963592">
        <w:rPr>
          <w:sz w:val="24"/>
          <w:szCs w:val="24"/>
        </w:rPr>
        <w:t xml:space="preserve">že v </w:t>
      </w:r>
      <w:r w:rsidR="00963592" w:rsidRPr="00A976F7">
        <w:rPr>
          <w:sz w:val="24"/>
          <w:szCs w:val="24"/>
        </w:rPr>
        <w:t xml:space="preserve">letech 2019 až 2023 předával SÚIP pravomocná rozhodnutí o zjištěném umožnění nelegálního zaměstnávání orgánům nemocenského pojištění prostřednictvím Úřadu práce ČR, a to </w:t>
      </w:r>
      <w:r w:rsidR="00052BA5">
        <w:rPr>
          <w:sz w:val="24"/>
          <w:szCs w:val="24"/>
        </w:rPr>
        <w:t>na</w:t>
      </w:r>
      <w:r w:rsidR="00963592" w:rsidRPr="00A976F7">
        <w:rPr>
          <w:sz w:val="24"/>
          <w:szCs w:val="24"/>
        </w:rPr>
        <w:t xml:space="preserve"> DVD nosič</w:t>
      </w:r>
      <w:r w:rsidR="00052BA5">
        <w:rPr>
          <w:sz w:val="24"/>
          <w:szCs w:val="24"/>
        </w:rPr>
        <w:t>ích</w:t>
      </w:r>
      <w:r w:rsidR="00963592" w:rsidRPr="00A976F7">
        <w:rPr>
          <w:sz w:val="24"/>
          <w:szCs w:val="24"/>
        </w:rPr>
        <w:t xml:space="preserve"> (později prostřednictvím </w:t>
      </w:r>
      <w:r w:rsidR="001F4D16">
        <w:rPr>
          <w:sz w:val="24"/>
          <w:szCs w:val="24"/>
        </w:rPr>
        <w:t xml:space="preserve">sdíleného datového </w:t>
      </w:r>
      <w:r w:rsidR="005E7D20">
        <w:rPr>
          <w:sz w:val="24"/>
          <w:szCs w:val="24"/>
        </w:rPr>
        <w:t>ú</w:t>
      </w:r>
      <w:r w:rsidR="001F4D16">
        <w:rPr>
          <w:sz w:val="24"/>
          <w:szCs w:val="24"/>
        </w:rPr>
        <w:t>ložiště</w:t>
      </w:r>
      <w:r w:rsidR="00963592" w:rsidRPr="00A976F7">
        <w:rPr>
          <w:sz w:val="24"/>
          <w:szCs w:val="24"/>
        </w:rPr>
        <w:t>). Z důvodu velkého objemu dat nebylo možné rozhodnutí předávat prostřednictvím datové schránky. Do ledna 2021 byl</w:t>
      </w:r>
      <w:r w:rsidR="005E7D20">
        <w:rPr>
          <w:sz w:val="24"/>
          <w:szCs w:val="24"/>
        </w:rPr>
        <w:t>y</w:t>
      </w:r>
      <w:r w:rsidR="00963592" w:rsidRPr="00A976F7">
        <w:rPr>
          <w:sz w:val="24"/>
          <w:szCs w:val="24"/>
        </w:rPr>
        <w:t xml:space="preserve"> DVD</w:t>
      </w:r>
      <w:r w:rsidR="005E7D20">
        <w:rPr>
          <w:sz w:val="24"/>
          <w:szCs w:val="24"/>
        </w:rPr>
        <w:t xml:space="preserve"> disky</w:t>
      </w:r>
      <w:r w:rsidR="00963592" w:rsidRPr="00A976F7">
        <w:rPr>
          <w:sz w:val="24"/>
          <w:szCs w:val="24"/>
        </w:rPr>
        <w:t xml:space="preserve"> předáván</w:t>
      </w:r>
      <w:r w:rsidR="005E7D20">
        <w:rPr>
          <w:sz w:val="24"/>
          <w:szCs w:val="24"/>
        </w:rPr>
        <w:t>y</w:t>
      </w:r>
      <w:r w:rsidR="00963592" w:rsidRPr="00A976F7">
        <w:rPr>
          <w:sz w:val="24"/>
          <w:szCs w:val="24"/>
        </w:rPr>
        <w:t xml:space="preserve"> v intervalu 4</w:t>
      </w:r>
      <w:r w:rsidR="005E7D20">
        <w:rPr>
          <w:sz w:val="24"/>
          <w:szCs w:val="24"/>
        </w:rPr>
        <w:t>×</w:t>
      </w:r>
      <w:r w:rsidR="00963592" w:rsidRPr="00A976F7">
        <w:rPr>
          <w:sz w:val="24"/>
          <w:szCs w:val="24"/>
        </w:rPr>
        <w:t xml:space="preserve"> ročně, v období od ledna 2021 do listopadu 2023 byla rozhodnutí předávána nepravidelně. Od listopadu 2023 jsou pravomocná rozhodnutí předávána ČSSZ k 15. dni v měsíci prostřednictvím sdíleného</w:t>
      </w:r>
      <w:r w:rsidR="001F4D16">
        <w:rPr>
          <w:sz w:val="24"/>
          <w:szCs w:val="24"/>
        </w:rPr>
        <w:t xml:space="preserve"> datového</w:t>
      </w:r>
      <w:r w:rsidR="00963592" w:rsidRPr="00A976F7">
        <w:rPr>
          <w:sz w:val="24"/>
          <w:szCs w:val="24"/>
        </w:rPr>
        <w:t xml:space="preserve"> úložiště, kde jsou data archivována.</w:t>
      </w:r>
      <w:r w:rsidR="00963592">
        <w:rPr>
          <w:sz w:val="24"/>
          <w:szCs w:val="24"/>
        </w:rPr>
        <w:t xml:space="preserve"> </w:t>
      </w:r>
      <w:r w:rsidR="00963592" w:rsidRPr="00A976F7">
        <w:rPr>
          <w:sz w:val="24"/>
          <w:szCs w:val="24"/>
        </w:rPr>
        <w:t xml:space="preserve">S účinností od 1. 1. 2024 je povinnost předávat pravomocná rozhodnutí o uložení pokuty za umožnění NLZ </w:t>
      </w:r>
      <w:r w:rsidR="005E7D20">
        <w:rPr>
          <w:sz w:val="24"/>
          <w:szCs w:val="24"/>
        </w:rPr>
        <w:t>stanovena</w:t>
      </w:r>
      <w:r w:rsidR="00963592" w:rsidRPr="00A976F7">
        <w:rPr>
          <w:sz w:val="24"/>
          <w:szCs w:val="24"/>
        </w:rPr>
        <w:t xml:space="preserve"> přímo S</w:t>
      </w:r>
      <w:r w:rsidR="005E7D20">
        <w:rPr>
          <w:sz w:val="24"/>
          <w:szCs w:val="24"/>
        </w:rPr>
        <w:t>tátnímu úřadu inspekce práce</w:t>
      </w:r>
      <w:r w:rsidR="00963592" w:rsidRPr="00A976F7">
        <w:rPr>
          <w:sz w:val="24"/>
          <w:szCs w:val="24"/>
        </w:rPr>
        <w:t xml:space="preserve"> (změnou § 117 z</w:t>
      </w:r>
      <w:r w:rsidR="00FF7468">
        <w:rPr>
          <w:sz w:val="24"/>
          <w:szCs w:val="24"/>
        </w:rPr>
        <w:t>ákona</w:t>
      </w:r>
      <w:r w:rsidR="00963592" w:rsidRPr="00A976F7">
        <w:rPr>
          <w:sz w:val="24"/>
          <w:szCs w:val="24"/>
        </w:rPr>
        <w:t xml:space="preserve"> č. 187/2006 Sb.). </w:t>
      </w:r>
      <w:r>
        <w:rPr>
          <w:sz w:val="24"/>
          <w:szCs w:val="24"/>
        </w:rPr>
        <w:t xml:space="preserve">ČSSZ obdržela </w:t>
      </w:r>
      <w:r w:rsidR="00857AEE">
        <w:rPr>
          <w:sz w:val="24"/>
          <w:szCs w:val="24"/>
        </w:rPr>
        <w:t>od</w:t>
      </w:r>
      <w:r>
        <w:rPr>
          <w:sz w:val="24"/>
          <w:szCs w:val="24"/>
        </w:rPr>
        <w:t xml:space="preserve"> Generálního ředitelství Úřadu práce </w:t>
      </w:r>
      <w:r w:rsidR="005E7D20">
        <w:rPr>
          <w:sz w:val="24"/>
          <w:szCs w:val="24"/>
        </w:rPr>
        <w:t xml:space="preserve">ČR </w:t>
      </w:r>
      <w:r w:rsidR="0013274D">
        <w:rPr>
          <w:sz w:val="24"/>
          <w:szCs w:val="24"/>
        </w:rPr>
        <w:t>v</w:t>
      </w:r>
      <w:r w:rsidR="0056342A">
        <w:rPr>
          <w:sz w:val="24"/>
          <w:szCs w:val="24"/>
        </w:rPr>
        <w:t xml:space="preserve"> </w:t>
      </w:r>
      <w:r w:rsidR="0013274D">
        <w:rPr>
          <w:sz w:val="24"/>
          <w:szCs w:val="24"/>
        </w:rPr>
        <w:t>letech 2019–2023 celkem 2 074 pravomocných rozhodnutí o</w:t>
      </w:r>
      <w:r w:rsidR="0056342A">
        <w:rPr>
          <w:sz w:val="24"/>
          <w:szCs w:val="24"/>
        </w:rPr>
        <w:t> </w:t>
      </w:r>
      <w:r w:rsidR="0013274D">
        <w:rPr>
          <w:sz w:val="24"/>
          <w:szCs w:val="24"/>
        </w:rPr>
        <w:t xml:space="preserve">uložení pokuty </w:t>
      </w:r>
      <w:r>
        <w:rPr>
          <w:sz w:val="24"/>
          <w:szCs w:val="24"/>
        </w:rPr>
        <w:t xml:space="preserve">a následně po </w:t>
      </w:r>
      <w:r w:rsidR="005E7D20">
        <w:rPr>
          <w:sz w:val="24"/>
          <w:szCs w:val="24"/>
        </w:rPr>
        <w:t>novelizaci</w:t>
      </w:r>
      <w:r>
        <w:rPr>
          <w:sz w:val="24"/>
          <w:szCs w:val="24"/>
        </w:rPr>
        <w:t xml:space="preserve"> zákona č. 187/2006 Sb. s účinností od 1.</w:t>
      </w:r>
      <w:r w:rsidR="005E7D20">
        <w:rPr>
          <w:sz w:val="24"/>
          <w:szCs w:val="24"/>
        </w:rPr>
        <w:t> </w:t>
      </w:r>
      <w:r>
        <w:rPr>
          <w:sz w:val="24"/>
          <w:szCs w:val="24"/>
        </w:rPr>
        <w:t>1.</w:t>
      </w:r>
      <w:r w:rsidR="005E7D20">
        <w:rPr>
          <w:sz w:val="24"/>
          <w:szCs w:val="24"/>
        </w:rPr>
        <w:t> </w:t>
      </w:r>
      <w:r>
        <w:rPr>
          <w:sz w:val="24"/>
          <w:szCs w:val="24"/>
        </w:rPr>
        <w:t xml:space="preserve">2024 </w:t>
      </w:r>
      <w:r w:rsidR="0013274D">
        <w:rPr>
          <w:sz w:val="24"/>
          <w:szCs w:val="24"/>
        </w:rPr>
        <w:t>obdržela od SÚIP do 13. 8. 2024 dalších 334 pravomocných rozhodnutí.</w:t>
      </w:r>
    </w:p>
    <w:p w14:paraId="0084043C" w14:textId="49D8400C" w:rsidR="008600FC" w:rsidRPr="009861DA" w:rsidRDefault="008600FC" w:rsidP="008600FC">
      <w:pPr>
        <w:spacing w:line="240" w:lineRule="auto"/>
        <w:jc w:val="both"/>
        <w:rPr>
          <w:sz w:val="24"/>
          <w:szCs w:val="24"/>
        </w:rPr>
      </w:pPr>
      <w:r>
        <w:rPr>
          <w:sz w:val="24"/>
          <w:szCs w:val="24"/>
        </w:rPr>
        <w:t>V</w:t>
      </w:r>
      <w:r w:rsidRPr="009861DA">
        <w:rPr>
          <w:sz w:val="24"/>
          <w:szCs w:val="24"/>
        </w:rPr>
        <w:t xml:space="preserve">ýměna informací mezi </w:t>
      </w:r>
      <w:r w:rsidR="003D69F6">
        <w:rPr>
          <w:sz w:val="24"/>
          <w:szCs w:val="24"/>
        </w:rPr>
        <w:t xml:space="preserve">GFŘ a </w:t>
      </w:r>
      <w:r w:rsidRPr="009861DA">
        <w:rPr>
          <w:sz w:val="24"/>
          <w:szCs w:val="24"/>
        </w:rPr>
        <w:t xml:space="preserve">ČSSZ </w:t>
      </w:r>
      <w:r>
        <w:rPr>
          <w:sz w:val="24"/>
          <w:szCs w:val="24"/>
        </w:rPr>
        <w:t>h</w:t>
      </w:r>
      <w:r w:rsidRPr="009861DA">
        <w:rPr>
          <w:sz w:val="24"/>
          <w:szCs w:val="24"/>
        </w:rPr>
        <w:t xml:space="preserve">istoricky vychází z jednání </w:t>
      </w:r>
      <w:r w:rsidR="0056342A">
        <w:rPr>
          <w:sz w:val="24"/>
          <w:szCs w:val="24"/>
        </w:rPr>
        <w:t>ze</w:t>
      </w:r>
      <w:r w:rsidRPr="009861DA">
        <w:rPr>
          <w:sz w:val="24"/>
          <w:szCs w:val="24"/>
        </w:rPr>
        <w:t xml:space="preserve"> </w:t>
      </w:r>
      <w:r w:rsidR="00016E91">
        <w:rPr>
          <w:sz w:val="24"/>
          <w:szCs w:val="24"/>
        </w:rPr>
        <w:t xml:space="preserve">dne </w:t>
      </w:r>
      <w:r w:rsidRPr="009861DA">
        <w:rPr>
          <w:sz w:val="24"/>
          <w:szCs w:val="24"/>
        </w:rPr>
        <w:t xml:space="preserve">13. 1. 2015, </w:t>
      </w:r>
      <w:r w:rsidR="0056342A">
        <w:rPr>
          <w:sz w:val="24"/>
          <w:szCs w:val="24"/>
        </w:rPr>
        <w:t>kde</w:t>
      </w:r>
      <w:r w:rsidRPr="009861DA">
        <w:rPr>
          <w:sz w:val="24"/>
          <w:szCs w:val="24"/>
        </w:rPr>
        <w:t xml:space="preserve"> se GFŘ a ČSSZ shodly, že výměna informací bude probíhat mezi </w:t>
      </w:r>
      <w:r w:rsidR="000916D1">
        <w:rPr>
          <w:sz w:val="24"/>
          <w:szCs w:val="24"/>
        </w:rPr>
        <w:t>o</w:t>
      </w:r>
      <w:r w:rsidRPr="009861DA">
        <w:rPr>
          <w:sz w:val="24"/>
          <w:szCs w:val="24"/>
        </w:rPr>
        <w:t xml:space="preserve">kresními správami sociálního zabezpečení </w:t>
      </w:r>
      <w:r w:rsidR="00526597">
        <w:rPr>
          <w:sz w:val="24"/>
          <w:szCs w:val="24"/>
        </w:rPr>
        <w:t xml:space="preserve">(dále také „OSSZ“) </w:t>
      </w:r>
      <w:r w:rsidRPr="009861DA">
        <w:rPr>
          <w:sz w:val="24"/>
          <w:szCs w:val="24"/>
        </w:rPr>
        <w:t>a místně příslušným správcem daně. V návaznosti na opatření</w:t>
      </w:r>
      <w:r w:rsidR="008111D9">
        <w:rPr>
          <w:sz w:val="24"/>
          <w:szCs w:val="24"/>
        </w:rPr>
        <w:t xml:space="preserve"> </w:t>
      </w:r>
      <w:r w:rsidR="00CE7590" w:rsidRPr="009861DA">
        <w:rPr>
          <w:sz w:val="24"/>
          <w:szCs w:val="24"/>
        </w:rPr>
        <w:t>přijat</w:t>
      </w:r>
      <w:r w:rsidR="00CE7590">
        <w:rPr>
          <w:sz w:val="24"/>
          <w:szCs w:val="24"/>
        </w:rPr>
        <w:t>é</w:t>
      </w:r>
      <w:r w:rsidR="00CE7590" w:rsidRPr="009861DA">
        <w:rPr>
          <w:sz w:val="24"/>
          <w:szCs w:val="24"/>
        </w:rPr>
        <w:t xml:space="preserve"> </w:t>
      </w:r>
      <w:r w:rsidR="00CE7590">
        <w:rPr>
          <w:sz w:val="24"/>
          <w:szCs w:val="24"/>
        </w:rPr>
        <w:t xml:space="preserve">ke zjištění </w:t>
      </w:r>
      <w:r w:rsidR="0056342A">
        <w:rPr>
          <w:sz w:val="24"/>
          <w:szCs w:val="24"/>
        </w:rPr>
        <w:t>z</w:t>
      </w:r>
      <w:r w:rsidRPr="009861DA">
        <w:rPr>
          <w:sz w:val="24"/>
          <w:szCs w:val="24"/>
        </w:rPr>
        <w:t xml:space="preserve"> KA č. 18/32 GFŘ uvedlo, že předmětem výměny informací mají být nově data týkající se již pravomocně vyměřené daně</w:t>
      </w:r>
      <w:r>
        <w:rPr>
          <w:sz w:val="24"/>
          <w:szCs w:val="24"/>
        </w:rPr>
        <w:t>. Z</w:t>
      </w:r>
      <w:r w:rsidRPr="009861DA">
        <w:rPr>
          <w:sz w:val="24"/>
          <w:szCs w:val="24"/>
        </w:rPr>
        <w:t xml:space="preserve"> GFŘ </w:t>
      </w:r>
      <w:r w:rsidR="000916D1">
        <w:rPr>
          <w:sz w:val="24"/>
          <w:szCs w:val="24"/>
        </w:rPr>
        <w:t>měla být</w:t>
      </w:r>
      <w:r w:rsidR="000916D1" w:rsidRPr="009861DA">
        <w:rPr>
          <w:sz w:val="24"/>
          <w:szCs w:val="24"/>
        </w:rPr>
        <w:t xml:space="preserve"> </w:t>
      </w:r>
      <w:r w:rsidRPr="009861DA">
        <w:rPr>
          <w:sz w:val="24"/>
          <w:szCs w:val="24"/>
        </w:rPr>
        <w:t>předávána data získaná z</w:t>
      </w:r>
      <w:r w:rsidR="0056342A">
        <w:rPr>
          <w:sz w:val="24"/>
          <w:szCs w:val="24"/>
        </w:rPr>
        <w:t> </w:t>
      </w:r>
      <w:r w:rsidRPr="009861DA">
        <w:rPr>
          <w:sz w:val="24"/>
          <w:szCs w:val="24"/>
        </w:rPr>
        <w:t xml:space="preserve">daňových přiznání </w:t>
      </w:r>
      <w:r w:rsidR="0056342A">
        <w:rPr>
          <w:sz w:val="24"/>
          <w:szCs w:val="24"/>
        </w:rPr>
        <w:t xml:space="preserve">k </w:t>
      </w:r>
      <w:r w:rsidRPr="009861DA">
        <w:rPr>
          <w:sz w:val="24"/>
          <w:szCs w:val="24"/>
        </w:rPr>
        <w:t xml:space="preserve">DPFO, daňového řízení DPFO, z kontrolní činnosti </w:t>
      </w:r>
      <w:r w:rsidR="0056342A">
        <w:rPr>
          <w:sz w:val="24"/>
          <w:szCs w:val="24"/>
        </w:rPr>
        <w:t xml:space="preserve">v oblasti </w:t>
      </w:r>
      <w:r w:rsidRPr="009861DA">
        <w:rPr>
          <w:sz w:val="24"/>
          <w:szCs w:val="24"/>
        </w:rPr>
        <w:t>daně z příjm</w:t>
      </w:r>
      <w:r w:rsidR="0040548F">
        <w:rPr>
          <w:sz w:val="24"/>
          <w:szCs w:val="24"/>
        </w:rPr>
        <w:t>ů</w:t>
      </w:r>
      <w:r w:rsidRPr="009861DA">
        <w:rPr>
          <w:sz w:val="24"/>
          <w:szCs w:val="24"/>
        </w:rPr>
        <w:t xml:space="preserve"> ze závislé činnosti</w:t>
      </w:r>
      <w:r w:rsidR="00920D07">
        <w:rPr>
          <w:sz w:val="24"/>
          <w:szCs w:val="24"/>
        </w:rPr>
        <w:t>.</w:t>
      </w:r>
    </w:p>
    <w:p w14:paraId="63A32113" w14:textId="6FF343C0" w:rsidR="008600FC" w:rsidRPr="009861DA" w:rsidRDefault="008600FC" w:rsidP="008600FC">
      <w:pPr>
        <w:spacing w:line="240" w:lineRule="auto"/>
        <w:jc w:val="both"/>
        <w:rPr>
          <w:sz w:val="24"/>
          <w:szCs w:val="24"/>
        </w:rPr>
      </w:pPr>
      <w:r w:rsidRPr="009861DA">
        <w:rPr>
          <w:sz w:val="24"/>
          <w:szCs w:val="24"/>
        </w:rPr>
        <w:t>NKÚ zjistil,</w:t>
      </w:r>
      <w:r w:rsidR="002A4C74">
        <w:rPr>
          <w:sz w:val="24"/>
          <w:szCs w:val="24"/>
        </w:rPr>
        <w:t xml:space="preserve"> </w:t>
      </w:r>
      <w:r w:rsidR="00250E2A">
        <w:rPr>
          <w:sz w:val="24"/>
          <w:szCs w:val="24"/>
        </w:rPr>
        <w:t xml:space="preserve">že </w:t>
      </w:r>
      <w:r w:rsidR="007925B1">
        <w:rPr>
          <w:sz w:val="24"/>
          <w:szCs w:val="24"/>
        </w:rPr>
        <w:t>ačkoli</w:t>
      </w:r>
      <w:r w:rsidR="00250E2A">
        <w:rPr>
          <w:sz w:val="24"/>
          <w:szCs w:val="24"/>
        </w:rPr>
        <w:t xml:space="preserve"> GFŘ přijalo</w:t>
      </w:r>
      <w:r w:rsidR="00E21DEB">
        <w:rPr>
          <w:sz w:val="24"/>
          <w:szCs w:val="24"/>
        </w:rPr>
        <w:t xml:space="preserve"> </w:t>
      </w:r>
      <w:r w:rsidR="00250E2A">
        <w:rPr>
          <w:sz w:val="24"/>
          <w:szCs w:val="24"/>
        </w:rPr>
        <w:t xml:space="preserve">opatření ke zjištění </w:t>
      </w:r>
      <w:r w:rsidR="007925B1">
        <w:rPr>
          <w:sz w:val="24"/>
          <w:szCs w:val="24"/>
        </w:rPr>
        <w:t>z</w:t>
      </w:r>
      <w:r w:rsidR="00250E2A">
        <w:rPr>
          <w:sz w:val="24"/>
          <w:szCs w:val="24"/>
        </w:rPr>
        <w:t xml:space="preserve"> KA č. 18/32, </w:t>
      </w:r>
      <w:r w:rsidR="00E21DEB">
        <w:rPr>
          <w:sz w:val="24"/>
          <w:szCs w:val="24"/>
        </w:rPr>
        <w:t xml:space="preserve">ke změně způsobu výměny informací mezi GFŘ </w:t>
      </w:r>
      <w:r w:rsidR="00250E2A">
        <w:rPr>
          <w:sz w:val="24"/>
          <w:szCs w:val="24"/>
        </w:rPr>
        <w:t>a ČSSZ</w:t>
      </w:r>
      <w:r w:rsidR="002A4C74">
        <w:rPr>
          <w:sz w:val="24"/>
          <w:szCs w:val="24"/>
        </w:rPr>
        <w:t xml:space="preserve"> </w:t>
      </w:r>
      <w:r w:rsidR="00E21DEB">
        <w:rPr>
          <w:sz w:val="24"/>
          <w:szCs w:val="24"/>
        </w:rPr>
        <w:t>nedošlo</w:t>
      </w:r>
      <w:r w:rsidRPr="009861DA">
        <w:rPr>
          <w:sz w:val="24"/>
          <w:szCs w:val="24"/>
        </w:rPr>
        <w:t xml:space="preserve">, tj. probíhala pouze na úrovni FÚ a OSSZ. Dále </w:t>
      </w:r>
      <w:r w:rsidR="00E66F73">
        <w:rPr>
          <w:sz w:val="24"/>
          <w:szCs w:val="24"/>
        </w:rPr>
        <w:t xml:space="preserve">NKÚ </w:t>
      </w:r>
      <w:r w:rsidRPr="009861DA">
        <w:rPr>
          <w:sz w:val="24"/>
          <w:szCs w:val="24"/>
        </w:rPr>
        <w:t xml:space="preserve">zjistil, že GFŘ a ČSSZ od srpna 2021 do října 2022 jednaly o budoucí formě vzájemné výměny informací, přičemž v následujících obdobích probíhala jednání týkající se převážně nastavení technického řešení vzájemné výměny informací. Účelem této výměny informací </w:t>
      </w:r>
      <w:r w:rsidR="00E66F73">
        <w:rPr>
          <w:sz w:val="24"/>
          <w:szCs w:val="24"/>
        </w:rPr>
        <w:t>má být</w:t>
      </w:r>
      <w:r w:rsidRPr="009861DA">
        <w:rPr>
          <w:sz w:val="24"/>
          <w:szCs w:val="24"/>
        </w:rPr>
        <w:t xml:space="preserve"> zejména správné stanovení daňových povinností </w:t>
      </w:r>
      <w:r w:rsidR="007925B1">
        <w:rPr>
          <w:sz w:val="24"/>
          <w:szCs w:val="24"/>
        </w:rPr>
        <w:t>ze</w:t>
      </w:r>
      <w:r w:rsidRPr="009861DA">
        <w:rPr>
          <w:sz w:val="24"/>
          <w:szCs w:val="24"/>
        </w:rPr>
        <w:t xml:space="preserve"> stran</w:t>
      </w:r>
      <w:r w:rsidR="007925B1">
        <w:rPr>
          <w:sz w:val="24"/>
          <w:szCs w:val="24"/>
        </w:rPr>
        <w:t>y</w:t>
      </w:r>
      <w:r w:rsidRPr="009861DA">
        <w:rPr>
          <w:sz w:val="24"/>
          <w:szCs w:val="24"/>
        </w:rPr>
        <w:t xml:space="preserve"> FS </w:t>
      </w:r>
      <w:r w:rsidR="00CE3D4E">
        <w:rPr>
          <w:sz w:val="24"/>
          <w:szCs w:val="24"/>
        </w:rPr>
        <w:t xml:space="preserve">ČR </w:t>
      </w:r>
      <w:r w:rsidRPr="009861DA">
        <w:rPr>
          <w:sz w:val="24"/>
          <w:szCs w:val="24"/>
        </w:rPr>
        <w:t xml:space="preserve">a rovněž i správné vyměření pojistného </w:t>
      </w:r>
      <w:r w:rsidR="007925B1">
        <w:rPr>
          <w:sz w:val="24"/>
          <w:szCs w:val="24"/>
        </w:rPr>
        <w:t>ze</w:t>
      </w:r>
      <w:r w:rsidRPr="009861DA">
        <w:rPr>
          <w:sz w:val="24"/>
          <w:szCs w:val="24"/>
        </w:rPr>
        <w:t xml:space="preserve"> stran</w:t>
      </w:r>
      <w:r w:rsidR="007925B1">
        <w:rPr>
          <w:sz w:val="24"/>
          <w:szCs w:val="24"/>
        </w:rPr>
        <w:t>y</w:t>
      </w:r>
      <w:r w:rsidRPr="009861DA">
        <w:rPr>
          <w:sz w:val="24"/>
          <w:szCs w:val="24"/>
        </w:rPr>
        <w:t xml:space="preserve"> orgánů správy sociálního zabezpečení.</w:t>
      </w:r>
      <w:r w:rsidR="002A4C74">
        <w:rPr>
          <w:sz w:val="24"/>
          <w:szCs w:val="24"/>
        </w:rPr>
        <w:t xml:space="preserve"> </w:t>
      </w:r>
    </w:p>
    <w:p w14:paraId="0438C759" w14:textId="5C68C249" w:rsidR="00BC5F75" w:rsidRPr="00090DB2" w:rsidRDefault="00793981" w:rsidP="006164D5">
      <w:pPr>
        <w:pStyle w:val="Nadpis3"/>
        <w:spacing w:before="240" w:after="160"/>
      </w:pPr>
      <w:bookmarkStart w:id="11" w:name="_Hlk198581932"/>
      <w:r w:rsidRPr="00793981">
        <w:t>Meziresortní orgán pro potírání nelegálního zaměstnávání</w:t>
      </w:r>
      <w:r w:rsidR="007925B1">
        <w:t xml:space="preserve"> (MOPNZ)</w:t>
      </w:r>
    </w:p>
    <w:bookmarkEnd w:id="11"/>
    <w:p w14:paraId="1144606D" w14:textId="5CAC724A" w:rsidR="00BC5F75" w:rsidRPr="00752CD1" w:rsidRDefault="00BC5F75" w:rsidP="00BC5F75">
      <w:pPr>
        <w:spacing w:line="240" w:lineRule="auto"/>
        <w:jc w:val="both"/>
        <w:rPr>
          <w:sz w:val="24"/>
          <w:szCs w:val="24"/>
          <w:lang w:eastAsia="cs-CZ"/>
        </w:rPr>
      </w:pPr>
      <w:r w:rsidRPr="00752CD1">
        <w:rPr>
          <w:sz w:val="24"/>
          <w:szCs w:val="24"/>
          <w:lang w:eastAsia="cs-CZ"/>
        </w:rPr>
        <w:t xml:space="preserve">MOPNZ se zabývá koncepcí </w:t>
      </w:r>
      <w:r w:rsidR="007925B1">
        <w:rPr>
          <w:sz w:val="24"/>
          <w:szCs w:val="24"/>
          <w:lang w:eastAsia="cs-CZ"/>
        </w:rPr>
        <w:t>postupu proti</w:t>
      </w:r>
      <w:r w:rsidRPr="00752CD1">
        <w:rPr>
          <w:sz w:val="24"/>
          <w:szCs w:val="24"/>
          <w:lang w:eastAsia="cs-CZ"/>
        </w:rPr>
        <w:t xml:space="preserve"> nelegální</w:t>
      </w:r>
      <w:r w:rsidR="007925B1">
        <w:rPr>
          <w:sz w:val="24"/>
          <w:szCs w:val="24"/>
          <w:lang w:eastAsia="cs-CZ"/>
        </w:rPr>
        <w:t>mu</w:t>
      </w:r>
      <w:r w:rsidRPr="00752CD1">
        <w:rPr>
          <w:sz w:val="24"/>
          <w:szCs w:val="24"/>
          <w:lang w:eastAsia="cs-CZ"/>
        </w:rPr>
        <w:t xml:space="preserve"> zaměstnávání</w:t>
      </w:r>
      <w:r>
        <w:rPr>
          <w:sz w:val="24"/>
          <w:szCs w:val="24"/>
          <w:lang w:eastAsia="cs-CZ"/>
        </w:rPr>
        <w:t>. N</w:t>
      </w:r>
      <w:r w:rsidRPr="00752CD1">
        <w:rPr>
          <w:sz w:val="24"/>
          <w:szCs w:val="24"/>
          <w:lang w:eastAsia="cs-CZ"/>
        </w:rPr>
        <w:t xml:space="preserve">a </w:t>
      </w:r>
      <w:r>
        <w:rPr>
          <w:sz w:val="24"/>
          <w:szCs w:val="24"/>
          <w:lang w:eastAsia="cs-CZ"/>
        </w:rPr>
        <w:t xml:space="preserve">jeho </w:t>
      </w:r>
      <w:r w:rsidRPr="00752CD1">
        <w:rPr>
          <w:sz w:val="24"/>
          <w:szCs w:val="24"/>
          <w:lang w:eastAsia="cs-CZ"/>
        </w:rPr>
        <w:t>jednáních jsou konzultovány věcné záměry právní úpravy v oblasti zaměstnávání, platná a účinná legislativa, mezinárodní přesah agendy a výkon agendy správními orgány.</w:t>
      </w:r>
      <w:r>
        <w:rPr>
          <w:sz w:val="24"/>
          <w:szCs w:val="24"/>
          <w:lang w:eastAsia="cs-CZ"/>
        </w:rPr>
        <w:t xml:space="preserve"> Prostřednictvím MOPNZ mohou členské instituce zejména uplatňovat připomínky a návrhy související s projednávanou problematikou a </w:t>
      </w:r>
      <w:r w:rsidR="001C1A9A">
        <w:rPr>
          <w:sz w:val="24"/>
          <w:szCs w:val="24"/>
          <w:lang w:eastAsia="cs-CZ"/>
        </w:rPr>
        <w:t xml:space="preserve">koordinovat </w:t>
      </w:r>
      <w:r w:rsidR="007925B1">
        <w:rPr>
          <w:sz w:val="24"/>
          <w:szCs w:val="24"/>
          <w:lang w:eastAsia="cs-CZ"/>
        </w:rPr>
        <w:t xml:space="preserve">svou </w:t>
      </w:r>
      <w:r w:rsidR="001C1A9A">
        <w:rPr>
          <w:sz w:val="24"/>
          <w:szCs w:val="24"/>
          <w:lang w:eastAsia="cs-CZ"/>
        </w:rPr>
        <w:t xml:space="preserve">činnost </w:t>
      </w:r>
      <w:r w:rsidR="007925B1">
        <w:rPr>
          <w:sz w:val="24"/>
          <w:szCs w:val="24"/>
          <w:lang w:eastAsia="cs-CZ"/>
        </w:rPr>
        <w:t>v oblasti NLZ</w:t>
      </w:r>
      <w:r w:rsidR="001C1A9A">
        <w:rPr>
          <w:sz w:val="24"/>
          <w:szCs w:val="24"/>
          <w:lang w:eastAsia="cs-CZ"/>
        </w:rPr>
        <w:t>.</w:t>
      </w:r>
    </w:p>
    <w:p w14:paraId="0733E6D4" w14:textId="5DA873B4" w:rsidR="00BC5F75" w:rsidRPr="00752CD1" w:rsidRDefault="00BC5F75" w:rsidP="00440BD0">
      <w:pPr>
        <w:spacing w:after="0" w:line="240" w:lineRule="auto"/>
        <w:jc w:val="both"/>
        <w:rPr>
          <w:sz w:val="24"/>
          <w:szCs w:val="24"/>
          <w:lang w:eastAsia="cs-CZ"/>
        </w:rPr>
      </w:pPr>
      <w:r w:rsidRPr="00752CD1">
        <w:rPr>
          <w:sz w:val="24"/>
          <w:szCs w:val="24"/>
          <w:lang w:eastAsia="cs-CZ"/>
        </w:rPr>
        <w:t>MOPNZ má tři stál</w:t>
      </w:r>
      <w:r w:rsidR="00CE7590">
        <w:rPr>
          <w:sz w:val="24"/>
          <w:szCs w:val="24"/>
          <w:lang w:eastAsia="cs-CZ"/>
        </w:rPr>
        <w:t>é</w:t>
      </w:r>
      <w:r w:rsidRPr="00752CD1">
        <w:rPr>
          <w:sz w:val="24"/>
          <w:szCs w:val="24"/>
          <w:lang w:eastAsia="cs-CZ"/>
        </w:rPr>
        <w:t xml:space="preserve"> pracovní skupiny:</w:t>
      </w:r>
    </w:p>
    <w:p w14:paraId="6D2B1374" w14:textId="77777777" w:rsidR="00BC5F75" w:rsidRPr="00752CD1" w:rsidRDefault="00BC5F75" w:rsidP="00440BD0">
      <w:pPr>
        <w:pStyle w:val="Odstavecseseznamem"/>
        <w:numPr>
          <w:ilvl w:val="0"/>
          <w:numId w:val="15"/>
        </w:numPr>
        <w:spacing w:after="0" w:line="240" w:lineRule="auto"/>
        <w:jc w:val="both"/>
        <w:rPr>
          <w:sz w:val="24"/>
          <w:szCs w:val="24"/>
          <w:lang w:eastAsia="cs-CZ"/>
        </w:rPr>
      </w:pPr>
      <w:r w:rsidRPr="00752CD1">
        <w:rPr>
          <w:sz w:val="24"/>
          <w:szCs w:val="24"/>
          <w:lang w:eastAsia="cs-CZ"/>
        </w:rPr>
        <w:t>pracovní skupinu k problematice zaměstnávání cizinců,</w:t>
      </w:r>
    </w:p>
    <w:p w14:paraId="28962B13" w14:textId="77777777" w:rsidR="00BC5F75" w:rsidRPr="00752CD1" w:rsidRDefault="00BC5F75" w:rsidP="00BC5F75">
      <w:pPr>
        <w:pStyle w:val="Odstavecseseznamem"/>
        <w:numPr>
          <w:ilvl w:val="0"/>
          <w:numId w:val="15"/>
        </w:numPr>
        <w:spacing w:line="240" w:lineRule="auto"/>
        <w:jc w:val="both"/>
        <w:rPr>
          <w:sz w:val="24"/>
          <w:szCs w:val="24"/>
          <w:lang w:eastAsia="cs-CZ"/>
        </w:rPr>
      </w:pPr>
      <w:r w:rsidRPr="00752CD1">
        <w:rPr>
          <w:sz w:val="24"/>
          <w:szCs w:val="24"/>
          <w:lang w:eastAsia="cs-CZ"/>
        </w:rPr>
        <w:t>pracovní skupinu k problematice nelegální práce,</w:t>
      </w:r>
    </w:p>
    <w:p w14:paraId="23FF3AF7" w14:textId="5EA962E3" w:rsidR="00BC5F75" w:rsidRPr="0013016F" w:rsidRDefault="007925B1" w:rsidP="006164D5">
      <w:pPr>
        <w:pStyle w:val="Odstavecseseznamem"/>
        <w:numPr>
          <w:ilvl w:val="0"/>
          <w:numId w:val="15"/>
        </w:numPr>
        <w:spacing w:line="240" w:lineRule="auto"/>
        <w:rPr>
          <w:sz w:val="24"/>
          <w:szCs w:val="24"/>
          <w:lang w:eastAsia="cs-CZ"/>
        </w:rPr>
      </w:pPr>
      <w:r>
        <w:rPr>
          <w:sz w:val="24"/>
          <w:szCs w:val="24"/>
          <w:lang w:eastAsia="cs-CZ"/>
        </w:rPr>
        <w:t>p</w:t>
      </w:r>
      <w:r w:rsidR="00BC5F75" w:rsidRPr="00752CD1">
        <w:rPr>
          <w:sz w:val="24"/>
          <w:szCs w:val="24"/>
          <w:lang w:eastAsia="cs-CZ"/>
        </w:rPr>
        <w:t>racovní skupinu k problematice agenturního zaměstnávání a zastřeného zprostředkování zaměstnání.</w:t>
      </w:r>
    </w:p>
    <w:p w14:paraId="1185DF03" w14:textId="5855AF50" w:rsidR="00BC5F75" w:rsidRDefault="00BC5F75" w:rsidP="00BC5F75">
      <w:pPr>
        <w:spacing w:line="240" w:lineRule="auto"/>
        <w:jc w:val="both"/>
        <w:rPr>
          <w:sz w:val="24"/>
          <w:szCs w:val="24"/>
          <w:lang w:eastAsia="cs-CZ"/>
        </w:rPr>
      </w:pPr>
      <w:r>
        <w:rPr>
          <w:sz w:val="24"/>
          <w:szCs w:val="24"/>
          <w:lang w:eastAsia="cs-CZ"/>
        </w:rPr>
        <w:lastRenderedPageBreak/>
        <w:t xml:space="preserve">V letech 2019, 2022 a 2023 byly vládě předloženy materiály </w:t>
      </w:r>
      <w:r w:rsidR="007925B1">
        <w:rPr>
          <w:sz w:val="24"/>
          <w:szCs w:val="24"/>
          <w:lang w:eastAsia="cs-CZ"/>
        </w:rPr>
        <w:t xml:space="preserve">s názvem </w:t>
      </w:r>
      <w:r w:rsidRPr="008B290F">
        <w:rPr>
          <w:i/>
          <w:iCs/>
          <w:sz w:val="24"/>
          <w:szCs w:val="24"/>
          <w:lang w:eastAsia="cs-CZ"/>
        </w:rPr>
        <w:t>Souhrnná informace o</w:t>
      </w:r>
      <w:r w:rsidR="007925B1">
        <w:rPr>
          <w:i/>
          <w:iCs/>
          <w:sz w:val="24"/>
          <w:szCs w:val="24"/>
          <w:lang w:eastAsia="cs-CZ"/>
        </w:rPr>
        <w:t> </w:t>
      </w:r>
      <w:r w:rsidRPr="008B290F">
        <w:rPr>
          <w:i/>
          <w:iCs/>
          <w:sz w:val="24"/>
          <w:szCs w:val="24"/>
          <w:lang w:eastAsia="cs-CZ"/>
        </w:rPr>
        <w:t>aktivitách realizovaných příslušnými resorty v oblasti potírání nelegálního zaměstnávání</w:t>
      </w:r>
      <w:r w:rsidR="00C25745" w:rsidRPr="006164D5">
        <w:rPr>
          <w:rStyle w:val="Znakapoznpodarou"/>
          <w:sz w:val="24"/>
          <w:szCs w:val="24"/>
          <w:lang w:eastAsia="cs-CZ"/>
        </w:rPr>
        <w:footnoteReference w:id="25"/>
      </w:r>
      <w:r w:rsidRPr="007925B1">
        <w:rPr>
          <w:sz w:val="24"/>
          <w:szCs w:val="24"/>
          <w:lang w:eastAsia="cs-CZ"/>
        </w:rPr>
        <w:t xml:space="preserve"> </w:t>
      </w:r>
      <w:r>
        <w:rPr>
          <w:sz w:val="24"/>
          <w:szCs w:val="24"/>
          <w:lang w:eastAsia="cs-CZ"/>
        </w:rPr>
        <w:t xml:space="preserve">vždy za předcházející rok jako jeden z výsledků činnosti MOPNZ. Tyto informace poskytly přehled o činnosti MOPNZ a dalších aktivitách MPSV, plánovaných, příp. přijatých legislativních změnách s dopadem na oblast nelegálního zaměstnávání a o činnostech vybraných členských institucí (především SÚIP, </w:t>
      </w:r>
      <w:r w:rsidR="00016E91">
        <w:rPr>
          <w:sz w:val="24"/>
          <w:szCs w:val="24"/>
          <w:lang w:eastAsia="cs-CZ"/>
        </w:rPr>
        <w:t>GFŘ</w:t>
      </w:r>
      <w:r>
        <w:rPr>
          <w:sz w:val="24"/>
          <w:szCs w:val="24"/>
          <w:lang w:eastAsia="cs-CZ"/>
        </w:rPr>
        <w:t xml:space="preserve">, </w:t>
      </w:r>
      <w:r w:rsidR="00016E91">
        <w:rPr>
          <w:sz w:val="24"/>
          <w:szCs w:val="24"/>
          <w:lang w:eastAsia="cs-CZ"/>
        </w:rPr>
        <w:t>GŘC</w:t>
      </w:r>
      <w:r>
        <w:rPr>
          <w:sz w:val="24"/>
          <w:szCs w:val="24"/>
          <w:lang w:eastAsia="cs-CZ"/>
        </w:rPr>
        <w:t>, Ministerstva vnitra, Ministerstva zahraničních věcí, Ministerstva průmyslu a obchodu).</w:t>
      </w:r>
    </w:p>
    <w:p w14:paraId="57C9424A" w14:textId="77777777" w:rsidR="00F46901" w:rsidRDefault="00F46901" w:rsidP="00F46901">
      <w:pPr>
        <w:spacing w:line="240" w:lineRule="auto"/>
        <w:jc w:val="both"/>
        <w:rPr>
          <w:sz w:val="24"/>
          <w:szCs w:val="24"/>
          <w:lang w:eastAsia="cs-CZ"/>
        </w:rPr>
      </w:pPr>
      <w:r>
        <w:rPr>
          <w:sz w:val="24"/>
          <w:szCs w:val="24"/>
          <w:lang w:eastAsia="cs-CZ"/>
        </w:rPr>
        <w:t xml:space="preserve">Na jednáních MOPNZ a jeho pracovních skupin byly projednávány návrhy na legislativní změny týkající se oblasti nelegálního zaměstnávání, prezentovány informace o kontrolní činnosti SÚIP a GŘC, poskytovány informace o aktivitách Evropské platformy pro posílení spolupráce při řešení problematiky nehlášené práce apod. </w:t>
      </w:r>
    </w:p>
    <w:p w14:paraId="5F0106AB" w14:textId="574CA667" w:rsidR="00F46901" w:rsidRDefault="00F46901" w:rsidP="00DF56E2">
      <w:pPr>
        <w:spacing w:line="240" w:lineRule="auto"/>
        <w:jc w:val="both"/>
        <w:rPr>
          <w:sz w:val="24"/>
          <w:szCs w:val="24"/>
          <w:lang w:eastAsia="cs-CZ"/>
        </w:rPr>
      </w:pPr>
      <w:r>
        <w:rPr>
          <w:sz w:val="24"/>
          <w:szCs w:val="24"/>
          <w:lang w:eastAsia="cs-CZ"/>
        </w:rPr>
        <w:t>Přehled n</w:t>
      </w:r>
      <w:r w:rsidR="0062049E">
        <w:rPr>
          <w:sz w:val="24"/>
          <w:szCs w:val="24"/>
          <w:lang w:eastAsia="cs-CZ"/>
        </w:rPr>
        <w:t>avržených</w:t>
      </w:r>
      <w:r>
        <w:rPr>
          <w:sz w:val="24"/>
          <w:szCs w:val="24"/>
          <w:lang w:eastAsia="cs-CZ"/>
        </w:rPr>
        <w:t xml:space="preserve"> legislativních opatření zpracovalo MPSV v materiálu </w:t>
      </w:r>
      <w:r w:rsidRPr="00584F64">
        <w:rPr>
          <w:i/>
          <w:iCs/>
          <w:sz w:val="24"/>
          <w:szCs w:val="24"/>
          <w:lang w:eastAsia="cs-CZ"/>
        </w:rPr>
        <w:t>Návrh opatření na potírání nelegální práce a zastřeného zprostředkování zaměstnání.</w:t>
      </w:r>
      <w:r>
        <w:rPr>
          <w:sz w:val="24"/>
          <w:szCs w:val="24"/>
          <w:lang w:eastAsia="cs-CZ"/>
        </w:rPr>
        <w:t xml:space="preserve"> První skupinu legislativních opatření se podařilo prosadit v podobě novely zákona o zaměstnanosti.</w:t>
      </w:r>
      <w:r>
        <w:rPr>
          <w:rStyle w:val="Znakapoznpodarou"/>
          <w:sz w:val="24"/>
          <w:szCs w:val="24"/>
          <w:lang w:eastAsia="cs-CZ"/>
        </w:rPr>
        <w:footnoteReference w:id="26"/>
      </w:r>
      <w:r>
        <w:rPr>
          <w:sz w:val="24"/>
          <w:szCs w:val="24"/>
          <w:lang w:eastAsia="cs-CZ"/>
        </w:rPr>
        <w:t xml:space="preserve"> Jedná se např. o</w:t>
      </w:r>
      <w:r w:rsidR="0062049E">
        <w:rPr>
          <w:sz w:val="24"/>
          <w:szCs w:val="24"/>
          <w:lang w:eastAsia="cs-CZ"/>
        </w:rPr>
        <w:t> </w:t>
      </w:r>
      <w:r>
        <w:rPr>
          <w:sz w:val="24"/>
          <w:szCs w:val="24"/>
          <w:lang w:eastAsia="cs-CZ"/>
        </w:rPr>
        <w:t xml:space="preserve">změnu definice nelegální práce, nový trest zákazu činnosti za přestupek umožnění výkonu nelegální práce, ručení za pokutu uloženou za umožnění výkonu nelegální práce v rámci subdodavatelských řetězců a rozšíření sekundárních postihů za umožnění nelegální práce. </w:t>
      </w:r>
    </w:p>
    <w:p w14:paraId="745C0D1A" w14:textId="326132F5" w:rsidR="00DF56E2" w:rsidRDefault="00631AC7" w:rsidP="00DF56E2">
      <w:pPr>
        <w:autoSpaceDE w:val="0"/>
        <w:autoSpaceDN w:val="0"/>
        <w:adjustRightInd w:val="0"/>
        <w:spacing w:after="0" w:line="240" w:lineRule="auto"/>
        <w:jc w:val="both"/>
        <w:rPr>
          <w:sz w:val="24"/>
          <w:szCs w:val="24"/>
          <w:lang w:eastAsia="cs-CZ"/>
        </w:rPr>
      </w:pPr>
      <w:r>
        <w:rPr>
          <w:rFonts w:ascii="Calibri" w:hAnsi="Calibri" w:cs="Calibri"/>
          <w:sz w:val="24"/>
          <w:szCs w:val="24"/>
        </w:rPr>
        <w:t>Při KA č. 18/32 Nejvyšší kontrolní úřad upozornil na skutečnost</w:t>
      </w:r>
      <w:r>
        <w:rPr>
          <w:sz w:val="24"/>
          <w:szCs w:val="24"/>
          <w:lang w:eastAsia="cs-CZ"/>
        </w:rPr>
        <w:t>, že předávání informací z oblas</w:t>
      </w:r>
      <w:r w:rsidR="00FC4390">
        <w:rPr>
          <w:sz w:val="24"/>
          <w:szCs w:val="24"/>
          <w:lang w:eastAsia="cs-CZ"/>
        </w:rPr>
        <w:t>t</w:t>
      </w:r>
      <w:r>
        <w:rPr>
          <w:sz w:val="24"/>
          <w:szCs w:val="24"/>
          <w:lang w:eastAsia="cs-CZ"/>
        </w:rPr>
        <w:t>i nelegálního zaměstnávání mezi kontrolními orgány, orgány finanční správy a orgány sociálního zabezpečení nebylo funkční, tato problematika však nebyla na jednáních MOPNZ řešena.</w:t>
      </w:r>
    </w:p>
    <w:p w14:paraId="072F2FBE" w14:textId="7FA72A3E" w:rsidR="008B6951" w:rsidRPr="008B6951" w:rsidRDefault="008B6951" w:rsidP="006164D5">
      <w:pPr>
        <w:pStyle w:val="NadpisKZ"/>
        <w:spacing w:before="240" w:after="160"/>
      </w:pPr>
      <w:r w:rsidRPr="008B6951">
        <w:t xml:space="preserve">Kontrolní činnost provedená na základě podnětů od kontrolních orgánů měla nízký fiskální efekt </w:t>
      </w:r>
    </w:p>
    <w:p w14:paraId="38F15F59" w14:textId="422DCD7A" w:rsidR="00090DB2" w:rsidRDefault="00737588" w:rsidP="00722D60">
      <w:pPr>
        <w:spacing w:line="240" w:lineRule="auto"/>
        <w:jc w:val="both"/>
        <w:rPr>
          <w:sz w:val="24"/>
          <w:szCs w:val="24"/>
          <w:lang w:eastAsia="cs-CZ"/>
        </w:rPr>
      </w:pPr>
      <w:r w:rsidRPr="00B52100">
        <w:rPr>
          <w:sz w:val="24"/>
          <w:szCs w:val="24"/>
          <w:lang w:eastAsia="cs-CZ"/>
        </w:rPr>
        <w:t xml:space="preserve">GFŘ zpracovalo </w:t>
      </w:r>
      <w:r w:rsidR="00ED3BD8">
        <w:rPr>
          <w:sz w:val="24"/>
          <w:szCs w:val="24"/>
          <w:lang w:eastAsia="cs-CZ"/>
        </w:rPr>
        <w:t>t</w:t>
      </w:r>
      <w:r w:rsidRPr="00B52100">
        <w:rPr>
          <w:sz w:val="24"/>
          <w:szCs w:val="24"/>
          <w:lang w:eastAsia="cs-CZ"/>
        </w:rPr>
        <w:t>aktický postup</w:t>
      </w:r>
      <w:r w:rsidR="00ED3BD8">
        <w:rPr>
          <w:sz w:val="24"/>
          <w:szCs w:val="24"/>
          <w:lang w:eastAsia="cs-CZ"/>
        </w:rPr>
        <w:t>, který</w:t>
      </w:r>
      <w:r w:rsidRPr="00B52100">
        <w:rPr>
          <w:sz w:val="24"/>
          <w:szCs w:val="24"/>
          <w:lang w:eastAsia="cs-CZ"/>
        </w:rPr>
        <w:t xml:space="preserve"> upravil činnost orgánů </w:t>
      </w:r>
      <w:r w:rsidR="00C61078">
        <w:rPr>
          <w:sz w:val="24"/>
          <w:szCs w:val="24"/>
          <w:lang w:eastAsia="cs-CZ"/>
        </w:rPr>
        <w:t xml:space="preserve">FS </w:t>
      </w:r>
      <w:r w:rsidRPr="00B52100">
        <w:rPr>
          <w:sz w:val="24"/>
          <w:szCs w:val="24"/>
          <w:lang w:eastAsia="cs-CZ"/>
        </w:rPr>
        <w:t>ČR při potírání aspektů souvisejících s</w:t>
      </w:r>
      <w:r w:rsidR="00DA6518">
        <w:rPr>
          <w:sz w:val="24"/>
          <w:szCs w:val="24"/>
          <w:lang w:eastAsia="cs-CZ"/>
        </w:rPr>
        <w:t xml:space="preserve"> </w:t>
      </w:r>
      <w:r w:rsidRPr="00B52100">
        <w:rPr>
          <w:sz w:val="24"/>
          <w:szCs w:val="24"/>
          <w:lang w:eastAsia="cs-CZ"/>
        </w:rPr>
        <w:t>problematikou nelegálního zaměstnávání se závažným negativním celospolečenským vlivem na fiskální kázeň daňových subjektů.</w:t>
      </w:r>
      <w:r w:rsidR="003D5E47">
        <w:rPr>
          <w:sz w:val="24"/>
          <w:szCs w:val="24"/>
          <w:lang w:eastAsia="cs-CZ"/>
        </w:rPr>
        <w:t xml:space="preserve"> </w:t>
      </w:r>
      <w:r w:rsidR="003C7A19">
        <w:rPr>
          <w:sz w:val="24"/>
          <w:szCs w:val="24"/>
          <w:lang w:eastAsia="cs-CZ"/>
        </w:rPr>
        <w:t>„</w:t>
      </w:r>
      <w:r w:rsidR="003D5E47">
        <w:rPr>
          <w:sz w:val="24"/>
          <w:szCs w:val="24"/>
          <w:lang w:eastAsia="cs-CZ"/>
        </w:rPr>
        <w:t>Taktický postup GFŘ</w:t>
      </w:r>
      <w:r w:rsidR="003C7A19">
        <w:rPr>
          <w:sz w:val="24"/>
          <w:szCs w:val="24"/>
          <w:lang w:eastAsia="cs-CZ"/>
        </w:rPr>
        <w:t>“</w:t>
      </w:r>
      <w:r w:rsidR="003D5E47">
        <w:rPr>
          <w:sz w:val="24"/>
          <w:szCs w:val="24"/>
          <w:lang w:eastAsia="cs-CZ"/>
        </w:rPr>
        <w:t xml:space="preserve"> </w:t>
      </w:r>
      <w:r w:rsidR="0062049E">
        <w:rPr>
          <w:sz w:val="24"/>
          <w:szCs w:val="24"/>
          <w:lang w:eastAsia="cs-CZ"/>
        </w:rPr>
        <w:t>stanovil</w:t>
      </w:r>
      <w:r w:rsidR="003D5E47">
        <w:rPr>
          <w:sz w:val="24"/>
          <w:szCs w:val="24"/>
          <w:lang w:eastAsia="cs-CZ"/>
        </w:rPr>
        <w:t xml:space="preserve"> </w:t>
      </w:r>
      <w:r w:rsidR="00A74FB5">
        <w:rPr>
          <w:sz w:val="24"/>
          <w:szCs w:val="24"/>
          <w:lang w:eastAsia="cs-CZ"/>
        </w:rPr>
        <w:t xml:space="preserve">mj. </w:t>
      </w:r>
      <w:r w:rsidR="0062049E">
        <w:rPr>
          <w:sz w:val="24"/>
          <w:szCs w:val="24"/>
          <w:lang w:eastAsia="cs-CZ"/>
        </w:rPr>
        <w:t>návod, jak mají</w:t>
      </w:r>
      <w:r w:rsidR="003D5E47">
        <w:rPr>
          <w:sz w:val="24"/>
          <w:szCs w:val="24"/>
          <w:lang w:eastAsia="cs-CZ"/>
        </w:rPr>
        <w:t xml:space="preserve"> </w:t>
      </w:r>
      <w:r w:rsidR="00A74FB5">
        <w:rPr>
          <w:sz w:val="24"/>
          <w:szCs w:val="24"/>
          <w:lang w:eastAsia="cs-CZ"/>
        </w:rPr>
        <w:t>útvar</w:t>
      </w:r>
      <w:r w:rsidR="0062049E">
        <w:rPr>
          <w:sz w:val="24"/>
          <w:szCs w:val="24"/>
          <w:lang w:eastAsia="cs-CZ"/>
        </w:rPr>
        <w:t>y</w:t>
      </w:r>
      <w:r w:rsidR="00A74FB5">
        <w:rPr>
          <w:sz w:val="24"/>
          <w:szCs w:val="24"/>
          <w:lang w:eastAsia="cs-CZ"/>
        </w:rPr>
        <w:t xml:space="preserve"> řízení rizik </w:t>
      </w:r>
      <w:r w:rsidR="0062049E">
        <w:rPr>
          <w:sz w:val="24"/>
          <w:szCs w:val="24"/>
          <w:lang w:eastAsia="cs-CZ"/>
        </w:rPr>
        <w:t>postupovat při</w:t>
      </w:r>
      <w:r w:rsidR="003D5E47">
        <w:rPr>
          <w:sz w:val="24"/>
          <w:szCs w:val="24"/>
          <w:lang w:eastAsia="cs-CZ"/>
        </w:rPr>
        <w:t xml:space="preserve"> klasifikaci podnětů od SÚIP a GŘC z hlediska závažnosti, potenciálu fiskálního efektu</w:t>
      </w:r>
      <w:r w:rsidR="00A74FB5">
        <w:rPr>
          <w:sz w:val="24"/>
          <w:szCs w:val="24"/>
          <w:lang w:eastAsia="cs-CZ"/>
        </w:rPr>
        <w:t xml:space="preserve"> nebo koordinace kontrolních akcí atp., aby mohly rozhodnout o dalším určení podnětu. </w:t>
      </w:r>
      <w:r w:rsidR="003C7A19">
        <w:rPr>
          <w:sz w:val="24"/>
          <w:szCs w:val="24"/>
          <w:lang w:eastAsia="cs-CZ"/>
        </w:rPr>
        <w:t>„</w:t>
      </w:r>
      <w:r w:rsidR="00B52100" w:rsidRPr="00B52100">
        <w:rPr>
          <w:sz w:val="24"/>
          <w:szCs w:val="24"/>
          <w:lang w:eastAsia="cs-CZ"/>
        </w:rPr>
        <w:t xml:space="preserve">Taktický postup </w:t>
      </w:r>
      <w:r w:rsidR="00E86233">
        <w:rPr>
          <w:sz w:val="24"/>
          <w:szCs w:val="24"/>
          <w:lang w:eastAsia="cs-CZ"/>
        </w:rPr>
        <w:t>GFŘ</w:t>
      </w:r>
      <w:r w:rsidR="003C7A19">
        <w:rPr>
          <w:sz w:val="24"/>
          <w:szCs w:val="24"/>
          <w:lang w:eastAsia="cs-CZ"/>
        </w:rPr>
        <w:t>“</w:t>
      </w:r>
      <w:r w:rsidR="00E86233">
        <w:rPr>
          <w:sz w:val="24"/>
          <w:szCs w:val="24"/>
          <w:lang w:eastAsia="cs-CZ"/>
        </w:rPr>
        <w:t xml:space="preserve"> </w:t>
      </w:r>
      <w:r w:rsidR="00B52100" w:rsidRPr="00B52100">
        <w:rPr>
          <w:sz w:val="24"/>
          <w:szCs w:val="24"/>
          <w:lang w:eastAsia="cs-CZ"/>
        </w:rPr>
        <w:t xml:space="preserve">neupravuje povinnost správce daně uvádět </w:t>
      </w:r>
      <w:r w:rsidR="003D5E47">
        <w:rPr>
          <w:sz w:val="24"/>
          <w:szCs w:val="24"/>
          <w:lang w:eastAsia="cs-CZ"/>
        </w:rPr>
        <w:t>v ADIS</w:t>
      </w:r>
      <w:r w:rsidR="003D5E47">
        <w:rPr>
          <w:rStyle w:val="Znakapoznpodarou"/>
          <w:sz w:val="24"/>
          <w:szCs w:val="24"/>
          <w:lang w:eastAsia="cs-CZ"/>
        </w:rPr>
        <w:footnoteReference w:id="27"/>
      </w:r>
      <w:r w:rsidR="003D5E47">
        <w:rPr>
          <w:sz w:val="24"/>
          <w:szCs w:val="24"/>
          <w:lang w:eastAsia="cs-CZ"/>
        </w:rPr>
        <w:t xml:space="preserve"> </w:t>
      </w:r>
      <w:r w:rsidR="00B52100" w:rsidRPr="00B52100">
        <w:rPr>
          <w:sz w:val="24"/>
          <w:szCs w:val="24"/>
          <w:lang w:eastAsia="cs-CZ"/>
        </w:rPr>
        <w:t xml:space="preserve">identifikátor, který </w:t>
      </w:r>
      <w:r w:rsidR="002D71B3">
        <w:rPr>
          <w:sz w:val="24"/>
          <w:szCs w:val="24"/>
          <w:lang w:eastAsia="cs-CZ"/>
        </w:rPr>
        <w:t>by signalizoval</w:t>
      </w:r>
      <w:r w:rsidR="00B52100" w:rsidRPr="00B52100">
        <w:rPr>
          <w:sz w:val="24"/>
          <w:szCs w:val="24"/>
          <w:lang w:eastAsia="cs-CZ"/>
        </w:rPr>
        <w:t xml:space="preserve">, že kontrola byla provedena právě na základě podnětů obdržených od SÚIP nebo GŘC. </w:t>
      </w:r>
      <w:r w:rsidR="004B15A8">
        <w:rPr>
          <w:sz w:val="24"/>
          <w:szCs w:val="24"/>
          <w:lang w:eastAsia="cs-CZ"/>
        </w:rPr>
        <w:t>Z</w:t>
      </w:r>
      <w:r w:rsidR="00DA6518">
        <w:rPr>
          <w:sz w:val="24"/>
          <w:szCs w:val="24"/>
          <w:lang w:eastAsia="cs-CZ"/>
        </w:rPr>
        <w:t xml:space="preserve"> </w:t>
      </w:r>
      <w:r w:rsidR="004B15A8">
        <w:rPr>
          <w:sz w:val="24"/>
          <w:szCs w:val="24"/>
          <w:lang w:eastAsia="cs-CZ"/>
        </w:rPr>
        <w:t>toho důvodu správce daně</w:t>
      </w:r>
      <w:r w:rsidR="00090DB2">
        <w:rPr>
          <w:sz w:val="24"/>
          <w:szCs w:val="24"/>
          <w:lang w:eastAsia="cs-CZ"/>
        </w:rPr>
        <w:t xml:space="preserve"> </w:t>
      </w:r>
      <w:r w:rsidR="004B15A8">
        <w:rPr>
          <w:sz w:val="24"/>
          <w:szCs w:val="24"/>
          <w:lang w:eastAsia="cs-CZ"/>
        </w:rPr>
        <w:t xml:space="preserve">nedokázal </w:t>
      </w:r>
      <w:r w:rsidR="003D5E47">
        <w:rPr>
          <w:sz w:val="24"/>
          <w:szCs w:val="24"/>
          <w:lang w:eastAsia="cs-CZ"/>
        </w:rPr>
        <w:t xml:space="preserve">přesně </w:t>
      </w:r>
      <w:r w:rsidR="004B15A8">
        <w:rPr>
          <w:sz w:val="24"/>
          <w:szCs w:val="24"/>
          <w:lang w:eastAsia="cs-CZ"/>
        </w:rPr>
        <w:t xml:space="preserve">provázat počty zaslaných podnětů a </w:t>
      </w:r>
      <w:r w:rsidR="003D5E47">
        <w:rPr>
          <w:sz w:val="24"/>
          <w:szCs w:val="24"/>
          <w:lang w:eastAsia="cs-CZ"/>
        </w:rPr>
        <w:t xml:space="preserve">daňových kontrol </w:t>
      </w:r>
      <w:r w:rsidR="004B15A8">
        <w:rPr>
          <w:sz w:val="24"/>
          <w:szCs w:val="24"/>
          <w:lang w:eastAsia="cs-CZ"/>
        </w:rPr>
        <w:t>provedených na základě těchto podnětů</w:t>
      </w:r>
      <w:r w:rsidR="003D5E47">
        <w:rPr>
          <w:sz w:val="24"/>
          <w:szCs w:val="24"/>
          <w:lang w:eastAsia="cs-CZ"/>
        </w:rPr>
        <w:t>.</w:t>
      </w:r>
    </w:p>
    <w:p w14:paraId="25544F70" w14:textId="77777777" w:rsidR="00E95CAF" w:rsidRDefault="00E95CAF">
      <w:pPr>
        <w:rPr>
          <w:b/>
          <w:sz w:val="24"/>
          <w:szCs w:val="24"/>
        </w:rPr>
      </w:pPr>
      <w:r>
        <w:rPr>
          <w:b/>
          <w:sz w:val="24"/>
          <w:szCs w:val="24"/>
        </w:rPr>
        <w:br w:type="page"/>
      </w:r>
    </w:p>
    <w:p w14:paraId="23BDD3C0" w14:textId="656D1891" w:rsidR="000916D1" w:rsidRPr="00337994" w:rsidRDefault="000916D1" w:rsidP="000916D1">
      <w:pPr>
        <w:spacing w:after="0"/>
        <w:rPr>
          <w:b/>
          <w:sz w:val="24"/>
          <w:szCs w:val="24"/>
        </w:rPr>
      </w:pPr>
      <w:r w:rsidRPr="00337994">
        <w:rPr>
          <w:b/>
          <w:sz w:val="24"/>
          <w:szCs w:val="24"/>
        </w:rPr>
        <w:lastRenderedPageBreak/>
        <w:t xml:space="preserve">Tabulka č. </w:t>
      </w:r>
      <w:r w:rsidR="00316A26">
        <w:rPr>
          <w:b/>
          <w:sz w:val="24"/>
          <w:szCs w:val="24"/>
        </w:rPr>
        <w:t>4</w:t>
      </w:r>
      <w:r w:rsidR="00E12E8B">
        <w:rPr>
          <w:b/>
          <w:sz w:val="24"/>
          <w:szCs w:val="24"/>
        </w:rPr>
        <w:t xml:space="preserve">: </w:t>
      </w:r>
      <w:r w:rsidRPr="00337994">
        <w:rPr>
          <w:b/>
          <w:sz w:val="24"/>
          <w:szCs w:val="24"/>
        </w:rPr>
        <w:t>Podněty SÚIP/GŘC a jejich kontroly finančními úřady</w:t>
      </w:r>
    </w:p>
    <w:tbl>
      <w:tblPr>
        <w:tblStyle w:val="Mkatabulky"/>
        <w:tblW w:w="0" w:type="auto"/>
        <w:tblLook w:val="04A0" w:firstRow="1" w:lastRow="0" w:firstColumn="1" w:lastColumn="0" w:noHBand="0" w:noVBand="1"/>
      </w:tblPr>
      <w:tblGrid>
        <w:gridCol w:w="832"/>
        <w:gridCol w:w="955"/>
        <w:gridCol w:w="952"/>
        <w:gridCol w:w="993"/>
        <w:gridCol w:w="1535"/>
        <w:gridCol w:w="1527"/>
        <w:gridCol w:w="832"/>
        <w:gridCol w:w="1436"/>
      </w:tblGrid>
      <w:tr w:rsidR="00E43753" w:rsidRPr="00AA2FC9" w14:paraId="329FEDB8" w14:textId="77777777" w:rsidTr="006164D5">
        <w:trPr>
          <w:trHeight w:val="1061"/>
        </w:trPr>
        <w:tc>
          <w:tcPr>
            <w:tcW w:w="0" w:type="auto"/>
            <w:shd w:val="clear" w:color="auto" w:fill="E6E6E6"/>
            <w:vAlign w:val="center"/>
          </w:tcPr>
          <w:p w14:paraId="44713668" w14:textId="77777777"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Rok</w:t>
            </w:r>
          </w:p>
        </w:tc>
        <w:tc>
          <w:tcPr>
            <w:tcW w:w="0" w:type="auto"/>
            <w:shd w:val="clear" w:color="auto" w:fill="E6E6E6"/>
            <w:vAlign w:val="center"/>
          </w:tcPr>
          <w:p w14:paraId="4640FC76" w14:textId="6A4CF755"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Podněty SÚIP</w:t>
            </w:r>
          </w:p>
        </w:tc>
        <w:tc>
          <w:tcPr>
            <w:tcW w:w="0" w:type="auto"/>
            <w:shd w:val="clear" w:color="auto" w:fill="E6E6E6"/>
            <w:vAlign w:val="center"/>
          </w:tcPr>
          <w:p w14:paraId="46221C0D" w14:textId="25B97A2E"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Podněty GŘC</w:t>
            </w:r>
          </w:p>
        </w:tc>
        <w:tc>
          <w:tcPr>
            <w:tcW w:w="0" w:type="auto"/>
            <w:shd w:val="clear" w:color="auto" w:fill="E6E6E6"/>
            <w:vAlign w:val="center"/>
          </w:tcPr>
          <w:p w14:paraId="259AE8C1" w14:textId="77777777"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Celkem podnětů</w:t>
            </w:r>
          </w:p>
        </w:tc>
        <w:tc>
          <w:tcPr>
            <w:tcW w:w="0" w:type="auto"/>
            <w:shd w:val="clear" w:color="auto" w:fill="E6E6E6"/>
            <w:vAlign w:val="center"/>
          </w:tcPr>
          <w:p w14:paraId="42DFF946" w14:textId="43EB9140"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P</w:t>
            </w:r>
            <w:r>
              <w:rPr>
                <w:rFonts w:cstheme="minorHAnsi"/>
                <w:b/>
                <w:sz w:val="20"/>
                <w:szCs w:val="20"/>
              </w:rPr>
              <w:t>očet p</w:t>
            </w:r>
            <w:r w:rsidRPr="00AA2FC9">
              <w:rPr>
                <w:rFonts w:cstheme="minorHAnsi"/>
                <w:b/>
                <w:sz w:val="20"/>
                <w:szCs w:val="20"/>
              </w:rPr>
              <w:t xml:space="preserve">rovedených </w:t>
            </w:r>
            <w:r>
              <w:rPr>
                <w:rFonts w:cstheme="minorHAnsi"/>
                <w:b/>
                <w:sz w:val="20"/>
                <w:szCs w:val="20"/>
              </w:rPr>
              <w:t>kontrolních úkonů</w:t>
            </w:r>
            <w:r w:rsidR="00424B4A">
              <w:rPr>
                <w:rStyle w:val="Znakapoznpodarou"/>
                <w:rFonts w:cstheme="minorHAnsi"/>
                <w:b/>
                <w:sz w:val="20"/>
                <w:szCs w:val="20"/>
              </w:rPr>
              <w:footnoteReference w:id="28"/>
            </w:r>
          </w:p>
        </w:tc>
        <w:tc>
          <w:tcPr>
            <w:tcW w:w="0" w:type="auto"/>
            <w:shd w:val="clear" w:color="auto" w:fill="E6E6E6"/>
            <w:vAlign w:val="center"/>
          </w:tcPr>
          <w:p w14:paraId="256ABF02" w14:textId="3C2413F4"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P</w:t>
            </w:r>
            <w:r>
              <w:rPr>
                <w:rFonts w:cstheme="minorHAnsi"/>
                <w:b/>
                <w:sz w:val="20"/>
                <w:szCs w:val="20"/>
              </w:rPr>
              <w:t>očet p</w:t>
            </w:r>
            <w:r w:rsidRPr="00AA2FC9">
              <w:rPr>
                <w:rFonts w:cstheme="minorHAnsi"/>
                <w:b/>
                <w:sz w:val="20"/>
                <w:szCs w:val="20"/>
              </w:rPr>
              <w:t xml:space="preserve">rovedených </w:t>
            </w:r>
            <w:r>
              <w:rPr>
                <w:rFonts w:cstheme="minorHAnsi"/>
                <w:b/>
                <w:sz w:val="20"/>
                <w:szCs w:val="20"/>
              </w:rPr>
              <w:t>daňových kontrol</w:t>
            </w:r>
            <w:r w:rsidR="00424B4A">
              <w:rPr>
                <w:rStyle w:val="Znakapoznpodarou"/>
                <w:rFonts w:cstheme="minorHAnsi"/>
                <w:b/>
                <w:sz w:val="20"/>
                <w:szCs w:val="20"/>
              </w:rPr>
              <w:footnoteReference w:id="29"/>
            </w:r>
          </w:p>
        </w:tc>
        <w:tc>
          <w:tcPr>
            <w:tcW w:w="0" w:type="auto"/>
            <w:shd w:val="clear" w:color="auto" w:fill="E6E6E6"/>
            <w:vAlign w:val="center"/>
          </w:tcPr>
          <w:p w14:paraId="1149A968" w14:textId="4B0C99EA" w:rsidR="000916D1" w:rsidRPr="00AA2FC9" w:rsidRDefault="000916D1" w:rsidP="00665949">
            <w:pPr>
              <w:autoSpaceDE w:val="0"/>
              <w:autoSpaceDN w:val="0"/>
              <w:adjustRightInd w:val="0"/>
              <w:jc w:val="center"/>
              <w:rPr>
                <w:rFonts w:cstheme="minorHAnsi"/>
                <w:b/>
                <w:sz w:val="20"/>
                <w:szCs w:val="20"/>
              </w:rPr>
            </w:pPr>
            <w:r w:rsidRPr="00AA2FC9">
              <w:rPr>
                <w:rFonts w:cstheme="minorHAnsi"/>
                <w:b/>
                <w:sz w:val="20"/>
                <w:szCs w:val="20"/>
              </w:rPr>
              <w:t>Celkem</w:t>
            </w:r>
          </w:p>
        </w:tc>
        <w:tc>
          <w:tcPr>
            <w:tcW w:w="0" w:type="auto"/>
            <w:shd w:val="clear" w:color="auto" w:fill="E6E6E6"/>
            <w:vAlign w:val="center"/>
          </w:tcPr>
          <w:p w14:paraId="51F4AD0F" w14:textId="77C6098A" w:rsidR="000916D1" w:rsidRPr="00AA2FC9" w:rsidRDefault="00E43753" w:rsidP="00665949">
            <w:pPr>
              <w:autoSpaceDE w:val="0"/>
              <w:autoSpaceDN w:val="0"/>
              <w:adjustRightInd w:val="0"/>
              <w:jc w:val="center"/>
              <w:rPr>
                <w:rFonts w:cstheme="minorHAnsi"/>
                <w:b/>
                <w:sz w:val="20"/>
                <w:szCs w:val="20"/>
              </w:rPr>
            </w:pPr>
            <w:r>
              <w:rPr>
                <w:rFonts w:cstheme="minorHAnsi"/>
                <w:b/>
                <w:sz w:val="20"/>
                <w:szCs w:val="20"/>
              </w:rPr>
              <w:t>Zkontrolováno</w:t>
            </w:r>
          </w:p>
        </w:tc>
      </w:tr>
      <w:tr w:rsidR="00E43753" w14:paraId="6D61D9F5" w14:textId="77777777" w:rsidTr="00640825">
        <w:tc>
          <w:tcPr>
            <w:tcW w:w="0" w:type="auto"/>
          </w:tcPr>
          <w:p w14:paraId="3C6F7A72" w14:textId="77777777" w:rsidR="000916D1" w:rsidRPr="00AA2FC9" w:rsidRDefault="000916D1" w:rsidP="00640825">
            <w:pPr>
              <w:widowControl w:val="0"/>
              <w:rPr>
                <w:rFonts w:ascii="Calibri" w:eastAsia="Calibri" w:hAnsi="Calibri" w:cs="Calibri"/>
                <w:b/>
                <w:bCs/>
                <w:color w:val="000000"/>
                <w:sz w:val="20"/>
                <w:szCs w:val="20"/>
                <w:lang w:eastAsia="cs-CZ" w:bidi="cs-CZ"/>
              </w:rPr>
            </w:pPr>
            <w:r w:rsidRPr="00AA2FC9">
              <w:rPr>
                <w:rFonts w:ascii="Calibri" w:eastAsia="Calibri" w:hAnsi="Calibri" w:cs="Calibri"/>
                <w:b/>
                <w:bCs/>
                <w:color w:val="000000"/>
                <w:sz w:val="20"/>
                <w:szCs w:val="20"/>
                <w:lang w:eastAsia="cs-CZ" w:bidi="cs-CZ"/>
              </w:rPr>
              <w:t>2021</w:t>
            </w:r>
          </w:p>
        </w:tc>
        <w:tc>
          <w:tcPr>
            <w:tcW w:w="0" w:type="auto"/>
          </w:tcPr>
          <w:p w14:paraId="1BB92FA6" w14:textId="77777777" w:rsidR="000916D1" w:rsidRPr="006548AA" w:rsidRDefault="000916D1" w:rsidP="00640825">
            <w:pPr>
              <w:jc w:val="right"/>
              <w:rPr>
                <w:sz w:val="20"/>
                <w:szCs w:val="20"/>
              </w:rPr>
            </w:pPr>
            <w:r w:rsidRPr="006548AA">
              <w:rPr>
                <w:sz w:val="20"/>
                <w:szCs w:val="20"/>
              </w:rPr>
              <w:t>485</w:t>
            </w:r>
          </w:p>
        </w:tc>
        <w:tc>
          <w:tcPr>
            <w:tcW w:w="0" w:type="auto"/>
          </w:tcPr>
          <w:p w14:paraId="2A65AAAE" w14:textId="77777777" w:rsidR="000916D1" w:rsidRPr="006548AA" w:rsidRDefault="000916D1" w:rsidP="00640825">
            <w:pPr>
              <w:jc w:val="right"/>
              <w:rPr>
                <w:sz w:val="20"/>
                <w:szCs w:val="20"/>
              </w:rPr>
            </w:pPr>
            <w:r w:rsidRPr="006548AA">
              <w:rPr>
                <w:sz w:val="20"/>
                <w:szCs w:val="20"/>
              </w:rPr>
              <w:t>271</w:t>
            </w:r>
          </w:p>
        </w:tc>
        <w:tc>
          <w:tcPr>
            <w:tcW w:w="0" w:type="auto"/>
          </w:tcPr>
          <w:p w14:paraId="1951919B" w14:textId="77777777" w:rsidR="000916D1" w:rsidRPr="006548AA" w:rsidRDefault="000916D1" w:rsidP="00640825">
            <w:pPr>
              <w:jc w:val="right"/>
              <w:rPr>
                <w:sz w:val="20"/>
                <w:szCs w:val="20"/>
              </w:rPr>
            </w:pPr>
            <w:r w:rsidRPr="006548AA">
              <w:rPr>
                <w:sz w:val="20"/>
                <w:szCs w:val="20"/>
              </w:rPr>
              <w:t>756</w:t>
            </w:r>
          </w:p>
        </w:tc>
        <w:tc>
          <w:tcPr>
            <w:tcW w:w="0" w:type="auto"/>
          </w:tcPr>
          <w:p w14:paraId="694BAA38" w14:textId="77777777" w:rsidR="000916D1" w:rsidRPr="006548AA" w:rsidRDefault="000916D1" w:rsidP="00640825">
            <w:pPr>
              <w:jc w:val="right"/>
              <w:rPr>
                <w:sz w:val="20"/>
                <w:szCs w:val="20"/>
              </w:rPr>
            </w:pPr>
            <w:r w:rsidRPr="006548AA">
              <w:rPr>
                <w:sz w:val="20"/>
                <w:szCs w:val="20"/>
              </w:rPr>
              <w:t>43</w:t>
            </w:r>
          </w:p>
        </w:tc>
        <w:tc>
          <w:tcPr>
            <w:tcW w:w="0" w:type="auto"/>
          </w:tcPr>
          <w:p w14:paraId="16CE080E" w14:textId="77777777" w:rsidR="000916D1" w:rsidRPr="006548AA" w:rsidRDefault="000916D1" w:rsidP="00640825">
            <w:pPr>
              <w:jc w:val="right"/>
              <w:rPr>
                <w:sz w:val="20"/>
                <w:szCs w:val="20"/>
              </w:rPr>
            </w:pPr>
            <w:r w:rsidRPr="006548AA">
              <w:rPr>
                <w:sz w:val="20"/>
                <w:szCs w:val="20"/>
              </w:rPr>
              <w:t>1</w:t>
            </w:r>
          </w:p>
        </w:tc>
        <w:tc>
          <w:tcPr>
            <w:tcW w:w="0" w:type="auto"/>
          </w:tcPr>
          <w:p w14:paraId="7917AF2A" w14:textId="77777777" w:rsidR="000916D1" w:rsidRPr="006548AA" w:rsidRDefault="000916D1" w:rsidP="00640825">
            <w:pPr>
              <w:jc w:val="right"/>
              <w:rPr>
                <w:sz w:val="20"/>
                <w:szCs w:val="20"/>
              </w:rPr>
            </w:pPr>
            <w:r w:rsidRPr="006548AA">
              <w:rPr>
                <w:sz w:val="20"/>
                <w:szCs w:val="20"/>
              </w:rPr>
              <w:t>44</w:t>
            </w:r>
          </w:p>
        </w:tc>
        <w:tc>
          <w:tcPr>
            <w:tcW w:w="0" w:type="auto"/>
          </w:tcPr>
          <w:p w14:paraId="1CA7D34C" w14:textId="77777777" w:rsidR="000916D1" w:rsidRPr="006548AA" w:rsidRDefault="000916D1" w:rsidP="00640825">
            <w:pPr>
              <w:jc w:val="right"/>
              <w:rPr>
                <w:sz w:val="20"/>
                <w:szCs w:val="20"/>
              </w:rPr>
            </w:pPr>
            <w:r w:rsidRPr="006548AA">
              <w:rPr>
                <w:sz w:val="20"/>
                <w:szCs w:val="20"/>
              </w:rPr>
              <w:t>5,8</w:t>
            </w:r>
            <w:r w:rsidR="00337994">
              <w:rPr>
                <w:sz w:val="20"/>
                <w:szCs w:val="20"/>
              </w:rPr>
              <w:t xml:space="preserve"> %</w:t>
            </w:r>
          </w:p>
        </w:tc>
      </w:tr>
      <w:tr w:rsidR="00E43753" w14:paraId="60F4F9E0" w14:textId="77777777" w:rsidTr="00640825">
        <w:tc>
          <w:tcPr>
            <w:tcW w:w="0" w:type="auto"/>
          </w:tcPr>
          <w:p w14:paraId="5DF3738E" w14:textId="77777777" w:rsidR="000916D1" w:rsidRPr="00AA2FC9" w:rsidRDefault="000916D1" w:rsidP="00640825">
            <w:pPr>
              <w:widowControl w:val="0"/>
              <w:rPr>
                <w:rFonts w:ascii="Calibri" w:eastAsia="Calibri" w:hAnsi="Calibri" w:cs="Calibri"/>
                <w:b/>
                <w:bCs/>
                <w:color w:val="000000"/>
                <w:sz w:val="20"/>
                <w:szCs w:val="20"/>
                <w:lang w:eastAsia="cs-CZ" w:bidi="cs-CZ"/>
              </w:rPr>
            </w:pPr>
            <w:r w:rsidRPr="00AA2FC9">
              <w:rPr>
                <w:rFonts w:ascii="Calibri" w:eastAsia="Calibri" w:hAnsi="Calibri" w:cs="Calibri"/>
                <w:b/>
                <w:bCs/>
                <w:color w:val="000000"/>
                <w:sz w:val="20"/>
                <w:szCs w:val="20"/>
                <w:lang w:eastAsia="cs-CZ" w:bidi="cs-CZ"/>
              </w:rPr>
              <w:t>2022</w:t>
            </w:r>
          </w:p>
        </w:tc>
        <w:tc>
          <w:tcPr>
            <w:tcW w:w="0" w:type="auto"/>
          </w:tcPr>
          <w:p w14:paraId="5FA4E99F" w14:textId="77777777" w:rsidR="000916D1" w:rsidRPr="006548AA" w:rsidRDefault="000916D1" w:rsidP="00640825">
            <w:pPr>
              <w:jc w:val="right"/>
              <w:rPr>
                <w:sz w:val="20"/>
                <w:szCs w:val="20"/>
              </w:rPr>
            </w:pPr>
            <w:r w:rsidRPr="006548AA">
              <w:rPr>
                <w:sz w:val="20"/>
                <w:szCs w:val="20"/>
              </w:rPr>
              <w:t>558</w:t>
            </w:r>
          </w:p>
        </w:tc>
        <w:tc>
          <w:tcPr>
            <w:tcW w:w="0" w:type="auto"/>
          </w:tcPr>
          <w:p w14:paraId="54A36D33" w14:textId="77777777" w:rsidR="000916D1" w:rsidRPr="006548AA" w:rsidRDefault="000916D1" w:rsidP="00640825">
            <w:pPr>
              <w:jc w:val="right"/>
              <w:rPr>
                <w:sz w:val="20"/>
                <w:szCs w:val="20"/>
              </w:rPr>
            </w:pPr>
            <w:r w:rsidRPr="006548AA">
              <w:rPr>
                <w:sz w:val="20"/>
                <w:szCs w:val="20"/>
              </w:rPr>
              <w:t>680</w:t>
            </w:r>
          </w:p>
        </w:tc>
        <w:tc>
          <w:tcPr>
            <w:tcW w:w="0" w:type="auto"/>
          </w:tcPr>
          <w:p w14:paraId="1CA121B5" w14:textId="0368D8D1" w:rsidR="000916D1" w:rsidRPr="006548AA" w:rsidRDefault="000916D1" w:rsidP="00640825">
            <w:pPr>
              <w:jc w:val="right"/>
              <w:rPr>
                <w:sz w:val="20"/>
                <w:szCs w:val="20"/>
              </w:rPr>
            </w:pPr>
            <w:r w:rsidRPr="006548AA">
              <w:rPr>
                <w:sz w:val="20"/>
                <w:szCs w:val="20"/>
              </w:rPr>
              <w:t>1</w:t>
            </w:r>
            <w:r>
              <w:rPr>
                <w:sz w:val="20"/>
                <w:szCs w:val="20"/>
              </w:rPr>
              <w:t xml:space="preserve"> </w:t>
            </w:r>
            <w:r w:rsidRPr="006548AA">
              <w:rPr>
                <w:sz w:val="20"/>
                <w:szCs w:val="20"/>
              </w:rPr>
              <w:t>238</w:t>
            </w:r>
          </w:p>
        </w:tc>
        <w:tc>
          <w:tcPr>
            <w:tcW w:w="0" w:type="auto"/>
          </w:tcPr>
          <w:p w14:paraId="6C96F0F9" w14:textId="77777777" w:rsidR="000916D1" w:rsidRPr="006548AA" w:rsidRDefault="000916D1" w:rsidP="00640825">
            <w:pPr>
              <w:jc w:val="right"/>
              <w:rPr>
                <w:sz w:val="20"/>
                <w:szCs w:val="20"/>
              </w:rPr>
            </w:pPr>
            <w:r w:rsidRPr="006548AA">
              <w:rPr>
                <w:sz w:val="20"/>
                <w:szCs w:val="20"/>
              </w:rPr>
              <w:t>145</w:t>
            </w:r>
          </w:p>
        </w:tc>
        <w:tc>
          <w:tcPr>
            <w:tcW w:w="0" w:type="auto"/>
          </w:tcPr>
          <w:p w14:paraId="75A76096" w14:textId="77777777" w:rsidR="000916D1" w:rsidRPr="006548AA" w:rsidRDefault="000916D1" w:rsidP="00640825">
            <w:pPr>
              <w:jc w:val="right"/>
              <w:rPr>
                <w:sz w:val="20"/>
                <w:szCs w:val="20"/>
              </w:rPr>
            </w:pPr>
            <w:r w:rsidRPr="006548AA">
              <w:rPr>
                <w:sz w:val="20"/>
                <w:szCs w:val="20"/>
              </w:rPr>
              <w:t>2</w:t>
            </w:r>
          </w:p>
        </w:tc>
        <w:tc>
          <w:tcPr>
            <w:tcW w:w="0" w:type="auto"/>
          </w:tcPr>
          <w:p w14:paraId="31315C7E" w14:textId="77777777" w:rsidR="000916D1" w:rsidRPr="006548AA" w:rsidRDefault="000916D1" w:rsidP="00640825">
            <w:pPr>
              <w:jc w:val="right"/>
              <w:rPr>
                <w:sz w:val="20"/>
                <w:szCs w:val="20"/>
              </w:rPr>
            </w:pPr>
            <w:r w:rsidRPr="006548AA">
              <w:rPr>
                <w:sz w:val="20"/>
                <w:szCs w:val="20"/>
              </w:rPr>
              <w:t>147</w:t>
            </w:r>
          </w:p>
        </w:tc>
        <w:tc>
          <w:tcPr>
            <w:tcW w:w="0" w:type="auto"/>
          </w:tcPr>
          <w:p w14:paraId="4DB62D4E" w14:textId="77777777" w:rsidR="000916D1" w:rsidRPr="006548AA" w:rsidRDefault="000916D1" w:rsidP="00640825">
            <w:pPr>
              <w:jc w:val="right"/>
              <w:rPr>
                <w:sz w:val="20"/>
                <w:szCs w:val="20"/>
              </w:rPr>
            </w:pPr>
            <w:r w:rsidRPr="006548AA">
              <w:rPr>
                <w:sz w:val="20"/>
                <w:szCs w:val="20"/>
              </w:rPr>
              <w:t>11,9</w:t>
            </w:r>
            <w:r w:rsidR="00337994">
              <w:rPr>
                <w:sz w:val="20"/>
                <w:szCs w:val="20"/>
              </w:rPr>
              <w:t xml:space="preserve"> %</w:t>
            </w:r>
          </w:p>
        </w:tc>
      </w:tr>
      <w:tr w:rsidR="00E43753" w14:paraId="0769FDB4" w14:textId="77777777" w:rsidTr="00640825">
        <w:tc>
          <w:tcPr>
            <w:tcW w:w="0" w:type="auto"/>
          </w:tcPr>
          <w:p w14:paraId="3122FFD6" w14:textId="77777777" w:rsidR="000916D1" w:rsidRPr="00AA2FC9" w:rsidRDefault="000916D1" w:rsidP="00640825">
            <w:pPr>
              <w:widowControl w:val="0"/>
              <w:rPr>
                <w:rFonts w:ascii="Calibri" w:eastAsia="Calibri" w:hAnsi="Calibri" w:cs="Calibri"/>
                <w:b/>
                <w:bCs/>
                <w:color w:val="000000"/>
                <w:sz w:val="20"/>
                <w:szCs w:val="20"/>
                <w:lang w:eastAsia="cs-CZ" w:bidi="cs-CZ"/>
              </w:rPr>
            </w:pPr>
            <w:r w:rsidRPr="00AA2FC9">
              <w:rPr>
                <w:rFonts w:ascii="Calibri" w:eastAsia="Calibri" w:hAnsi="Calibri" w:cs="Calibri"/>
                <w:b/>
                <w:bCs/>
                <w:color w:val="000000"/>
                <w:sz w:val="20"/>
                <w:szCs w:val="20"/>
                <w:lang w:eastAsia="cs-CZ" w:bidi="cs-CZ"/>
              </w:rPr>
              <w:t>2023</w:t>
            </w:r>
          </w:p>
        </w:tc>
        <w:tc>
          <w:tcPr>
            <w:tcW w:w="0" w:type="auto"/>
          </w:tcPr>
          <w:p w14:paraId="26BD7914" w14:textId="77777777" w:rsidR="000916D1" w:rsidRPr="006548AA" w:rsidRDefault="000916D1" w:rsidP="00640825">
            <w:pPr>
              <w:jc w:val="right"/>
              <w:rPr>
                <w:sz w:val="20"/>
                <w:szCs w:val="20"/>
              </w:rPr>
            </w:pPr>
            <w:r w:rsidRPr="006548AA">
              <w:rPr>
                <w:sz w:val="20"/>
                <w:szCs w:val="20"/>
              </w:rPr>
              <w:t>725</w:t>
            </w:r>
          </w:p>
        </w:tc>
        <w:tc>
          <w:tcPr>
            <w:tcW w:w="0" w:type="auto"/>
          </w:tcPr>
          <w:p w14:paraId="4DDAC0EB" w14:textId="77777777" w:rsidR="000916D1" w:rsidRPr="006548AA" w:rsidRDefault="000916D1" w:rsidP="00640825">
            <w:pPr>
              <w:jc w:val="right"/>
              <w:rPr>
                <w:sz w:val="20"/>
                <w:szCs w:val="20"/>
              </w:rPr>
            </w:pPr>
            <w:r w:rsidRPr="006548AA">
              <w:rPr>
                <w:sz w:val="20"/>
                <w:szCs w:val="20"/>
              </w:rPr>
              <w:t>300</w:t>
            </w:r>
          </w:p>
        </w:tc>
        <w:tc>
          <w:tcPr>
            <w:tcW w:w="0" w:type="auto"/>
          </w:tcPr>
          <w:p w14:paraId="5C27CA3E" w14:textId="77777777" w:rsidR="000916D1" w:rsidRPr="006548AA" w:rsidRDefault="000916D1" w:rsidP="00640825">
            <w:pPr>
              <w:jc w:val="right"/>
              <w:rPr>
                <w:sz w:val="20"/>
                <w:szCs w:val="20"/>
              </w:rPr>
            </w:pPr>
            <w:r w:rsidRPr="006548AA">
              <w:rPr>
                <w:sz w:val="20"/>
                <w:szCs w:val="20"/>
              </w:rPr>
              <w:t>1</w:t>
            </w:r>
            <w:r>
              <w:rPr>
                <w:sz w:val="20"/>
                <w:szCs w:val="20"/>
              </w:rPr>
              <w:t xml:space="preserve"> </w:t>
            </w:r>
            <w:r w:rsidRPr="006548AA">
              <w:rPr>
                <w:sz w:val="20"/>
                <w:szCs w:val="20"/>
              </w:rPr>
              <w:t>025</w:t>
            </w:r>
          </w:p>
        </w:tc>
        <w:tc>
          <w:tcPr>
            <w:tcW w:w="0" w:type="auto"/>
          </w:tcPr>
          <w:p w14:paraId="7D868250" w14:textId="77777777" w:rsidR="000916D1" w:rsidRPr="006548AA" w:rsidRDefault="000916D1" w:rsidP="00640825">
            <w:pPr>
              <w:jc w:val="right"/>
              <w:rPr>
                <w:sz w:val="20"/>
                <w:szCs w:val="20"/>
              </w:rPr>
            </w:pPr>
            <w:r w:rsidRPr="006548AA">
              <w:rPr>
                <w:sz w:val="20"/>
                <w:szCs w:val="20"/>
              </w:rPr>
              <w:t>72</w:t>
            </w:r>
          </w:p>
        </w:tc>
        <w:tc>
          <w:tcPr>
            <w:tcW w:w="0" w:type="auto"/>
          </w:tcPr>
          <w:p w14:paraId="2C423671" w14:textId="77777777" w:rsidR="000916D1" w:rsidRPr="006548AA" w:rsidRDefault="000916D1" w:rsidP="00640825">
            <w:pPr>
              <w:jc w:val="right"/>
              <w:rPr>
                <w:sz w:val="20"/>
                <w:szCs w:val="20"/>
              </w:rPr>
            </w:pPr>
            <w:r w:rsidRPr="006548AA">
              <w:rPr>
                <w:sz w:val="20"/>
                <w:szCs w:val="20"/>
              </w:rPr>
              <w:t>18</w:t>
            </w:r>
          </w:p>
        </w:tc>
        <w:tc>
          <w:tcPr>
            <w:tcW w:w="0" w:type="auto"/>
          </w:tcPr>
          <w:p w14:paraId="032F5ECD" w14:textId="77777777" w:rsidR="000916D1" w:rsidRPr="006548AA" w:rsidRDefault="000916D1" w:rsidP="00640825">
            <w:pPr>
              <w:jc w:val="right"/>
              <w:rPr>
                <w:sz w:val="20"/>
                <w:szCs w:val="20"/>
              </w:rPr>
            </w:pPr>
            <w:r w:rsidRPr="006548AA">
              <w:rPr>
                <w:sz w:val="20"/>
                <w:szCs w:val="20"/>
              </w:rPr>
              <w:t>90</w:t>
            </w:r>
          </w:p>
        </w:tc>
        <w:tc>
          <w:tcPr>
            <w:tcW w:w="0" w:type="auto"/>
          </w:tcPr>
          <w:p w14:paraId="4B549877" w14:textId="77777777" w:rsidR="000916D1" w:rsidRPr="006548AA" w:rsidRDefault="000916D1" w:rsidP="00640825">
            <w:pPr>
              <w:jc w:val="right"/>
              <w:rPr>
                <w:sz w:val="20"/>
                <w:szCs w:val="20"/>
              </w:rPr>
            </w:pPr>
            <w:r w:rsidRPr="006548AA">
              <w:rPr>
                <w:sz w:val="20"/>
                <w:szCs w:val="20"/>
              </w:rPr>
              <w:t>8,8</w:t>
            </w:r>
            <w:r w:rsidR="00337994">
              <w:rPr>
                <w:sz w:val="20"/>
                <w:szCs w:val="20"/>
              </w:rPr>
              <w:t xml:space="preserve"> %</w:t>
            </w:r>
          </w:p>
        </w:tc>
      </w:tr>
      <w:tr w:rsidR="00E43753" w14:paraId="4C8C77C1" w14:textId="77777777" w:rsidTr="00640825">
        <w:tc>
          <w:tcPr>
            <w:tcW w:w="0" w:type="auto"/>
          </w:tcPr>
          <w:p w14:paraId="08369F29" w14:textId="77777777" w:rsidR="000916D1" w:rsidRPr="00AA2FC9" w:rsidRDefault="000916D1" w:rsidP="00640825">
            <w:pPr>
              <w:widowControl w:val="0"/>
              <w:rPr>
                <w:rFonts w:ascii="Calibri" w:eastAsia="Calibri" w:hAnsi="Calibri" w:cs="Calibri"/>
                <w:b/>
                <w:bCs/>
                <w:color w:val="000000"/>
                <w:sz w:val="20"/>
                <w:szCs w:val="20"/>
                <w:lang w:eastAsia="cs-CZ" w:bidi="cs-CZ"/>
              </w:rPr>
            </w:pPr>
            <w:r w:rsidRPr="00AA2FC9">
              <w:rPr>
                <w:rFonts w:ascii="Calibri" w:eastAsia="Calibri" w:hAnsi="Calibri" w:cs="Calibri"/>
                <w:b/>
                <w:bCs/>
                <w:color w:val="000000"/>
                <w:sz w:val="20"/>
                <w:szCs w:val="20"/>
                <w:lang w:eastAsia="cs-CZ" w:bidi="cs-CZ"/>
              </w:rPr>
              <w:t>Celkem</w:t>
            </w:r>
          </w:p>
        </w:tc>
        <w:tc>
          <w:tcPr>
            <w:tcW w:w="0" w:type="auto"/>
          </w:tcPr>
          <w:p w14:paraId="3284A749" w14:textId="77777777" w:rsidR="000916D1" w:rsidRPr="00AA2FC9" w:rsidRDefault="000916D1" w:rsidP="00640825">
            <w:pPr>
              <w:jc w:val="right"/>
              <w:rPr>
                <w:b/>
                <w:sz w:val="20"/>
                <w:szCs w:val="20"/>
              </w:rPr>
            </w:pPr>
            <w:r w:rsidRPr="00AA2FC9">
              <w:rPr>
                <w:b/>
                <w:sz w:val="20"/>
                <w:szCs w:val="20"/>
              </w:rPr>
              <w:t>1</w:t>
            </w:r>
            <w:r>
              <w:rPr>
                <w:b/>
                <w:sz w:val="20"/>
                <w:szCs w:val="20"/>
              </w:rPr>
              <w:t xml:space="preserve"> </w:t>
            </w:r>
            <w:r w:rsidRPr="00AA2FC9">
              <w:rPr>
                <w:b/>
                <w:sz w:val="20"/>
                <w:szCs w:val="20"/>
              </w:rPr>
              <w:t>768</w:t>
            </w:r>
          </w:p>
        </w:tc>
        <w:tc>
          <w:tcPr>
            <w:tcW w:w="0" w:type="auto"/>
          </w:tcPr>
          <w:p w14:paraId="2612689F" w14:textId="77777777" w:rsidR="000916D1" w:rsidRPr="00AA2FC9" w:rsidRDefault="000916D1" w:rsidP="00640825">
            <w:pPr>
              <w:jc w:val="right"/>
              <w:rPr>
                <w:b/>
                <w:sz w:val="20"/>
                <w:szCs w:val="20"/>
              </w:rPr>
            </w:pPr>
            <w:r w:rsidRPr="00AA2FC9">
              <w:rPr>
                <w:b/>
                <w:sz w:val="20"/>
                <w:szCs w:val="20"/>
              </w:rPr>
              <w:t>1</w:t>
            </w:r>
            <w:r>
              <w:rPr>
                <w:b/>
                <w:sz w:val="20"/>
                <w:szCs w:val="20"/>
              </w:rPr>
              <w:t xml:space="preserve"> </w:t>
            </w:r>
            <w:r w:rsidRPr="00AA2FC9">
              <w:rPr>
                <w:b/>
                <w:sz w:val="20"/>
                <w:szCs w:val="20"/>
              </w:rPr>
              <w:t>251</w:t>
            </w:r>
          </w:p>
        </w:tc>
        <w:tc>
          <w:tcPr>
            <w:tcW w:w="0" w:type="auto"/>
          </w:tcPr>
          <w:p w14:paraId="2B447215" w14:textId="77777777" w:rsidR="000916D1" w:rsidRPr="00AA2FC9" w:rsidRDefault="000916D1" w:rsidP="00640825">
            <w:pPr>
              <w:jc w:val="right"/>
              <w:rPr>
                <w:b/>
                <w:sz w:val="20"/>
                <w:szCs w:val="20"/>
              </w:rPr>
            </w:pPr>
            <w:r w:rsidRPr="00AA2FC9">
              <w:rPr>
                <w:b/>
                <w:sz w:val="20"/>
                <w:szCs w:val="20"/>
              </w:rPr>
              <w:t>3</w:t>
            </w:r>
            <w:r>
              <w:rPr>
                <w:b/>
                <w:sz w:val="20"/>
                <w:szCs w:val="20"/>
              </w:rPr>
              <w:t xml:space="preserve"> </w:t>
            </w:r>
            <w:r w:rsidRPr="00AA2FC9">
              <w:rPr>
                <w:b/>
                <w:sz w:val="20"/>
                <w:szCs w:val="20"/>
              </w:rPr>
              <w:t>019</w:t>
            </w:r>
          </w:p>
        </w:tc>
        <w:tc>
          <w:tcPr>
            <w:tcW w:w="0" w:type="auto"/>
          </w:tcPr>
          <w:p w14:paraId="7BD94CB1" w14:textId="77777777" w:rsidR="000916D1" w:rsidRPr="00AA2FC9" w:rsidRDefault="000916D1" w:rsidP="00640825">
            <w:pPr>
              <w:jc w:val="right"/>
              <w:rPr>
                <w:b/>
                <w:sz w:val="20"/>
                <w:szCs w:val="20"/>
              </w:rPr>
            </w:pPr>
            <w:r w:rsidRPr="00AA2FC9">
              <w:rPr>
                <w:b/>
                <w:sz w:val="20"/>
                <w:szCs w:val="20"/>
              </w:rPr>
              <w:t>260</w:t>
            </w:r>
          </w:p>
        </w:tc>
        <w:tc>
          <w:tcPr>
            <w:tcW w:w="0" w:type="auto"/>
          </w:tcPr>
          <w:p w14:paraId="5A6023ED" w14:textId="77777777" w:rsidR="000916D1" w:rsidRPr="00AA2FC9" w:rsidRDefault="000916D1" w:rsidP="00640825">
            <w:pPr>
              <w:jc w:val="right"/>
              <w:rPr>
                <w:b/>
                <w:sz w:val="20"/>
                <w:szCs w:val="20"/>
              </w:rPr>
            </w:pPr>
            <w:r w:rsidRPr="00AA2FC9">
              <w:rPr>
                <w:b/>
                <w:sz w:val="20"/>
                <w:szCs w:val="20"/>
              </w:rPr>
              <w:t>21</w:t>
            </w:r>
          </w:p>
        </w:tc>
        <w:tc>
          <w:tcPr>
            <w:tcW w:w="0" w:type="auto"/>
          </w:tcPr>
          <w:p w14:paraId="354F1E3B" w14:textId="77777777" w:rsidR="000916D1" w:rsidRPr="00AA2FC9" w:rsidRDefault="000916D1" w:rsidP="00640825">
            <w:pPr>
              <w:jc w:val="right"/>
              <w:rPr>
                <w:b/>
                <w:sz w:val="20"/>
                <w:szCs w:val="20"/>
              </w:rPr>
            </w:pPr>
            <w:r w:rsidRPr="00AA2FC9">
              <w:rPr>
                <w:b/>
                <w:sz w:val="20"/>
                <w:szCs w:val="20"/>
              </w:rPr>
              <w:t>281</w:t>
            </w:r>
          </w:p>
        </w:tc>
        <w:tc>
          <w:tcPr>
            <w:tcW w:w="0" w:type="auto"/>
          </w:tcPr>
          <w:p w14:paraId="37477CD3" w14:textId="77777777" w:rsidR="000916D1" w:rsidRPr="00AA2FC9" w:rsidRDefault="000916D1" w:rsidP="00640825">
            <w:pPr>
              <w:jc w:val="right"/>
              <w:rPr>
                <w:b/>
                <w:sz w:val="20"/>
                <w:szCs w:val="20"/>
              </w:rPr>
            </w:pPr>
            <w:r w:rsidRPr="00AA2FC9">
              <w:rPr>
                <w:b/>
                <w:sz w:val="20"/>
                <w:szCs w:val="20"/>
              </w:rPr>
              <w:t>9,3</w:t>
            </w:r>
            <w:r w:rsidR="00337994">
              <w:rPr>
                <w:b/>
                <w:sz w:val="20"/>
                <w:szCs w:val="20"/>
              </w:rPr>
              <w:t xml:space="preserve"> %</w:t>
            </w:r>
          </w:p>
        </w:tc>
      </w:tr>
    </w:tbl>
    <w:p w14:paraId="43DAFD6E" w14:textId="3CB08BF9" w:rsidR="000916D1" w:rsidRPr="006164D5" w:rsidRDefault="000916D1" w:rsidP="000916D1">
      <w:pPr>
        <w:rPr>
          <w:sz w:val="20"/>
          <w:szCs w:val="20"/>
        </w:rPr>
      </w:pPr>
      <w:r w:rsidRPr="006164D5">
        <w:rPr>
          <w:b/>
          <w:bCs/>
          <w:sz w:val="20"/>
          <w:szCs w:val="20"/>
        </w:rPr>
        <w:t>Zdroj:</w:t>
      </w:r>
      <w:r w:rsidRPr="006164D5">
        <w:rPr>
          <w:sz w:val="20"/>
          <w:szCs w:val="20"/>
        </w:rPr>
        <w:t xml:space="preserve"> GFŘ</w:t>
      </w:r>
      <w:r w:rsidR="002D71B3">
        <w:rPr>
          <w:sz w:val="20"/>
          <w:szCs w:val="20"/>
        </w:rPr>
        <w:t>;</w:t>
      </w:r>
      <w:r w:rsidRPr="006164D5">
        <w:rPr>
          <w:sz w:val="20"/>
          <w:szCs w:val="20"/>
        </w:rPr>
        <w:t xml:space="preserve"> vlastní zpra</w:t>
      </w:r>
      <w:r w:rsidR="002D71B3">
        <w:rPr>
          <w:sz w:val="20"/>
          <w:szCs w:val="20"/>
        </w:rPr>
        <w:t>c</w:t>
      </w:r>
      <w:r w:rsidRPr="006164D5">
        <w:rPr>
          <w:sz w:val="20"/>
          <w:szCs w:val="20"/>
        </w:rPr>
        <w:t>ování NKÚ</w:t>
      </w:r>
      <w:r w:rsidR="00722D60" w:rsidRPr="006164D5">
        <w:rPr>
          <w:sz w:val="20"/>
          <w:szCs w:val="20"/>
        </w:rPr>
        <w:t>.</w:t>
      </w:r>
    </w:p>
    <w:p w14:paraId="43394864" w14:textId="3BE4B61D" w:rsidR="00B52100" w:rsidRPr="00C53E19" w:rsidRDefault="00B52100" w:rsidP="006164D5">
      <w:pPr>
        <w:spacing w:before="240" w:line="240" w:lineRule="auto"/>
        <w:jc w:val="both"/>
        <w:rPr>
          <w:sz w:val="24"/>
          <w:szCs w:val="24"/>
          <w:lang w:eastAsia="cs-CZ"/>
        </w:rPr>
      </w:pPr>
      <w:r w:rsidRPr="00C53E19">
        <w:rPr>
          <w:sz w:val="24"/>
          <w:szCs w:val="24"/>
          <w:lang w:eastAsia="cs-CZ"/>
        </w:rPr>
        <w:t xml:space="preserve">Orgány </w:t>
      </w:r>
      <w:r w:rsidR="00C61078">
        <w:rPr>
          <w:sz w:val="24"/>
          <w:szCs w:val="24"/>
          <w:lang w:eastAsia="cs-CZ"/>
        </w:rPr>
        <w:t>FS</w:t>
      </w:r>
      <w:r w:rsidRPr="00C53E19">
        <w:rPr>
          <w:sz w:val="24"/>
          <w:szCs w:val="24"/>
          <w:lang w:eastAsia="cs-CZ"/>
        </w:rPr>
        <w:t xml:space="preserve"> ČR provedly </w:t>
      </w:r>
      <w:r w:rsidR="00424B4A">
        <w:rPr>
          <w:sz w:val="24"/>
          <w:szCs w:val="24"/>
          <w:lang w:eastAsia="cs-CZ"/>
        </w:rPr>
        <w:t xml:space="preserve">na základě podnětů od SÚIP a GŘC </w:t>
      </w:r>
      <w:r w:rsidRPr="00C53E19">
        <w:rPr>
          <w:sz w:val="24"/>
          <w:szCs w:val="24"/>
          <w:lang w:eastAsia="cs-CZ"/>
        </w:rPr>
        <w:t xml:space="preserve">v roce 2021 jednu daňovou kontrolu s fiskálním efektem 65 925 Kč, v roce 2022 provedly dvě daňové kontroly s fiskálním efektem 12 570 Kč a v roce </w:t>
      </w:r>
      <w:r w:rsidR="003D5E47" w:rsidRPr="00C53E19">
        <w:rPr>
          <w:sz w:val="24"/>
          <w:szCs w:val="24"/>
          <w:lang w:eastAsia="cs-CZ"/>
        </w:rPr>
        <w:t xml:space="preserve">2023 provedly celkem 18 daňových kontrol s fiskálním efektem 961 594 Kč. </w:t>
      </w:r>
      <w:r w:rsidR="00424B4A">
        <w:rPr>
          <w:sz w:val="24"/>
          <w:szCs w:val="24"/>
          <w:lang w:eastAsia="cs-CZ"/>
        </w:rPr>
        <w:t>V letech 20</w:t>
      </w:r>
      <w:r w:rsidR="001F4D16">
        <w:rPr>
          <w:sz w:val="24"/>
          <w:szCs w:val="24"/>
          <w:lang w:eastAsia="cs-CZ"/>
        </w:rPr>
        <w:t>2</w:t>
      </w:r>
      <w:r w:rsidR="00424B4A">
        <w:rPr>
          <w:sz w:val="24"/>
          <w:szCs w:val="24"/>
          <w:lang w:eastAsia="cs-CZ"/>
        </w:rPr>
        <w:t>1</w:t>
      </w:r>
      <w:r w:rsidR="002D71B3">
        <w:rPr>
          <w:rFonts w:cstheme="minorHAnsi"/>
          <w:sz w:val="24"/>
          <w:szCs w:val="24"/>
          <w:lang w:eastAsia="cs-CZ"/>
        </w:rPr>
        <w:t>–</w:t>
      </w:r>
      <w:r w:rsidR="00424B4A">
        <w:rPr>
          <w:sz w:val="24"/>
          <w:szCs w:val="24"/>
          <w:lang w:eastAsia="cs-CZ"/>
        </w:rPr>
        <w:t xml:space="preserve">2023 provedla FS ČR 260 kontrolních úkonů s fiskálním efektem 1 455 Kč. </w:t>
      </w:r>
      <w:r w:rsidR="003D5E47" w:rsidRPr="00C53E19">
        <w:rPr>
          <w:sz w:val="24"/>
          <w:szCs w:val="24"/>
          <w:lang w:eastAsia="cs-CZ"/>
        </w:rPr>
        <w:t>Faktory, které ovlivnily fiskální efekt</w:t>
      </w:r>
      <w:r w:rsidR="006C5E82">
        <w:rPr>
          <w:sz w:val="24"/>
          <w:szCs w:val="24"/>
          <w:lang w:eastAsia="cs-CZ"/>
        </w:rPr>
        <w:t>,</w:t>
      </w:r>
      <w:r w:rsidR="003D5E47" w:rsidRPr="00C53E19">
        <w:rPr>
          <w:sz w:val="24"/>
          <w:szCs w:val="24"/>
          <w:lang w:eastAsia="cs-CZ"/>
        </w:rPr>
        <w:t xml:space="preserve"> byly</w:t>
      </w:r>
      <w:r w:rsidR="002D71B3">
        <w:rPr>
          <w:sz w:val="24"/>
          <w:szCs w:val="24"/>
          <w:lang w:eastAsia="cs-CZ"/>
        </w:rPr>
        <w:t>:</w:t>
      </w:r>
      <w:r w:rsidR="003D5E47" w:rsidRPr="00C53E19">
        <w:rPr>
          <w:sz w:val="24"/>
          <w:szCs w:val="24"/>
          <w:lang w:eastAsia="cs-CZ"/>
        </w:rPr>
        <w:t xml:space="preserve"> obsah podnětů, judikatura soudů, časový nesoulad mezi šetřeními SÚIP</w:t>
      </w:r>
      <w:r w:rsidR="002D71B3">
        <w:rPr>
          <w:sz w:val="24"/>
          <w:szCs w:val="24"/>
          <w:lang w:eastAsia="cs-CZ"/>
        </w:rPr>
        <w:t>, resp.</w:t>
      </w:r>
      <w:r w:rsidR="003D5E47" w:rsidRPr="00C53E19">
        <w:rPr>
          <w:sz w:val="24"/>
          <w:szCs w:val="24"/>
          <w:lang w:eastAsia="cs-CZ"/>
        </w:rPr>
        <w:t xml:space="preserve"> </w:t>
      </w:r>
      <w:r w:rsidR="00C61078">
        <w:rPr>
          <w:sz w:val="24"/>
          <w:szCs w:val="24"/>
          <w:lang w:eastAsia="cs-CZ"/>
        </w:rPr>
        <w:t>CS</w:t>
      </w:r>
      <w:r w:rsidR="003D5E47" w:rsidRPr="00C53E19">
        <w:rPr>
          <w:sz w:val="24"/>
          <w:szCs w:val="24"/>
          <w:lang w:eastAsia="cs-CZ"/>
        </w:rPr>
        <w:t xml:space="preserve"> ČR a aktuálním nebo uplynulým zdaňovacím obdobím, složité dokazování a nejasná či chybějící legislativa </w:t>
      </w:r>
      <w:r w:rsidR="002D71B3">
        <w:rPr>
          <w:sz w:val="24"/>
          <w:szCs w:val="24"/>
          <w:lang w:eastAsia="cs-CZ"/>
        </w:rPr>
        <w:t xml:space="preserve">v oblasti </w:t>
      </w:r>
      <w:r w:rsidR="003D5E47" w:rsidRPr="00C53E19">
        <w:rPr>
          <w:sz w:val="24"/>
          <w:szCs w:val="24"/>
          <w:lang w:eastAsia="cs-CZ"/>
        </w:rPr>
        <w:t>závislé</w:t>
      </w:r>
      <w:r w:rsidR="00061F8B">
        <w:rPr>
          <w:sz w:val="24"/>
          <w:szCs w:val="24"/>
          <w:lang w:eastAsia="cs-CZ"/>
        </w:rPr>
        <w:t xml:space="preserve"> práce</w:t>
      </w:r>
      <w:r w:rsidR="003D5E47" w:rsidRPr="00C53E19">
        <w:rPr>
          <w:sz w:val="24"/>
          <w:szCs w:val="24"/>
          <w:lang w:eastAsia="cs-CZ"/>
        </w:rPr>
        <w:t xml:space="preserve"> a samostatn</w:t>
      </w:r>
      <w:r w:rsidR="00F30F5A">
        <w:rPr>
          <w:sz w:val="24"/>
          <w:szCs w:val="24"/>
          <w:lang w:eastAsia="cs-CZ"/>
        </w:rPr>
        <w:t>é</w:t>
      </w:r>
      <w:r w:rsidR="003D5E47" w:rsidRPr="00C53E19">
        <w:rPr>
          <w:sz w:val="24"/>
          <w:szCs w:val="24"/>
          <w:lang w:eastAsia="cs-CZ"/>
        </w:rPr>
        <w:t xml:space="preserve"> výdělečné činnosti. </w:t>
      </w:r>
    </w:p>
    <w:p w14:paraId="079AFF98" w14:textId="07AAD5B2" w:rsidR="004A2B7F" w:rsidRPr="00C53E19" w:rsidRDefault="00C217DA" w:rsidP="0065696D">
      <w:pPr>
        <w:spacing w:line="240" w:lineRule="auto"/>
        <w:jc w:val="both"/>
        <w:rPr>
          <w:sz w:val="24"/>
          <w:szCs w:val="24"/>
          <w:lang w:eastAsia="cs-CZ"/>
        </w:rPr>
      </w:pPr>
      <w:bookmarkStart w:id="12" w:name="_Hlk201152538"/>
      <w:r w:rsidRPr="00C53E19">
        <w:rPr>
          <w:sz w:val="24"/>
          <w:szCs w:val="24"/>
          <w:lang w:eastAsia="cs-CZ"/>
        </w:rPr>
        <w:t xml:space="preserve">NKÚ zjistil, že ČSSZ nevedla samostatnou evidenci podnětů ve vazbě na podezření na </w:t>
      </w:r>
      <w:r w:rsidR="003A3A9B">
        <w:rPr>
          <w:sz w:val="24"/>
          <w:szCs w:val="24"/>
          <w:lang w:eastAsia="cs-CZ"/>
        </w:rPr>
        <w:t>NLZ</w:t>
      </w:r>
      <w:r w:rsidRPr="00C53E19">
        <w:rPr>
          <w:sz w:val="24"/>
          <w:szCs w:val="24"/>
          <w:lang w:eastAsia="cs-CZ"/>
        </w:rPr>
        <w:t xml:space="preserve">. </w:t>
      </w:r>
      <w:bookmarkStart w:id="13" w:name="_Hlk201152489"/>
      <w:r w:rsidRPr="00C53E19">
        <w:rPr>
          <w:sz w:val="24"/>
          <w:szCs w:val="24"/>
          <w:lang w:eastAsia="cs-CZ"/>
        </w:rPr>
        <w:t>Stejně tak nevedla samostatně evidenci jejich využití a</w:t>
      </w:r>
      <w:r w:rsidR="00BE4190">
        <w:rPr>
          <w:sz w:val="24"/>
          <w:szCs w:val="24"/>
          <w:lang w:eastAsia="cs-CZ"/>
        </w:rPr>
        <w:t xml:space="preserve"> evidovala pouze celkové výsledky kontrol OSSZ</w:t>
      </w:r>
      <w:r w:rsidR="00BE4190" w:rsidRPr="00C53E19">
        <w:rPr>
          <w:sz w:val="24"/>
          <w:szCs w:val="24"/>
          <w:lang w:eastAsia="cs-CZ"/>
        </w:rPr>
        <w:t xml:space="preserve"> </w:t>
      </w:r>
      <w:r w:rsidR="00BE4190">
        <w:rPr>
          <w:sz w:val="24"/>
          <w:szCs w:val="24"/>
          <w:lang w:eastAsia="cs-CZ"/>
        </w:rPr>
        <w:t xml:space="preserve">zaměřených na </w:t>
      </w:r>
      <w:r w:rsidRPr="00C53E19">
        <w:rPr>
          <w:sz w:val="24"/>
          <w:szCs w:val="24"/>
          <w:lang w:eastAsia="cs-CZ"/>
        </w:rPr>
        <w:t>plnění povinností zaměstnavatelů v</w:t>
      </w:r>
      <w:r w:rsidR="00BA2133">
        <w:rPr>
          <w:sz w:val="24"/>
          <w:szCs w:val="24"/>
          <w:lang w:eastAsia="cs-CZ"/>
        </w:rPr>
        <w:t xml:space="preserve"> </w:t>
      </w:r>
      <w:r w:rsidR="00BE4190">
        <w:rPr>
          <w:sz w:val="24"/>
          <w:szCs w:val="24"/>
          <w:lang w:eastAsia="cs-CZ"/>
        </w:rPr>
        <w:t xml:space="preserve">oblasti </w:t>
      </w:r>
      <w:r w:rsidRPr="00C53E19">
        <w:rPr>
          <w:sz w:val="24"/>
          <w:szCs w:val="24"/>
          <w:lang w:eastAsia="cs-CZ"/>
        </w:rPr>
        <w:t>sociální</w:t>
      </w:r>
      <w:r w:rsidR="00BE4190">
        <w:rPr>
          <w:sz w:val="24"/>
          <w:szCs w:val="24"/>
          <w:lang w:eastAsia="cs-CZ"/>
        </w:rPr>
        <w:t>ho</w:t>
      </w:r>
      <w:r w:rsidRPr="00C53E19">
        <w:rPr>
          <w:sz w:val="24"/>
          <w:szCs w:val="24"/>
          <w:lang w:eastAsia="cs-CZ"/>
        </w:rPr>
        <w:t xml:space="preserve"> zabezpečení.</w:t>
      </w:r>
      <w:r w:rsidR="00EC14DB" w:rsidRPr="00C53E19">
        <w:rPr>
          <w:sz w:val="24"/>
          <w:szCs w:val="24"/>
          <w:lang w:eastAsia="cs-CZ"/>
        </w:rPr>
        <w:t xml:space="preserve"> </w:t>
      </w:r>
      <w:bookmarkEnd w:id="13"/>
      <w:r w:rsidR="00BE4190">
        <w:rPr>
          <w:sz w:val="24"/>
          <w:szCs w:val="24"/>
          <w:lang w:eastAsia="cs-CZ"/>
        </w:rPr>
        <w:t>Současně však NKÚ zjistil</w:t>
      </w:r>
      <w:r w:rsidR="008B6909">
        <w:rPr>
          <w:sz w:val="24"/>
          <w:szCs w:val="24"/>
          <w:lang w:eastAsia="cs-CZ"/>
        </w:rPr>
        <w:t xml:space="preserve">, že </w:t>
      </w:r>
      <w:r w:rsidR="001E5A57">
        <w:rPr>
          <w:sz w:val="24"/>
          <w:szCs w:val="24"/>
          <w:lang w:eastAsia="cs-CZ"/>
        </w:rPr>
        <w:t xml:space="preserve">ČSSZ </w:t>
      </w:r>
      <w:r w:rsidR="008B6909">
        <w:rPr>
          <w:sz w:val="24"/>
          <w:szCs w:val="24"/>
          <w:lang w:eastAsia="cs-CZ"/>
        </w:rPr>
        <w:t>neměla povinnost informace získ</w:t>
      </w:r>
      <w:r w:rsidR="00F30F5A">
        <w:rPr>
          <w:sz w:val="24"/>
          <w:szCs w:val="24"/>
          <w:lang w:eastAsia="cs-CZ"/>
        </w:rPr>
        <w:t>ané</w:t>
      </w:r>
      <w:r w:rsidR="008B6909">
        <w:rPr>
          <w:sz w:val="24"/>
          <w:szCs w:val="24"/>
          <w:lang w:eastAsia="cs-CZ"/>
        </w:rPr>
        <w:t xml:space="preserve"> z podnětů týkajících se NLZ</w:t>
      </w:r>
      <w:r w:rsidR="001E5A57" w:rsidRPr="001E5A57">
        <w:rPr>
          <w:sz w:val="24"/>
          <w:szCs w:val="24"/>
          <w:lang w:eastAsia="cs-CZ"/>
        </w:rPr>
        <w:t xml:space="preserve"> </w:t>
      </w:r>
      <w:r w:rsidR="001E5A57">
        <w:rPr>
          <w:sz w:val="24"/>
          <w:szCs w:val="24"/>
          <w:lang w:eastAsia="cs-CZ"/>
        </w:rPr>
        <w:t>samostatně evidovat</w:t>
      </w:r>
      <w:r w:rsidR="008B6909">
        <w:rPr>
          <w:sz w:val="24"/>
          <w:szCs w:val="24"/>
          <w:lang w:eastAsia="cs-CZ"/>
        </w:rPr>
        <w:t xml:space="preserve"> </w:t>
      </w:r>
      <w:r w:rsidR="001E5A57">
        <w:rPr>
          <w:sz w:val="24"/>
          <w:szCs w:val="24"/>
          <w:lang w:eastAsia="cs-CZ"/>
        </w:rPr>
        <w:t>(</w:t>
      </w:r>
      <w:r w:rsidR="008B6909">
        <w:rPr>
          <w:sz w:val="24"/>
          <w:szCs w:val="24"/>
          <w:lang w:eastAsia="cs-CZ"/>
        </w:rPr>
        <w:t>tyto informace využívala k</w:t>
      </w:r>
      <w:r w:rsidR="00F20EBF">
        <w:rPr>
          <w:sz w:val="24"/>
          <w:szCs w:val="24"/>
          <w:lang w:eastAsia="cs-CZ"/>
        </w:rPr>
        <w:t xml:space="preserve"> </w:t>
      </w:r>
      <w:r w:rsidR="008B6909">
        <w:rPr>
          <w:sz w:val="24"/>
          <w:szCs w:val="24"/>
          <w:lang w:eastAsia="cs-CZ"/>
        </w:rPr>
        <w:t xml:space="preserve">hodnocení </w:t>
      </w:r>
      <w:r w:rsidR="004A2B7F" w:rsidRPr="00C53E19">
        <w:rPr>
          <w:sz w:val="24"/>
          <w:szCs w:val="24"/>
          <w:lang w:eastAsia="cs-CZ"/>
        </w:rPr>
        <w:t>rizikovosti zaměstnavatelů nebo osob, které výkon nelegální práce umožnily</w:t>
      </w:r>
      <w:r w:rsidR="001E5A57">
        <w:rPr>
          <w:sz w:val="24"/>
          <w:szCs w:val="24"/>
          <w:lang w:eastAsia="cs-CZ"/>
        </w:rPr>
        <w:t>)</w:t>
      </w:r>
      <w:r w:rsidR="004A2B7F" w:rsidRPr="00C53E19">
        <w:rPr>
          <w:sz w:val="24"/>
          <w:szCs w:val="24"/>
          <w:lang w:eastAsia="cs-CZ"/>
        </w:rPr>
        <w:t>.</w:t>
      </w:r>
    </w:p>
    <w:bookmarkEnd w:id="12"/>
    <w:p w14:paraId="604C26D6" w14:textId="6683BBD7" w:rsidR="00D2192A" w:rsidRDefault="0065696D" w:rsidP="0065696D">
      <w:pPr>
        <w:spacing w:line="240" w:lineRule="auto"/>
        <w:jc w:val="both"/>
        <w:rPr>
          <w:sz w:val="24"/>
          <w:szCs w:val="24"/>
          <w:lang w:eastAsia="cs-CZ"/>
        </w:rPr>
      </w:pPr>
      <w:r w:rsidRPr="00C53E19">
        <w:rPr>
          <w:sz w:val="24"/>
          <w:szCs w:val="24"/>
          <w:lang w:eastAsia="cs-CZ"/>
        </w:rPr>
        <w:t>OSSZ zjistily</w:t>
      </w:r>
      <w:r w:rsidR="00E50922">
        <w:rPr>
          <w:sz w:val="24"/>
          <w:szCs w:val="24"/>
          <w:lang w:eastAsia="cs-CZ"/>
        </w:rPr>
        <w:t xml:space="preserve"> </w:t>
      </w:r>
      <w:r w:rsidR="0006042E">
        <w:rPr>
          <w:sz w:val="24"/>
          <w:szCs w:val="24"/>
          <w:lang w:eastAsia="cs-CZ"/>
        </w:rPr>
        <w:t>v letech</w:t>
      </w:r>
      <w:r w:rsidR="00E50922">
        <w:rPr>
          <w:sz w:val="24"/>
          <w:szCs w:val="24"/>
          <w:lang w:eastAsia="cs-CZ"/>
        </w:rPr>
        <w:t xml:space="preserve"> </w:t>
      </w:r>
      <w:r w:rsidR="00722D60">
        <w:rPr>
          <w:sz w:val="24"/>
          <w:szCs w:val="24"/>
          <w:lang w:eastAsia="cs-CZ"/>
        </w:rPr>
        <w:t>2019–2024</w:t>
      </w:r>
      <w:r w:rsidRPr="00C53E19">
        <w:rPr>
          <w:sz w:val="24"/>
          <w:szCs w:val="24"/>
          <w:lang w:eastAsia="cs-CZ"/>
        </w:rPr>
        <w:t xml:space="preserve"> celkem 96 zaměstnavatelů, </w:t>
      </w:r>
      <w:r w:rsidR="0006042E">
        <w:rPr>
          <w:sz w:val="24"/>
          <w:szCs w:val="24"/>
          <w:lang w:eastAsia="cs-CZ"/>
        </w:rPr>
        <w:t>u</w:t>
      </w:r>
      <w:r w:rsidR="00052BA5">
        <w:rPr>
          <w:sz w:val="24"/>
          <w:szCs w:val="24"/>
          <w:lang w:eastAsia="cs-CZ"/>
        </w:rPr>
        <w:t xml:space="preserve"> </w:t>
      </w:r>
      <w:r w:rsidRPr="00C53E19">
        <w:rPr>
          <w:sz w:val="24"/>
          <w:szCs w:val="24"/>
          <w:lang w:eastAsia="cs-CZ"/>
        </w:rPr>
        <w:t>který</w:t>
      </w:r>
      <w:r w:rsidR="00052BA5">
        <w:rPr>
          <w:sz w:val="24"/>
          <w:szCs w:val="24"/>
          <w:lang w:eastAsia="cs-CZ"/>
        </w:rPr>
        <w:t xml:space="preserve">ch </w:t>
      </w:r>
      <w:r w:rsidRPr="00C53E19">
        <w:rPr>
          <w:sz w:val="24"/>
          <w:szCs w:val="24"/>
          <w:lang w:eastAsia="cs-CZ"/>
        </w:rPr>
        <w:t>získaly vlastní činností či obdržely od třetích stran informace o možném nelegálním zaměstnávání. OSSZ dále postoupily OIP informace o možném nelegálním zaměstnávání v 59 případech, z toho ve dvou případech bylo nelegální zaměstnávání potvrzeno</w:t>
      </w:r>
      <w:r w:rsidR="00F30F5A">
        <w:rPr>
          <w:sz w:val="24"/>
          <w:szCs w:val="24"/>
          <w:lang w:eastAsia="cs-CZ"/>
        </w:rPr>
        <w:t xml:space="preserve"> </w:t>
      </w:r>
      <w:r w:rsidR="00F30F5A" w:rsidRPr="00C53E19">
        <w:rPr>
          <w:sz w:val="24"/>
          <w:szCs w:val="24"/>
          <w:lang w:eastAsia="cs-CZ"/>
        </w:rPr>
        <w:t>OIP</w:t>
      </w:r>
      <w:r w:rsidRPr="00C53E19">
        <w:rPr>
          <w:sz w:val="24"/>
          <w:szCs w:val="24"/>
          <w:lang w:eastAsia="cs-CZ"/>
        </w:rPr>
        <w:t>.</w:t>
      </w:r>
      <w:r w:rsidR="00EC14DB" w:rsidRPr="00C53E19">
        <w:rPr>
          <w:sz w:val="24"/>
          <w:szCs w:val="24"/>
          <w:lang w:eastAsia="cs-CZ"/>
        </w:rPr>
        <w:t xml:space="preserve"> </w:t>
      </w:r>
    </w:p>
    <w:p w14:paraId="2294C7F7" w14:textId="77A0DA79" w:rsidR="008B6951" w:rsidRPr="00B40223" w:rsidRDefault="008B6951" w:rsidP="006164D5">
      <w:pPr>
        <w:pStyle w:val="NadpisKZ"/>
        <w:tabs>
          <w:tab w:val="clear" w:pos="360"/>
        </w:tabs>
        <w:spacing w:before="240" w:after="160"/>
      </w:pPr>
      <w:r>
        <w:t xml:space="preserve">MF nežádalo o </w:t>
      </w:r>
      <w:r w:rsidRPr="00725AD4">
        <w:t xml:space="preserve">vratitelné přeplatky pojistného na veřejné zdravotní pojištění </w:t>
      </w:r>
      <w:r>
        <w:t>za nelegálně pracující uchazeče o zaměstnání</w:t>
      </w:r>
    </w:p>
    <w:p w14:paraId="50108AA7" w14:textId="7B1B2D41" w:rsidR="00FB63D5" w:rsidRPr="00FD6319" w:rsidRDefault="00485175" w:rsidP="00FB63D5">
      <w:pPr>
        <w:spacing w:line="240" w:lineRule="auto"/>
        <w:jc w:val="both"/>
        <w:rPr>
          <w:sz w:val="24"/>
          <w:szCs w:val="24"/>
          <w:lang w:eastAsia="cs-CZ"/>
        </w:rPr>
      </w:pPr>
      <w:r>
        <w:rPr>
          <w:sz w:val="24"/>
          <w:szCs w:val="24"/>
          <w:lang w:eastAsia="cs-CZ"/>
        </w:rPr>
        <w:t>Z</w:t>
      </w:r>
      <w:r w:rsidR="00FB63D5">
        <w:rPr>
          <w:sz w:val="24"/>
          <w:szCs w:val="24"/>
          <w:lang w:eastAsia="cs-CZ"/>
        </w:rPr>
        <w:t>a osoby, za které je plátcem pojistného stát</w:t>
      </w:r>
      <w:r>
        <w:rPr>
          <w:sz w:val="24"/>
          <w:szCs w:val="24"/>
          <w:lang w:eastAsia="cs-CZ"/>
        </w:rPr>
        <w:t>,</w:t>
      </w:r>
      <w:r w:rsidR="00FB63D5" w:rsidRPr="00FD6319">
        <w:rPr>
          <w:sz w:val="24"/>
          <w:szCs w:val="24"/>
          <w:lang w:eastAsia="cs-CZ"/>
        </w:rPr>
        <w:t xml:space="preserve"> </w:t>
      </w:r>
      <w:r w:rsidRPr="00485175">
        <w:rPr>
          <w:sz w:val="24"/>
          <w:szCs w:val="24"/>
          <w:lang w:eastAsia="cs-CZ"/>
        </w:rPr>
        <w:t>hradí pojistné</w:t>
      </w:r>
      <w:r>
        <w:rPr>
          <w:sz w:val="24"/>
          <w:szCs w:val="24"/>
          <w:lang w:eastAsia="cs-CZ"/>
        </w:rPr>
        <w:t xml:space="preserve"> </w:t>
      </w:r>
      <w:r w:rsidRPr="00485175">
        <w:rPr>
          <w:sz w:val="24"/>
          <w:szCs w:val="24"/>
          <w:lang w:eastAsia="cs-CZ"/>
        </w:rPr>
        <w:t>MF</w:t>
      </w:r>
      <w:r>
        <w:rPr>
          <w:sz w:val="24"/>
          <w:szCs w:val="24"/>
          <w:lang w:eastAsia="cs-CZ"/>
        </w:rPr>
        <w:t>, a to</w:t>
      </w:r>
      <w:r w:rsidRPr="00485175">
        <w:rPr>
          <w:sz w:val="24"/>
          <w:szCs w:val="24"/>
          <w:lang w:eastAsia="cs-CZ"/>
        </w:rPr>
        <w:t xml:space="preserve"> </w:t>
      </w:r>
      <w:r w:rsidR="00FB63D5">
        <w:rPr>
          <w:sz w:val="24"/>
          <w:szCs w:val="24"/>
          <w:lang w:eastAsia="cs-CZ"/>
        </w:rPr>
        <w:t>podle zákona České národní rady č. 592/1992 Sb.</w:t>
      </w:r>
      <w:r w:rsidR="00FB63D5">
        <w:rPr>
          <w:rStyle w:val="Znakapoznpodarou"/>
          <w:sz w:val="24"/>
          <w:szCs w:val="24"/>
          <w:lang w:eastAsia="cs-CZ"/>
        </w:rPr>
        <w:footnoteReference w:id="30"/>
      </w:r>
      <w:r w:rsidR="00FB63D5" w:rsidRPr="00FD6319">
        <w:rPr>
          <w:sz w:val="24"/>
          <w:szCs w:val="24"/>
          <w:lang w:eastAsia="cs-CZ"/>
        </w:rPr>
        <w:t xml:space="preserve"> Mezi tyto pojištěnce patří </w:t>
      </w:r>
      <w:r w:rsidR="00FB63D5">
        <w:rPr>
          <w:sz w:val="24"/>
          <w:szCs w:val="24"/>
          <w:lang w:eastAsia="cs-CZ"/>
        </w:rPr>
        <w:t>podle zákona č. 48/1997 Sb.</w:t>
      </w:r>
      <w:r w:rsidR="00FB63D5">
        <w:rPr>
          <w:rStyle w:val="Znakapoznpodarou"/>
          <w:sz w:val="24"/>
          <w:szCs w:val="24"/>
          <w:lang w:eastAsia="cs-CZ"/>
        </w:rPr>
        <w:footnoteReference w:id="31"/>
      </w:r>
      <w:r w:rsidR="00FB63D5">
        <w:rPr>
          <w:sz w:val="24"/>
          <w:szCs w:val="24"/>
          <w:lang w:eastAsia="cs-CZ"/>
        </w:rPr>
        <w:t xml:space="preserve"> </w:t>
      </w:r>
      <w:r w:rsidR="00DA6518">
        <w:rPr>
          <w:sz w:val="24"/>
          <w:szCs w:val="24"/>
          <w:lang w:eastAsia="cs-CZ"/>
        </w:rPr>
        <w:br/>
      </w:r>
      <w:r w:rsidR="00FB63D5" w:rsidRPr="00FD6319">
        <w:rPr>
          <w:sz w:val="24"/>
          <w:szCs w:val="24"/>
          <w:lang w:eastAsia="cs-CZ"/>
        </w:rPr>
        <w:t>mj.</w:t>
      </w:r>
      <w:r w:rsidR="00DA6518">
        <w:rPr>
          <w:sz w:val="24"/>
          <w:szCs w:val="24"/>
          <w:lang w:eastAsia="cs-CZ"/>
        </w:rPr>
        <w:t xml:space="preserve"> </w:t>
      </w:r>
      <w:r w:rsidR="00FB63D5" w:rsidRPr="00871A03">
        <w:rPr>
          <w:rFonts w:ascii="Calibri" w:eastAsia="Calibri" w:hAnsi="Calibri" w:cs="Calibri"/>
          <w:color w:val="232323"/>
          <w:sz w:val="24"/>
          <w:szCs w:val="24"/>
          <w:shd w:val="clear" w:color="auto" w:fill="FFFFFF"/>
        </w:rPr>
        <w:t xml:space="preserve">uchazeči o zaměstnání vedení </w:t>
      </w:r>
      <w:r w:rsidRPr="00FD6319">
        <w:rPr>
          <w:sz w:val="24"/>
          <w:szCs w:val="24"/>
          <w:lang w:eastAsia="cs-CZ"/>
        </w:rPr>
        <w:t>Úřad</w:t>
      </w:r>
      <w:r>
        <w:rPr>
          <w:sz w:val="24"/>
          <w:szCs w:val="24"/>
          <w:lang w:eastAsia="cs-CZ"/>
        </w:rPr>
        <w:t>em</w:t>
      </w:r>
      <w:r w:rsidRPr="00FD6319">
        <w:rPr>
          <w:sz w:val="24"/>
          <w:szCs w:val="24"/>
          <w:lang w:eastAsia="cs-CZ"/>
        </w:rPr>
        <w:t xml:space="preserve"> práce ČR</w:t>
      </w:r>
      <w:r>
        <w:rPr>
          <w:sz w:val="24"/>
          <w:szCs w:val="24"/>
          <w:lang w:eastAsia="cs-CZ"/>
        </w:rPr>
        <w:t xml:space="preserve"> </w:t>
      </w:r>
      <w:r w:rsidR="00FB63D5" w:rsidRPr="00871A03">
        <w:rPr>
          <w:rFonts w:ascii="Calibri" w:eastAsia="Calibri" w:hAnsi="Calibri" w:cs="Calibri"/>
          <w:color w:val="232323"/>
          <w:sz w:val="24"/>
          <w:szCs w:val="24"/>
          <w:shd w:val="clear" w:color="auto" w:fill="FFFFFF"/>
        </w:rPr>
        <w:t xml:space="preserve">v evidenci uchazečů o zaměstnání ve smyslu § </w:t>
      </w:r>
      <w:r w:rsidR="00596B7E">
        <w:rPr>
          <w:rFonts w:ascii="Calibri" w:eastAsia="Calibri" w:hAnsi="Calibri" w:cs="Calibri"/>
          <w:color w:val="232323"/>
          <w:sz w:val="24"/>
          <w:szCs w:val="24"/>
          <w:shd w:val="clear" w:color="auto" w:fill="FFFFFF"/>
        </w:rPr>
        <w:t>24</w:t>
      </w:r>
      <w:r w:rsidR="00FB63D5" w:rsidRPr="00871A03">
        <w:rPr>
          <w:rFonts w:ascii="Calibri" w:eastAsia="Calibri" w:hAnsi="Calibri" w:cs="Calibri"/>
          <w:color w:val="232323"/>
          <w:sz w:val="24"/>
          <w:szCs w:val="24"/>
          <w:shd w:val="clear" w:color="auto" w:fill="FFFFFF"/>
        </w:rPr>
        <w:t xml:space="preserve"> zákona o zaměstnanosti</w:t>
      </w:r>
      <w:r w:rsidR="00FB63D5" w:rsidRPr="00FD6319">
        <w:rPr>
          <w:sz w:val="24"/>
          <w:szCs w:val="24"/>
          <w:lang w:eastAsia="cs-CZ"/>
        </w:rPr>
        <w:t xml:space="preserve">. Ze zdravotního pojištění jsou </w:t>
      </w:r>
      <w:r w:rsidR="00FB63D5">
        <w:rPr>
          <w:sz w:val="24"/>
          <w:szCs w:val="24"/>
          <w:lang w:eastAsia="cs-CZ"/>
        </w:rPr>
        <w:t xml:space="preserve">mimo jiné </w:t>
      </w:r>
      <w:r w:rsidR="00FB63D5" w:rsidRPr="00FD6319">
        <w:rPr>
          <w:sz w:val="24"/>
          <w:szCs w:val="24"/>
          <w:lang w:eastAsia="cs-CZ"/>
        </w:rPr>
        <w:t>vyňaty osoby, které na území ČR vykonávají nelegální práci.</w:t>
      </w:r>
    </w:p>
    <w:p w14:paraId="25A3FF96" w14:textId="4DA18440" w:rsidR="00FB63D5" w:rsidRDefault="00FB63D5" w:rsidP="00FB63D5">
      <w:pPr>
        <w:spacing w:line="240" w:lineRule="auto"/>
        <w:jc w:val="both"/>
        <w:rPr>
          <w:sz w:val="24"/>
          <w:szCs w:val="24"/>
          <w:lang w:eastAsia="cs-CZ"/>
        </w:rPr>
      </w:pPr>
      <w:r>
        <w:rPr>
          <w:sz w:val="24"/>
          <w:szCs w:val="24"/>
          <w:lang w:eastAsia="cs-CZ"/>
        </w:rPr>
        <w:t xml:space="preserve">Všeobecná zdravotní pojišťovna (dále také „VZP“) zasílá </w:t>
      </w:r>
      <w:r w:rsidRPr="00FD6319">
        <w:rPr>
          <w:sz w:val="24"/>
          <w:szCs w:val="24"/>
          <w:lang w:eastAsia="cs-CZ"/>
        </w:rPr>
        <w:t xml:space="preserve">MF </w:t>
      </w:r>
      <w:r w:rsidR="00485175">
        <w:rPr>
          <w:sz w:val="24"/>
          <w:szCs w:val="24"/>
          <w:lang w:eastAsia="cs-CZ"/>
        </w:rPr>
        <w:t xml:space="preserve">informace o </w:t>
      </w:r>
      <w:r w:rsidRPr="00FD6319">
        <w:rPr>
          <w:sz w:val="24"/>
          <w:szCs w:val="24"/>
          <w:lang w:eastAsia="cs-CZ"/>
        </w:rPr>
        <w:t>počt</w:t>
      </w:r>
      <w:r w:rsidR="00485175">
        <w:rPr>
          <w:sz w:val="24"/>
          <w:szCs w:val="24"/>
          <w:lang w:eastAsia="cs-CZ"/>
        </w:rPr>
        <w:t>ech</w:t>
      </w:r>
      <w:r w:rsidRPr="00FD6319">
        <w:rPr>
          <w:sz w:val="24"/>
          <w:szCs w:val="24"/>
          <w:lang w:eastAsia="cs-CZ"/>
        </w:rPr>
        <w:t xml:space="preserve"> pojištěnců (nikoli </w:t>
      </w:r>
      <w:r w:rsidR="00485175">
        <w:rPr>
          <w:sz w:val="24"/>
          <w:szCs w:val="24"/>
          <w:lang w:eastAsia="cs-CZ"/>
        </w:rPr>
        <w:t xml:space="preserve">jejich </w:t>
      </w:r>
      <w:r w:rsidR="00E50922">
        <w:rPr>
          <w:sz w:val="24"/>
          <w:szCs w:val="24"/>
          <w:lang w:eastAsia="cs-CZ"/>
        </w:rPr>
        <w:t xml:space="preserve">identifikační </w:t>
      </w:r>
      <w:r>
        <w:rPr>
          <w:sz w:val="24"/>
          <w:szCs w:val="24"/>
          <w:lang w:eastAsia="cs-CZ"/>
        </w:rPr>
        <w:t>údaje</w:t>
      </w:r>
      <w:r w:rsidRPr="00FD6319">
        <w:rPr>
          <w:sz w:val="24"/>
          <w:szCs w:val="24"/>
          <w:lang w:eastAsia="cs-CZ"/>
        </w:rPr>
        <w:t xml:space="preserve">), za něž je plátcem pojistného stát, a to dle stavu k 1. dni </w:t>
      </w:r>
      <w:r w:rsidRPr="00FD6319">
        <w:rPr>
          <w:sz w:val="24"/>
          <w:szCs w:val="24"/>
          <w:lang w:eastAsia="cs-CZ"/>
        </w:rPr>
        <w:lastRenderedPageBreak/>
        <w:t>kalendářního měsíce</w:t>
      </w:r>
      <w:r w:rsidR="00485175">
        <w:rPr>
          <w:sz w:val="24"/>
          <w:szCs w:val="24"/>
          <w:lang w:eastAsia="cs-CZ"/>
        </w:rPr>
        <w:t xml:space="preserve">, zároveň uvádí i informace </w:t>
      </w:r>
      <w:r w:rsidRPr="00FD6319">
        <w:rPr>
          <w:sz w:val="24"/>
          <w:szCs w:val="24"/>
          <w:lang w:eastAsia="cs-CZ"/>
        </w:rPr>
        <w:t>o počt</w:t>
      </w:r>
      <w:r w:rsidR="00485175">
        <w:rPr>
          <w:sz w:val="24"/>
          <w:szCs w:val="24"/>
          <w:lang w:eastAsia="cs-CZ"/>
        </w:rPr>
        <w:t>u</w:t>
      </w:r>
      <w:r w:rsidRPr="00FD6319">
        <w:rPr>
          <w:sz w:val="24"/>
          <w:szCs w:val="24"/>
          <w:lang w:eastAsia="cs-CZ"/>
        </w:rPr>
        <w:t xml:space="preserve"> pojištěnců k 1. dni kalendářního měsíce předcházejícího o 3 měsíce příslušné</w:t>
      </w:r>
      <w:r w:rsidR="00485175">
        <w:rPr>
          <w:sz w:val="24"/>
          <w:szCs w:val="24"/>
          <w:lang w:eastAsia="cs-CZ"/>
        </w:rPr>
        <w:t>mu</w:t>
      </w:r>
      <w:r w:rsidRPr="00FD6319">
        <w:rPr>
          <w:sz w:val="24"/>
          <w:szCs w:val="24"/>
          <w:lang w:eastAsia="cs-CZ"/>
        </w:rPr>
        <w:t xml:space="preserve"> přerozdělování. </w:t>
      </w:r>
    </w:p>
    <w:p w14:paraId="1F90EBF2" w14:textId="485B5DBF" w:rsidR="00FB63D5" w:rsidRPr="00FD6319" w:rsidRDefault="00FB63D5" w:rsidP="00FB63D5">
      <w:pPr>
        <w:spacing w:line="240" w:lineRule="auto"/>
        <w:jc w:val="both"/>
        <w:rPr>
          <w:sz w:val="24"/>
          <w:szCs w:val="24"/>
          <w:lang w:eastAsia="cs-CZ"/>
        </w:rPr>
      </w:pPr>
      <w:r>
        <w:rPr>
          <w:sz w:val="24"/>
          <w:szCs w:val="24"/>
          <w:lang w:eastAsia="cs-CZ"/>
        </w:rPr>
        <w:t>Zákon č. 592/1992 Sb.</w:t>
      </w:r>
      <w:r>
        <w:rPr>
          <w:rStyle w:val="Znakapoznpodarou"/>
          <w:sz w:val="24"/>
          <w:szCs w:val="24"/>
          <w:lang w:eastAsia="cs-CZ"/>
        </w:rPr>
        <w:footnoteReference w:id="32"/>
      </w:r>
      <w:r>
        <w:rPr>
          <w:sz w:val="24"/>
          <w:szCs w:val="24"/>
          <w:lang w:eastAsia="cs-CZ"/>
        </w:rPr>
        <w:t xml:space="preserve"> stanoví, že přeplatek pojistného, činí-li úhrnná výše tohoto přeplatku nejméně 200 Kč, se vrací plátci pojistného nebo jeho právnímu nástupci, pokud není jiného splatného závazku vůči příslušné zdravotní pojišťovně. Zdravotní pojišťovna je povinn</w:t>
      </w:r>
      <w:r w:rsidR="00CD237C">
        <w:rPr>
          <w:sz w:val="24"/>
          <w:szCs w:val="24"/>
          <w:lang w:eastAsia="cs-CZ"/>
        </w:rPr>
        <w:t>a</w:t>
      </w:r>
      <w:r>
        <w:rPr>
          <w:sz w:val="24"/>
          <w:szCs w:val="24"/>
          <w:lang w:eastAsia="cs-CZ"/>
        </w:rPr>
        <w:t xml:space="preserve"> vrátit přeplatek do jednoho měsíce ode dne, kdy tento přeplatek zjistila.</w:t>
      </w:r>
    </w:p>
    <w:p w14:paraId="15B85D36" w14:textId="49AE7941" w:rsidR="00FB63D5" w:rsidRPr="00FD6319" w:rsidRDefault="00FB63D5" w:rsidP="00FB63D5">
      <w:pPr>
        <w:spacing w:line="240" w:lineRule="auto"/>
        <w:jc w:val="both"/>
        <w:rPr>
          <w:sz w:val="24"/>
          <w:szCs w:val="24"/>
          <w:lang w:eastAsia="cs-CZ"/>
        </w:rPr>
      </w:pPr>
      <w:r w:rsidRPr="00FD6319">
        <w:rPr>
          <w:sz w:val="24"/>
          <w:szCs w:val="24"/>
          <w:lang w:eastAsia="cs-CZ"/>
        </w:rPr>
        <w:t xml:space="preserve">V případě oprávněného důvodu provede VZP </w:t>
      </w:r>
      <w:r>
        <w:rPr>
          <w:sz w:val="24"/>
          <w:szCs w:val="24"/>
          <w:lang w:eastAsia="cs-CZ"/>
        </w:rPr>
        <w:t xml:space="preserve">podle ustanovení § 21 odst. 3 zákona </w:t>
      </w:r>
      <w:r>
        <w:rPr>
          <w:sz w:val="24"/>
          <w:szCs w:val="24"/>
          <w:lang w:eastAsia="cs-CZ"/>
        </w:rPr>
        <w:br/>
        <w:t xml:space="preserve">č. 592/1992 Sb. </w:t>
      </w:r>
      <w:r w:rsidRPr="00FD6319">
        <w:rPr>
          <w:sz w:val="24"/>
          <w:szCs w:val="24"/>
          <w:lang w:eastAsia="cs-CZ"/>
        </w:rPr>
        <w:t xml:space="preserve">korekci </w:t>
      </w:r>
      <w:r>
        <w:rPr>
          <w:sz w:val="24"/>
          <w:szCs w:val="24"/>
          <w:lang w:eastAsia="cs-CZ"/>
        </w:rPr>
        <w:t xml:space="preserve">počtu oprávněných pojištěnců </w:t>
      </w:r>
      <w:r w:rsidRPr="00FD6319">
        <w:rPr>
          <w:sz w:val="24"/>
          <w:szCs w:val="24"/>
          <w:lang w:eastAsia="cs-CZ"/>
        </w:rPr>
        <w:t xml:space="preserve">tak, že </w:t>
      </w:r>
      <w:r>
        <w:rPr>
          <w:sz w:val="24"/>
          <w:szCs w:val="24"/>
          <w:lang w:eastAsia="cs-CZ"/>
        </w:rPr>
        <w:t>korekce je</w:t>
      </w:r>
      <w:r w:rsidRPr="00FD6319">
        <w:rPr>
          <w:sz w:val="24"/>
          <w:szCs w:val="24"/>
          <w:lang w:eastAsia="cs-CZ"/>
        </w:rPr>
        <w:t xml:space="preserve"> započítána vůči platbě max. 3 měsíce zpětně. </w:t>
      </w:r>
      <w:r>
        <w:rPr>
          <w:sz w:val="24"/>
          <w:szCs w:val="24"/>
          <w:lang w:eastAsia="cs-CZ"/>
        </w:rPr>
        <w:t>V případě, že</w:t>
      </w:r>
      <w:r w:rsidRPr="00FD6319">
        <w:rPr>
          <w:sz w:val="24"/>
          <w:szCs w:val="24"/>
          <w:lang w:eastAsia="cs-CZ"/>
        </w:rPr>
        <w:t xml:space="preserve"> VZP zjistí</w:t>
      </w:r>
      <w:r w:rsidR="00090DB2">
        <w:rPr>
          <w:sz w:val="24"/>
          <w:szCs w:val="24"/>
          <w:lang w:eastAsia="cs-CZ"/>
        </w:rPr>
        <w:t xml:space="preserve"> </w:t>
      </w:r>
      <w:r w:rsidRPr="00FD6319">
        <w:rPr>
          <w:sz w:val="24"/>
          <w:szCs w:val="24"/>
          <w:lang w:eastAsia="cs-CZ"/>
        </w:rPr>
        <w:t>určitý počet osob</w:t>
      </w:r>
      <w:r>
        <w:rPr>
          <w:sz w:val="24"/>
          <w:szCs w:val="24"/>
          <w:lang w:eastAsia="cs-CZ"/>
        </w:rPr>
        <w:t>, kte</w:t>
      </w:r>
      <w:r w:rsidR="00CD237C">
        <w:rPr>
          <w:sz w:val="24"/>
          <w:szCs w:val="24"/>
          <w:lang w:eastAsia="cs-CZ"/>
        </w:rPr>
        <w:t>ré</w:t>
      </w:r>
      <w:r>
        <w:rPr>
          <w:sz w:val="24"/>
          <w:szCs w:val="24"/>
          <w:lang w:eastAsia="cs-CZ"/>
        </w:rPr>
        <w:t xml:space="preserve"> nemají být veden</w:t>
      </w:r>
      <w:r w:rsidR="00CD237C">
        <w:rPr>
          <w:sz w:val="24"/>
          <w:szCs w:val="24"/>
          <w:lang w:eastAsia="cs-CZ"/>
        </w:rPr>
        <w:t>y</w:t>
      </w:r>
      <w:r>
        <w:rPr>
          <w:sz w:val="24"/>
          <w:szCs w:val="24"/>
          <w:lang w:eastAsia="cs-CZ"/>
        </w:rPr>
        <w:t xml:space="preserve"> </w:t>
      </w:r>
      <w:r w:rsidR="00090DB2">
        <w:rPr>
          <w:sz w:val="24"/>
          <w:szCs w:val="24"/>
          <w:lang w:eastAsia="cs-CZ"/>
        </w:rPr>
        <w:t>jako</w:t>
      </w:r>
      <w:r w:rsidR="00DE3B01">
        <w:rPr>
          <w:sz w:val="24"/>
          <w:szCs w:val="24"/>
          <w:lang w:eastAsia="cs-CZ"/>
        </w:rPr>
        <w:t xml:space="preserve"> </w:t>
      </w:r>
      <w:r w:rsidRPr="00FD6319">
        <w:rPr>
          <w:sz w:val="24"/>
          <w:szCs w:val="24"/>
          <w:lang w:eastAsia="cs-CZ"/>
        </w:rPr>
        <w:t xml:space="preserve">státní pojištěnci, dojde ze strany VZP k </w:t>
      </w:r>
      <w:r>
        <w:rPr>
          <w:sz w:val="24"/>
          <w:szCs w:val="24"/>
          <w:lang w:eastAsia="cs-CZ"/>
        </w:rPr>
        <w:t>jejich</w:t>
      </w:r>
      <w:r w:rsidRPr="00FD6319">
        <w:rPr>
          <w:sz w:val="24"/>
          <w:szCs w:val="24"/>
          <w:lang w:eastAsia="cs-CZ"/>
        </w:rPr>
        <w:t xml:space="preserve"> odečtení v následujících max. </w:t>
      </w:r>
      <w:r>
        <w:rPr>
          <w:sz w:val="24"/>
          <w:szCs w:val="24"/>
          <w:lang w:eastAsia="cs-CZ"/>
        </w:rPr>
        <w:t>třech</w:t>
      </w:r>
      <w:r w:rsidRPr="00FD6319">
        <w:rPr>
          <w:sz w:val="24"/>
          <w:szCs w:val="24"/>
          <w:lang w:eastAsia="cs-CZ"/>
        </w:rPr>
        <w:t xml:space="preserve"> měsících. Stejný mechanismus platí, pokud se naopak zjistí, že </w:t>
      </w:r>
      <w:r w:rsidR="00CD237C">
        <w:rPr>
          <w:sz w:val="24"/>
          <w:szCs w:val="24"/>
          <w:lang w:eastAsia="cs-CZ"/>
        </w:rPr>
        <w:t>některé</w:t>
      </w:r>
      <w:r w:rsidRPr="00FD6319">
        <w:rPr>
          <w:sz w:val="24"/>
          <w:szCs w:val="24"/>
          <w:lang w:eastAsia="cs-CZ"/>
        </w:rPr>
        <w:t xml:space="preserve"> osob</w:t>
      </w:r>
      <w:r w:rsidR="00CD237C">
        <w:rPr>
          <w:sz w:val="24"/>
          <w:szCs w:val="24"/>
          <w:lang w:eastAsia="cs-CZ"/>
        </w:rPr>
        <w:t>y</w:t>
      </w:r>
      <w:r w:rsidRPr="00FD6319">
        <w:rPr>
          <w:sz w:val="24"/>
          <w:szCs w:val="24"/>
          <w:lang w:eastAsia="cs-CZ"/>
        </w:rPr>
        <w:t xml:space="preserve"> měl</w:t>
      </w:r>
      <w:r w:rsidR="00CD237C">
        <w:rPr>
          <w:sz w:val="24"/>
          <w:szCs w:val="24"/>
          <w:lang w:eastAsia="cs-CZ"/>
        </w:rPr>
        <w:t>y</w:t>
      </w:r>
      <w:r w:rsidRPr="00FD6319">
        <w:rPr>
          <w:sz w:val="24"/>
          <w:szCs w:val="24"/>
          <w:lang w:eastAsia="cs-CZ"/>
        </w:rPr>
        <w:t xml:space="preserve"> být evidován</w:t>
      </w:r>
      <w:r w:rsidR="00CD237C">
        <w:rPr>
          <w:sz w:val="24"/>
          <w:szCs w:val="24"/>
          <w:lang w:eastAsia="cs-CZ"/>
        </w:rPr>
        <w:t>y</w:t>
      </w:r>
      <w:r w:rsidRPr="00FD6319">
        <w:rPr>
          <w:sz w:val="24"/>
          <w:szCs w:val="24"/>
          <w:lang w:eastAsia="cs-CZ"/>
        </w:rPr>
        <w:t xml:space="preserve"> jako státní pojištěnci</w:t>
      </w:r>
      <w:r w:rsidRPr="00DE3B01">
        <w:rPr>
          <w:sz w:val="24"/>
          <w:szCs w:val="24"/>
          <w:lang w:eastAsia="cs-CZ"/>
        </w:rPr>
        <w:t>, ale původně nebyl</w:t>
      </w:r>
      <w:r w:rsidR="00CD237C">
        <w:rPr>
          <w:sz w:val="24"/>
          <w:szCs w:val="24"/>
          <w:lang w:eastAsia="cs-CZ"/>
        </w:rPr>
        <w:t>y</w:t>
      </w:r>
      <w:r w:rsidRPr="00DE3B01">
        <w:rPr>
          <w:sz w:val="24"/>
          <w:szCs w:val="24"/>
          <w:lang w:eastAsia="cs-CZ"/>
        </w:rPr>
        <w:t>. MF neověřuje přehled pojištěnců, za které je plátcem zdravotního pojištění.</w:t>
      </w:r>
    </w:p>
    <w:p w14:paraId="28EAFE72" w14:textId="3BF83C5C" w:rsidR="00FB3DD9" w:rsidRDefault="00FB63D5" w:rsidP="006164D5">
      <w:pPr>
        <w:spacing w:line="240" w:lineRule="auto"/>
        <w:jc w:val="both"/>
        <w:rPr>
          <w:rFonts w:ascii="Calibri" w:eastAsia="Times New Roman" w:hAnsi="Calibri" w:cs="Calibri"/>
          <w:sz w:val="24"/>
          <w:szCs w:val="24"/>
          <w:lang w:eastAsia="cs-CZ"/>
        </w:rPr>
      </w:pPr>
      <w:r w:rsidRPr="00FD6319">
        <w:rPr>
          <w:sz w:val="24"/>
          <w:szCs w:val="24"/>
          <w:lang w:eastAsia="cs-CZ"/>
        </w:rPr>
        <w:t xml:space="preserve">NKÚ </w:t>
      </w:r>
      <w:r>
        <w:rPr>
          <w:sz w:val="24"/>
          <w:szCs w:val="24"/>
          <w:lang w:eastAsia="cs-CZ"/>
        </w:rPr>
        <w:t>v KA č. 18/32</w:t>
      </w:r>
      <w:r w:rsidRPr="00FD6319">
        <w:rPr>
          <w:sz w:val="24"/>
          <w:szCs w:val="24"/>
          <w:lang w:eastAsia="cs-CZ"/>
        </w:rPr>
        <w:t xml:space="preserve"> zjistil</w:t>
      </w:r>
      <w:r w:rsidR="00CD237C">
        <w:rPr>
          <w:sz w:val="24"/>
          <w:szCs w:val="24"/>
          <w:lang w:eastAsia="cs-CZ"/>
        </w:rPr>
        <w:t>,</w:t>
      </w:r>
      <w:r w:rsidRPr="00FD6319">
        <w:rPr>
          <w:sz w:val="24"/>
          <w:szCs w:val="24"/>
          <w:lang w:eastAsia="cs-CZ"/>
        </w:rPr>
        <w:t xml:space="preserve"> </w:t>
      </w:r>
      <w:r w:rsidRPr="00FD6319">
        <w:rPr>
          <w:rFonts w:ascii="Calibri" w:hAnsi="Calibri" w:cs="Calibri"/>
          <w:sz w:val="24"/>
          <w:szCs w:val="24"/>
        </w:rPr>
        <w:t xml:space="preserve">že MF </w:t>
      </w:r>
      <w:r>
        <w:rPr>
          <w:rFonts w:ascii="Calibri" w:hAnsi="Calibri" w:cs="Calibri"/>
          <w:sz w:val="24"/>
          <w:szCs w:val="24"/>
        </w:rPr>
        <w:t xml:space="preserve">neobdrželo od VZP ani nepožadovalo od Úřadu práce ČR předložit seznam evidovaných uchazečů o zaměstnání, kteří vykonávali nelegální práci, přestože Úřad práce má tyto údaje k dispozici. </w:t>
      </w:r>
      <w:r w:rsidR="00FB3DD9" w:rsidRPr="00FD23C6">
        <w:rPr>
          <w:rFonts w:ascii="Calibri" w:eastAsia="Times New Roman" w:hAnsi="Calibri" w:cs="Calibri"/>
          <w:sz w:val="24"/>
          <w:szCs w:val="24"/>
          <w:lang w:eastAsia="cs-CZ"/>
        </w:rPr>
        <w:t>NKÚ dále</w:t>
      </w:r>
      <w:r w:rsidR="00FB3DD9">
        <w:rPr>
          <w:rFonts w:ascii="Calibri" w:eastAsia="Times New Roman" w:hAnsi="Calibri" w:cs="Calibri"/>
          <w:sz w:val="24"/>
          <w:szCs w:val="24"/>
          <w:lang w:eastAsia="cs-CZ"/>
        </w:rPr>
        <w:t xml:space="preserve"> v KA č. 18/32</w:t>
      </w:r>
      <w:r w:rsidR="00FB3DD9" w:rsidRPr="00FD23C6">
        <w:rPr>
          <w:rFonts w:ascii="Calibri" w:eastAsia="Times New Roman" w:hAnsi="Calibri" w:cs="Calibri"/>
          <w:sz w:val="24"/>
          <w:szCs w:val="24"/>
          <w:lang w:eastAsia="cs-CZ"/>
        </w:rPr>
        <w:t xml:space="preserve"> zjistil, že MF hradilo pojistné na veřejné zdravotní pojištění za nelegálně pracující uchazeče o zaměstnání, ale oprávněnost úhrady již nekontrolovalo a nenastavilo s</w:t>
      </w:r>
      <w:r w:rsidR="00FB3DD9">
        <w:rPr>
          <w:rFonts w:ascii="Calibri" w:eastAsia="Times New Roman" w:hAnsi="Calibri" w:cs="Calibri"/>
          <w:sz w:val="24"/>
          <w:szCs w:val="24"/>
          <w:lang w:eastAsia="cs-CZ"/>
        </w:rPr>
        <w:t> </w:t>
      </w:r>
      <w:r w:rsidR="00FB3DD9" w:rsidRPr="00FD23C6">
        <w:rPr>
          <w:rFonts w:ascii="Calibri" w:eastAsia="Times New Roman" w:hAnsi="Calibri" w:cs="Calibri"/>
          <w:sz w:val="24"/>
          <w:szCs w:val="24"/>
          <w:lang w:eastAsia="cs-CZ"/>
        </w:rPr>
        <w:t>V</w:t>
      </w:r>
      <w:r w:rsidR="00FB3DD9">
        <w:rPr>
          <w:rFonts w:ascii="Calibri" w:eastAsia="Times New Roman" w:hAnsi="Calibri" w:cs="Calibri"/>
          <w:sz w:val="24"/>
          <w:szCs w:val="24"/>
          <w:lang w:eastAsia="cs-CZ"/>
        </w:rPr>
        <w:t>šeobecnou zdravotní pojišťovnou</w:t>
      </w:r>
      <w:r w:rsidR="00FB3DD9" w:rsidRPr="00FD23C6">
        <w:rPr>
          <w:rFonts w:ascii="Calibri" w:eastAsia="Times New Roman" w:hAnsi="Calibri" w:cs="Calibri"/>
          <w:sz w:val="24"/>
          <w:szCs w:val="24"/>
          <w:lang w:eastAsia="cs-CZ"/>
        </w:rPr>
        <w:t xml:space="preserve"> postup pro vracení přeplatků na</w:t>
      </w:r>
      <w:r w:rsidR="00CD237C">
        <w:rPr>
          <w:rFonts w:ascii="Calibri" w:eastAsia="Times New Roman" w:hAnsi="Calibri" w:cs="Calibri"/>
          <w:sz w:val="24"/>
          <w:szCs w:val="24"/>
          <w:lang w:eastAsia="cs-CZ"/>
        </w:rPr>
        <w:t xml:space="preserve"> </w:t>
      </w:r>
      <w:r w:rsidR="00FB3DD9" w:rsidRPr="00FD23C6">
        <w:rPr>
          <w:rFonts w:ascii="Calibri" w:eastAsia="Times New Roman" w:hAnsi="Calibri" w:cs="Calibri"/>
          <w:sz w:val="24"/>
          <w:szCs w:val="24"/>
          <w:lang w:eastAsia="cs-CZ"/>
        </w:rPr>
        <w:t>pojistném na veřejné zdravotní pojištění, které za ně uhradilo</w:t>
      </w:r>
      <w:r w:rsidR="00CD237C">
        <w:rPr>
          <w:rFonts w:ascii="Calibri" w:eastAsia="Times New Roman" w:hAnsi="Calibri" w:cs="Calibri"/>
          <w:sz w:val="24"/>
          <w:szCs w:val="24"/>
          <w:lang w:eastAsia="cs-CZ"/>
        </w:rPr>
        <w:t>,</w:t>
      </w:r>
      <w:r w:rsidR="00FB3DD9" w:rsidRPr="00FD23C6">
        <w:rPr>
          <w:rFonts w:ascii="Calibri" w:eastAsia="Times New Roman" w:hAnsi="Calibri" w:cs="Calibri"/>
          <w:sz w:val="24"/>
          <w:szCs w:val="24"/>
          <w:lang w:eastAsia="cs-CZ"/>
        </w:rPr>
        <w:t xml:space="preserve"> a o předmětné vratky nežádalo.</w:t>
      </w:r>
    </w:p>
    <w:p w14:paraId="5CDCA03B" w14:textId="3D30588F" w:rsidR="00FB63D5" w:rsidRDefault="00FB63D5" w:rsidP="00FB63D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NKÚ zjistil, že od ukončení KA č. 18/32 </w:t>
      </w:r>
      <w:r w:rsidR="00CD237C">
        <w:rPr>
          <w:rFonts w:ascii="Calibri" w:hAnsi="Calibri" w:cs="Calibri"/>
          <w:sz w:val="24"/>
          <w:szCs w:val="24"/>
        </w:rPr>
        <w:t xml:space="preserve">Ministerstvo financí </w:t>
      </w:r>
      <w:r>
        <w:rPr>
          <w:rFonts w:ascii="Calibri" w:hAnsi="Calibri" w:cs="Calibri"/>
          <w:sz w:val="24"/>
          <w:szCs w:val="24"/>
        </w:rPr>
        <w:t xml:space="preserve">neprovedlo analýzu významnosti dopadu nevracení neoprávněně uhrazeného pojistného na státní rozpočet a nadále </w:t>
      </w:r>
      <w:r w:rsidRPr="00FD6319">
        <w:rPr>
          <w:rFonts w:ascii="Calibri" w:hAnsi="Calibri" w:cs="Calibri"/>
          <w:sz w:val="24"/>
          <w:szCs w:val="24"/>
        </w:rPr>
        <w:t>neprověřovalo správnost výše plateb za pojištěnce</w:t>
      </w:r>
      <w:r>
        <w:rPr>
          <w:rFonts w:ascii="Calibri" w:hAnsi="Calibri" w:cs="Calibri"/>
          <w:sz w:val="24"/>
          <w:szCs w:val="24"/>
        </w:rPr>
        <w:t>,</w:t>
      </w:r>
      <w:r w:rsidRPr="00FD6319">
        <w:rPr>
          <w:rFonts w:ascii="Calibri" w:hAnsi="Calibri" w:cs="Calibri"/>
          <w:sz w:val="24"/>
          <w:szCs w:val="24"/>
        </w:rPr>
        <w:t xml:space="preserve"> za které hradí pojistné. </w:t>
      </w:r>
    </w:p>
    <w:p w14:paraId="29FFD8C4" w14:textId="4EA2787F" w:rsidR="008B6951" w:rsidRPr="008B6951" w:rsidRDefault="008B6951" w:rsidP="006164D5">
      <w:pPr>
        <w:pStyle w:val="NadpisKZ"/>
        <w:spacing w:before="240" w:after="160"/>
        <w:ind w:hanging="357"/>
      </w:pPr>
      <w:r w:rsidRPr="008B6951">
        <w:t>Zákonem není stanoven správní orgán k doměřování zákonných pojistných zaměstnavatelům, kterým byla uložena pokuta za přestupek podle zákona o</w:t>
      </w:r>
      <w:r w:rsidR="00CD2BAE">
        <w:t> </w:t>
      </w:r>
      <w:r w:rsidRPr="008B6951">
        <w:t xml:space="preserve">zaměstnanosti </w:t>
      </w:r>
    </w:p>
    <w:p w14:paraId="12F118D1" w14:textId="633E7CBA" w:rsidR="009134B3" w:rsidRPr="0052318D" w:rsidRDefault="0057362F" w:rsidP="0052318D">
      <w:pPr>
        <w:spacing w:line="240" w:lineRule="auto"/>
        <w:jc w:val="both"/>
        <w:rPr>
          <w:sz w:val="24"/>
          <w:szCs w:val="24"/>
          <w:lang w:eastAsia="cs-CZ"/>
        </w:rPr>
      </w:pPr>
      <w:r w:rsidRPr="0052318D">
        <w:rPr>
          <w:sz w:val="24"/>
          <w:szCs w:val="24"/>
          <w:lang w:eastAsia="cs-CZ"/>
        </w:rPr>
        <w:t xml:space="preserve">Zákon </w:t>
      </w:r>
      <w:r w:rsidR="004A2B7F">
        <w:rPr>
          <w:sz w:val="24"/>
          <w:szCs w:val="24"/>
          <w:lang w:eastAsia="cs-CZ"/>
        </w:rPr>
        <w:t>o zaměstnanosti</w:t>
      </w:r>
      <w:r w:rsidRPr="0052318D">
        <w:rPr>
          <w:sz w:val="24"/>
          <w:szCs w:val="24"/>
          <w:lang w:eastAsia="cs-CZ"/>
        </w:rPr>
        <w:t xml:space="preserve"> byl dne 5. 1. 2012 novelizován zákonem č. 1/2012 Sb.</w:t>
      </w:r>
      <w:r w:rsidR="004A2B7F">
        <w:rPr>
          <w:rStyle w:val="Znakapoznpodarou"/>
          <w:sz w:val="24"/>
          <w:szCs w:val="24"/>
          <w:lang w:eastAsia="cs-CZ"/>
        </w:rPr>
        <w:footnoteReference w:id="33"/>
      </w:r>
      <w:r w:rsidRPr="0052318D">
        <w:rPr>
          <w:sz w:val="24"/>
          <w:szCs w:val="24"/>
          <w:lang w:eastAsia="cs-CZ"/>
        </w:rPr>
        <w:t xml:space="preserve">, </w:t>
      </w:r>
      <w:r w:rsidR="00CD237C">
        <w:rPr>
          <w:sz w:val="24"/>
          <w:szCs w:val="24"/>
          <w:lang w:eastAsia="cs-CZ"/>
        </w:rPr>
        <w:t xml:space="preserve">a to </w:t>
      </w:r>
      <w:r w:rsidRPr="0052318D">
        <w:rPr>
          <w:sz w:val="24"/>
          <w:szCs w:val="24"/>
          <w:lang w:eastAsia="cs-CZ"/>
        </w:rPr>
        <w:t xml:space="preserve">z důvodu povinnosti ČR transponovat do českého právního řádu </w:t>
      </w:r>
      <w:r w:rsidR="00956C76" w:rsidRPr="0052318D">
        <w:rPr>
          <w:sz w:val="24"/>
          <w:szCs w:val="24"/>
          <w:lang w:eastAsia="cs-CZ"/>
        </w:rPr>
        <w:t xml:space="preserve">Sankční směrnici. </w:t>
      </w:r>
      <w:r w:rsidR="000D3F6F">
        <w:rPr>
          <w:sz w:val="24"/>
          <w:szCs w:val="24"/>
          <w:lang w:eastAsia="cs-CZ"/>
        </w:rPr>
        <w:t>Zákon o</w:t>
      </w:r>
      <w:r w:rsidR="002B73DA">
        <w:rPr>
          <w:sz w:val="24"/>
          <w:szCs w:val="24"/>
          <w:lang w:eastAsia="cs-CZ"/>
        </w:rPr>
        <w:t> </w:t>
      </w:r>
      <w:r w:rsidR="000D3F6F">
        <w:rPr>
          <w:sz w:val="24"/>
          <w:szCs w:val="24"/>
          <w:lang w:eastAsia="cs-CZ"/>
        </w:rPr>
        <w:t>zaměstnanosti je v gesci MPSV.</w:t>
      </w:r>
    </w:p>
    <w:p w14:paraId="4651CE09" w14:textId="3CBC114D" w:rsidR="00267852" w:rsidRPr="00090DB2" w:rsidRDefault="00612094" w:rsidP="00267852">
      <w:pPr>
        <w:spacing w:after="0" w:line="240" w:lineRule="auto"/>
        <w:jc w:val="both"/>
        <w:rPr>
          <w:i/>
          <w:sz w:val="24"/>
          <w:szCs w:val="24"/>
          <w:lang w:eastAsia="cs-CZ"/>
        </w:rPr>
      </w:pPr>
      <w:r w:rsidRPr="0052318D">
        <w:rPr>
          <w:sz w:val="24"/>
          <w:szCs w:val="24"/>
          <w:lang w:eastAsia="cs-CZ"/>
        </w:rPr>
        <w:t xml:space="preserve">Do zákona </w:t>
      </w:r>
      <w:r w:rsidR="0005650C">
        <w:rPr>
          <w:sz w:val="24"/>
          <w:szCs w:val="24"/>
          <w:lang w:eastAsia="cs-CZ"/>
        </w:rPr>
        <w:t>o zaměstnanosti</w:t>
      </w:r>
      <w:r w:rsidRPr="0052318D">
        <w:rPr>
          <w:sz w:val="24"/>
          <w:szCs w:val="24"/>
          <w:lang w:eastAsia="cs-CZ"/>
        </w:rPr>
        <w:t xml:space="preserve"> bylo doplněno ustanovení </w:t>
      </w:r>
      <w:r w:rsidRPr="0052318D">
        <w:rPr>
          <w:color w:val="232323"/>
          <w:sz w:val="24"/>
          <w:szCs w:val="24"/>
        </w:rPr>
        <w:t xml:space="preserve">§ 141b) odst. 1, které stanoví, </w:t>
      </w:r>
      <w:r w:rsidR="00FC0E70">
        <w:rPr>
          <w:color w:val="232323"/>
          <w:sz w:val="24"/>
          <w:szCs w:val="24"/>
        </w:rPr>
        <w:br/>
      </w:r>
      <w:r w:rsidRPr="0052318D">
        <w:rPr>
          <w:color w:val="232323"/>
          <w:sz w:val="24"/>
          <w:szCs w:val="24"/>
        </w:rPr>
        <w:t xml:space="preserve">že </w:t>
      </w:r>
      <w:r w:rsidR="00647470">
        <w:rPr>
          <w:color w:val="232323"/>
          <w:sz w:val="24"/>
          <w:szCs w:val="24"/>
        </w:rPr>
        <w:t>„</w:t>
      </w:r>
      <w:r w:rsidR="006C5E82" w:rsidRPr="00090DB2">
        <w:rPr>
          <w:i/>
          <w:sz w:val="24"/>
          <w:szCs w:val="24"/>
          <w:lang w:eastAsia="cs-CZ"/>
        </w:rPr>
        <w:t>p</w:t>
      </w:r>
      <w:r w:rsidR="00267852" w:rsidRPr="00090DB2">
        <w:rPr>
          <w:i/>
          <w:sz w:val="24"/>
          <w:szCs w:val="24"/>
          <w:lang w:eastAsia="cs-CZ"/>
        </w:rPr>
        <w:t>rávnická osoba, které byla pravomocně uložena pokuta za přestupek podle § 140 odst. 1 písm. e), nebo fyzická osoba, které byla pravomocně uložena pokuta za přestupek podle § 139 odst. 1 písm. f), je povinna uhradit</w:t>
      </w:r>
    </w:p>
    <w:p w14:paraId="4B5A0D61" w14:textId="77777777" w:rsidR="00267852" w:rsidRPr="00090DB2" w:rsidRDefault="00267852" w:rsidP="00267852">
      <w:pPr>
        <w:spacing w:after="0" w:line="240" w:lineRule="auto"/>
        <w:jc w:val="both"/>
        <w:rPr>
          <w:i/>
          <w:sz w:val="24"/>
          <w:szCs w:val="24"/>
          <w:lang w:eastAsia="cs-CZ"/>
        </w:rPr>
      </w:pPr>
      <w:r w:rsidRPr="00090DB2">
        <w:rPr>
          <w:i/>
          <w:sz w:val="24"/>
          <w:szCs w:val="24"/>
          <w:lang w:eastAsia="cs-CZ"/>
        </w:rPr>
        <w:t>a) cizinci, který vykonal práci podle § 5 písm. e) bodu 3, dlužnou odměnu,</w:t>
      </w:r>
    </w:p>
    <w:p w14:paraId="58C02179" w14:textId="77777777" w:rsidR="00267852" w:rsidRPr="00090DB2" w:rsidRDefault="00267852" w:rsidP="00267852">
      <w:pPr>
        <w:spacing w:after="0" w:line="240" w:lineRule="auto"/>
        <w:jc w:val="both"/>
        <w:rPr>
          <w:i/>
          <w:sz w:val="24"/>
          <w:szCs w:val="24"/>
          <w:lang w:eastAsia="cs-CZ"/>
        </w:rPr>
      </w:pPr>
      <w:r w:rsidRPr="00090DB2">
        <w:rPr>
          <w:i/>
          <w:sz w:val="24"/>
          <w:szCs w:val="24"/>
          <w:lang w:eastAsia="cs-CZ"/>
        </w:rPr>
        <w:t>b) částku rovnající se součtu částek odpovídajících výši</w:t>
      </w:r>
    </w:p>
    <w:p w14:paraId="5DD0F3A0" w14:textId="77777777" w:rsidR="00267852" w:rsidRPr="00090DB2" w:rsidRDefault="00267852" w:rsidP="006C5E82">
      <w:pPr>
        <w:spacing w:after="0" w:line="240" w:lineRule="auto"/>
        <w:ind w:firstLine="709"/>
        <w:jc w:val="both"/>
        <w:rPr>
          <w:i/>
          <w:sz w:val="24"/>
          <w:szCs w:val="24"/>
          <w:lang w:eastAsia="cs-CZ"/>
        </w:rPr>
      </w:pPr>
      <w:r w:rsidRPr="00090DB2">
        <w:rPr>
          <w:i/>
          <w:sz w:val="24"/>
          <w:szCs w:val="24"/>
          <w:lang w:eastAsia="cs-CZ"/>
        </w:rPr>
        <w:t>1. pojistného na všeobecné zdravotní pojištění včetně penále,</w:t>
      </w:r>
    </w:p>
    <w:p w14:paraId="341F24B5" w14:textId="77777777" w:rsidR="00267852" w:rsidRPr="00090DB2" w:rsidRDefault="00267852" w:rsidP="006C5E82">
      <w:pPr>
        <w:spacing w:after="0" w:line="240" w:lineRule="auto"/>
        <w:ind w:left="709"/>
        <w:jc w:val="both"/>
        <w:rPr>
          <w:i/>
          <w:sz w:val="24"/>
          <w:szCs w:val="24"/>
          <w:lang w:eastAsia="cs-CZ"/>
        </w:rPr>
      </w:pPr>
      <w:r w:rsidRPr="00090DB2">
        <w:rPr>
          <w:i/>
          <w:sz w:val="24"/>
          <w:szCs w:val="24"/>
          <w:lang w:eastAsia="cs-CZ"/>
        </w:rPr>
        <w:t>2. pojistného na sociální zabezpečení včetně penále, které by jinak byla povinna odvést podle jiných právních předpisů, a</w:t>
      </w:r>
    </w:p>
    <w:p w14:paraId="29CFF697" w14:textId="38360B86" w:rsidR="00267852" w:rsidRDefault="00267852" w:rsidP="006164D5">
      <w:pPr>
        <w:spacing w:line="240" w:lineRule="auto"/>
        <w:jc w:val="both"/>
        <w:rPr>
          <w:sz w:val="24"/>
          <w:szCs w:val="24"/>
          <w:lang w:eastAsia="cs-CZ"/>
        </w:rPr>
      </w:pPr>
      <w:r w:rsidRPr="00090DB2">
        <w:rPr>
          <w:i/>
          <w:sz w:val="24"/>
          <w:szCs w:val="24"/>
          <w:lang w:eastAsia="cs-CZ"/>
        </w:rPr>
        <w:lastRenderedPageBreak/>
        <w:t>c) náklady související s doručením dlužné odměny podle písmene a), a to i do státu, jehož je cizinec občanem, nebo v případě, že je osobou bez státního občanství, do státu jeho posledního trvalého bydliště, popřípadě do jiného státu, ve kterém má povolen pobyt.</w:t>
      </w:r>
      <w:r w:rsidR="00647470">
        <w:rPr>
          <w:sz w:val="24"/>
          <w:szCs w:val="24"/>
          <w:lang w:eastAsia="cs-CZ"/>
        </w:rPr>
        <w:t>“</w:t>
      </w:r>
      <w:r w:rsidR="00CD2BAE">
        <w:rPr>
          <w:rStyle w:val="Znakapoznpodarou"/>
          <w:sz w:val="24"/>
          <w:szCs w:val="24"/>
          <w:lang w:eastAsia="cs-CZ"/>
        </w:rPr>
        <w:footnoteReference w:id="34"/>
      </w:r>
    </w:p>
    <w:p w14:paraId="29BA6090" w14:textId="351C5D07" w:rsidR="00647470" w:rsidRPr="00F22E12" w:rsidRDefault="00647470" w:rsidP="00647470">
      <w:pPr>
        <w:spacing w:after="0"/>
        <w:jc w:val="both"/>
        <w:rPr>
          <w:rFonts w:ascii="Calibri" w:hAnsi="Calibri" w:cs="Calibri"/>
          <w:sz w:val="24"/>
          <w:szCs w:val="24"/>
        </w:rPr>
      </w:pPr>
      <w:r w:rsidRPr="00F22E12">
        <w:rPr>
          <w:rFonts w:ascii="Calibri" w:hAnsi="Calibri" w:cs="Calibri"/>
          <w:sz w:val="24"/>
          <w:szCs w:val="24"/>
        </w:rPr>
        <w:t xml:space="preserve">Ustanovení čl. </w:t>
      </w:r>
      <w:r>
        <w:rPr>
          <w:rFonts w:ascii="Calibri" w:hAnsi="Calibri" w:cs="Calibri"/>
          <w:sz w:val="24"/>
          <w:szCs w:val="24"/>
        </w:rPr>
        <w:t>3</w:t>
      </w:r>
      <w:r w:rsidRPr="00F22E12">
        <w:rPr>
          <w:rFonts w:ascii="Calibri" w:hAnsi="Calibri" w:cs="Calibri"/>
          <w:sz w:val="24"/>
          <w:szCs w:val="24"/>
        </w:rPr>
        <w:t xml:space="preserve"> odst. 1 Sankční směrnice uvádí:</w:t>
      </w:r>
    </w:p>
    <w:p w14:paraId="259B44C6" w14:textId="2547F0AB" w:rsidR="00647470" w:rsidRPr="00647470" w:rsidRDefault="00647470" w:rsidP="006164D5">
      <w:pPr>
        <w:spacing w:line="240" w:lineRule="auto"/>
        <w:jc w:val="both"/>
        <w:rPr>
          <w:sz w:val="24"/>
          <w:szCs w:val="24"/>
          <w:lang w:eastAsia="cs-CZ"/>
        </w:rPr>
      </w:pPr>
      <w:r>
        <w:rPr>
          <w:sz w:val="24"/>
          <w:szCs w:val="24"/>
          <w:lang w:eastAsia="cs-CZ"/>
        </w:rPr>
        <w:t>„</w:t>
      </w:r>
      <w:r w:rsidRPr="00090DB2">
        <w:rPr>
          <w:i/>
          <w:sz w:val="24"/>
          <w:szCs w:val="24"/>
          <w:lang w:eastAsia="cs-CZ"/>
        </w:rPr>
        <w:t>Členské státy zakazují zaměstnávání neoprávněně pobývajících státních příslušníků třetích zemí.</w:t>
      </w:r>
      <w:r>
        <w:rPr>
          <w:sz w:val="24"/>
          <w:szCs w:val="24"/>
          <w:lang w:eastAsia="cs-CZ"/>
        </w:rPr>
        <w:t>“</w:t>
      </w:r>
      <w:r w:rsidR="00596B7E" w:rsidDel="00596B7E">
        <w:rPr>
          <w:rStyle w:val="Znakapoznpodarou"/>
          <w:sz w:val="24"/>
          <w:szCs w:val="24"/>
          <w:lang w:eastAsia="cs-CZ"/>
        </w:rPr>
        <w:t xml:space="preserve"> </w:t>
      </w:r>
    </w:p>
    <w:p w14:paraId="222F74C9" w14:textId="5BB30866" w:rsidR="00B3762B" w:rsidRPr="00F22E12" w:rsidRDefault="00B3762B" w:rsidP="00F22E12">
      <w:pPr>
        <w:spacing w:after="0"/>
        <w:jc w:val="both"/>
        <w:rPr>
          <w:rFonts w:ascii="Calibri" w:hAnsi="Calibri" w:cs="Calibri"/>
          <w:sz w:val="24"/>
          <w:szCs w:val="24"/>
        </w:rPr>
      </w:pPr>
      <w:r w:rsidRPr="00F22E12">
        <w:rPr>
          <w:rFonts w:ascii="Calibri" w:hAnsi="Calibri" w:cs="Calibri"/>
          <w:sz w:val="24"/>
          <w:szCs w:val="24"/>
        </w:rPr>
        <w:t xml:space="preserve">Ustanovení čl. 6 odst. 1 písm. b) </w:t>
      </w:r>
      <w:r w:rsidR="00F22E12" w:rsidRPr="00F22E12">
        <w:rPr>
          <w:rFonts w:ascii="Calibri" w:hAnsi="Calibri" w:cs="Calibri"/>
          <w:sz w:val="24"/>
          <w:szCs w:val="24"/>
        </w:rPr>
        <w:t>Sankční směrnice uvádí:</w:t>
      </w:r>
    </w:p>
    <w:p w14:paraId="11A01153" w14:textId="4AD84E6B" w:rsidR="00B3762B" w:rsidRPr="00F22E12" w:rsidRDefault="00B3762B" w:rsidP="006164D5">
      <w:pPr>
        <w:spacing w:line="240" w:lineRule="auto"/>
        <w:jc w:val="both"/>
        <w:rPr>
          <w:rFonts w:ascii="Calibri" w:hAnsi="Calibri" w:cs="Calibri"/>
          <w:sz w:val="24"/>
          <w:szCs w:val="24"/>
        </w:rPr>
      </w:pPr>
      <w:r w:rsidRPr="006164D5">
        <w:rPr>
          <w:rFonts w:ascii="Calibri" w:hAnsi="Calibri" w:cs="Calibri"/>
          <w:iCs/>
          <w:sz w:val="24"/>
          <w:szCs w:val="24"/>
        </w:rPr>
        <w:t>„</w:t>
      </w:r>
      <w:r w:rsidRPr="00F22E12">
        <w:rPr>
          <w:rFonts w:ascii="Calibri" w:hAnsi="Calibri" w:cs="Calibri"/>
          <w:i/>
          <w:sz w:val="24"/>
          <w:szCs w:val="24"/>
        </w:rPr>
        <w:t>V případě každého porušení zákazu uvedeného v článku 3 členské státy zajistí, aby zaměstnavatel byl povinen zaplatit</w:t>
      </w:r>
      <w:r w:rsidRPr="00F22E12">
        <w:rPr>
          <w:i/>
          <w:sz w:val="24"/>
          <w:szCs w:val="24"/>
        </w:rPr>
        <w:t xml:space="preserve"> </w:t>
      </w:r>
      <w:r w:rsidRPr="00F22E12">
        <w:rPr>
          <w:rFonts w:ascii="Calibri" w:hAnsi="Calibri" w:cs="Calibri"/>
          <w:i/>
          <w:sz w:val="24"/>
          <w:szCs w:val="24"/>
        </w:rPr>
        <w:t>částku rovnající se veškerým daním a příspěvkům na sociální zabezpečení, které by zaměstnavatel zaplatil v případě oprávněného zaměstnání státního příslušníka třetí země, včetně penále za prodlení a odpovídajících správních pokut.</w:t>
      </w:r>
      <w:r w:rsidRPr="006164D5">
        <w:rPr>
          <w:rFonts w:ascii="Calibri" w:hAnsi="Calibri" w:cs="Calibri"/>
          <w:iCs/>
          <w:sz w:val="24"/>
          <w:szCs w:val="24"/>
        </w:rPr>
        <w:t>“</w:t>
      </w:r>
      <w:r w:rsidR="00596B7E">
        <w:rPr>
          <w:rStyle w:val="Znakapoznpodarou"/>
          <w:sz w:val="24"/>
          <w:szCs w:val="24"/>
          <w:lang w:eastAsia="cs-CZ"/>
        </w:rPr>
        <w:footnoteReference w:id="35"/>
      </w:r>
    </w:p>
    <w:p w14:paraId="5FA1EE72" w14:textId="76B472E3" w:rsidR="00F22E12" w:rsidRPr="00F22E12" w:rsidRDefault="00F22E12" w:rsidP="006164D5">
      <w:pPr>
        <w:spacing w:line="240" w:lineRule="auto"/>
        <w:jc w:val="both"/>
        <w:rPr>
          <w:rFonts w:ascii="Calibri" w:hAnsi="Calibri" w:cs="Calibri"/>
          <w:sz w:val="24"/>
          <w:szCs w:val="24"/>
        </w:rPr>
      </w:pPr>
      <w:r w:rsidRPr="00F22E12">
        <w:rPr>
          <w:rFonts w:ascii="Calibri" w:hAnsi="Calibri" w:cs="Calibri"/>
          <w:sz w:val="24"/>
          <w:szCs w:val="24"/>
        </w:rPr>
        <w:t>Sankční směrnice vymezuje určitý souhrn peněžních prostředků, nevyplývá z ní kategorick</w:t>
      </w:r>
      <w:r w:rsidR="00CD237C">
        <w:rPr>
          <w:rFonts w:ascii="Calibri" w:hAnsi="Calibri" w:cs="Calibri"/>
          <w:sz w:val="24"/>
          <w:szCs w:val="24"/>
        </w:rPr>
        <w:t>y,</w:t>
      </w:r>
      <w:r w:rsidRPr="00F22E12">
        <w:rPr>
          <w:rFonts w:ascii="Calibri" w:hAnsi="Calibri" w:cs="Calibri"/>
          <w:sz w:val="24"/>
          <w:szCs w:val="24"/>
        </w:rPr>
        <w:t xml:space="preserve"> </w:t>
      </w:r>
      <w:r w:rsidR="00CD237C">
        <w:rPr>
          <w:rFonts w:ascii="Calibri" w:hAnsi="Calibri" w:cs="Calibri"/>
          <w:sz w:val="24"/>
          <w:szCs w:val="24"/>
        </w:rPr>
        <w:t>zda mají</w:t>
      </w:r>
      <w:r w:rsidRPr="00F22E12">
        <w:rPr>
          <w:rFonts w:ascii="Calibri" w:hAnsi="Calibri" w:cs="Calibri"/>
          <w:sz w:val="24"/>
          <w:szCs w:val="24"/>
        </w:rPr>
        <w:t xml:space="preserve"> členské státy </w:t>
      </w:r>
      <w:r w:rsidR="00CD237C">
        <w:rPr>
          <w:rFonts w:ascii="Calibri" w:hAnsi="Calibri" w:cs="Calibri"/>
          <w:sz w:val="24"/>
          <w:szCs w:val="24"/>
        </w:rPr>
        <w:t>vymáhat</w:t>
      </w:r>
      <w:r w:rsidRPr="00F22E12">
        <w:rPr>
          <w:rFonts w:ascii="Calibri" w:hAnsi="Calibri" w:cs="Calibri"/>
          <w:sz w:val="24"/>
          <w:szCs w:val="24"/>
        </w:rPr>
        <w:t xml:space="preserve"> doplatky jako jednu částku</w:t>
      </w:r>
      <w:r w:rsidR="00CD237C">
        <w:rPr>
          <w:rFonts w:ascii="Calibri" w:hAnsi="Calibri" w:cs="Calibri"/>
          <w:sz w:val="24"/>
          <w:szCs w:val="24"/>
        </w:rPr>
        <w:t>,</w:t>
      </w:r>
      <w:r w:rsidRPr="00F22E12">
        <w:rPr>
          <w:rFonts w:ascii="Calibri" w:hAnsi="Calibri" w:cs="Calibri"/>
          <w:sz w:val="24"/>
          <w:szCs w:val="24"/>
        </w:rPr>
        <w:t xml:space="preserve"> či více částek.</w:t>
      </w:r>
      <w:r>
        <w:rPr>
          <w:rFonts w:ascii="Calibri" w:hAnsi="Calibri" w:cs="Calibri"/>
          <w:sz w:val="24"/>
          <w:szCs w:val="24"/>
        </w:rPr>
        <w:t xml:space="preserve"> </w:t>
      </w:r>
      <w:r w:rsidRPr="00F22E12">
        <w:rPr>
          <w:rFonts w:ascii="Calibri" w:hAnsi="Calibri" w:cs="Calibri"/>
          <w:sz w:val="24"/>
          <w:szCs w:val="24"/>
        </w:rPr>
        <w:t>V</w:t>
      </w:r>
      <w:r w:rsidR="002B73DA">
        <w:rPr>
          <w:rFonts w:ascii="Calibri" w:hAnsi="Calibri" w:cs="Calibri"/>
          <w:sz w:val="24"/>
          <w:szCs w:val="24"/>
        </w:rPr>
        <w:t> </w:t>
      </w:r>
      <w:r w:rsidRPr="00F22E12">
        <w:rPr>
          <w:rFonts w:ascii="Calibri" w:hAnsi="Calibri" w:cs="Calibri"/>
          <w:sz w:val="24"/>
          <w:szCs w:val="24"/>
        </w:rPr>
        <w:t xml:space="preserve">kontextu české právní úpravy lze „veškerými daněmi a příspěvky“ rozumět nejen pojistné na veřejné zdravotní </w:t>
      </w:r>
      <w:r>
        <w:rPr>
          <w:rFonts w:ascii="Calibri" w:hAnsi="Calibri" w:cs="Calibri"/>
          <w:sz w:val="24"/>
          <w:szCs w:val="24"/>
        </w:rPr>
        <w:t>pojištění</w:t>
      </w:r>
      <w:r w:rsidR="002B73DA">
        <w:rPr>
          <w:rStyle w:val="Znakapoznpodarou"/>
          <w:rFonts w:ascii="Calibri" w:hAnsi="Calibri" w:cs="Calibri"/>
          <w:sz w:val="24"/>
          <w:szCs w:val="24"/>
        </w:rPr>
        <w:footnoteReference w:id="36"/>
      </w:r>
      <w:r>
        <w:rPr>
          <w:rFonts w:ascii="Calibri" w:hAnsi="Calibri" w:cs="Calibri"/>
          <w:sz w:val="24"/>
          <w:szCs w:val="24"/>
        </w:rPr>
        <w:t xml:space="preserve"> a pojistné na </w:t>
      </w:r>
      <w:r w:rsidRPr="00F22E12">
        <w:rPr>
          <w:rFonts w:ascii="Calibri" w:hAnsi="Calibri" w:cs="Calibri"/>
          <w:sz w:val="24"/>
          <w:szCs w:val="24"/>
        </w:rPr>
        <w:t xml:space="preserve">sociální </w:t>
      </w:r>
      <w:r>
        <w:rPr>
          <w:rFonts w:ascii="Calibri" w:hAnsi="Calibri" w:cs="Calibri"/>
          <w:sz w:val="24"/>
          <w:szCs w:val="24"/>
        </w:rPr>
        <w:t>zabezpečení</w:t>
      </w:r>
      <w:r w:rsidRPr="00F22E12">
        <w:rPr>
          <w:rFonts w:ascii="Calibri" w:hAnsi="Calibri" w:cs="Calibri"/>
          <w:sz w:val="24"/>
          <w:szCs w:val="24"/>
        </w:rPr>
        <w:t>, ale i daň z příjm</w:t>
      </w:r>
      <w:r w:rsidR="0040548F">
        <w:rPr>
          <w:rFonts w:ascii="Calibri" w:hAnsi="Calibri" w:cs="Calibri"/>
          <w:sz w:val="24"/>
          <w:szCs w:val="24"/>
        </w:rPr>
        <w:t>ů</w:t>
      </w:r>
      <w:r w:rsidRPr="00F22E12">
        <w:rPr>
          <w:rFonts w:ascii="Calibri" w:hAnsi="Calibri" w:cs="Calibri"/>
          <w:sz w:val="24"/>
          <w:szCs w:val="24"/>
        </w:rPr>
        <w:t xml:space="preserve"> fyzick</w:t>
      </w:r>
      <w:r w:rsidR="00FC6889">
        <w:rPr>
          <w:rFonts w:ascii="Calibri" w:hAnsi="Calibri" w:cs="Calibri"/>
          <w:sz w:val="24"/>
          <w:szCs w:val="24"/>
        </w:rPr>
        <w:t>ých</w:t>
      </w:r>
      <w:r w:rsidRPr="00F22E12">
        <w:rPr>
          <w:rFonts w:ascii="Calibri" w:hAnsi="Calibri" w:cs="Calibri"/>
          <w:sz w:val="24"/>
          <w:szCs w:val="24"/>
        </w:rPr>
        <w:t xml:space="preserve"> osob ze závislé činnosti</w:t>
      </w:r>
      <w:r>
        <w:rPr>
          <w:rFonts w:ascii="Calibri" w:hAnsi="Calibri" w:cs="Calibri"/>
          <w:sz w:val="24"/>
          <w:szCs w:val="24"/>
        </w:rPr>
        <w:t xml:space="preserve">, </w:t>
      </w:r>
      <w:r w:rsidR="00FC6889">
        <w:rPr>
          <w:rFonts w:ascii="Calibri" w:hAnsi="Calibri" w:cs="Calibri"/>
          <w:sz w:val="24"/>
          <w:szCs w:val="24"/>
        </w:rPr>
        <w:t>přičemž však tato daň</w:t>
      </w:r>
      <w:r>
        <w:rPr>
          <w:rFonts w:ascii="Calibri" w:hAnsi="Calibri" w:cs="Calibri"/>
          <w:sz w:val="24"/>
          <w:szCs w:val="24"/>
        </w:rPr>
        <w:t xml:space="preserve"> byla při transpozici směrnice pominuta</w:t>
      </w:r>
      <w:r w:rsidRPr="00F22E12">
        <w:rPr>
          <w:rFonts w:ascii="Calibri" w:hAnsi="Calibri" w:cs="Calibri"/>
          <w:sz w:val="24"/>
          <w:szCs w:val="24"/>
        </w:rPr>
        <w:t>. Tím, že zákonodárce identifikoval dvě z vícero povinných plateb a specifikoval, že se jedná o „částku rovnající se součtu částek“</w:t>
      </w:r>
      <w:r>
        <w:rPr>
          <w:rFonts w:ascii="Calibri" w:hAnsi="Calibri" w:cs="Calibri"/>
          <w:sz w:val="24"/>
          <w:szCs w:val="24"/>
        </w:rPr>
        <w:t xml:space="preserve">, </w:t>
      </w:r>
      <w:r w:rsidR="00D4052C">
        <w:rPr>
          <w:rFonts w:ascii="Calibri" w:hAnsi="Calibri" w:cs="Calibri"/>
          <w:sz w:val="24"/>
          <w:szCs w:val="24"/>
        </w:rPr>
        <w:t>ne</w:t>
      </w:r>
      <w:r w:rsidR="002B73DA">
        <w:rPr>
          <w:rFonts w:ascii="Calibri" w:hAnsi="Calibri" w:cs="Calibri"/>
          <w:sz w:val="24"/>
          <w:szCs w:val="24"/>
        </w:rPr>
        <w:t>moh</w:t>
      </w:r>
      <w:r w:rsidR="00D4052C">
        <w:rPr>
          <w:rFonts w:ascii="Calibri" w:hAnsi="Calibri" w:cs="Calibri"/>
          <w:sz w:val="24"/>
          <w:szCs w:val="24"/>
        </w:rPr>
        <w:t>l</w:t>
      </w:r>
      <w:r w:rsidR="00FC6889">
        <w:rPr>
          <w:rFonts w:ascii="Calibri" w:hAnsi="Calibri" w:cs="Calibri"/>
          <w:sz w:val="24"/>
          <w:szCs w:val="24"/>
        </w:rPr>
        <w:t>a</w:t>
      </w:r>
      <w:r w:rsidR="002B73DA">
        <w:rPr>
          <w:rFonts w:ascii="Calibri" w:hAnsi="Calibri" w:cs="Calibri"/>
          <w:sz w:val="24"/>
          <w:szCs w:val="24"/>
        </w:rPr>
        <w:t xml:space="preserve"> být</w:t>
      </w:r>
      <w:r w:rsidR="00D4052C">
        <w:rPr>
          <w:rFonts w:ascii="Calibri" w:hAnsi="Calibri" w:cs="Calibri"/>
          <w:sz w:val="24"/>
          <w:szCs w:val="24"/>
        </w:rPr>
        <w:t xml:space="preserve"> částk</w:t>
      </w:r>
      <w:r w:rsidR="00FC6889">
        <w:rPr>
          <w:rFonts w:ascii="Calibri" w:hAnsi="Calibri" w:cs="Calibri"/>
          <w:sz w:val="24"/>
          <w:szCs w:val="24"/>
        </w:rPr>
        <w:t>a</w:t>
      </w:r>
      <w:r w:rsidR="00D4052C">
        <w:rPr>
          <w:rFonts w:ascii="Calibri" w:hAnsi="Calibri" w:cs="Calibri"/>
          <w:sz w:val="24"/>
          <w:szCs w:val="24"/>
        </w:rPr>
        <w:t xml:space="preserve"> odpovídající </w:t>
      </w:r>
      <w:r w:rsidR="002B73DA">
        <w:rPr>
          <w:rFonts w:ascii="Calibri" w:hAnsi="Calibri" w:cs="Calibri"/>
          <w:sz w:val="24"/>
          <w:szCs w:val="24"/>
        </w:rPr>
        <w:t>součtu zákonných pojistných</w:t>
      </w:r>
      <w:r w:rsidR="00D4052C">
        <w:rPr>
          <w:rFonts w:ascii="Calibri" w:hAnsi="Calibri" w:cs="Calibri"/>
          <w:sz w:val="24"/>
          <w:szCs w:val="24"/>
        </w:rPr>
        <w:t xml:space="preserve"> vymáhán</w:t>
      </w:r>
      <w:r w:rsidR="00FC6889">
        <w:rPr>
          <w:rFonts w:ascii="Calibri" w:hAnsi="Calibri" w:cs="Calibri"/>
          <w:sz w:val="24"/>
          <w:szCs w:val="24"/>
        </w:rPr>
        <w:t>a</w:t>
      </w:r>
      <w:r w:rsidR="00D4052C">
        <w:rPr>
          <w:rFonts w:ascii="Calibri" w:hAnsi="Calibri" w:cs="Calibri"/>
          <w:sz w:val="24"/>
          <w:szCs w:val="24"/>
        </w:rPr>
        <w:t xml:space="preserve"> jako </w:t>
      </w:r>
      <w:r w:rsidR="002B73DA">
        <w:rPr>
          <w:rFonts w:ascii="Calibri" w:hAnsi="Calibri" w:cs="Calibri"/>
          <w:sz w:val="24"/>
          <w:szCs w:val="24"/>
        </w:rPr>
        <w:t xml:space="preserve">dlužné </w:t>
      </w:r>
      <w:r w:rsidR="00D4052C">
        <w:rPr>
          <w:rFonts w:ascii="Calibri" w:hAnsi="Calibri" w:cs="Calibri"/>
          <w:sz w:val="24"/>
          <w:szCs w:val="24"/>
        </w:rPr>
        <w:t>pojistné</w:t>
      </w:r>
      <w:r w:rsidR="00FC6889">
        <w:rPr>
          <w:rFonts w:ascii="Calibri" w:hAnsi="Calibri" w:cs="Calibri"/>
          <w:sz w:val="24"/>
          <w:szCs w:val="24"/>
        </w:rPr>
        <w:t>;</w:t>
      </w:r>
      <w:r w:rsidR="002B73DA">
        <w:rPr>
          <w:rFonts w:ascii="Calibri" w:hAnsi="Calibri" w:cs="Calibri"/>
          <w:sz w:val="24"/>
          <w:szCs w:val="24"/>
        </w:rPr>
        <w:t xml:space="preserve"> jedná se o platbu svého druhu.</w:t>
      </w:r>
    </w:p>
    <w:p w14:paraId="1C66D37C" w14:textId="77BA0774" w:rsidR="00D21F70" w:rsidRDefault="00D21F70" w:rsidP="006164D5">
      <w:pPr>
        <w:spacing w:line="240" w:lineRule="auto"/>
        <w:jc w:val="both"/>
        <w:rPr>
          <w:rFonts w:ascii="Calibri" w:hAnsi="Calibri" w:cs="Calibri"/>
          <w:sz w:val="24"/>
          <w:szCs w:val="24"/>
        </w:rPr>
      </w:pPr>
      <w:r w:rsidRPr="00D21F70">
        <w:rPr>
          <w:rFonts w:ascii="Calibri" w:hAnsi="Calibri" w:cs="Calibri"/>
          <w:sz w:val="24"/>
          <w:szCs w:val="24"/>
        </w:rPr>
        <w:t>Ve vztahu k</w:t>
      </w:r>
      <w:r w:rsidR="00FC6889">
        <w:rPr>
          <w:rFonts w:ascii="Calibri" w:hAnsi="Calibri" w:cs="Calibri"/>
          <w:sz w:val="24"/>
          <w:szCs w:val="24"/>
        </w:rPr>
        <w:t xml:space="preserve"> </w:t>
      </w:r>
      <w:r w:rsidR="0006042E">
        <w:rPr>
          <w:rFonts w:ascii="Calibri" w:hAnsi="Calibri" w:cs="Calibri"/>
          <w:sz w:val="24"/>
          <w:szCs w:val="24"/>
        </w:rPr>
        <w:t>zákonným</w:t>
      </w:r>
      <w:r w:rsidR="002B73DA">
        <w:rPr>
          <w:rFonts w:ascii="Calibri" w:hAnsi="Calibri" w:cs="Calibri"/>
          <w:sz w:val="24"/>
          <w:szCs w:val="24"/>
        </w:rPr>
        <w:t xml:space="preserve"> pojistným </w:t>
      </w:r>
      <w:r w:rsidRPr="00D21F70">
        <w:rPr>
          <w:rFonts w:ascii="Calibri" w:hAnsi="Calibri" w:cs="Calibri"/>
          <w:sz w:val="24"/>
          <w:szCs w:val="24"/>
        </w:rPr>
        <w:t>zákon o</w:t>
      </w:r>
      <w:r w:rsidR="00FC6889">
        <w:rPr>
          <w:rFonts w:ascii="Calibri" w:hAnsi="Calibri" w:cs="Calibri"/>
          <w:sz w:val="24"/>
          <w:szCs w:val="24"/>
        </w:rPr>
        <w:t xml:space="preserve"> </w:t>
      </w:r>
      <w:r w:rsidRPr="00D21F70">
        <w:rPr>
          <w:rFonts w:ascii="Calibri" w:hAnsi="Calibri" w:cs="Calibri"/>
          <w:sz w:val="24"/>
          <w:szCs w:val="24"/>
        </w:rPr>
        <w:t xml:space="preserve">zaměstnanosti, resp. </w:t>
      </w:r>
      <w:r w:rsidR="00FC6889">
        <w:rPr>
          <w:rFonts w:ascii="Calibri" w:hAnsi="Calibri" w:cs="Calibri"/>
          <w:sz w:val="24"/>
          <w:szCs w:val="24"/>
        </w:rPr>
        <w:t>an</w:t>
      </w:r>
      <w:r w:rsidRPr="00D21F70">
        <w:rPr>
          <w:rFonts w:ascii="Calibri" w:hAnsi="Calibri" w:cs="Calibri"/>
          <w:sz w:val="24"/>
          <w:szCs w:val="24"/>
        </w:rPr>
        <w:t>i jin</w:t>
      </w:r>
      <w:r w:rsidR="002B73DA">
        <w:rPr>
          <w:rFonts w:ascii="Calibri" w:hAnsi="Calibri" w:cs="Calibri"/>
          <w:sz w:val="24"/>
          <w:szCs w:val="24"/>
        </w:rPr>
        <w:t>ý zákon</w:t>
      </w:r>
      <w:r w:rsidRPr="00D21F70">
        <w:rPr>
          <w:rFonts w:ascii="Calibri" w:hAnsi="Calibri" w:cs="Calibri"/>
          <w:sz w:val="24"/>
          <w:szCs w:val="24"/>
        </w:rPr>
        <w:t xml:space="preserve">, </w:t>
      </w:r>
      <w:r w:rsidR="002B73DA">
        <w:rPr>
          <w:rFonts w:ascii="Calibri" w:hAnsi="Calibri" w:cs="Calibri"/>
          <w:sz w:val="24"/>
          <w:szCs w:val="24"/>
        </w:rPr>
        <w:t>nesvěřuje konkrétnímu správnímu orgánu</w:t>
      </w:r>
      <w:r w:rsidRPr="00D21F70">
        <w:rPr>
          <w:rFonts w:ascii="Calibri" w:hAnsi="Calibri" w:cs="Calibri"/>
          <w:sz w:val="24"/>
          <w:szCs w:val="24"/>
        </w:rPr>
        <w:t xml:space="preserve"> pravomoc</w:t>
      </w:r>
      <w:r w:rsidR="002B73DA">
        <w:rPr>
          <w:rFonts w:ascii="Calibri" w:hAnsi="Calibri" w:cs="Calibri"/>
          <w:sz w:val="24"/>
          <w:szCs w:val="24"/>
        </w:rPr>
        <w:t xml:space="preserve"> k doměření předmětné platby (tedy</w:t>
      </w:r>
      <w:r w:rsidRPr="00D21F70">
        <w:rPr>
          <w:rFonts w:ascii="Calibri" w:hAnsi="Calibri" w:cs="Calibri"/>
          <w:sz w:val="24"/>
          <w:szCs w:val="24"/>
        </w:rPr>
        <w:t xml:space="preserve"> </w:t>
      </w:r>
      <w:r>
        <w:rPr>
          <w:rFonts w:ascii="Calibri" w:hAnsi="Calibri" w:cs="Calibri"/>
          <w:sz w:val="24"/>
          <w:szCs w:val="24"/>
        </w:rPr>
        <w:t xml:space="preserve">k rozhodnutí </w:t>
      </w:r>
      <w:r w:rsidR="00FC6889">
        <w:rPr>
          <w:rFonts w:ascii="Calibri" w:hAnsi="Calibri" w:cs="Calibri"/>
          <w:sz w:val="24"/>
          <w:szCs w:val="24"/>
        </w:rPr>
        <w:br/>
      </w:r>
      <w:r w:rsidRPr="00D21F70">
        <w:rPr>
          <w:rFonts w:ascii="Calibri" w:hAnsi="Calibri" w:cs="Calibri"/>
          <w:sz w:val="24"/>
          <w:szCs w:val="24"/>
        </w:rPr>
        <w:t>o</w:t>
      </w:r>
      <w:r w:rsidR="00FC6889">
        <w:rPr>
          <w:rFonts w:ascii="Calibri" w:hAnsi="Calibri" w:cs="Calibri"/>
          <w:sz w:val="24"/>
          <w:szCs w:val="24"/>
        </w:rPr>
        <w:t xml:space="preserve"> </w:t>
      </w:r>
      <w:r w:rsidRPr="00D21F70">
        <w:rPr>
          <w:rFonts w:ascii="Calibri" w:hAnsi="Calibri" w:cs="Calibri"/>
          <w:sz w:val="24"/>
          <w:szCs w:val="24"/>
        </w:rPr>
        <w:t>výši platby a uložení povinnosti ji zaplatit</w:t>
      </w:r>
      <w:r w:rsidR="002B73DA">
        <w:rPr>
          <w:rFonts w:ascii="Calibri" w:hAnsi="Calibri" w:cs="Calibri"/>
          <w:sz w:val="24"/>
          <w:szCs w:val="24"/>
        </w:rPr>
        <w:t>)</w:t>
      </w:r>
      <w:r w:rsidRPr="00D21F70">
        <w:rPr>
          <w:rFonts w:ascii="Calibri" w:hAnsi="Calibri" w:cs="Calibri"/>
          <w:sz w:val="24"/>
          <w:szCs w:val="24"/>
        </w:rPr>
        <w:t xml:space="preserve">. </w:t>
      </w:r>
      <w:r w:rsidR="009E71D2">
        <w:rPr>
          <w:rFonts w:ascii="Calibri" w:hAnsi="Calibri" w:cs="Calibri"/>
          <w:sz w:val="24"/>
          <w:szCs w:val="24"/>
        </w:rPr>
        <w:t>Z</w:t>
      </w:r>
      <w:r w:rsidR="00FC6889">
        <w:rPr>
          <w:rFonts w:ascii="Calibri" w:hAnsi="Calibri" w:cs="Calibri"/>
          <w:sz w:val="24"/>
          <w:szCs w:val="24"/>
        </w:rPr>
        <w:t xml:space="preserve"> </w:t>
      </w:r>
      <w:r w:rsidR="009E71D2">
        <w:rPr>
          <w:rFonts w:ascii="Calibri" w:hAnsi="Calibri" w:cs="Calibri"/>
          <w:sz w:val="24"/>
          <w:szCs w:val="24"/>
        </w:rPr>
        <w:t>textu zákona nevyplývá</w:t>
      </w:r>
      <w:r w:rsidR="009E71D2" w:rsidRPr="00640AB3">
        <w:rPr>
          <w:rFonts w:ascii="Calibri" w:hAnsi="Calibri" w:cs="Calibri"/>
          <w:sz w:val="24"/>
          <w:szCs w:val="24"/>
        </w:rPr>
        <w:t xml:space="preserve">, že </w:t>
      </w:r>
      <w:r w:rsidR="002B73DA">
        <w:rPr>
          <w:rFonts w:ascii="Calibri" w:hAnsi="Calibri" w:cs="Calibri"/>
          <w:sz w:val="24"/>
          <w:szCs w:val="24"/>
        </w:rPr>
        <w:t xml:space="preserve">by </w:t>
      </w:r>
      <w:r w:rsidR="009E71D2" w:rsidRPr="00640AB3">
        <w:rPr>
          <w:rFonts w:ascii="Calibri" w:hAnsi="Calibri" w:cs="Calibri"/>
          <w:sz w:val="24"/>
          <w:szCs w:val="24"/>
        </w:rPr>
        <w:t xml:space="preserve">příslušným </w:t>
      </w:r>
      <w:r w:rsidR="002B73DA">
        <w:rPr>
          <w:rFonts w:ascii="Calibri" w:hAnsi="Calibri" w:cs="Calibri"/>
          <w:sz w:val="24"/>
          <w:szCs w:val="24"/>
        </w:rPr>
        <w:t>k doměření předmětné platby měl být</w:t>
      </w:r>
      <w:r w:rsidR="009E71D2" w:rsidRPr="00640AB3">
        <w:rPr>
          <w:rFonts w:ascii="Calibri" w:hAnsi="Calibri" w:cs="Calibri"/>
          <w:sz w:val="24"/>
          <w:szCs w:val="24"/>
        </w:rPr>
        <w:t xml:space="preserve"> orgán </w:t>
      </w:r>
      <w:r w:rsidR="009E71D2">
        <w:rPr>
          <w:rFonts w:ascii="Calibri" w:hAnsi="Calibri" w:cs="Calibri"/>
          <w:sz w:val="24"/>
          <w:szCs w:val="24"/>
        </w:rPr>
        <w:t xml:space="preserve">inspekce práce, </w:t>
      </w:r>
      <w:r w:rsidR="002B73DA">
        <w:rPr>
          <w:rFonts w:ascii="Calibri" w:hAnsi="Calibri" w:cs="Calibri"/>
          <w:sz w:val="24"/>
          <w:szCs w:val="24"/>
        </w:rPr>
        <w:t xml:space="preserve">který rozhodl </w:t>
      </w:r>
      <w:r w:rsidR="009E71D2" w:rsidRPr="00640AB3">
        <w:rPr>
          <w:rFonts w:ascii="Calibri" w:hAnsi="Calibri" w:cs="Calibri"/>
          <w:sz w:val="24"/>
          <w:szCs w:val="24"/>
        </w:rPr>
        <w:t>o</w:t>
      </w:r>
      <w:r w:rsidR="002B73DA">
        <w:rPr>
          <w:rFonts w:ascii="Calibri" w:hAnsi="Calibri" w:cs="Calibri"/>
          <w:sz w:val="24"/>
          <w:szCs w:val="24"/>
        </w:rPr>
        <w:t> </w:t>
      </w:r>
      <w:r w:rsidR="009E71D2" w:rsidRPr="00640AB3">
        <w:rPr>
          <w:rFonts w:ascii="Calibri" w:hAnsi="Calibri" w:cs="Calibri"/>
          <w:sz w:val="24"/>
          <w:szCs w:val="24"/>
        </w:rPr>
        <w:t>přestupku.</w:t>
      </w:r>
    </w:p>
    <w:p w14:paraId="3FB901F2" w14:textId="1237797D" w:rsidR="00640AB3" w:rsidRPr="00D21F70" w:rsidRDefault="00640AB3" w:rsidP="006164D5">
      <w:pPr>
        <w:spacing w:line="240" w:lineRule="auto"/>
        <w:jc w:val="both"/>
        <w:rPr>
          <w:rFonts w:ascii="Calibri" w:hAnsi="Calibri" w:cs="Calibri"/>
          <w:sz w:val="24"/>
          <w:szCs w:val="24"/>
        </w:rPr>
      </w:pPr>
      <w:r w:rsidRPr="00640AB3">
        <w:rPr>
          <w:rFonts w:ascii="Calibri" w:hAnsi="Calibri" w:cs="Calibri"/>
          <w:sz w:val="24"/>
          <w:szCs w:val="24"/>
        </w:rPr>
        <w:t>Podle § 141 odst. 1 zákona o zaměstnanosti platí, že při urč</w:t>
      </w:r>
      <w:r w:rsidR="00FC6889">
        <w:rPr>
          <w:rFonts w:ascii="Calibri" w:hAnsi="Calibri" w:cs="Calibri"/>
          <w:sz w:val="24"/>
          <w:szCs w:val="24"/>
        </w:rPr>
        <w:t>ová</w:t>
      </w:r>
      <w:r w:rsidRPr="00640AB3">
        <w:rPr>
          <w:rFonts w:ascii="Calibri" w:hAnsi="Calibri" w:cs="Calibri"/>
          <w:sz w:val="24"/>
          <w:szCs w:val="24"/>
        </w:rPr>
        <w:t>ní výše pokuty za přestupek se přihlédne i k výši částek, které je právnická nebo fyzická osoba povinna uhradit podle §</w:t>
      </w:r>
      <w:r w:rsidR="009774BA">
        <w:rPr>
          <w:rFonts w:ascii="Calibri" w:hAnsi="Calibri" w:cs="Calibri"/>
          <w:sz w:val="24"/>
          <w:szCs w:val="24"/>
        </w:rPr>
        <w:t> </w:t>
      </w:r>
      <w:r w:rsidRPr="00640AB3">
        <w:rPr>
          <w:rFonts w:ascii="Calibri" w:hAnsi="Calibri" w:cs="Calibri"/>
          <w:sz w:val="24"/>
          <w:szCs w:val="24"/>
        </w:rPr>
        <w:t>141b</w:t>
      </w:r>
      <w:r w:rsidR="009774BA">
        <w:rPr>
          <w:rFonts w:ascii="Calibri" w:hAnsi="Calibri" w:cs="Calibri"/>
          <w:sz w:val="24"/>
          <w:szCs w:val="24"/>
        </w:rPr>
        <w:t> </w:t>
      </w:r>
      <w:r w:rsidRPr="00640AB3">
        <w:rPr>
          <w:rFonts w:ascii="Calibri" w:hAnsi="Calibri" w:cs="Calibri"/>
          <w:sz w:val="24"/>
          <w:szCs w:val="24"/>
        </w:rPr>
        <w:t>odst. 1 písm. b)</w:t>
      </w:r>
      <w:r>
        <w:rPr>
          <w:rFonts w:ascii="Calibri" w:hAnsi="Calibri" w:cs="Calibri"/>
          <w:sz w:val="24"/>
          <w:szCs w:val="24"/>
        </w:rPr>
        <w:t xml:space="preserve"> tohoto zákona</w:t>
      </w:r>
      <w:r w:rsidRPr="00640AB3">
        <w:rPr>
          <w:rFonts w:ascii="Calibri" w:hAnsi="Calibri" w:cs="Calibri"/>
          <w:sz w:val="24"/>
          <w:szCs w:val="24"/>
        </w:rPr>
        <w:t xml:space="preserve">. </w:t>
      </w:r>
      <w:r>
        <w:rPr>
          <w:rFonts w:ascii="Calibri" w:hAnsi="Calibri" w:cs="Calibri"/>
          <w:sz w:val="24"/>
          <w:szCs w:val="24"/>
        </w:rPr>
        <w:t xml:space="preserve">NKÚ </w:t>
      </w:r>
      <w:r w:rsidR="00F52E98">
        <w:rPr>
          <w:rFonts w:ascii="Calibri" w:hAnsi="Calibri" w:cs="Calibri"/>
          <w:sz w:val="24"/>
          <w:szCs w:val="24"/>
        </w:rPr>
        <w:t xml:space="preserve">ověřil, že minimálně v jednom případě </w:t>
      </w:r>
      <w:r w:rsidR="00FC6889">
        <w:rPr>
          <w:rFonts w:ascii="Calibri" w:hAnsi="Calibri" w:cs="Calibri"/>
          <w:sz w:val="24"/>
          <w:szCs w:val="24"/>
        </w:rPr>
        <w:t>oblastní inspektorát práce</w:t>
      </w:r>
      <w:r w:rsidR="00F52E98">
        <w:rPr>
          <w:rFonts w:ascii="Calibri" w:hAnsi="Calibri" w:cs="Calibri"/>
          <w:sz w:val="24"/>
          <w:szCs w:val="24"/>
        </w:rPr>
        <w:t xml:space="preserve"> při stanovení výše pokuty za spáchání přestupku podle § 140 odst.</w:t>
      </w:r>
      <w:r w:rsidR="00FC6889">
        <w:rPr>
          <w:rFonts w:ascii="Calibri" w:hAnsi="Calibri" w:cs="Calibri"/>
          <w:sz w:val="24"/>
          <w:szCs w:val="24"/>
        </w:rPr>
        <w:t> </w:t>
      </w:r>
      <w:r w:rsidR="00F52E98">
        <w:rPr>
          <w:rFonts w:ascii="Calibri" w:hAnsi="Calibri" w:cs="Calibri"/>
          <w:sz w:val="24"/>
          <w:szCs w:val="24"/>
        </w:rPr>
        <w:t>1</w:t>
      </w:r>
      <w:r w:rsidR="00FC6889">
        <w:rPr>
          <w:rFonts w:ascii="Calibri" w:hAnsi="Calibri" w:cs="Calibri"/>
          <w:sz w:val="24"/>
          <w:szCs w:val="24"/>
        </w:rPr>
        <w:t xml:space="preserve"> </w:t>
      </w:r>
      <w:r w:rsidR="00F52E98">
        <w:rPr>
          <w:rFonts w:ascii="Calibri" w:hAnsi="Calibri" w:cs="Calibri"/>
          <w:sz w:val="24"/>
          <w:szCs w:val="24"/>
        </w:rPr>
        <w:t>písm.</w:t>
      </w:r>
      <w:r w:rsidR="00FC6889">
        <w:rPr>
          <w:rFonts w:ascii="Calibri" w:hAnsi="Calibri" w:cs="Calibri"/>
          <w:sz w:val="24"/>
          <w:szCs w:val="24"/>
        </w:rPr>
        <w:t> </w:t>
      </w:r>
      <w:r w:rsidR="00F52E98">
        <w:rPr>
          <w:rFonts w:ascii="Calibri" w:hAnsi="Calibri" w:cs="Calibri"/>
          <w:sz w:val="24"/>
          <w:szCs w:val="24"/>
        </w:rPr>
        <w:t>e) zákona o zaměstnanosti zohlednil kritérium uvedené v</w:t>
      </w:r>
      <w:r w:rsidR="00FC6889">
        <w:rPr>
          <w:rFonts w:ascii="Calibri" w:hAnsi="Calibri" w:cs="Calibri"/>
          <w:sz w:val="24"/>
          <w:szCs w:val="24"/>
        </w:rPr>
        <w:t xml:space="preserve"> </w:t>
      </w:r>
      <w:r w:rsidR="00F52E98">
        <w:rPr>
          <w:rFonts w:ascii="Calibri" w:hAnsi="Calibri" w:cs="Calibri"/>
          <w:sz w:val="24"/>
          <w:szCs w:val="24"/>
        </w:rPr>
        <w:t>§</w:t>
      </w:r>
      <w:r w:rsidR="00FC6889">
        <w:rPr>
          <w:rFonts w:ascii="Calibri" w:hAnsi="Calibri" w:cs="Calibri"/>
          <w:sz w:val="24"/>
          <w:szCs w:val="24"/>
        </w:rPr>
        <w:t xml:space="preserve"> </w:t>
      </w:r>
      <w:r w:rsidR="00F52E98">
        <w:rPr>
          <w:rFonts w:ascii="Calibri" w:hAnsi="Calibri" w:cs="Calibri"/>
          <w:sz w:val="24"/>
          <w:szCs w:val="24"/>
        </w:rPr>
        <w:t>141 odst. 1 zákona o</w:t>
      </w:r>
      <w:r w:rsidR="00FC6889">
        <w:rPr>
          <w:rFonts w:ascii="Calibri" w:hAnsi="Calibri" w:cs="Calibri"/>
          <w:sz w:val="24"/>
          <w:szCs w:val="24"/>
        </w:rPr>
        <w:t> </w:t>
      </w:r>
      <w:r w:rsidR="00F52E98">
        <w:rPr>
          <w:rFonts w:ascii="Calibri" w:hAnsi="Calibri" w:cs="Calibri"/>
          <w:sz w:val="24"/>
          <w:szCs w:val="24"/>
        </w:rPr>
        <w:t>zaměstnanosti.</w:t>
      </w:r>
    </w:p>
    <w:p w14:paraId="20B04DEC" w14:textId="635655A5" w:rsidR="00F52E98" w:rsidRPr="00FB6064" w:rsidRDefault="00D4052C" w:rsidP="00FB6064">
      <w:pPr>
        <w:spacing w:line="240" w:lineRule="auto"/>
        <w:jc w:val="both"/>
        <w:rPr>
          <w:rFonts w:ascii="Calibri" w:hAnsi="Calibri" w:cs="Calibri"/>
          <w:sz w:val="24"/>
          <w:szCs w:val="24"/>
        </w:rPr>
      </w:pPr>
      <w:r w:rsidRPr="00D4052C">
        <w:rPr>
          <w:rFonts w:ascii="Calibri" w:hAnsi="Calibri" w:cs="Calibri"/>
          <w:sz w:val="24"/>
          <w:szCs w:val="24"/>
        </w:rPr>
        <w:t>Podle ustanovení § 141b odst. 4 zákona o zaměstnanosti vydá S</w:t>
      </w:r>
      <w:r>
        <w:rPr>
          <w:rFonts w:ascii="Calibri" w:hAnsi="Calibri" w:cs="Calibri"/>
          <w:sz w:val="24"/>
          <w:szCs w:val="24"/>
        </w:rPr>
        <w:t>ÚIP</w:t>
      </w:r>
      <w:r w:rsidRPr="00D4052C">
        <w:rPr>
          <w:rFonts w:ascii="Calibri" w:hAnsi="Calibri" w:cs="Calibri"/>
          <w:sz w:val="24"/>
          <w:szCs w:val="24"/>
        </w:rPr>
        <w:t xml:space="preserve"> nebo </w:t>
      </w:r>
      <w:r>
        <w:rPr>
          <w:rFonts w:ascii="Calibri" w:hAnsi="Calibri" w:cs="Calibri"/>
          <w:sz w:val="24"/>
          <w:szCs w:val="24"/>
        </w:rPr>
        <w:t>OIP</w:t>
      </w:r>
      <w:r w:rsidRPr="00D4052C">
        <w:rPr>
          <w:rFonts w:ascii="Calibri" w:hAnsi="Calibri" w:cs="Calibri"/>
          <w:sz w:val="24"/>
          <w:szCs w:val="24"/>
        </w:rPr>
        <w:t>, který o uložení pokuty rozhodoval v prvním stupni, rozhodnutí o tom, zda vzniklo ve smyslu § 141b odst. 3 zákona o zaměstnanosti ručení za splnění povinností výše uvedených v</w:t>
      </w:r>
      <w:r w:rsidR="005E283D">
        <w:rPr>
          <w:rFonts w:ascii="Calibri" w:hAnsi="Calibri" w:cs="Calibri"/>
          <w:sz w:val="24"/>
          <w:szCs w:val="24"/>
        </w:rPr>
        <w:t xml:space="preserve"> </w:t>
      </w:r>
      <w:r w:rsidRPr="00D4052C">
        <w:rPr>
          <w:rFonts w:ascii="Calibri" w:hAnsi="Calibri" w:cs="Calibri"/>
          <w:sz w:val="24"/>
          <w:szCs w:val="24"/>
        </w:rPr>
        <w:t>§ 141b odst. 1 písm. a) a c)</w:t>
      </w:r>
      <w:r>
        <w:rPr>
          <w:rFonts w:ascii="Calibri" w:hAnsi="Calibri" w:cs="Calibri"/>
          <w:sz w:val="24"/>
          <w:szCs w:val="24"/>
        </w:rPr>
        <w:t xml:space="preserve"> zákona</w:t>
      </w:r>
      <w:r w:rsidR="00FC6889">
        <w:rPr>
          <w:rFonts w:ascii="Calibri" w:hAnsi="Calibri" w:cs="Calibri"/>
          <w:sz w:val="24"/>
          <w:szCs w:val="24"/>
        </w:rPr>
        <w:t xml:space="preserve"> </w:t>
      </w:r>
      <w:r w:rsidR="00FC6889" w:rsidRPr="00D4052C">
        <w:rPr>
          <w:rFonts w:ascii="Calibri" w:hAnsi="Calibri" w:cs="Calibri"/>
          <w:sz w:val="24"/>
          <w:szCs w:val="24"/>
        </w:rPr>
        <w:t>o zaměstnanosti</w:t>
      </w:r>
      <w:r w:rsidRPr="00D4052C">
        <w:rPr>
          <w:rFonts w:ascii="Calibri" w:hAnsi="Calibri" w:cs="Calibri"/>
          <w:sz w:val="24"/>
          <w:szCs w:val="24"/>
        </w:rPr>
        <w:t xml:space="preserve"> </w:t>
      </w:r>
      <w:r w:rsidR="00FC6889">
        <w:rPr>
          <w:rFonts w:ascii="Calibri" w:hAnsi="Calibri" w:cs="Calibri"/>
          <w:sz w:val="24"/>
          <w:szCs w:val="24"/>
        </w:rPr>
        <w:t>(</w:t>
      </w:r>
      <w:r w:rsidRPr="00D4052C">
        <w:rPr>
          <w:rFonts w:ascii="Calibri" w:hAnsi="Calibri" w:cs="Calibri"/>
          <w:sz w:val="24"/>
          <w:szCs w:val="24"/>
        </w:rPr>
        <w:t>tj. povinností vůči cizinci, který vykonal nelegální práci</w:t>
      </w:r>
      <w:r w:rsidR="00FC6889">
        <w:rPr>
          <w:rFonts w:ascii="Calibri" w:hAnsi="Calibri" w:cs="Calibri"/>
          <w:sz w:val="24"/>
          <w:szCs w:val="24"/>
        </w:rPr>
        <w:t>)</w:t>
      </w:r>
      <w:r w:rsidRPr="00D4052C">
        <w:rPr>
          <w:rFonts w:ascii="Calibri" w:hAnsi="Calibri" w:cs="Calibri"/>
          <w:sz w:val="24"/>
          <w:szCs w:val="24"/>
        </w:rPr>
        <w:t>, a také o tom, kdo je ručitelem</w:t>
      </w:r>
      <w:r>
        <w:rPr>
          <w:rFonts w:ascii="Calibri" w:hAnsi="Calibri" w:cs="Calibri"/>
          <w:sz w:val="24"/>
          <w:szCs w:val="24"/>
        </w:rPr>
        <w:t>.</w:t>
      </w:r>
      <w:r w:rsidRPr="00D4052C">
        <w:rPr>
          <w:rFonts w:ascii="Calibri" w:hAnsi="Calibri" w:cs="Calibri"/>
          <w:sz w:val="24"/>
          <w:szCs w:val="24"/>
        </w:rPr>
        <w:t xml:space="preserve"> </w:t>
      </w:r>
      <w:r>
        <w:rPr>
          <w:rFonts w:ascii="Calibri" w:hAnsi="Calibri" w:cs="Calibri"/>
          <w:sz w:val="24"/>
          <w:szCs w:val="24"/>
        </w:rPr>
        <w:t>Vztah</w:t>
      </w:r>
      <w:r w:rsidRPr="00D4052C">
        <w:rPr>
          <w:rFonts w:ascii="Calibri" w:hAnsi="Calibri" w:cs="Calibri"/>
          <w:sz w:val="24"/>
          <w:szCs w:val="24"/>
        </w:rPr>
        <w:t xml:space="preserve"> k plnění </w:t>
      </w:r>
      <w:r w:rsidR="005E283D">
        <w:rPr>
          <w:rFonts w:ascii="Calibri" w:hAnsi="Calibri" w:cs="Calibri"/>
          <w:sz w:val="24"/>
          <w:szCs w:val="24"/>
        </w:rPr>
        <w:t xml:space="preserve">uvedenému v </w:t>
      </w:r>
      <w:r w:rsidRPr="00D4052C">
        <w:rPr>
          <w:rFonts w:ascii="Calibri" w:hAnsi="Calibri" w:cs="Calibri"/>
          <w:sz w:val="24"/>
          <w:szCs w:val="24"/>
        </w:rPr>
        <w:t>§ 141b odst. 1 písm. b) zákona o zaměstnanosti</w:t>
      </w:r>
      <w:r>
        <w:rPr>
          <w:rFonts w:ascii="Calibri" w:hAnsi="Calibri" w:cs="Calibri"/>
          <w:sz w:val="24"/>
          <w:szCs w:val="24"/>
        </w:rPr>
        <w:t xml:space="preserve"> toto ustanovení neřeší</w:t>
      </w:r>
      <w:r w:rsidRPr="00D4052C">
        <w:rPr>
          <w:rFonts w:ascii="Calibri" w:hAnsi="Calibri" w:cs="Calibri"/>
          <w:sz w:val="24"/>
          <w:szCs w:val="24"/>
        </w:rPr>
        <w:t>.</w:t>
      </w:r>
    </w:p>
    <w:p w14:paraId="64706A20" w14:textId="36F9C08D" w:rsidR="00936C2C" w:rsidRPr="00523C16" w:rsidRDefault="001D24DC" w:rsidP="0052318D">
      <w:pPr>
        <w:spacing w:line="240" w:lineRule="auto"/>
        <w:jc w:val="both"/>
        <w:rPr>
          <w:sz w:val="24"/>
          <w:szCs w:val="24"/>
          <w:lang w:eastAsia="cs-CZ"/>
        </w:rPr>
      </w:pPr>
      <w:bookmarkStart w:id="15" w:name="_Hlk189827980"/>
      <w:r>
        <w:rPr>
          <w:sz w:val="24"/>
          <w:szCs w:val="24"/>
          <w:lang w:eastAsia="cs-CZ"/>
        </w:rPr>
        <w:t xml:space="preserve">MPSV poskytlo </w:t>
      </w:r>
      <w:r w:rsidR="00FB6064">
        <w:rPr>
          <w:sz w:val="24"/>
          <w:szCs w:val="24"/>
          <w:lang w:eastAsia="cs-CZ"/>
        </w:rPr>
        <w:t xml:space="preserve">k aplikaci ustanovení § 141b zákona o zaměstnanosti </w:t>
      </w:r>
      <w:r>
        <w:rPr>
          <w:sz w:val="24"/>
          <w:szCs w:val="24"/>
          <w:lang w:eastAsia="cs-CZ"/>
        </w:rPr>
        <w:t xml:space="preserve">v průběhu kontroly NKÚ vyjádření, </w:t>
      </w:r>
      <w:r w:rsidR="00FB6064">
        <w:rPr>
          <w:sz w:val="24"/>
          <w:szCs w:val="24"/>
          <w:lang w:eastAsia="cs-CZ"/>
        </w:rPr>
        <w:t xml:space="preserve">že </w:t>
      </w:r>
      <w:r w:rsidR="00D837CA">
        <w:rPr>
          <w:sz w:val="24"/>
          <w:szCs w:val="24"/>
          <w:lang w:eastAsia="cs-CZ"/>
        </w:rPr>
        <w:t>„</w:t>
      </w:r>
      <w:r w:rsidR="00FB6064" w:rsidRPr="00090DB2">
        <w:rPr>
          <w:i/>
          <w:sz w:val="24"/>
          <w:szCs w:val="24"/>
          <w:lang w:eastAsia="cs-CZ"/>
        </w:rPr>
        <w:t>dle této právní úpravy SÚIP ani OIP nerozhodují ve věci samotného vzniku nároku na dlužnou odměnu, odvody, a povinnosti nést náklady na doručení dlužné mzdy.</w:t>
      </w:r>
      <w:r w:rsidRPr="00090DB2">
        <w:rPr>
          <w:i/>
          <w:sz w:val="24"/>
          <w:szCs w:val="24"/>
          <w:lang w:eastAsia="cs-CZ"/>
        </w:rPr>
        <w:t xml:space="preserve"> ČSSZ </w:t>
      </w:r>
      <w:r w:rsidRPr="00090DB2">
        <w:rPr>
          <w:i/>
          <w:sz w:val="24"/>
          <w:szCs w:val="24"/>
          <w:lang w:eastAsia="cs-CZ"/>
        </w:rPr>
        <w:lastRenderedPageBreak/>
        <w:t>a</w:t>
      </w:r>
      <w:r w:rsidR="00052BA5">
        <w:rPr>
          <w:i/>
          <w:sz w:val="24"/>
          <w:szCs w:val="24"/>
          <w:lang w:eastAsia="cs-CZ"/>
        </w:rPr>
        <w:t> </w:t>
      </w:r>
      <w:r w:rsidRPr="00090DB2">
        <w:rPr>
          <w:i/>
          <w:sz w:val="24"/>
          <w:szCs w:val="24"/>
          <w:lang w:eastAsia="cs-CZ"/>
        </w:rPr>
        <w:t xml:space="preserve">příslušná zdravotní pojišťovna měly v případě, že byly o uložení pokuty informovány, </w:t>
      </w:r>
      <w:r w:rsidR="00FB6064" w:rsidRPr="00090DB2">
        <w:rPr>
          <w:i/>
          <w:sz w:val="24"/>
          <w:szCs w:val="24"/>
          <w:lang w:eastAsia="cs-CZ"/>
        </w:rPr>
        <w:t>postupovat</w:t>
      </w:r>
      <w:r w:rsidRPr="00090DB2">
        <w:rPr>
          <w:i/>
          <w:sz w:val="24"/>
          <w:szCs w:val="24"/>
          <w:lang w:eastAsia="cs-CZ"/>
        </w:rPr>
        <w:t xml:space="preserve"> prostřednictvím svých nástrojů </w:t>
      </w:r>
      <w:r w:rsidR="00FB6064" w:rsidRPr="00090DB2">
        <w:rPr>
          <w:i/>
          <w:sz w:val="24"/>
          <w:szCs w:val="24"/>
          <w:lang w:eastAsia="cs-CZ"/>
        </w:rPr>
        <w:t>vůči pachateli</w:t>
      </w:r>
      <w:r w:rsidRPr="00090DB2">
        <w:rPr>
          <w:i/>
          <w:sz w:val="24"/>
          <w:szCs w:val="24"/>
          <w:lang w:eastAsia="cs-CZ"/>
        </w:rPr>
        <w:t xml:space="preserve">, pokud </w:t>
      </w:r>
      <w:r w:rsidR="00581DCB" w:rsidRPr="00090DB2">
        <w:rPr>
          <w:i/>
          <w:sz w:val="24"/>
          <w:szCs w:val="24"/>
          <w:lang w:eastAsia="cs-CZ"/>
        </w:rPr>
        <w:t xml:space="preserve">tento </w:t>
      </w:r>
      <w:r w:rsidRPr="00090DB2">
        <w:rPr>
          <w:i/>
          <w:sz w:val="24"/>
          <w:szCs w:val="24"/>
          <w:lang w:eastAsia="cs-CZ"/>
        </w:rPr>
        <w:t>dobrovolnou úhradu příslušných odvodů neprovedl.</w:t>
      </w:r>
      <w:r w:rsidR="00D837CA">
        <w:rPr>
          <w:sz w:val="24"/>
          <w:szCs w:val="24"/>
          <w:lang w:eastAsia="cs-CZ"/>
        </w:rPr>
        <w:t>“</w:t>
      </w:r>
      <w:r>
        <w:rPr>
          <w:sz w:val="24"/>
          <w:szCs w:val="24"/>
          <w:lang w:eastAsia="cs-CZ"/>
        </w:rPr>
        <w:t xml:space="preserve"> </w:t>
      </w:r>
      <w:r w:rsidR="00D837CA">
        <w:rPr>
          <w:sz w:val="24"/>
          <w:szCs w:val="24"/>
          <w:lang w:eastAsia="cs-CZ"/>
        </w:rPr>
        <w:t xml:space="preserve">Dle NKÚ aktuální znění </w:t>
      </w:r>
      <w:r w:rsidR="00D837CA" w:rsidRPr="00523C16">
        <w:rPr>
          <w:sz w:val="24"/>
          <w:szCs w:val="24"/>
          <w:lang w:eastAsia="cs-CZ"/>
        </w:rPr>
        <w:t xml:space="preserve">§ 141b odst. 1 písm. b) </w:t>
      </w:r>
      <w:r w:rsidR="00D837CA">
        <w:rPr>
          <w:sz w:val="24"/>
          <w:szCs w:val="24"/>
          <w:lang w:eastAsia="cs-CZ"/>
        </w:rPr>
        <w:t>zákona</w:t>
      </w:r>
      <w:r w:rsidR="00D837CA" w:rsidRPr="00523C16">
        <w:rPr>
          <w:sz w:val="24"/>
          <w:szCs w:val="24"/>
          <w:lang w:eastAsia="cs-CZ"/>
        </w:rPr>
        <w:t xml:space="preserve"> </w:t>
      </w:r>
      <w:r w:rsidR="00D837CA">
        <w:rPr>
          <w:sz w:val="24"/>
          <w:szCs w:val="24"/>
          <w:lang w:eastAsia="cs-CZ"/>
        </w:rPr>
        <w:t>o</w:t>
      </w:r>
      <w:r w:rsidR="009774BA">
        <w:rPr>
          <w:sz w:val="24"/>
          <w:szCs w:val="24"/>
          <w:lang w:eastAsia="cs-CZ"/>
        </w:rPr>
        <w:t> </w:t>
      </w:r>
      <w:r w:rsidR="00D837CA">
        <w:rPr>
          <w:sz w:val="24"/>
          <w:szCs w:val="24"/>
          <w:lang w:eastAsia="cs-CZ"/>
        </w:rPr>
        <w:t>zaměstnanosti neumožňovalo žádné z kontrolovaných osob vymáhat neuhrazen</w:t>
      </w:r>
      <w:r w:rsidR="00052BA5">
        <w:rPr>
          <w:sz w:val="24"/>
          <w:szCs w:val="24"/>
          <w:lang w:eastAsia="cs-CZ"/>
        </w:rPr>
        <w:t>á</w:t>
      </w:r>
      <w:r w:rsidR="00D837CA">
        <w:rPr>
          <w:sz w:val="24"/>
          <w:szCs w:val="24"/>
          <w:lang w:eastAsia="cs-CZ"/>
        </w:rPr>
        <w:t xml:space="preserve"> </w:t>
      </w:r>
      <w:r w:rsidR="00052BA5">
        <w:rPr>
          <w:sz w:val="24"/>
          <w:szCs w:val="24"/>
          <w:lang w:eastAsia="cs-CZ"/>
        </w:rPr>
        <w:t xml:space="preserve">zákonná </w:t>
      </w:r>
      <w:r w:rsidR="00D837CA">
        <w:rPr>
          <w:sz w:val="24"/>
          <w:szCs w:val="24"/>
          <w:lang w:eastAsia="cs-CZ"/>
        </w:rPr>
        <w:t>pojistn</w:t>
      </w:r>
      <w:r w:rsidR="00052BA5">
        <w:rPr>
          <w:sz w:val="24"/>
          <w:szCs w:val="24"/>
          <w:lang w:eastAsia="cs-CZ"/>
        </w:rPr>
        <w:t>á</w:t>
      </w:r>
      <w:r w:rsidR="00D837CA">
        <w:rPr>
          <w:sz w:val="24"/>
          <w:szCs w:val="24"/>
          <w:lang w:eastAsia="cs-CZ"/>
        </w:rPr>
        <w:t xml:space="preserve">. </w:t>
      </w:r>
    </w:p>
    <w:bookmarkEnd w:id="15"/>
    <w:p w14:paraId="47A4284A" w14:textId="3C3D3FD3" w:rsidR="001B5B52" w:rsidRPr="00D85EE9" w:rsidRDefault="001D24DC" w:rsidP="0052318D">
      <w:pPr>
        <w:spacing w:line="240" w:lineRule="auto"/>
        <w:jc w:val="both"/>
        <w:rPr>
          <w:rFonts w:ascii="Calibri" w:hAnsi="Calibri" w:cs="Calibri"/>
          <w:sz w:val="24"/>
          <w:szCs w:val="24"/>
        </w:rPr>
      </w:pPr>
      <w:r>
        <w:rPr>
          <w:rFonts w:ascii="Calibri" w:hAnsi="Calibri" w:cs="Calibri"/>
          <w:sz w:val="24"/>
          <w:szCs w:val="24"/>
        </w:rPr>
        <w:t xml:space="preserve">NKÚ zjistil, že </w:t>
      </w:r>
      <w:r w:rsidR="00F46901">
        <w:rPr>
          <w:rFonts w:ascii="Calibri" w:hAnsi="Calibri" w:cs="Calibri"/>
          <w:sz w:val="24"/>
          <w:szCs w:val="24"/>
        </w:rPr>
        <w:t>orgány inspekce práce</w:t>
      </w:r>
      <w:r w:rsidR="001B5B52" w:rsidRPr="00D85EE9">
        <w:rPr>
          <w:rFonts w:ascii="Calibri" w:hAnsi="Calibri" w:cs="Calibri"/>
          <w:sz w:val="24"/>
          <w:szCs w:val="24"/>
        </w:rPr>
        <w:t xml:space="preserve"> v letech 2019 až 2023 uložily pokuty v souvislosti s přestupkem umožnění výkonu nelegální práce cizinci bez platného oprávnění k pobytu na</w:t>
      </w:r>
      <w:r w:rsidR="00052BA5">
        <w:rPr>
          <w:rFonts w:ascii="Calibri" w:hAnsi="Calibri" w:cs="Calibri"/>
          <w:sz w:val="24"/>
          <w:szCs w:val="24"/>
        </w:rPr>
        <w:t> </w:t>
      </w:r>
      <w:r w:rsidR="001B5B52" w:rsidRPr="00D85EE9">
        <w:rPr>
          <w:rFonts w:ascii="Calibri" w:hAnsi="Calibri" w:cs="Calibri"/>
          <w:sz w:val="24"/>
          <w:szCs w:val="24"/>
        </w:rPr>
        <w:t xml:space="preserve">území České republiky v 93 </w:t>
      </w:r>
      <w:r w:rsidR="006A7417">
        <w:rPr>
          <w:sz w:val="24"/>
          <w:szCs w:val="24"/>
          <w:lang w:eastAsia="cs-CZ"/>
        </w:rPr>
        <w:t>provedených kontrolách</w:t>
      </w:r>
      <w:r w:rsidR="001B5B52" w:rsidRPr="00D85EE9">
        <w:rPr>
          <w:rFonts w:ascii="Calibri" w:hAnsi="Calibri" w:cs="Calibri"/>
          <w:sz w:val="24"/>
          <w:szCs w:val="24"/>
        </w:rPr>
        <w:t>.</w:t>
      </w:r>
    </w:p>
    <w:p w14:paraId="7FAA707A" w14:textId="1740D300" w:rsidR="00F17689" w:rsidRPr="00D85EE9" w:rsidRDefault="001B5B52" w:rsidP="0052318D">
      <w:pPr>
        <w:spacing w:line="240" w:lineRule="auto"/>
        <w:jc w:val="both"/>
        <w:rPr>
          <w:rFonts w:ascii="Calibri" w:hAnsi="Calibri" w:cs="Calibri"/>
          <w:sz w:val="24"/>
          <w:szCs w:val="24"/>
        </w:rPr>
      </w:pPr>
      <w:r w:rsidRPr="00D85EE9">
        <w:rPr>
          <w:rFonts w:ascii="Calibri" w:hAnsi="Calibri" w:cs="Calibri"/>
          <w:sz w:val="24"/>
          <w:szCs w:val="24"/>
        </w:rPr>
        <w:t xml:space="preserve">Tento počet pravomocných rozhodnutí o pokutě využil </w:t>
      </w:r>
      <w:r w:rsidR="005E283D" w:rsidRPr="00D85EE9">
        <w:rPr>
          <w:rFonts w:ascii="Calibri" w:hAnsi="Calibri" w:cs="Calibri"/>
          <w:sz w:val="24"/>
          <w:szCs w:val="24"/>
        </w:rPr>
        <w:t xml:space="preserve">NKÚ </w:t>
      </w:r>
      <w:r w:rsidRPr="00D85EE9">
        <w:rPr>
          <w:rFonts w:ascii="Calibri" w:hAnsi="Calibri" w:cs="Calibri"/>
          <w:sz w:val="24"/>
          <w:szCs w:val="24"/>
        </w:rPr>
        <w:t>k odhad</w:t>
      </w:r>
      <w:r w:rsidR="005E283D">
        <w:rPr>
          <w:rFonts w:ascii="Calibri" w:hAnsi="Calibri" w:cs="Calibri"/>
          <w:sz w:val="24"/>
          <w:szCs w:val="24"/>
        </w:rPr>
        <w:t>nutí</w:t>
      </w:r>
      <w:r w:rsidRPr="00D85EE9">
        <w:rPr>
          <w:rFonts w:ascii="Calibri" w:hAnsi="Calibri" w:cs="Calibri"/>
          <w:sz w:val="24"/>
          <w:szCs w:val="24"/>
        </w:rPr>
        <w:t xml:space="preserve"> výše částky rovnající se součtu částek odvodů na </w:t>
      </w:r>
      <w:r w:rsidR="003A32C8">
        <w:rPr>
          <w:rFonts w:ascii="Calibri" w:hAnsi="Calibri" w:cs="Calibri"/>
          <w:sz w:val="24"/>
          <w:szCs w:val="24"/>
        </w:rPr>
        <w:t xml:space="preserve">pojistné na </w:t>
      </w:r>
      <w:r w:rsidRPr="00D85EE9">
        <w:rPr>
          <w:rFonts w:ascii="Calibri" w:hAnsi="Calibri" w:cs="Calibri"/>
          <w:sz w:val="24"/>
          <w:szCs w:val="24"/>
        </w:rPr>
        <w:t xml:space="preserve">sociální </w:t>
      </w:r>
      <w:r w:rsidR="003A32C8">
        <w:rPr>
          <w:rFonts w:ascii="Calibri" w:hAnsi="Calibri" w:cs="Calibri"/>
          <w:sz w:val="24"/>
          <w:szCs w:val="24"/>
        </w:rPr>
        <w:t xml:space="preserve">zabezpečení </w:t>
      </w:r>
      <w:r w:rsidRPr="00D85EE9">
        <w:rPr>
          <w:rFonts w:ascii="Calibri" w:hAnsi="Calibri" w:cs="Calibri"/>
          <w:sz w:val="24"/>
          <w:szCs w:val="24"/>
        </w:rPr>
        <w:t xml:space="preserve">a </w:t>
      </w:r>
      <w:r w:rsidR="00CF394D">
        <w:rPr>
          <w:rFonts w:ascii="Calibri" w:hAnsi="Calibri" w:cs="Calibri"/>
          <w:sz w:val="24"/>
          <w:szCs w:val="24"/>
        </w:rPr>
        <w:t xml:space="preserve">veřejné </w:t>
      </w:r>
      <w:r w:rsidRPr="00D85EE9">
        <w:rPr>
          <w:rFonts w:ascii="Calibri" w:hAnsi="Calibri" w:cs="Calibri"/>
          <w:sz w:val="24"/>
          <w:szCs w:val="24"/>
        </w:rPr>
        <w:t xml:space="preserve">zdravotní pojištění, které by byla povinna odvést </w:t>
      </w:r>
      <w:r w:rsidR="003A32C8">
        <w:rPr>
          <w:rFonts w:ascii="Calibri" w:hAnsi="Calibri" w:cs="Calibri"/>
          <w:sz w:val="24"/>
          <w:szCs w:val="24"/>
        </w:rPr>
        <w:t>právnická osoba</w:t>
      </w:r>
      <w:r w:rsidRPr="00D85EE9">
        <w:rPr>
          <w:rFonts w:ascii="Calibri" w:hAnsi="Calibri" w:cs="Calibri"/>
          <w:sz w:val="24"/>
          <w:szCs w:val="24"/>
        </w:rPr>
        <w:t xml:space="preserve"> dle ustanovení § 141b odst. 1 písm. b)</w:t>
      </w:r>
      <w:r w:rsidR="003A32C8">
        <w:rPr>
          <w:rFonts w:ascii="Calibri" w:hAnsi="Calibri" w:cs="Calibri"/>
          <w:sz w:val="24"/>
          <w:szCs w:val="24"/>
        </w:rPr>
        <w:t xml:space="preserve"> zákona o</w:t>
      </w:r>
      <w:r w:rsidR="005E283D">
        <w:rPr>
          <w:rFonts w:ascii="Calibri" w:hAnsi="Calibri" w:cs="Calibri"/>
          <w:sz w:val="24"/>
          <w:szCs w:val="24"/>
        </w:rPr>
        <w:t> </w:t>
      </w:r>
      <w:r w:rsidR="003A32C8">
        <w:rPr>
          <w:rFonts w:ascii="Calibri" w:hAnsi="Calibri" w:cs="Calibri"/>
          <w:sz w:val="24"/>
          <w:szCs w:val="24"/>
        </w:rPr>
        <w:t>zaměstnanosti</w:t>
      </w:r>
      <w:r w:rsidRPr="00D85EE9">
        <w:rPr>
          <w:rFonts w:ascii="Calibri" w:hAnsi="Calibri" w:cs="Calibri"/>
          <w:sz w:val="24"/>
          <w:szCs w:val="24"/>
        </w:rPr>
        <w:t>. Pod jedním pravomocným rozhodnutím mohla být zjištěna jedna nebo i více osob</w:t>
      </w:r>
      <w:r w:rsidRPr="00D85EE9">
        <w:rPr>
          <w:rFonts w:ascii="Calibri" w:hAnsi="Calibri" w:cs="Calibri"/>
          <w:sz w:val="24"/>
          <w:szCs w:val="24"/>
          <w:vertAlign w:val="superscript"/>
        </w:rPr>
        <w:footnoteReference w:id="37"/>
      </w:r>
      <w:r w:rsidRPr="00D85EE9">
        <w:rPr>
          <w:rFonts w:ascii="Calibri" w:hAnsi="Calibri" w:cs="Calibri"/>
          <w:sz w:val="24"/>
          <w:szCs w:val="24"/>
        </w:rPr>
        <w:t>.</w:t>
      </w:r>
    </w:p>
    <w:p w14:paraId="48A9F11B" w14:textId="2CEB76CD" w:rsidR="008769AE" w:rsidRDefault="008769AE" w:rsidP="00D36E9D">
      <w:pPr>
        <w:spacing w:after="0"/>
        <w:jc w:val="both"/>
        <w:rPr>
          <w:rFonts w:cstheme="minorHAnsi"/>
          <w:b/>
          <w:sz w:val="24"/>
          <w:szCs w:val="24"/>
        </w:rPr>
      </w:pPr>
      <w:r w:rsidRPr="00D85EE9">
        <w:rPr>
          <w:rFonts w:cstheme="minorHAnsi"/>
          <w:b/>
          <w:sz w:val="24"/>
          <w:szCs w:val="24"/>
        </w:rPr>
        <w:t xml:space="preserve">Tabulka č. </w:t>
      </w:r>
      <w:r w:rsidR="00316A26">
        <w:rPr>
          <w:rFonts w:cstheme="minorHAnsi"/>
          <w:b/>
          <w:sz w:val="24"/>
          <w:szCs w:val="24"/>
        </w:rPr>
        <w:t>5</w:t>
      </w:r>
      <w:r w:rsidR="00E12E8B">
        <w:rPr>
          <w:rFonts w:cstheme="minorHAnsi"/>
          <w:b/>
          <w:sz w:val="24"/>
          <w:szCs w:val="24"/>
        </w:rPr>
        <w:t xml:space="preserve">: </w:t>
      </w:r>
      <w:r w:rsidRPr="00D85EE9">
        <w:rPr>
          <w:rFonts w:cstheme="minorHAnsi"/>
          <w:b/>
          <w:sz w:val="24"/>
          <w:szCs w:val="24"/>
        </w:rPr>
        <w:t>Odhad výše částky rovnající se součtu částek odvodů na SZP</w:t>
      </w:r>
    </w:p>
    <w:tbl>
      <w:tblPr>
        <w:tblStyle w:val="Mkatabulky"/>
        <w:tblW w:w="5000" w:type="pct"/>
        <w:tblLook w:val="04A0" w:firstRow="1" w:lastRow="0" w:firstColumn="1" w:lastColumn="0" w:noHBand="0" w:noVBand="1"/>
      </w:tblPr>
      <w:tblGrid>
        <w:gridCol w:w="3114"/>
        <w:gridCol w:w="963"/>
        <w:gridCol w:w="964"/>
        <w:gridCol w:w="964"/>
        <w:gridCol w:w="964"/>
        <w:gridCol w:w="964"/>
        <w:gridCol w:w="1129"/>
      </w:tblGrid>
      <w:tr w:rsidR="00770343" w:rsidRPr="00AA2FC9" w14:paraId="3F4A42B7" w14:textId="77777777" w:rsidTr="006164D5">
        <w:trPr>
          <w:trHeight w:val="340"/>
        </w:trPr>
        <w:tc>
          <w:tcPr>
            <w:tcW w:w="3114" w:type="dxa"/>
            <w:shd w:val="clear" w:color="auto" w:fill="E6E6E6"/>
            <w:vAlign w:val="center"/>
          </w:tcPr>
          <w:p w14:paraId="3A936B28" w14:textId="77777777" w:rsidR="005A1019" w:rsidRPr="00770343" w:rsidRDefault="005A1019" w:rsidP="00BD1B95">
            <w:pPr>
              <w:autoSpaceDE w:val="0"/>
              <w:autoSpaceDN w:val="0"/>
              <w:adjustRightInd w:val="0"/>
              <w:jc w:val="center"/>
              <w:rPr>
                <w:rFonts w:cstheme="minorHAnsi"/>
                <w:b/>
                <w:sz w:val="20"/>
                <w:szCs w:val="20"/>
              </w:rPr>
            </w:pPr>
            <w:bookmarkStart w:id="16" w:name="_Hlk192971663"/>
          </w:p>
        </w:tc>
        <w:tc>
          <w:tcPr>
            <w:tcW w:w="963" w:type="dxa"/>
            <w:shd w:val="clear" w:color="auto" w:fill="E6E6E6"/>
            <w:vAlign w:val="center"/>
          </w:tcPr>
          <w:p w14:paraId="4482A8E9" w14:textId="77777777" w:rsidR="005A1019" w:rsidRPr="00770343" w:rsidRDefault="005A1019" w:rsidP="00BD1B95">
            <w:pPr>
              <w:autoSpaceDE w:val="0"/>
              <w:autoSpaceDN w:val="0"/>
              <w:adjustRightInd w:val="0"/>
              <w:jc w:val="center"/>
              <w:rPr>
                <w:rFonts w:cstheme="minorHAnsi"/>
                <w:b/>
                <w:sz w:val="20"/>
                <w:szCs w:val="20"/>
              </w:rPr>
            </w:pPr>
            <w:r w:rsidRPr="00770343">
              <w:rPr>
                <w:rFonts w:cstheme="minorHAnsi"/>
                <w:b/>
                <w:sz w:val="20"/>
                <w:szCs w:val="20"/>
              </w:rPr>
              <w:t>2019</w:t>
            </w:r>
          </w:p>
        </w:tc>
        <w:tc>
          <w:tcPr>
            <w:tcW w:w="964" w:type="dxa"/>
            <w:shd w:val="clear" w:color="auto" w:fill="E6E6E6"/>
            <w:vAlign w:val="center"/>
          </w:tcPr>
          <w:p w14:paraId="6396C224" w14:textId="77777777" w:rsidR="005A1019" w:rsidRPr="00770343" w:rsidRDefault="005A1019" w:rsidP="00BD1B95">
            <w:pPr>
              <w:autoSpaceDE w:val="0"/>
              <w:autoSpaceDN w:val="0"/>
              <w:adjustRightInd w:val="0"/>
              <w:jc w:val="center"/>
              <w:rPr>
                <w:rFonts w:cstheme="minorHAnsi"/>
                <w:b/>
                <w:sz w:val="20"/>
                <w:szCs w:val="20"/>
              </w:rPr>
            </w:pPr>
            <w:r w:rsidRPr="00770343">
              <w:rPr>
                <w:rFonts w:cstheme="minorHAnsi"/>
                <w:b/>
                <w:sz w:val="20"/>
                <w:szCs w:val="20"/>
              </w:rPr>
              <w:t>2020</w:t>
            </w:r>
          </w:p>
        </w:tc>
        <w:tc>
          <w:tcPr>
            <w:tcW w:w="964" w:type="dxa"/>
            <w:shd w:val="clear" w:color="auto" w:fill="E6E6E6"/>
            <w:vAlign w:val="center"/>
          </w:tcPr>
          <w:p w14:paraId="29A2D491" w14:textId="77777777" w:rsidR="005A1019" w:rsidRPr="00770343" w:rsidRDefault="005A1019" w:rsidP="00BD1B95">
            <w:pPr>
              <w:autoSpaceDE w:val="0"/>
              <w:autoSpaceDN w:val="0"/>
              <w:adjustRightInd w:val="0"/>
              <w:jc w:val="center"/>
              <w:rPr>
                <w:rFonts w:cstheme="minorHAnsi"/>
                <w:b/>
                <w:sz w:val="20"/>
                <w:szCs w:val="20"/>
              </w:rPr>
            </w:pPr>
            <w:r w:rsidRPr="00770343">
              <w:rPr>
                <w:rFonts w:cstheme="minorHAnsi"/>
                <w:b/>
                <w:sz w:val="20"/>
                <w:szCs w:val="20"/>
              </w:rPr>
              <w:t>2021</w:t>
            </w:r>
          </w:p>
        </w:tc>
        <w:tc>
          <w:tcPr>
            <w:tcW w:w="964" w:type="dxa"/>
            <w:shd w:val="clear" w:color="auto" w:fill="E6E6E6"/>
            <w:vAlign w:val="center"/>
          </w:tcPr>
          <w:p w14:paraId="66C19152" w14:textId="77777777" w:rsidR="005A1019" w:rsidRPr="00770343" w:rsidRDefault="005A1019" w:rsidP="00BD1B95">
            <w:pPr>
              <w:autoSpaceDE w:val="0"/>
              <w:autoSpaceDN w:val="0"/>
              <w:adjustRightInd w:val="0"/>
              <w:jc w:val="center"/>
              <w:rPr>
                <w:rFonts w:cstheme="minorHAnsi"/>
                <w:b/>
                <w:sz w:val="20"/>
                <w:szCs w:val="20"/>
              </w:rPr>
            </w:pPr>
            <w:r w:rsidRPr="00770343">
              <w:rPr>
                <w:rFonts w:cstheme="minorHAnsi"/>
                <w:b/>
                <w:sz w:val="20"/>
                <w:szCs w:val="20"/>
              </w:rPr>
              <w:t>2022</w:t>
            </w:r>
          </w:p>
        </w:tc>
        <w:tc>
          <w:tcPr>
            <w:tcW w:w="964" w:type="dxa"/>
            <w:shd w:val="clear" w:color="auto" w:fill="E6E6E6"/>
            <w:vAlign w:val="center"/>
          </w:tcPr>
          <w:p w14:paraId="2AF0DE0B" w14:textId="77777777" w:rsidR="005A1019" w:rsidRPr="00770343" w:rsidRDefault="005A1019" w:rsidP="00BD1B95">
            <w:pPr>
              <w:autoSpaceDE w:val="0"/>
              <w:autoSpaceDN w:val="0"/>
              <w:adjustRightInd w:val="0"/>
              <w:jc w:val="center"/>
              <w:rPr>
                <w:rFonts w:cstheme="minorHAnsi"/>
                <w:b/>
                <w:sz w:val="20"/>
                <w:szCs w:val="20"/>
              </w:rPr>
            </w:pPr>
            <w:r w:rsidRPr="00770343">
              <w:rPr>
                <w:rFonts w:cstheme="minorHAnsi"/>
                <w:b/>
                <w:sz w:val="20"/>
                <w:szCs w:val="20"/>
              </w:rPr>
              <w:t>2023</w:t>
            </w:r>
          </w:p>
        </w:tc>
        <w:tc>
          <w:tcPr>
            <w:tcW w:w="1129" w:type="dxa"/>
            <w:shd w:val="clear" w:color="auto" w:fill="E6E6E6"/>
            <w:vAlign w:val="center"/>
          </w:tcPr>
          <w:p w14:paraId="75830B02" w14:textId="77777777" w:rsidR="005A1019" w:rsidRPr="00770343" w:rsidRDefault="005A1019" w:rsidP="00BD1B95">
            <w:pPr>
              <w:autoSpaceDE w:val="0"/>
              <w:autoSpaceDN w:val="0"/>
              <w:adjustRightInd w:val="0"/>
              <w:jc w:val="center"/>
              <w:rPr>
                <w:rFonts w:cstheme="minorHAnsi"/>
                <w:b/>
                <w:sz w:val="20"/>
                <w:szCs w:val="20"/>
              </w:rPr>
            </w:pPr>
            <w:r w:rsidRPr="00770343">
              <w:rPr>
                <w:rFonts w:cstheme="minorHAnsi"/>
                <w:b/>
                <w:sz w:val="20"/>
                <w:szCs w:val="20"/>
              </w:rPr>
              <w:t>2019</w:t>
            </w:r>
            <w:r w:rsidR="00A65A10" w:rsidRPr="00770343">
              <w:rPr>
                <w:rFonts w:cstheme="minorHAnsi"/>
                <w:b/>
                <w:sz w:val="20"/>
                <w:szCs w:val="20"/>
              </w:rPr>
              <w:t>–</w:t>
            </w:r>
            <w:r w:rsidRPr="00770343">
              <w:rPr>
                <w:rFonts w:cstheme="minorHAnsi"/>
                <w:b/>
                <w:sz w:val="20"/>
                <w:szCs w:val="20"/>
              </w:rPr>
              <w:t>2023</w:t>
            </w:r>
          </w:p>
        </w:tc>
      </w:tr>
      <w:tr w:rsidR="005F11D2" w14:paraId="6EF0EBF8" w14:textId="77777777" w:rsidTr="006164D5">
        <w:tc>
          <w:tcPr>
            <w:tcW w:w="3114" w:type="dxa"/>
          </w:tcPr>
          <w:p w14:paraId="1EEE2B0B" w14:textId="638AE6E9" w:rsidR="005A1019" w:rsidRPr="006164D5" w:rsidRDefault="000918BA" w:rsidP="001665C0">
            <w:pPr>
              <w:widowControl w:val="0"/>
              <w:rPr>
                <w:rFonts w:eastAsia="Calibri" w:cstheme="minorHAnsi"/>
                <w:color w:val="000000"/>
                <w:sz w:val="18"/>
                <w:szCs w:val="18"/>
                <w:lang w:eastAsia="cs-CZ" w:bidi="cs-CZ"/>
              </w:rPr>
            </w:pPr>
            <w:r w:rsidRPr="006164D5">
              <w:rPr>
                <w:rFonts w:eastAsia="Calibri" w:cstheme="minorHAnsi"/>
                <w:color w:val="000000"/>
                <w:sz w:val="18"/>
                <w:szCs w:val="18"/>
                <w:lang w:eastAsia="cs-CZ" w:bidi="cs-CZ"/>
              </w:rPr>
              <w:t>Počet pravomocných rozhodnutí o</w:t>
            </w:r>
            <w:r w:rsidR="00770343">
              <w:rPr>
                <w:rFonts w:eastAsia="Calibri" w:cstheme="minorHAnsi"/>
                <w:color w:val="000000"/>
                <w:sz w:val="18"/>
                <w:szCs w:val="18"/>
                <w:lang w:eastAsia="cs-CZ" w:bidi="cs-CZ"/>
              </w:rPr>
              <w:t> </w:t>
            </w:r>
            <w:r w:rsidRPr="006164D5">
              <w:rPr>
                <w:rFonts w:eastAsia="Calibri" w:cstheme="minorHAnsi"/>
                <w:color w:val="000000"/>
                <w:sz w:val="18"/>
                <w:szCs w:val="18"/>
                <w:lang w:eastAsia="cs-CZ" w:bidi="cs-CZ"/>
              </w:rPr>
              <w:t xml:space="preserve">pokutě </w:t>
            </w:r>
            <w:r w:rsidR="00BC0EBB" w:rsidRPr="006164D5">
              <w:rPr>
                <w:rFonts w:eastAsia="Calibri" w:cstheme="minorHAnsi"/>
                <w:color w:val="000000"/>
                <w:sz w:val="18"/>
                <w:szCs w:val="18"/>
                <w:lang w:eastAsia="cs-CZ" w:bidi="cs-CZ"/>
              </w:rPr>
              <w:t xml:space="preserve">za </w:t>
            </w:r>
            <w:r w:rsidRPr="006164D5">
              <w:rPr>
                <w:rFonts w:eastAsia="Calibri" w:cstheme="minorHAnsi"/>
                <w:color w:val="000000"/>
                <w:sz w:val="18"/>
                <w:szCs w:val="18"/>
                <w:lang w:eastAsia="cs-CZ" w:bidi="cs-CZ"/>
              </w:rPr>
              <w:t>přestup</w:t>
            </w:r>
            <w:r w:rsidR="00BC0EBB" w:rsidRPr="006164D5">
              <w:rPr>
                <w:rFonts w:eastAsia="Calibri" w:cstheme="minorHAnsi"/>
                <w:color w:val="000000"/>
                <w:sz w:val="18"/>
                <w:szCs w:val="18"/>
                <w:lang w:eastAsia="cs-CZ" w:bidi="cs-CZ"/>
              </w:rPr>
              <w:t>e</w:t>
            </w:r>
            <w:r w:rsidRPr="006164D5">
              <w:rPr>
                <w:rFonts w:eastAsia="Calibri" w:cstheme="minorHAnsi"/>
                <w:color w:val="000000"/>
                <w:sz w:val="18"/>
                <w:szCs w:val="18"/>
                <w:lang w:eastAsia="cs-CZ" w:bidi="cs-CZ"/>
              </w:rPr>
              <w:t>k</w:t>
            </w:r>
            <w:r w:rsidR="00BC0EBB" w:rsidRPr="006164D5">
              <w:rPr>
                <w:rFonts w:eastAsia="Calibri" w:cstheme="minorHAnsi"/>
                <w:color w:val="000000"/>
                <w:sz w:val="18"/>
                <w:szCs w:val="18"/>
                <w:lang w:eastAsia="cs-CZ" w:bidi="cs-CZ"/>
              </w:rPr>
              <w:t xml:space="preserve"> dle</w:t>
            </w:r>
            <w:r w:rsidR="00237E97" w:rsidRPr="006164D5">
              <w:rPr>
                <w:rFonts w:eastAsia="Calibri" w:cstheme="minorHAnsi"/>
                <w:color w:val="000000"/>
                <w:sz w:val="18"/>
                <w:szCs w:val="18"/>
                <w:lang w:eastAsia="cs-CZ" w:bidi="cs-CZ"/>
              </w:rPr>
              <w:t xml:space="preserve"> §</w:t>
            </w:r>
            <w:r w:rsidR="009774BA">
              <w:rPr>
                <w:rFonts w:eastAsia="Calibri" w:cstheme="minorHAnsi"/>
                <w:color w:val="000000"/>
                <w:sz w:val="18"/>
                <w:szCs w:val="18"/>
                <w:lang w:eastAsia="cs-CZ" w:bidi="cs-CZ"/>
              </w:rPr>
              <w:t> </w:t>
            </w:r>
            <w:r w:rsidR="00237E97" w:rsidRPr="006164D5">
              <w:rPr>
                <w:rFonts w:eastAsia="Calibri" w:cstheme="minorHAnsi"/>
                <w:color w:val="000000"/>
                <w:sz w:val="18"/>
                <w:szCs w:val="18"/>
                <w:lang w:eastAsia="cs-CZ" w:bidi="cs-CZ"/>
              </w:rPr>
              <w:t>140</w:t>
            </w:r>
            <w:r w:rsidR="009774BA">
              <w:rPr>
                <w:rFonts w:eastAsia="Calibri" w:cstheme="minorHAnsi"/>
                <w:color w:val="000000"/>
                <w:sz w:val="18"/>
                <w:szCs w:val="18"/>
                <w:lang w:eastAsia="cs-CZ" w:bidi="cs-CZ"/>
              </w:rPr>
              <w:t> </w:t>
            </w:r>
            <w:r w:rsidR="00237E97" w:rsidRPr="006164D5">
              <w:rPr>
                <w:rFonts w:eastAsia="Calibri" w:cstheme="minorHAnsi"/>
                <w:color w:val="000000"/>
                <w:sz w:val="18"/>
                <w:szCs w:val="18"/>
                <w:lang w:eastAsia="cs-CZ" w:bidi="cs-CZ"/>
              </w:rPr>
              <w:t>odst.</w:t>
            </w:r>
            <w:r w:rsidR="00BC0EBB" w:rsidRPr="006164D5">
              <w:rPr>
                <w:rFonts w:eastAsia="Calibri" w:cstheme="minorHAnsi"/>
                <w:color w:val="000000"/>
                <w:sz w:val="18"/>
                <w:szCs w:val="18"/>
                <w:lang w:eastAsia="cs-CZ" w:bidi="cs-CZ"/>
              </w:rPr>
              <w:t> </w:t>
            </w:r>
            <w:r w:rsidR="00237E97" w:rsidRPr="006164D5">
              <w:rPr>
                <w:rFonts w:eastAsia="Calibri" w:cstheme="minorHAnsi"/>
                <w:color w:val="000000"/>
                <w:sz w:val="18"/>
                <w:szCs w:val="18"/>
                <w:lang w:eastAsia="cs-CZ" w:bidi="cs-CZ"/>
              </w:rPr>
              <w:t>1</w:t>
            </w:r>
            <w:r w:rsidR="00BC0EBB" w:rsidRPr="006164D5">
              <w:rPr>
                <w:rFonts w:eastAsia="Calibri" w:cstheme="minorHAnsi"/>
                <w:color w:val="000000"/>
                <w:sz w:val="18"/>
                <w:szCs w:val="18"/>
                <w:lang w:eastAsia="cs-CZ" w:bidi="cs-CZ"/>
              </w:rPr>
              <w:t> </w:t>
            </w:r>
            <w:r w:rsidR="00237E97" w:rsidRPr="006164D5">
              <w:rPr>
                <w:rFonts w:eastAsia="Calibri" w:cstheme="minorHAnsi"/>
                <w:color w:val="000000"/>
                <w:sz w:val="18"/>
                <w:szCs w:val="18"/>
                <w:lang w:eastAsia="cs-CZ" w:bidi="cs-CZ"/>
              </w:rPr>
              <w:t>písm. e) zákona</w:t>
            </w:r>
            <w:r w:rsidR="009774BA">
              <w:rPr>
                <w:rFonts w:eastAsia="Calibri" w:cstheme="minorHAnsi"/>
                <w:color w:val="000000"/>
                <w:sz w:val="18"/>
                <w:szCs w:val="18"/>
                <w:lang w:eastAsia="cs-CZ" w:bidi="cs-CZ"/>
              </w:rPr>
              <w:t> </w:t>
            </w:r>
            <w:r w:rsidR="00237E97" w:rsidRPr="006164D5">
              <w:rPr>
                <w:rFonts w:eastAsia="Calibri" w:cstheme="minorHAnsi"/>
                <w:color w:val="000000"/>
                <w:sz w:val="18"/>
                <w:szCs w:val="18"/>
                <w:lang w:eastAsia="cs-CZ" w:bidi="cs-CZ"/>
              </w:rPr>
              <w:t>o</w:t>
            </w:r>
            <w:r w:rsidR="00BC0EBB" w:rsidRPr="006164D5">
              <w:rPr>
                <w:rFonts w:eastAsia="Calibri" w:cstheme="minorHAnsi"/>
                <w:color w:val="000000"/>
                <w:sz w:val="18"/>
                <w:szCs w:val="18"/>
                <w:lang w:eastAsia="cs-CZ" w:bidi="cs-CZ"/>
              </w:rPr>
              <w:t> </w:t>
            </w:r>
            <w:r w:rsidR="00237E97" w:rsidRPr="006164D5">
              <w:rPr>
                <w:rFonts w:eastAsia="Calibri" w:cstheme="minorHAnsi"/>
                <w:color w:val="000000"/>
                <w:sz w:val="18"/>
                <w:szCs w:val="18"/>
                <w:lang w:eastAsia="cs-CZ" w:bidi="cs-CZ"/>
              </w:rPr>
              <w:t>zaměstnanosti</w:t>
            </w:r>
          </w:p>
        </w:tc>
        <w:tc>
          <w:tcPr>
            <w:tcW w:w="963" w:type="dxa"/>
          </w:tcPr>
          <w:p w14:paraId="31F60031" w14:textId="77777777" w:rsidR="005A1019" w:rsidRPr="006164D5" w:rsidRDefault="00237E97" w:rsidP="001665C0">
            <w:pPr>
              <w:jc w:val="right"/>
              <w:rPr>
                <w:rFonts w:cstheme="minorHAnsi"/>
                <w:sz w:val="18"/>
                <w:szCs w:val="18"/>
              </w:rPr>
            </w:pPr>
            <w:r w:rsidRPr="006164D5">
              <w:rPr>
                <w:rFonts w:cstheme="minorHAnsi"/>
                <w:sz w:val="18"/>
                <w:szCs w:val="18"/>
              </w:rPr>
              <w:t>13</w:t>
            </w:r>
          </w:p>
        </w:tc>
        <w:tc>
          <w:tcPr>
            <w:tcW w:w="964" w:type="dxa"/>
          </w:tcPr>
          <w:p w14:paraId="45721E4F" w14:textId="77777777" w:rsidR="005A1019" w:rsidRPr="006164D5" w:rsidRDefault="00237E97" w:rsidP="001665C0">
            <w:pPr>
              <w:jc w:val="right"/>
              <w:rPr>
                <w:rFonts w:cstheme="minorHAnsi"/>
                <w:sz w:val="18"/>
                <w:szCs w:val="18"/>
              </w:rPr>
            </w:pPr>
            <w:r w:rsidRPr="006164D5">
              <w:rPr>
                <w:rFonts w:cstheme="minorHAnsi"/>
                <w:sz w:val="18"/>
                <w:szCs w:val="18"/>
              </w:rPr>
              <w:t>13</w:t>
            </w:r>
          </w:p>
        </w:tc>
        <w:tc>
          <w:tcPr>
            <w:tcW w:w="964" w:type="dxa"/>
          </w:tcPr>
          <w:p w14:paraId="4601939E" w14:textId="77777777" w:rsidR="005A1019" w:rsidRPr="006164D5" w:rsidRDefault="00237E97" w:rsidP="001665C0">
            <w:pPr>
              <w:jc w:val="right"/>
              <w:rPr>
                <w:rFonts w:cstheme="minorHAnsi"/>
                <w:sz w:val="18"/>
                <w:szCs w:val="18"/>
              </w:rPr>
            </w:pPr>
            <w:r w:rsidRPr="006164D5">
              <w:rPr>
                <w:rFonts w:cstheme="minorHAnsi"/>
                <w:sz w:val="18"/>
                <w:szCs w:val="18"/>
              </w:rPr>
              <w:t>15</w:t>
            </w:r>
          </w:p>
        </w:tc>
        <w:tc>
          <w:tcPr>
            <w:tcW w:w="964" w:type="dxa"/>
          </w:tcPr>
          <w:p w14:paraId="4588E2D9" w14:textId="77777777" w:rsidR="005A1019" w:rsidRPr="006164D5" w:rsidRDefault="00237E97" w:rsidP="001665C0">
            <w:pPr>
              <w:jc w:val="right"/>
              <w:rPr>
                <w:rFonts w:cstheme="minorHAnsi"/>
                <w:sz w:val="18"/>
                <w:szCs w:val="18"/>
              </w:rPr>
            </w:pPr>
            <w:r w:rsidRPr="006164D5">
              <w:rPr>
                <w:rFonts w:cstheme="minorHAnsi"/>
                <w:sz w:val="18"/>
                <w:szCs w:val="18"/>
              </w:rPr>
              <w:t>23</w:t>
            </w:r>
          </w:p>
        </w:tc>
        <w:tc>
          <w:tcPr>
            <w:tcW w:w="964" w:type="dxa"/>
          </w:tcPr>
          <w:p w14:paraId="2F737F7E" w14:textId="77777777" w:rsidR="005A1019" w:rsidRPr="006164D5" w:rsidRDefault="00237E97" w:rsidP="001665C0">
            <w:pPr>
              <w:jc w:val="right"/>
              <w:rPr>
                <w:rFonts w:cstheme="minorHAnsi"/>
                <w:sz w:val="18"/>
                <w:szCs w:val="18"/>
              </w:rPr>
            </w:pPr>
            <w:r w:rsidRPr="006164D5">
              <w:rPr>
                <w:rFonts w:cstheme="minorHAnsi"/>
                <w:sz w:val="18"/>
                <w:szCs w:val="18"/>
              </w:rPr>
              <w:t>29</w:t>
            </w:r>
          </w:p>
        </w:tc>
        <w:tc>
          <w:tcPr>
            <w:tcW w:w="1129" w:type="dxa"/>
          </w:tcPr>
          <w:p w14:paraId="7CEEC462" w14:textId="77777777" w:rsidR="005A1019" w:rsidRPr="006164D5" w:rsidRDefault="00237E97" w:rsidP="001665C0">
            <w:pPr>
              <w:jc w:val="right"/>
              <w:rPr>
                <w:rFonts w:cstheme="minorHAnsi"/>
                <w:sz w:val="18"/>
                <w:szCs w:val="18"/>
              </w:rPr>
            </w:pPr>
            <w:r w:rsidRPr="006164D5">
              <w:rPr>
                <w:rFonts w:cstheme="minorHAnsi"/>
                <w:sz w:val="18"/>
                <w:szCs w:val="18"/>
              </w:rPr>
              <w:t>93</w:t>
            </w:r>
          </w:p>
        </w:tc>
      </w:tr>
      <w:tr w:rsidR="005F11D2" w14:paraId="730350F7" w14:textId="77777777" w:rsidTr="006164D5">
        <w:tc>
          <w:tcPr>
            <w:tcW w:w="3114" w:type="dxa"/>
          </w:tcPr>
          <w:p w14:paraId="2B99796A" w14:textId="77777777" w:rsidR="005A1019" w:rsidRPr="006164D5" w:rsidRDefault="00237E97" w:rsidP="001665C0">
            <w:pPr>
              <w:widowControl w:val="0"/>
              <w:rPr>
                <w:rFonts w:eastAsia="Calibri" w:cstheme="minorHAnsi"/>
                <w:bCs/>
                <w:color w:val="000000"/>
                <w:sz w:val="18"/>
                <w:szCs w:val="18"/>
                <w:lang w:eastAsia="cs-CZ" w:bidi="cs-CZ"/>
              </w:rPr>
            </w:pPr>
            <w:r w:rsidRPr="006164D5">
              <w:rPr>
                <w:rFonts w:eastAsia="Calibri" w:cstheme="minorHAnsi"/>
                <w:bCs/>
                <w:color w:val="000000"/>
                <w:sz w:val="18"/>
                <w:szCs w:val="18"/>
                <w:lang w:eastAsia="cs-CZ" w:bidi="cs-CZ"/>
              </w:rPr>
              <w:t>Minimální hrubá mzda</w:t>
            </w:r>
            <w:r w:rsidR="00456C9F" w:rsidRPr="006164D5">
              <w:rPr>
                <w:rFonts w:eastAsia="Calibri" w:cstheme="minorHAnsi"/>
                <w:bCs/>
                <w:color w:val="000000"/>
                <w:sz w:val="18"/>
                <w:szCs w:val="18"/>
                <w:lang w:eastAsia="cs-CZ" w:bidi="cs-CZ"/>
              </w:rPr>
              <w:t xml:space="preserve"> v Kč</w:t>
            </w:r>
            <w:r w:rsidRPr="006164D5">
              <w:rPr>
                <w:rFonts w:eastAsia="Calibri" w:cstheme="minorHAnsi"/>
                <w:bCs/>
                <w:color w:val="000000"/>
                <w:sz w:val="18"/>
                <w:szCs w:val="18"/>
                <w:lang w:eastAsia="cs-CZ" w:bidi="cs-CZ"/>
              </w:rPr>
              <w:t xml:space="preserve"> – měsíční</w:t>
            </w:r>
          </w:p>
        </w:tc>
        <w:tc>
          <w:tcPr>
            <w:tcW w:w="963" w:type="dxa"/>
          </w:tcPr>
          <w:p w14:paraId="39D395C6" w14:textId="77777777" w:rsidR="005A1019" w:rsidRPr="006164D5" w:rsidRDefault="00237E97" w:rsidP="001665C0">
            <w:pPr>
              <w:jc w:val="right"/>
              <w:rPr>
                <w:rFonts w:cstheme="minorHAnsi"/>
                <w:sz w:val="18"/>
                <w:szCs w:val="18"/>
              </w:rPr>
            </w:pPr>
            <w:r w:rsidRPr="006164D5">
              <w:rPr>
                <w:rFonts w:cstheme="minorHAnsi"/>
                <w:sz w:val="18"/>
                <w:szCs w:val="18"/>
              </w:rPr>
              <w:t>13 350</w:t>
            </w:r>
          </w:p>
        </w:tc>
        <w:tc>
          <w:tcPr>
            <w:tcW w:w="964" w:type="dxa"/>
          </w:tcPr>
          <w:p w14:paraId="0525A49A" w14:textId="77777777" w:rsidR="005A1019" w:rsidRPr="006164D5" w:rsidRDefault="00237E97" w:rsidP="001665C0">
            <w:pPr>
              <w:jc w:val="right"/>
              <w:rPr>
                <w:rFonts w:cstheme="minorHAnsi"/>
                <w:sz w:val="18"/>
                <w:szCs w:val="18"/>
              </w:rPr>
            </w:pPr>
            <w:r w:rsidRPr="006164D5">
              <w:rPr>
                <w:rFonts w:cstheme="minorHAnsi"/>
                <w:sz w:val="18"/>
                <w:szCs w:val="18"/>
              </w:rPr>
              <w:t>14 600</w:t>
            </w:r>
          </w:p>
        </w:tc>
        <w:tc>
          <w:tcPr>
            <w:tcW w:w="964" w:type="dxa"/>
          </w:tcPr>
          <w:p w14:paraId="102848FE" w14:textId="77777777" w:rsidR="005A1019" w:rsidRPr="006164D5" w:rsidRDefault="00237E97" w:rsidP="001665C0">
            <w:pPr>
              <w:jc w:val="right"/>
              <w:rPr>
                <w:rFonts w:cstheme="minorHAnsi"/>
                <w:sz w:val="18"/>
                <w:szCs w:val="18"/>
              </w:rPr>
            </w:pPr>
            <w:r w:rsidRPr="006164D5">
              <w:rPr>
                <w:rFonts w:cstheme="minorHAnsi"/>
                <w:sz w:val="18"/>
                <w:szCs w:val="18"/>
              </w:rPr>
              <w:t>15 200</w:t>
            </w:r>
          </w:p>
        </w:tc>
        <w:tc>
          <w:tcPr>
            <w:tcW w:w="964" w:type="dxa"/>
          </w:tcPr>
          <w:p w14:paraId="7484EFB8" w14:textId="77777777" w:rsidR="005A1019" w:rsidRPr="006164D5" w:rsidRDefault="00237E97" w:rsidP="001665C0">
            <w:pPr>
              <w:jc w:val="right"/>
              <w:rPr>
                <w:rFonts w:cstheme="minorHAnsi"/>
                <w:sz w:val="18"/>
                <w:szCs w:val="18"/>
              </w:rPr>
            </w:pPr>
            <w:r w:rsidRPr="006164D5">
              <w:rPr>
                <w:rFonts w:cstheme="minorHAnsi"/>
                <w:sz w:val="18"/>
                <w:szCs w:val="18"/>
              </w:rPr>
              <w:t>16 200</w:t>
            </w:r>
          </w:p>
        </w:tc>
        <w:tc>
          <w:tcPr>
            <w:tcW w:w="964" w:type="dxa"/>
          </w:tcPr>
          <w:p w14:paraId="2AED4F92" w14:textId="77777777" w:rsidR="005A1019" w:rsidRPr="006164D5" w:rsidRDefault="00237E97" w:rsidP="001665C0">
            <w:pPr>
              <w:jc w:val="right"/>
              <w:rPr>
                <w:rFonts w:cstheme="minorHAnsi"/>
                <w:sz w:val="18"/>
                <w:szCs w:val="18"/>
              </w:rPr>
            </w:pPr>
            <w:r w:rsidRPr="006164D5">
              <w:rPr>
                <w:rFonts w:cstheme="minorHAnsi"/>
                <w:sz w:val="18"/>
                <w:szCs w:val="18"/>
              </w:rPr>
              <w:t>17 300</w:t>
            </w:r>
          </w:p>
        </w:tc>
        <w:tc>
          <w:tcPr>
            <w:tcW w:w="1129" w:type="dxa"/>
          </w:tcPr>
          <w:p w14:paraId="6D1252E7" w14:textId="77777777" w:rsidR="005A1019" w:rsidRPr="006164D5" w:rsidRDefault="0024646C" w:rsidP="001665C0">
            <w:pPr>
              <w:jc w:val="right"/>
              <w:rPr>
                <w:rFonts w:cstheme="minorHAnsi"/>
                <w:sz w:val="18"/>
                <w:szCs w:val="18"/>
              </w:rPr>
            </w:pPr>
            <w:r w:rsidRPr="006164D5">
              <w:rPr>
                <w:rFonts w:cstheme="minorHAnsi"/>
                <w:sz w:val="18"/>
                <w:szCs w:val="18"/>
              </w:rPr>
              <w:t>x</w:t>
            </w:r>
          </w:p>
        </w:tc>
      </w:tr>
      <w:tr w:rsidR="005F11D2" w14:paraId="3FE3228B" w14:textId="77777777" w:rsidTr="006164D5">
        <w:tc>
          <w:tcPr>
            <w:tcW w:w="3114" w:type="dxa"/>
          </w:tcPr>
          <w:p w14:paraId="6146070B" w14:textId="77777777" w:rsidR="005A1019" w:rsidRPr="006164D5" w:rsidRDefault="00237E97" w:rsidP="001665C0">
            <w:pPr>
              <w:widowControl w:val="0"/>
              <w:rPr>
                <w:rFonts w:eastAsia="Calibri" w:cstheme="minorHAnsi"/>
                <w:bCs/>
                <w:color w:val="000000"/>
                <w:sz w:val="18"/>
                <w:szCs w:val="18"/>
                <w:lang w:eastAsia="cs-CZ" w:bidi="cs-CZ"/>
              </w:rPr>
            </w:pPr>
            <w:r w:rsidRPr="006164D5">
              <w:rPr>
                <w:rFonts w:eastAsia="Calibri" w:cstheme="minorHAnsi"/>
                <w:bCs/>
                <w:color w:val="000000"/>
                <w:sz w:val="18"/>
                <w:szCs w:val="18"/>
                <w:lang w:eastAsia="cs-CZ" w:bidi="cs-CZ"/>
              </w:rPr>
              <w:t>Minimální hrubá mzda</w:t>
            </w:r>
            <w:r w:rsidR="00456C9F" w:rsidRPr="006164D5">
              <w:rPr>
                <w:rFonts w:eastAsia="Calibri" w:cstheme="minorHAnsi"/>
                <w:bCs/>
                <w:color w:val="000000"/>
                <w:sz w:val="18"/>
                <w:szCs w:val="18"/>
                <w:lang w:eastAsia="cs-CZ" w:bidi="cs-CZ"/>
              </w:rPr>
              <w:t xml:space="preserve"> v Kč</w:t>
            </w:r>
            <w:r w:rsidRPr="006164D5">
              <w:rPr>
                <w:rFonts w:eastAsia="Calibri" w:cstheme="minorHAnsi"/>
                <w:bCs/>
                <w:color w:val="000000"/>
                <w:sz w:val="18"/>
                <w:szCs w:val="18"/>
                <w:lang w:eastAsia="cs-CZ" w:bidi="cs-CZ"/>
              </w:rPr>
              <w:t xml:space="preserve"> – za tři měsíce</w:t>
            </w:r>
          </w:p>
        </w:tc>
        <w:tc>
          <w:tcPr>
            <w:tcW w:w="963" w:type="dxa"/>
          </w:tcPr>
          <w:p w14:paraId="56891FD0" w14:textId="77777777" w:rsidR="005A1019" w:rsidRPr="006164D5" w:rsidRDefault="00237E97" w:rsidP="001665C0">
            <w:pPr>
              <w:jc w:val="right"/>
              <w:rPr>
                <w:rFonts w:cstheme="minorHAnsi"/>
                <w:sz w:val="18"/>
                <w:szCs w:val="18"/>
              </w:rPr>
            </w:pPr>
            <w:r w:rsidRPr="006164D5">
              <w:rPr>
                <w:rFonts w:cstheme="minorHAnsi"/>
                <w:sz w:val="18"/>
                <w:szCs w:val="18"/>
              </w:rPr>
              <w:t>40 050</w:t>
            </w:r>
          </w:p>
        </w:tc>
        <w:tc>
          <w:tcPr>
            <w:tcW w:w="964" w:type="dxa"/>
          </w:tcPr>
          <w:p w14:paraId="65966133" w14:textId="77777777" w:rsidR="005A1019" w:rsidRPr="006164D5" w:rsidRDefault="00237E97" w:rsidP="001665C0">
            <w:pPr>
              <w:jc w:val="right"/>
              <w:rPr>
                <w:rFonts w:cstheme="minorHAnsi"/>
                <w:sz w:val="18"/>
                <w:szCs w:val="18"/>
              </w:rPr>
            </w:pPr>
            <w:r w:rsidRPr="006164D5">
              <w:rPr>
                <w:rFonts w:cstheme="minorHAnsi"/>
                <w:sz w:val="18"/>
                <w:szCs w:val="18"/>
              </w:rPr>
              <w:t>43 800</w:t>
            </w:r>
          </w:p>
        </w:tc>
        <w:tc>
          <w:tcPr>
            <w:tcW w:w="964" w:type="dxa"/>
          </w:tcPr>
          <w:p w14:paraId="551BDE48" w14:textId="77777777" w:rsidR="005A1019" w:rsidRPr="006164D5" w:rsidRDefault="00237E97" w:rsidP="001665C0">
            <w:pPr>
              <w:jc w:val="right"/>
              <w:rPr>
                <w:rFonts w:cstheme="minorHAnsi"/>
                <w:sz w:val="18"/>
                <w:szCs w:val="18"/>
              </w:rPr>
            </w:pPr>
            <w:r w:rsidRPr="006164D5">
              <w:rPr>
                <w:rFonts w:cstheme="minorHAnsi"/>
                <w:sz w:val="18"/>
                <w:szCs w:val="18"/>
              </w:rPr>
              <w:t>45 600</w:t>
            </w:r>
          </w:p>
        </w:tc>
        <w:tc>
          <w:tcPr>
            <w:tcW w:w="964" w:type="dxa"/>
          </w:tcPr>
          <w:p w14:paraId="292B5A8E" w14:textId="77777777" w:rsidR="005A1019" w:rsidRPr="006164D5" w:rsidRDefault="00237E97" w:rsidP="001665C0">
            <w:pPr>
              <w:jc w:val="right"/>
              <w:rPr>
                <w:rFonts w:cstheme="minorHAnsi"/>
                <w:sz w:val="18"/>
                <w:szCs w:val="18"/>
              </w:rPr>
            </w:pPr>
            <w:r w:rsidRPr="006164D5">
              <w:rPr>
                <w:rFonts w:cstheme="minorHAnsi"/>
                <w:sz w:val="18"/>
                <w:szCs w:val="18"/>
              </w:rPr>
              <w:t>48 600</w:t>
            </w:r>
          </w:p>
        </w:tc>
        <w:tc>
          <w:tcPr>
            <w:tcW w:w="964" w:type="dxa"/>
          </w:tcPr>
          <w:p w14:paraId="7F3DD0B9" w14:textId="77777777" w:rsidR="005A1019" w:rsidRPr="006164D5" w:rsidRDefault="00237E97" w:rsidP="001665C0">
            <w:pPr>
              <w:jc w:val="right"/>
              <w:rPr>
                <w:rFonts w:cstheme="minorHAnsi"/>
                <w:sz w:val="18"/>
                <w:szCs w:val="18"/>
              </w:rPr>
            </w:pPr>
            <w:r w:rsidRPr="006164D5">
              <w:rPr>
                <w:rFonts w:cstheme="minorHAnsi"/>
                <w:sz w:val="18"/>
                <w:szCs w:val="18"/>
              </w:rPr>
              <w:t>51 900</w:t>
            </w:r>
          </w:p>
        </w:tc>
        <w:tc>
          <w:tcPr>
            <w:tcW w:w="1129" w:type="dxa"/>
          </w:tcPr>
          <w:p w14:paraId="017D52EE" w14:textId="77777777" w:rsidR="005A1019" w:rsidRPr="006164D5" w:rsidRDefault="0024646C" w:rsidP="001665C0">
            <w:pPr>
              <w:jc w:val="right"/>
              <w:rPr>
                <w:rFonts w:cstheme="minorHAnsi"/>
                <w:sz w:val="18"/>
                <w:szCs w:val="18"/>
              </w:rPr>
            </w:pPr>
            <w:r w:rsidRPr="006164D5">
              <w:rPr>
                <w:rFonts w:cstheme="minorHAnsi"/>
                <w:sz w:val="18"/>
                <w:szCs w:val="18"/>
              </w:rPr>
              <w:t>x</w:t>
            </w:r>
          </w:p>
        </w:tc>
      </w:tr>
      <w:tr w:rsidR="005F11D2" w14:paraId="6D4F988C" w14:textId="77777777" w:rsidTr="006164D5">
        <w:tc>
          <w:tcPr>
            <w:tcW w:w="3114" w:type="dxa"/>
          </w:tcPr>
          <w:p w14:paraId="07B0FD2D" w14:textId="77777777" w:rsidR="005A1019" w:rsidRPr="006164D5" w:rsidRDefault="00237E97" w:rsidP="00770343">
            <w:pPr>
              <w:widowControl w:val="0"/>
              <w:rPr>
                <w:rFonts w:eastAsia="Calibri" w:cstheme="minorHAnsi"/>
                <w:bCs/>
                <w:color w:val="000000"/>
                <w:sz w:val="18"/>
                <w:szCs w:val="18"/>
                <w:lang w:eastAsia="cs-CZ" w:bidi="cs-CZ"/>
              </w:rPr>
            </w:pPr>
            <w:r w:rsidRPr="006164D5">
              <w:rPr>
                <w:rFonts w:eastAsia="Calibri" w:cstheme="minorHAnsi"/>
                <w:bCs/>
                <w:color w:val="000000"/>
                <w:sz w:val="18"/>
                <w:szCs w:val="18"/>
                <w:lang w:eastAsia="cs-CZ" w:bidi="cs-CZ"/>
              </w:rPr>
              <w:t xml:space="preserve">Pojistné na sociální zabezpečení </w:t>
            </w:r>
            <w:r w:rsidR="00456C9F" w:rsidRPr="006164D5">
              <w:rPr>
                <w:rFonts w:eastAsia="Calibri" w:cstheme="minorHAnsi"/>
                <w:bCs/>
                <w:color w:val="000000"/>
                <w:sz w:val="18"/>
                <w:szCs w:val="18"/>
                <w:lang w:eastAsia="cs-CZ" w:bidi="cs-CZ"/>
              </w:rPr>
              <w:t>v </w:t>
            </w:r>
            <w:r w:rsidR="006127EC" w:rsidRPr="006164D5">
              <w:rPr>
                <w:rFonts w:eastAsia="Calibri" w:cstheme="minorHAnsi"/>
                <w:bCs/>
                <w:color w:val="000000"/>
                <w:sz w:val="18"/>
                <w:szCs w:val="18"/>
                <w:lang w:eastAsia="cs-CZ" w:bidi="cs-CZ"/>
              </w:rPr>
              <w:t>K</w:t>
            </w:r>
            <w:r w:rsidR="00456C9F" w:rsidRPr="006164D5">
              <w:rPr>
                <w:rFonts w:eastAsia="Calibri" w:cstheme="minorHAnsi"/>
                <w:bCs/>
                <w:color w:val="000000"/>
                <w:sz w:val="18"/>
                <w:szCs w:val="18"/>
                <w:lang w:eastAsia="cs-CZ" w:bidi="cs-CZ"/>
              </w:rPr>
              <w:t xml:space="preserve">č </w:t>
            </w:r>
            <w:r w:rsidRPr="006164D5">
              <w:rPr>
                <w:rFonts w:eastAsia="Calibri" w:cstheme="minorHAnsi"/>
                <w:bCs/>
                <w:color w:val="000000"/>
                <w:sz w:val="18"/>
                <w:szCs w:val="18"/>
                <w:lang w:eastAsia="cs-CZ" w:bidi="cs-CZ"/>
              </w:rPr>
              <w:t>– za tři měsíce</w:t>
            </w:r>
          </w:p>
        </w:tc>
        <w:tc>
          <w:tcPr>
            <w:tcW w:w="963" w:type="dxa"/>
          </w:tcPr>
          <w:p w14:paraId="2BED5BA6" w14:textId="3FD56975" w:rsidR="005A1019" w:rsidRPr="006164D5" w:rsidRDefault="00237E97" w:rsidP="001665C0">
            <w:pPr>
              <w:jc w:val="right"/>
              <w:rPr>
                <w:rFonts w:cstheme="minorHAnsi"/>
                <w:sz w:val="18"/>
                <w:szCs w:val="18"/>
              </w:rPr>
            </w:pPr>
            <w:r w:rsidRPr="006164D5">
              <w:rPr>
                <w:rFonts w:cstheme="minorHAnsi"/>
                <w:sz w:val="18"/>
                <w:szCs w:val="18"/>
              </w:rPr>
              <w:t>12 57</w:t>
            </w:r>
            <w:r w:rsidR="0027557B" w:rsidRPr="006164D5">
              <w:rPr>
                <w:rFonts w:cstheme="minorHAnsi"/>
                <w:sz w:val="18"/>
                <w:szCs w:val="18"/>
              </w:rPr>
              <w:t>7</w:t>
            </w:r>
          </w:p>
        </w:tc>
        <w:tc>
          <w:tcPr>
            <w:tcW w:w="964" w:type="dxa"/>
          </w:tcPr>
          <w:p w14:paraId="4BE1C0E7" w14:textId="77777777" w:rsidR="005A1019" w:rsidRPr="006164D5" w:rsidRDefault="00237E97" w:rsidP="001665C0">
            <w:pPr>
              <w:jc w:val="right"/>
              <w:rPr>
                <w:rFonts w:cstheme="minorHAnsi"/>
                <w:sz w:val="18"/>
                <w:szCs w:val="18"/>
              </w:rPr>
            </w:pPr>
            <w:r w:rsidRPr="006164D5">
              <w:rPr>
                <w:rFonts w:cstheme="minorHAnsi"/>
                <w:sz w:val="18"/>
                <w:szCs w:val="18"/>
              </w:rPr>
              <w:t>13 709</w:t>
            </w:r>
          </w:p>
        </w:tc>
        <w:tc>
          <w:tcPr>
            <w:tcW w:w="964" w:type="dxa"/>
          </w:tcPr>
          <w:p w14:paraId="2EB23057" w14:textId="77777777" w:rsidR="005A1019" w:rsidRPr="006164D5" w:rsidRDefault="00237E97" w:rsidP="001665C0">
            <w:pPr>
              <w:jc w:val="right"/>
              <w:rPr>
                <w:rFonts w:cstheme="minorHAnsi"/>
                <w:sz w:val="18"/>
                <w:szCs w:val="18"/>
              </w:rPr>
            </w:pPr>
            <w:r w:rsidRPr="006164D5">
              <w:rPr>
                <w:rFonts w:cstheme="minorHAnsi"/>
                <w:sz w:val="18"/>
                <w:szCs w:val="18"/>
              </w:rPr>
              <w:t>14 273</w:t>
            </w:r>
          </w:p>
        </w:tc>
        <w:tc>
          <w:tcPr>
            <w:tcW w:w="964" w:type="dxa"/>
          </w:tcPr>
          <w:p w14:paraId="04F54BF5" w14:textId="77777777" w:rsidR="005A1019" w:rsidRPr="006164D5" w:rsidRDefault="00237E97" w:rsidP="001665C0">
            <w:pPr>
              <w:jc w:val="right"/>
              <w:rPr>
                <w:rFonts w:cstheme="minorHAnsi"/>
                <w:sz w:val="18"/>
                <w:szCs w:val="18"/>
              </w:rPr>
            </w:pPr>
            <w:r w:rsidRPr="006164D5">
              <w:rPr>
                <w:rFonts w:cstheme="minorHAnsi"/>
                <w:sz w:val="18"/>
                <w:szCs w:val="18"/>
              </w:rPr>
              <w:t>15 212</w:t>
            </w:r>
          </w:p>
        </w:tc>
        <w:tc>
          <w:tcPr>
            <w:tcW w:w="964" w:type="dxa"/>
          </w:tcPr>
          <w:p w14:paraId="516F9B05" w14:textId="77777777" w:rsidR="005A1019" w:rsidRPr="006164D5" w:rsidRDefault="00237E97" w:rsidP="001665C0">
            <w:pPr>
              <w:jc w:val="right"/>
              <w:rPr>
                <w:rFonts w:cstheme="minorHAnsi"/>
                <w:sz w:val="18"/>
                <w:szCs w:val="18"/>
              </w:rPr>
            </w:pPr>
            <w:r w:rsidRPr="006164D5">
              <w:rPr>
                <w:rFonts w:cstheme="minorHAnsi"/>
                <w:sz w:val="18"/>
                <w:szCs w:val="18"/>
              </w:rPr>
              <w:t>16 245</w:t>
            </w:r>
          </w:p>
        </w:tc>
        <w:tc>
          <w:tcPr>
            <w:tcW w:w="1129" w:type="dxa"/>
          </w:tcPr>
          <w:p w14:paraId="419ADE51" w14:textId="77777777" w:rsidR="005A1019" w:rsidRPr="006164D5" w:rsidRDefault="0024646C" w:rsidP="001665C0">
            <w:pPr>
              <w:jc w:val="right"/>
              <w:rPr>
                <w:rFonts w:cstheme="minorHAnsi"/>
                <w:sz w:val="18"/>
                <w:szCs w:val="18"/>
              </w:rPr>
            </w:pPr>
            <w:r w:rsidRPr="006164D5">
              <w:rPr>
                <w:rFonts w:cstheme="minorHAnsi"/>
                <w:sz w:val="18"/>
                <w:szCs w:val="18"/>
              </w:rPr>
              <w:t>x</w:t>
            </w:r>
          </w:p>
        </w:tc>
      </w:tr>
      <w:tr w:rsidR="005F11D2" w14:paraId="49F7E3FE" w14:textId="77777777" w:rsidTr="006164D5">
        <w:tc>
          <w:tcPr>
            <w:tcW w:w="3114" w:type="dxa"/>
          </w:tcPr>
          <w:p w14:paraId="219C2BDF" w14:textId="62C95A20" w:rsidR="005A1019" w:rsidRPr="006164D5" w:rsidRDefault="00CF394D" w:rsidP="00770343">
            <w:pPr>
              <w:widowControl w:val="0"/>
              <w:rPr>
                <w:rFonts w:eastAsia="Calibri" w:cstheme="minorHAnsi"/>
                <w:bCs/>
                <w:color w:val="000000"/>
                <w:sz w:val="18"/>
                <w:szCs w:val="18"/>
                <w:lang w:eastAsia="cs-CZ" w:bidi="cs-CZ"/>
              </w:rPr>
            </w:pPr>
            <w:r w:rsidRPr="006164D5">
              <w:rPr>
                <w:rFonts w:eastAsia="Calibri" w:cstheme="minorHAnsi"/>
                <w:bCs/>
                <w:color w:val="000000"/>
                <w:sz w:val="18"/>
                <w:szCs w:val="18"/>
                <w:lang w:eastAsia="cs-CZ" w:bidi="cs-CZ"/>
              </w:rPr>
              <w:t xml:space="preserve">Veřejné </w:t>
            </w:r>
            <w:r w:rsidR="00BC0EBB" w:rsidRPr="006164D5">
              <w:rPr>
                <w:rFonts w:eastAsia="Calibri" w:cstheme="minorHAnsi"/>
                <w:bCs/>
                <w:color w:val="000000"/>
                <w:sz w:val="18"/>
                <w:szCs w:val="18"/>
                <w:lang w:eastAsia="cs-CZ" w:bidi="cs-CZ"/>
              </w:rPr>
              <w:t>z</w:t>
            </w:r>
            <w:r w:rsidR="003D37B7" w:rsidRPr="006164D5">
              <w:rPr>
                <w:rFonts w:eastAsia="Calibri" w:cstheme="minorHAnsi"/>
                <w:bCs/>
                <w:color w:val="000000"/>
                <w:sz w:val="18"/>
                <w:szCs w:val="18"/>
                <w:lang w:eastAsia="cs-CZ" w:bidi="cs-CZ"/>
              </w:rPr>
              <w:t xml:space="preserve">dravotní pojištění </w:t>
            </w:r>
            <w:r w:rsidR="00456C9F" w:rsidRPr="006164D5">
              <w:rPr>
                <w:rFonts w:eastAsia="Calibri" w:cstheme="minorHAnsi"/>
                <w:bCs/>
                <w:color w:val="000000"/>
                <w:sz w:val="18"/>
                <w:szCs w:val="18"/>
                <w:lang w:eastAsia="cs-CZ" w:bidi="cs-CZ"/>
              </w:rPr>
              <w:t xml:space="preserve">v Kč </w:t>
            </w:r>
            <w:r w:rsidR="003D37B7" w:rsidRPr="006164D5">
              <w:rPr>
                <w:rFonts w:eastAsia="Calibri" w:cstheme="minorHAnsi"/>
                <w:bCs/>
                <w:color w:val="000000"/>
                <w:sz w:val="18"/>
                <w:szCs w:val="18"/>
                <w:lang w:eastAsia="cs-CZ" w:bidi="cs-CZ"/>
              </w:rPr>
              <w:t>– za tři měsíce</w:t>
            </w:r>
          </w:p>
        </w:tc>
        <w:tc>
          <w:tcPr>
            <w:tcW w:w="963" w:type="dxa"/>
          </w:tcPr>
          <w:p w14:paraId="7F4BCAF9" w14:textId="77777777" w:rsidR="005A1019" w:rsidRPr="006164D5" w:rsidRDefault="003D37B7" w:rsidP="001665C0">
            <w:pPr>
              <w:jc w:val="right"/>
              <w:rPr>
                <w:rFonts w:cstheme="minorHAnsi"/>
                <w:sz w:val="18"/>
                <w:szCs w:val="18"/>
              </w:rPr>
            </w:pPr>
            <w:r w:rsidRPr="006164D5">
              <w:rPr>
                <w:rFonts w:cstheme="minorHAnsi"/>
                <w:sz w:val="18"/>
                <w:szCs w:val="18"/>
              </w:rPr>
              <w:t>5 407</w:t>
            </w:r>
          </w:p>
        </w:tc>
        <w:tc>
          <w:tcPr>
            <w:tcW w:w="964" w:type="dxa"/>
          </w:tcPr>
          <w:p w14:paraId="19B69ECE" w14:textId="77777777" w:rsidR="005A1019" w:rsidRPr="006164D5" w:rsidRDefault="003D37B7" w:rsidP="001665C0">
            <w:pPr>
              <w:jc w:val="right"/>
              <w:rPr>
                <w:rFonts w:cstheme="minorHAnsi"/>
                <w:sz w:val="18"/>
                <w:szCs w:val="18"/>
              </w:rPr>
            </w:pPr>
            <w:r w:rsidRPr="006164D5">
              <w:rPr>
                <w:rFonts w:cstheme="minorHAnsi"/>
                <w:sz w:val="18"/>
                <w:szCs w:val="18"/>
              </w:rPr>
              <w:t>5 913</w:t>
            </w:r>
          </w:p>
        </w:tc>
        <w:tc>
          <w:tcPr>
            <w:tcW w:w="964" w:type="dxa"/>
          </w:tcPr>
          <w:p w14:paraId="0DF7117E" w14:textId="77777777" w:rsidR="005A1019" w:rsidRPr="006164D5" w:rsidRDefault="003D37B7" w:rsidP="001665C0">
            <w:pPr>
              <w:jc w:val="right"/>
              <w:rPr>
                <w:rFonts w:cstheme="minorHAnsi"/>
                <w:sz w:val="18"/>
                <w:szCs w:val="18"/>
              </w:rPr>
            </w:pPr>
            <w:r w:rsidRPr="006164D5">
              <w:rPr>
                <w:rFonts w:cstheme="minorHAnsi"/>
                <w:sz w:val="18"/>
                <w:szCs w:val="18"/>
              </w:rPr>
              <w:t>6 156</w:t>
            </w:r>
          </w:p>
        </w:tc>
        <w:tc>
          <w:tcPr>
            <w:tcW w:w="964" w:type="dxa"/>
          </w:tcPr>
          <w:p w14:paraId="5A66BB48" w14:textId="77777777" w:rsidR="005A1019" w:rsidRPr="006164D5" w:rsidRDefault="003D37B7" w:rsidP="001665C0">
            <w:pPr>
              <w:jc w:val="right"/>
              <w:rPr>
                <w:rFonts w:cstheme="minorHAnsi"/>
                <w:sz w:val="18"/>
                <w:szCs w:val="18"/>
              </w:rPr>
            </w:pPr>
            <w:r w:rsidRPr="006164D5">
              <w:rPr>
                <w:rFonts w:cstheme="minorHAnsi"/>
                <w:sz w:val="18"/>
                <w:szCs w:val="18"/>
              </w:rPr>
              <w:t>6 561</w:t>
            </w:r>
          </w:p>
        </w:tc>
        <w:tc>
          <w:tcPr>
            <w:tcW w:w="964" w:type="dxa"/>
          </w:tcPr>
          <w:p w14:paraId="322B8EF3" w14:textId="77777777" w:rsidR="005A1019" w:rsidRPr="006164D5" w:rsidRDefault="003D37B7" w:rsidP="001665C0">
            <w:pPr>
              <w:jc w:val="right"/>
              <w:rPr>
                <w:rFonts w:cstheme="minorHAnsi"/>
                <w:sz w:val="18"/>
                <w:szCs w:val="18"/>
              </w:rPr>
            </w:pPr>
            <w:r w:rsidRPr="006164D5">
              <w:rPr>
                <w:rFonts w:cstheme="minorHAnsi"/>
                <w:sz w:val="18"/>
                <w:szCs w:val="18"/>
              </w:rPr>
              <w:t>7 007</w:t>
            </w:r>
          </w:p>
        </w:tc>
        <w:tc>
          <w:tcPr>
            <w:tcW w:w="1129" w:type="dxa"/>
          </w:tcPr>
          <w:p w14:paraId="4C17D94B" w14:textId="77777777" w:rsidR="005A1019" w:rsidRPr="006164D5" w:rsidRDefault="0024646C" w:rsidP="001665C0">
            <w:pPr>
              <w:jc w:val="right"/>
              <w:rPr>
                <w:rFonts w:cstheme="minorHAnsi"/>
                <w:sz w:val="18"/>
                <w:szCs w:val="18"/>
              </w:rPr>
            </w:pPr>
            <w:r w:rsidRPr="006164D5">
              <w:rPr>
                <w:rFonts w:cstheme="minorHAnsi"/>
                <w:sz w:val="18"/>
                <w:szCs w:val="18"/>
              </w:rPr>
              <w:t>x</w:t>
            </w:r>
          </w:p>
        </w:tc>
      </w:tr>
      <w:tr w:rsidR="005F11D2" w14:paraId="18A0BBF8" w14:textId="77777777" w:rsidTr="006164D5">
        <w:tc>
          <w:tcPr>
            <w:tcW w:w="3114" w:type="dxa"/>
          </w:tcPr>
          <w:p w14:paraId="45F267A2" w14:textId="5D556EB4" w:rsidR="005A1019" w:rsidRPr="006164D5" w:rsidRDefault="003D37B7" w:rsidP="001665C0">
            <w:pPr>
              <w:widowControl w:val="0"/>
              <w:rPr>
                <w:rFonts w:eastAsia="Calibri" w:cstheme="minorHAnsi"/>
                <w:bCs/>
                <w:color w:val="000000"/>
                <w:sz w:val="18"/>
                <w:szCs w:val="18"/>
                <w:lang w:eastAsia="cs-CZ" w:bidi="cs-CZ"/>
              </w:rPr>
            </w:pPr>
            <w:r w:rsidRPr="006164D5">
              <w:rPr>
                <w:rFonts w:eastAsia="Calibri" w:cstheme="minorHAnsi"/>
                <w:bCs/>
                <w:color w:val="000000"/>
                <w:sz w:val="18"/>
                <w:szCs w:val="18"/>
                <w:lang w:eastAsia="cs-CZ" w:bidi="cs-CZ"/>
              </w:rPr>
              <w:t xml:space="preserve">Částka odpovídající pojistnému na sociální </w:t>
            </w:r>
            <w:r w:rsidR="0024646C" w:rsidRPr="006164D5">
              <w:rPr>
                <w:rFonts w:eastAsia="Calibri" w:cstheme="minorHAnsi"/>
                <w:bCs/>
                <w:color w:val="000000"/>
                <w:sz w:val="18"/>
                <w:szCs w:val="18"/>
                <w:lang w:eastAsia="cs-CZ" w:bidi="cs-CZ"/>
              </w:rPr>
              <w:t xml:space="preserve">zabezpečení </w:t>
            </w:r>
            <w:r w:rsidRPr="006164D5">
              <w:rPr>
                <w:rFonts w:eastAsia="Calibri" w:cstheme="minorHAnsi"/>
                <w:bCs/>
                <w:color w:val="000000"/>
                <w:sz w:val="18"/>
                <w:szCs w:val="18"/>
                <w:lang w:eastAsia="cs-CZ" w:bidi="cs-CZ"/>
              </w:rPr>
              <w:t xml:space="preserve">a </w:t>
            </w:r>
            <w:r w:rsidR="00CF394D" w:rsidRPr="006164D5">
              <w:rPr>
                <w:rFonts w:eastAsia="Calibri" w:cstheme="minorHAnsi"/>
                <w:bCs/>
                <w:color w:val="000000"/>
                <w:sz w:val="18"/>
                <w:szCs w:val="18"/>
                <w:lang w:eastAsia="cs-CZ" w:bidi="cs-CZ"/>
              </w:rPr>
              <w:t xml:space="preserve">veřejné </w:t>
            </w:r>
            <w:r w:rsidRPr="006164D5">
              <w:rPr>
                <w:rFonts w:eastAsia="Calibri" w:cstheme="minorHAnsi"/>
                <w:bCs/>
                <w:color w:val="000000"/>
                <w:sz w:val="18"/>
                <w:szCs w:val="18"/>
                <w:lang w:eastAsia="cs-CZ" w:bidi="cs-CZ"/>
              </w:rPr>
              <w:t xml:space="preserve">zdravotní pojištění za 1 osobu </w:t>
            </w:r>
            <w:r w:rsidR="00F20EBF">
              <w:rPr>
                <w:rFonts w:eastAsia="Calibri" w:cstheme="minorHAnsi"/>
                <w:bCs/>
                <w:color w:val="000000"/>
                <w:sz w:val="18"/>
                <w:szCs w:val="18"/>
                <w:lang w:eastAsia="cs-CZ" w:bidi="cs-CZ"/>
              </w:rPr>
              <w:br/>
            </w:r>
            <w:r w:rsidR="00456C9F" w:rsidRPr="006164D5">
              <w:rPr>
                <w:rFonts w:eastAsia="Calibri" w:cstheme="minorHAnsi"/>
                <w:bCs/>
                <w:color w:val="000000"/>
                <w:sz w:val="18"/>
                <w:szCs w:val="18"/>
                <w:lang w:eastAsia="cs-CZ" w:bidi="cs-CZ"/>
              </w:rPr>
              <w:t xml:space="preserve">v Kč </w:t>
            </w:r>
            <w:r w:rsidRPr="006164D5">
              <w:rPr>
                <w:rFonts w:eastAsia="Calibri" w:cstheme="minorHAnsi"/>
                <w:bCs/>
                <w:color w:val="000000"/>
                <w:sz w:val="18"/>
                <w:szCs w:val="18"/>
                <w:lang w:eastAsia="cs-CZ" w:bidi="cs-CZ"/>
              </w:rPr>
              <w:t>– za</w:t>
            </w:r>
            <w:r w:rsidR="00770343">
              <w:rPr>
                <w:rFonts w:eastAsia="Calibri" w:cstheme="minorHAnsi"/>
                <w:bCs/>
                <w:color w:val="000000"/>
                <w:sz w:val="18"/>
                <w:szCs w:val="18"/>
                <w:lang w:eastAsia="cs-CZ" w:bidi="cs-CZ"/>
              </w:rPr>
              <w:t> </w:t>
            </w:r>
            <w:r w:rsidRPr="006164D5">
              <w:rPr>
                <w:rFonts w:eastAsia="Calibri" w:cstheme="minorHAnsi"/>
                <w:bCs/>
                <w:color w:val="000000"/>
                <w:sz w:val="18"/>
                <w:szCs w:val="18"/>
                <w:lang w:eastAsia="cs-CZ" w:bidi="cs-CZ"/>
              </w:rPr>
              <w:t>tři měsíce</w:t>
            </w:r>
          </w:p>
        </w:tc>
        <w:tc>
          <w:tcPr>
            <w:tcW w:w="963" w:type="dxa"/>
          </w:tcPr>
          <w:p w14:paraId="7F7E7BF4" w14:textId="5387A5EB" w:rsidR="005A1019" w:rsidRPr="006164D5" w:rsidRDefault="003D37B7" w:rsidP="001665C0">
            <w:pPr>
              <w:jc w:val="right"/>
              <w:rPr>
                <w:rFonts w:cstheme="minorHAnsi"/>
                <w:sz w:val="18"/>
                <w:szCs w:val="18"/>
              </w:rPr>
            </w:pPr>
            <w:r w:rsidRPr="006164D5">
              <w:rPr>
                <w:rFonts w:cstheme="minorHAnsi"/>
                <w:sz w:val="18"/>
                <w:szCs w:val="18"/>
              </w:rPr>
              <w:t>17 98</w:t>
            </w:r>
            <w:r w:rsidR="00664425" w:rsidRPr="006164D5">
              <w:rPr>
                <w:rFonts w:cstheme="minorHAnsi"/>
                <w:sz w:val="18"/>
                <w:szCs w:val="18"/>
              </w:rPr>
              <w:t>4</w:t>
            </w:r>
          </w:p>
        </w:tc>
        <w:tc>
          <w:tcPr>
            <w:tcW w:w="964" w:type="dxa"/>
          </w:tcPr>
          <w:p w14:paraId="32663222" w14:textId="77777777" w:rsidR="005A1019" w:rsidRPr="006164D5" w:rsidRDefault="003D37B7" w:rsidP="001665C0">
            <w:pPr>
              <w:jc w:val="right"/>
              <w:rPr>
                <w:rFonts w:cstheme="minorHAnsi"/>
                <w:sz w:val="18"/>
                <w:szCs w:val="18"/>
              </w:rPr>
            </w:pPr>
            <w:r w:rsidRPr="006164D5">
              <w:rPr>
                <w:rFonts w:cstheme="minorHAnsi"/>
                <w:sz w:val="18"/>
                <w:szCs w:val="18"/>
              </w:rPr>
              <w:t>19 622</w:t>
            </w:r>
          </w:p>
        </w:tc>
        <w:tc>
          <w:tcPr>
            <w:tcW w:w="964" w:type="dxa"/>
          </w:tcPr>
          <w:p w14:paraId="159E0ACF" w14:textId="77777777" w:rsidR="005A1019" w:rsidRPr="006164D5" w:rsidRDefault="003D37B7" w:rsidP="001665C0">
            <w:pPr>
              <w:jc w:val="right"/>
              <w:rPr>
                <w:rFonts w:cstheme="minorHAnsi"/>
                <w:sz w:val="18"/>
                <w:szCs w:val="18"/>
              </w:rPr>
            </w:pPr>
            <w:r w:rsidRPr="006164D5">
              <w:rPr>
                <w:rFonts w:cstheme="minorHAnsi"/>
                <w:sz w:val="18"/>
                <w:szCs w:val="18"/>
              </w:rPr>
              <w:t>20 429</w:t>
            </w:r>
          </w:p>
        </w:tc>
        <w:tc>
          <w:tcPr>
            <w:tcW w:w="964" w:type="dxa"/>
          </w:tcPr>
          <w:p w14:paraId="6B117379" w14:textId="77777777" w:rsidR="005A1019" w:rsidRPr="006164D5" w:rsidRDefault="003D37B7" w:rsidP="001665C0">
            <w:pPr>
              <w:jc w:val="right"/>
              <w:rPr>
                <w:rFonts w:cstheme="minorHAnsi"/>
                <w:sz w:val="18"/>
                <w:szCs w:val="18"/>
              </w:rPr>
            </w:pPr>
            <w:r w:rsidRPr="006164D5">
              <w:rPr>
                <w:rFonts w:cstheme="minorHAnsi"/>
                <w:sz w:val="18"/>
                <w:szCs w:val="18"/>
              </w:rPr>
              <w:t>21 773</w:t>
            </w:r>
          </w:p>
        </w:tc>
        <w:tc>
          <w:tcPr>
            <w:tcW w:w="964" w:type="dxa"/>
          </w:tcPr>
          <w:p w14:paraId="1787E5B7" w14:textId="77777777" w:rsidR="005A1019" w:rsidRPr="006164D5" w:rsidRDefault="003D37B7" w:rsidP="001665C0">
            <w:pPr>
              <w:jc w:val="right"/>
              <w:rPr>
                <w:rFonts w:cstheme="minorHAnsi"/>
                <w:sz w:val="18"/>
                <w:szCs w:val="18"/>
              </w:rPr>
            </w:pPr>
            <w:r w:rsidRPr="006164D5">
              <w:rPr>
                <w:rFonts w:cstheme="minorHAnsi"/>
                <w:sz w:val="18"/>
                <w:szCs w:val="18"/>
              </w:rPr>
              <w:t>23 251</w:t>
            </w:r>
          </w:p>
        </w:tc>
        <w:tc>
          <w:tcPr>
            <w:tcW w:w="1129" w:type="dxa"/>
          </w:tcPr>
          <w:p w14:paraId="53846197" w14:textId="77777777" w:rsidR="005A1019" w:rsidRPr="006164D5" w:rsidRDefault="0024646C" w:rsidP="001665C0">
            <w:pPr>
              <w:jc w:val="right"/>
              <w:rPr>
                <w:rFonts w:cstheme="minorHAnsi"/>
                <w:sz w:val="18"/>
                <w:szCs w:val="18"/>
              </w:rPr>
            </w:pPr>
            <w:r w:rsidRPr="006164D5">
              <w:rPr>
                <w:rFonts w:cstheme="minorHAnsi"/>
                <w:sz w:val="18"/>
                <w:szCs w:val="18"/>
              </w:rPr>
              <w:t>x</w:t>
            </w:r>
          </w:p>
        </w:tc>
      </w:tr>
      <w:tr w:rsidR="005F11D2" w14:paraId="5DADA5D8" w14:textId="77777777" w:rsidTr="006164D5">
        <w:tc>
          <w:tcPr>
            <w:tcW w:w="3114" w:type="dxa"/>
          </w:tcPr>
          <w:p w14:paraId="6957D1F6" w14:textId="7085F43F" w:rsidR="005A1019" w:rsidRPr="006164D5" w:rsidRDefault="003D37B7" w:rsidP="001665C0">
            <w:pPr>
              <w:widowControl w:val="0"/>
              <w:rPr>
                <w:rFonts w:eastAsia="Calibri" w:cstheme="minorHAnsi"/>
                <w:b/>
                <w:bCs/>
                <w:color w:val="000000"/>
                <w:sz w:val="18"/>
                <w:szCs w:val="18"/>
                <w:lang w:eastAsia="cs-CZ" w:bidi="cs-CZ"/>
              </w:rPr>
            </w:pPr>
            <w:r w:rsidRPr="006164D5">
              <w:rPr>
                <w:rFonts w:eastAsia="Calibri" w:cstheme="minorHAnsi"/>
                <w:b/>
                <w:bCs/>
                <w:color w:val="000000"/>
                <w:sz w:val="18"/>
                <w:szCs w:val="18"/>
                <w:lang w:eastAsia="cs-CZ" w:bidi="cs-CZ"/>
              </w:rPr>
              <w:t xml:space="preserve">Celková částka odpovídající pojistnému na sociální </w:t>
            </w:r>
            <w:r w:rsidR="0024646C" w:rsidRPr="006164D5">
              <w:rPr>
                <w:rFonts w:eastAsia="Calibri" w:cstheme="minorHAnsi"/>
                <w:b/>
                <w:bCs/>
                <w:color w:val="000000"/>
                <w:sz w:val="18"/>
                <w:szCs w:val="18"/>
                <w:lang w:eastAsia="cs-CZ" w:bidi="cs-CZ"/>
              </w:rPr>
              <w:t xml:space="preserve">zabezpečení </w:t>
            </w:r>
            <w:r w:rsidRPr="006164D5">
              <w:rPr>
                <w:rFonts w:eastAsia="Calibri" w:cstheme="minorHAnsi"/>
                <w:b/>
                <w:bCs/>
                <w:color w:val="000000"/>
                <w:sz w:val="18"/>
                <w:szCs w:val="18"/>
                <w:lang w:eastAsia="cs-CZ" w:bidi="cs-CZ"/>
              </w:rPr>
              <w:t>a</w:t>
            </w:r>
            <w:r w:rsidR="00770343">
              <w:rPr>
                <w:rFonts w:eastAsia="Calibri" w:cstheme="minorHAnsi"/>
                <w:b/>
                <w:bCs/>
                <w:color w:val="000000"/>
                <w:sz w:val="18"/>
                <w:szCs w:val="18"/>
                <w:lang w:eastAsia="cs-CZ" w:bidi="cs-CZ"/>
              </w:rPr>
              <w:t> </w:t>
            </w:r>
            <w:r w:rsidR="00CF394D" w:rsidRPr="006164D5">
              <w:rPr>
                <w:rFonts w:eastAsia="Calibri" w:cstheme="minorHAnsi"/>
                <w:b/>
                <w:bCs/>
                <w:color w:val="000000"/>
                <w:sz w:val="18"/>
                <w:szCs w:val="18"/>
                <w:lang w:eastAsia="cs-CZ" w:bidi="cs-CZ"/>
              </w:rPr>
              <w:t xml:space="preserve">veřejné </w:t>
            </w:r>
            <w:r w:rsidRPr="006164D5">
              <w:rPr>
                <w:rFonts w:eastAsia="Calibri" w:cstheme="minorHAnsi"/>
                <w:b/>
                <w:bCs/>
                <w:color w:val="000000"/>
                <w:sz w:val="18"/>
                <w:szCs w:val="18"/>
                <w:lang w:eastAsia="cs-CZ" w:bidi="cs-CZ"/>
              </w:rPr>
              <w:t>zdravotní pojištění za zjištěná porušení</w:t>
            </w:r>
            <w:r w:rsidRPr="006164D5">
              <w:rPr>
                <w:rStyle w:val="Znakapoznpodarou"/>
                <w:rFonts w:eastAsia="Calibri" w:cstheme="minorHAnsi"/>
                <w:b/>
                <w:bCs/>
                <w:color w:val="000000"/>
                <w:sz w:val="18"/>
                <w:szCs w:val="18"/>
                <w:lang w:eastAsia="cs-CZ" w:bidi="cs-CZ"/>
              </w:rPr>
              <w:footnoteReference w:id="38"/>
            </w:r>
            <w:r w:rsidR="00456C9F" w:rsidRPr="006164D5">
              <w:rPr>
                <w:rFonts w:eastAsia="Calibri" w:cstheme="minorHAnsi"/>
                <w:b/>
                <w:bCs/>
                <w:color w:val="000000"/>
                <w:sz w:val="18"/>
                <w:szCs w:val="18"/>
                <w:lang w:eastAsia="cs-CZ" w:bidi="cs-CZ"/>
              </w:rPr>
              <w:t xml:space="preserve"> v Kč</w:t>
            </w:r>
          </w:p>
        </w:tc>
        <w:tc>
          <w:tcPr>
            <w:tcW w:w="963" w:type="dxa"/>
          </w:tcPr>
          <w:p w14:paraId="691EC566" w14:textId="15F50B34" w:rsidR="005A1019" w:rsidRPr="006164D5" w:rsidRDefault="00396516" w:rsidP="001665C0">
            <w:pPr>
              <w:jc w:val="right"/>
              <w:rPr>
                <w:rFonts w:cstheme="minorHAnsi"/>
                <w:b/>
                <w:sz w:val="18"/>
                <w:szCs w:val="18"/>
              </w:rPr>
            </w:pPr>
            <w:r w:rsidRPr="006164D5">
              <w:rPr>
                <w:rFonts w:cstheme="minorHAnsi"/>
                <w:b/>
                <w:sz w:val="18"/>
                <w:szCs w:val="18"/>
              </w:rPr>
              <w:t xml:space="preserve">233 </w:t>
            </w:r>
            <w:r w:rsidR="00664425" w:rsidRPr="006164D5">
              <w:rPr>
                <w:rFonts w:cstheme="minorHAnsi"/>
                <w:b/>
                <w:sz w:val="18"/>
                <w:szCs w:val="18"/>
              </w:rPr>
              <w:t>7</w:t>
            </w:r>
            <w:r w:rsidR="0027557B" w:rsidRPr="006164D5">
              <w:rPr>
                <w:rFonts w:cstheme="minorHAnsi"/>
                <w:b/>
                <w:sz w:val="18"/>
                <w:szCs w:val="18"/>
              </w:rPr>
              <w:t>98</w:t>
            </w:r>
          </w:p>
        </w:tc>
        <w:tc>
          <w:tcPr>
            <w:tcW w:w="964" w:type="dxa"/>
          </w:tcPr>
          <w:p w14:paraId="5C87BDA2" w14:textId="77777777" w:rsidR="005A1019" w:rsidRPr="006164D5" w:rsidRDefault="00396516" w:rsidP="001665C0">
            <w:pPr>
              <w:jc w:val="right"/>
              <w:rPr>
                <w:rFonts w:cstheme="minorHAnsi"/>
                <w:b/>
                <w:sz w:val="18"/>
                <w:szCs w:val="18"/>
              </w:rPr>
            </w:pPr>
            <w:r w:rsidRPr="006164D5">
              <w:rPr>
                <w:rFonts w:cstheme="minorHAnsi"/>
                <w:b/>
                <w:sz w:val="18"/>
                <w:szCs w:val="18"/>
              </w:rPr>
              <w:t>255 091</w:t>
            </w:r>
          </w:p>
        </w:tc>
        <w:tc>
          <w:tcPr>
            <w:tcW w:w="964" w:type="dxa"/>
          </w:tcPr>
          <w:p w14:paraId="5E82D90D" w14:textId="77777777" w:rsidR="005A1019" w:rsidRPr="006164D5" w:rsidRDefault="00396516" w:rsidP="001665C0">
            <w:pPr>
              <w:jc w:val="right"/>
              <w:rPr>
                <w:rFonts w:cstheme="minorHAnsi"/>
                <w:b/>
                <w:sz w:val="18"/>
                <w:szCs w:val="18"/>
              </w:rPr>
            </w:pPr>
            <w:r w:rsidRPr="006164D5">
              <w:rPr>
                <w:rFonts w:cstheme="minorHAnsi"/>
                <w:b/>
                <w:sz w:val="18"/>
                <w:szCs w:val="18"/>
              </w:rPr>
              <w:t>306 432</w:t>
            </w:r>
          </w:p>
        </w:tc>
        <w:tc>
          <w:tcPr>
            <w:tcW w:w="964" w:type="dxa"/>
          </w:tcPr>
          <w:p w14:paraId="5CCDA276" w14:textId="77777777" w:rsidR="005A1019" w:rsidRPr="006164D5" w:rsidRDefault="00396516" w:rsidP="001665C0">
            <w:pPr>
              <w:jc w:val="right"/>
              <w:rPr>
                <w:rFonts w:cstheme="minorHAnsi"/>
                <w:b/>
                <w:sz w:val="18"/>
                <w:szCs w:val="18"/>
              </w:rPr>
            </w:pPr>
            <w:r w:rsidRPr="006164D5">
              <w:rPr>
                <w:rFonts w:cstheme="minorHAnsi"/>
                <w:b/>
                <w:sz w:val="18"/>
                <w:szCs w:val="18"/>
              </w:rPr>
              <w:t>500 774</w:t>
            </w:r>
          </w:p>
        </w:tc>
        <w:tc>
          <w:tcPr>
            <w:tcW w:w="964" w:type="dxa"/>
          </w:tcPr>
          <w:p w14:paraId="57DE616E" w14:textId="77777777" w:rsidR="005A1019" w:rsidRPr="006164D5" w:rsidRDefault="00396516" w:rsidP="001665C0">
            <w:pPr>
              <w:jc w:val="right"/>
              <w:rPr>
                <w:rFonts w:cstheme="minorHAnsi"/>
                <w:b/>
                <w:sz w:val="18"/>
                <w:szCs w:val="18"/>
              </w:rPr>
            </w:pPr>
            <w:r w:rsidRPr="006164D5">
              <w:rPr>
                <w:rFonts w:cstheme="minorHAnsi"/>
                <w:b/>
                <w:sz w:val="18"/>
                <w:szCs w:val="18"/>
              </w:rPr>
              <w:t>674 285</w:t>
            </w:r>
          </w:p>
        </w:tc>
        <w:tc>
          <w:tcPr>
            <w:tcW w:w="1129" w:type="dxa"/>
          </w:tcPr>
          <w:p w14:paraId="094CADA1" w14:textId="39B1EBFA" w:rsidR="005A1019" w:rsidRPr="006164D5" w:rsidRDefault="00396516" w:rsidP="001665C0">
            <w:pPr>
              <w:jc w:val="right"/>
              <w:rPr>
                <w:rFonts w:cstheme="minorHAnsi"/>
                <w:b/>
                <w:sz w:val="18"/>
                <w:szCs w:val="18"/>
              </w:rPr>
            </w:pPr>
            <w:r w:rsidRPr="006164D5">
              <w:rPr>
                <w:rFonts w:cstheme="minorHAnsi"/>
                <w:b/>
                <w:sz w:val="18"/>
                <w:szCs w:val="18"/>
              </w:rPr>
              <w:t xml:space="preserve">1 970 </w:t>
            </w:r>
            <w:r w:rsidR="00664425" w:rsidRPr="006164D5">
              <w:rPr>
                <w:rFonts w:cstheme="minorHAnsi"/>
                <w:b/>
                <w:sz w:val="18"/>
                <w:szCs w:val="18"/>
              </w:rPr>
              <w:t>3</w:t>
            </w:r>
            <w:r w:rsidR="0027557B" w:rsidRPr="006164D5">
              <w:rPr>
                <w:rFonts w:cstheme="minorHAnsi"/>
                <w:b/>
                <w:sz w:val="18"/>
                <w:szCs w:val="18"/>
              </w:rPr>
              <w:t>80</w:t>
            </w:r>
          </w:p>
        </w:tc>
      </w:tr>
    </w:tbl>
    <w:bookmarkEnd w:id="16"/>
    <w:p w14:paraId="6EF143EB" w14:textId="542414E1" w:rsidR="00770343" w:rsidRPr="0087037E" w:rsidRDefault="00770343" w:rsidP="00770343">
      <w:pPr>
        <w:overflowPunct w:val="0"/>
        <w:autoSpaceDE w:val="0"/>
        <w:autoSpaceDN w:val="0"/>
        <w:adjustRightInd w:val="0"/>
        <w:spacing w:after="0" w:line="240" w:lineRule="auto"/>
        <w:ind w:left="567" w:hanging="567"/>
        <w:jc w:val="both"/>
        <w:rPr>
          <w:rFonts w:cstheme="minorHAnsi"/>
          <w:sz w:val="20"/>
          <w:szCs w:val="20"/>
        </w:rPr>
      </w:pPr>
      <w:r w:rsidRPr="0087037E">
        <w:rPr>
          <w:rFonts w:cstheme="minorHAnsi"/>
          <w:b/>
          <w:bCs/>
          <w:sz w:val="20"/>
          <w:szCs w:val="20"/>
        </w:rPr>
        <w:t>Zdroj:</w:t>
      </w:r>
      <w:r w:rsidRPr="0087037E">
        <w:rPr>
          <w:rFonts w:cstheme="minorHAnsi"/>
          <w:sz w:val="20"/>
          <w:szCs w:val="20"/>
        </w:rPr>
        <w:t xml:space="preserve"> </w:t>
      </w:r>
      <w:r>
        <w:rPr>
          <w:rFonts w:cstheme="minorHAnsi"/>
          <w:sz w:val="20"/>
          <w:szCs w:val="20"/>
        </w:rPr>
        <w:tab/>
      </w:r>
      <w:r w:rsidRPr="0087037E">
        <w:rPr>
          <w:rFonts w:cstheme="minorHAnsi"/>
          <w:sz w:val="20"/>
          <w:szCs w:val="20"/>
        </w:rPr>
        <w:t>GFŘ, Ministerstvo práce a sociálních věcí.</w:t>
      </w:r>
      <w:r>
        <w:rPr>
          <w:rFonts w:cstheme="minorHAnsi"/>
          <w:sz w:val="20"/>
          <w:szCs w:val="20"/>
        </w:rPr>
        <w:t xml:space="preserve"> </w:t>
      </w:r>
      <w:r w:rsidRPr="0087037E">
        <w:rPr>
          <w:rFonts w:cstheme="minorHAnsi"/>
          <w:i/>
          <w:iCs/>
          <w:sz w:val="20"/>
          <w:szCs w:val="20"/>
        </w:rPr>
        <w:t>Přehled o vývoji částek minimální mzdy</w:t>
      </w:r>
      <w:r w:rsidR="005E283D">
        <w:rPr>
          <w:rFonts w:cstheme="minorHAnsi"/>
          <w:i/>
          <w:iCs/>
          <w:sz w:val="20"/>
          <w:szCs w:val="20"/>
        </w:rPr>
        <w:t xml:space="preserve"> </w:t>
      </w:r>
      <w:r w:rsidR="005E283D">
        <w:rPr>
          <w:rFonts w:cstheme="minorHAnsi"/>
          <w:sz w:val="20"/>
          <w:szCs w:val="20"/>
        </w:rPr>
        <w:t>[</w:t>
      </w:r>
      <w:r w:rsidRPr="0087037E">
        <w:rPr>
          <w:rFonts w:cstheme="minorHAnsi"/>
          <w:sz w:val="20"/>
          <w:szCs w:val="20"/>
        </w:rPr>
        <w:t>Online</w:t>
      </w:r>
      <w:r w:rsidR="005E283D">
        <w:rPr>
          <w:rFonts w:cstheme="minorHAnsi"/>
          <w:sz w:val="20"/>
          <w:szCs w:val="20"/>
        </w:rPr>
        <w:t>]</w:t>
      </w:r>
      <w:r w:rsidRPr="0087037E">
        <w:rPr>
          <w:rFonts w:cstheme="minorHAnsi"/>
          <w:sz w:val="20"/>
          <w:szCs w:val="20"/>
        </w:rPr>
        <w:t>. Dostupné z: https://www.mpsv.cz/prehled-o-vyvoji-castek-minimalni-mzdy. [cit</w:t>
      </w:r>
      <w:r w:rsidR="00961D28">
        <w:rPr>
          <w:rFonts w:cstheme="minorHAnsi"/>
          <w:sz w:val="20"/>
          <w:szCs w:val="20"/>
        </w:rPr>
        <w:t>.</w:t>
      </w:r>
      <w:r w:rsidRPr="0087037E">
        <w:rPr>
          <w:rFonts w:cstheme="minorHAnsi"/>
          <w:sz w:val="20"/>
          <w:szCs w:val="20"/>
        </w:rPr>
        <w:t xml:space="preserve"> 2025-4-30]</w:t>
      </w:r>
      <w:r>
        <w:rPr>
          <w:rFonts w:cstheme="minorHAnsi"/>
          <w:sz w:val="20"/>
          <w:szCs w:val="20"/>
        </w:rPr>
        <w:t>;</w:t>
      </w:r>
      <w:r w:rsidRPr="0087037E">
        <w:rPr>
          <w:rFonts w:cstheme="minorHAnsi"/>
          <w:sz w:val="20"/>
          <w:szCs w:val="20"/>
        </w:rPr>
        <w:t xml:space="preserve"> vlastní výpočet NKÚ.</w:t>
      </w:r>
    </w:p>
    <w:p w14:paraId="04F742D7" w14:textId="6CE41419" w:rsidR="00DC3BBF" w:rsidRDefault="008769AE">
      <w:pPr>
        <w:overflowPunct w:val="0"/>
        <w:autoSpaceDE w:val="0"/>
        <w:autoSpaceDN w:val="0"/>
        <w:adjustRightInd w:val="0"/>
        <w:spacing w:after="0" w:line="240" w:lineRule="auto"/>
        <w:ind w:left="567" w:hanging="567"/>
        <w:jc w:val="both"/>
        <w:rPr>
          <w:rFonts w:cstheme="minorHAnsi"/>
          <w:sz w:val="20"/>
          <w:szCs w:val="20"/>
        </w:rPr>
      </w:pPr>
      <w:r w:rsidRPr="006164D5">
        <w:rPr>
          <w:rFonts w:cstheme="minorHAnsi"/>
          <w:b/>
          <w:bCs/>
          <w:sz w:val="20"/>
          <w:szCs w:val="20"/>
        </w:rPr>
        <w:t>Pozn</w:t>
      </w:r>
      <w:r w:rsidR="00665949" w:rsidRPr="006164D5">
        <w:rPr>
          <w:rFonts w:cstheme="minorHAnsi"/>
          <w:b/>
          <w:bCs/>
          <w:sz w:val="20"/>
          <w:szCs w:val="20"/>
        </w:rPr>
        <w:t>.</w:t>
      </w:r>
      <w:r w:rsidR="00DC3BBF">
        <w:rPr>
          <w:rFonts w:cstheme="minorHAnsi"/>
          <w:b/>
          <w:bCs/>
          <w:sz w:val="20"/>
          <w:szCs w:val="20"/>
        </w:rPr>
        <w:t>:</w:t>
      </w:r>
      <w:r w:rsidRPr="006164D5">
        <w:rPr>
          <w:rFonts w:cstheme="minorHAnsi"/>
          <w:sz w:val="20"/>
          <w:szCs w:val="20"/>
        </w:rPr>
        <w:t xml:space="preserve"> </w:t>
      </w:r>
      <w:r w:rsidR="00665949">
        <w:rPr>
          <w:rFonts w:cstheme="minorHAnsi"/>
          <w:sz w:val="20"/>
          <w:szCs w:val="20"/>
        </w:rPr>
        <w:tab/>
      </w:r>
      <w:r w:rsidR="00DC3BBF">
        <w:rPr>
          <w:rFonts w:cstheme="minorHAnsi"/>
          <w:sz w:val="20"/>
          <w:szCs w:val="20"/>
        </w:rPr>
        <w:t>S</w:t>
      </w:r>
      <w:r w:rsidRPr="006164D5">
        <w:rPr>
          <w:rFonts w:cstheme="minorHAnsi"/>
          <w:sz w:val="20"/>
          <w:szCs w:val="20"/>
        </w:rPr>
        <w:t xml:space="preserve">azba SZP </w:t>
      </w:r>
      <w:r w:rsidR="009C42AD">
        <w:rPr>
          <w:rFonts w:cstheme="minorHAnsi"/>
          <w:sz w:val="20"/>
          <w:szCs w:val="20"/>
        </w:rPr>
        <w:t>pro</w:t>
      </w:r>
      <w:r w:rsidR="00DC3BBF">
        <w:rPr>
          <w:rFonts w:cstheme="minorHAnsi"/>
          <w:sz w:val="20"/>
          <w:szCs w:val="20"/>
        </w:rPr>
        <w:t xml:space="preserve"> zaměstnanc</w:t>
      </w:r>
      <w:r w:rsidR="009C42AD">
        <w:rPr>
          <w:rFonts w:cstheme="minorHAnsi"/>
          <w:sz w:val="20"/>
          <w:szCs w:val="20"/>
        </w:rPr>
        <w:t>e</w:t>
      </w:r>
      <w:r w:rsidR="00DC3BBF">
        <w:rPr>
          <w:rFonts w:cstheme="minorHAnsi"/>
          <w:sz w:val="20"/>
          <w:szCs w:val="20"/>
        </w:rPr>
        <w:t xml:space="preserve"> </w:t>
      </w:r>
      <w:r w:rsidRPr="006164D5">
        <w:rPr>
          <w:rFonts w:cstheme="minorHAnsi"/>
          <w:sz w:val="20"/>
          <w:szCs w:val="20"/>
        </w:rPr>
        <w:t>= 11 %</w:t>
      </w:r>
      <w:r w:rsidR="00DC3BBF">
        <w:rPr>
          <w:rFonts w:cstheme="minorHAnsi"/>
          <w:sz w:val="20"/>
          <w:szCs w:val="20"/>
        </w:rPr>
        <w:t xml:space="preserve"> z vyměřovacího základu,</w:t>
      </w:r>
      <w:r w:rsidRPr="006164D5">
        <w:rPr>
          <w:rFonts w:cstheme="minorHAnsi"/>
          <w:sz w:val="20"/>
          <w:szCs w:val="20"/>
        </w:rPr>
        <w:t xml:space="preserve"> </w:t>
      </w:r>
      <w:r w:rsidR="00DC3BBF">
        <w:rPr>
          <w:rFonts w:cstheme="minorHAnsi"/>
          <w:sz w:val="20"/>
          <w:szCs w:val="20"/>
        </w:rPr>
        <w:t xml:space="preserve">z toho pojistné na </w:t>
      </w:r>
      <w:r w:rsidR="00CF394D" w:rsidRPr="006164D5">
        <w:rPr>
          <w:rFonts w:cstheme="minorHAnsi"/>
          <w:sz w:val="20"/>
          <w:szCs w:val="20"/>
        </w:rPr>
        <w:t xml:space="preserve">veřejné </w:t>
      </w:r>
      <w:r w:rsidR="0024646C" w:rsidRPr="006164D5">
        <w:rPr>
          <w:rFonts w:cstheme="minorHAnsi"/>
          <w:sz w:val="20"/>
          <w:szCs w:val="20"/>
        </w:rPr>
        <w:t>zdravotní pojištění</w:t>
      </w:r>
      <w:r w:rsidRPr="006164D5">
        <w:rPr>
          <w:rFonts w:cstheme="minorHAnsi"/>
          <w:sz w:val="20"/>
          <w:szCs w:val="20"/>
        </w:rPr>
        <w:t xml:space="preserve"> 4,5 % </w:t>
      </w:r>
      <w:r w:rsidR="00DC3BBF">
        <w:rPr>
          <w:rFonts w:cstheme="minorHAnsi"/>
          <w:sz w:val="20"/>
          <w:szCs w:val="20"/>
        </w:rPr>
        <w:t>a</w:t>
      </w:r>
      <w:r w:rsidRPr="006164D5">
        <w:rPr>
          <w:rFonts w:cstheme="minorHAnsi"/>
          <w:sz w:val="20"/>
          <w:szCs w:val="20"/>
        </w:rPr>
        <w:t xml:space="preserve"> </w:t>
      </w:r>
      <w:r w:rsidR="0024646C" w:rsidRPr="006164D5">
        <w:rPr>
          <w:rFonts w:cstheme="minorHAnsi"/>
          <w:sz w:val="20"/>
          <w:szCs w:val="20"/>
        </w:rPr>
        <w:t xml:space="preserve">pojistné na sociální </w:t>
      </w:r>
      <w:r w:rsidR="00DC3BBF">
        <w:rPr>
          <w:rFonts w:cstheme="minorHAnsi"/>
          <w:sz w:val="20"/>
          <w:szCs w:val="20"/>
        </w:rPr>
        <w:t>zabezpečení</w:t>
      </w:r>
      <w:r w:rsidRPr="006164D5">
        <w:rPr>
          <w:rFonts w:cstheme="minorHAnsi"/>
          <w:sz w:val="20"/>
          <w:szCs w:val="20"/>
        </w:rPr>
        <w:t xml:space="preserve"> 6,5 %</w:t>
      </w:r>
      <w:r w:rsidR="00DC3BBF">
        <w:rPr>
          <w:rFonts w:cstheme="minorHAnsi"/>
          <w:sz w:val="20"/>
          <w:szCs w:val="20"/>
        </w:rPr>
        <w:t>;</w:t>
      </w:r>
      <w:r w:rsidRPr="006164D5">
        <w:rPr>
          <w:rFonts w:cstheme="minorHAnsi"/>
          <w:sz w:val="20"/>
          <w:szCs w:val="20"/>
        </w:rPr>
        <w:t xml:space="preserve"> od 1. 1. 2024 </w:t>
      </w:r>
      <w:r w:rsidR="00DC3BBF">
        <w:rPr>
          <w:rFonts w:cstheme="minorHAnsi"/>
          <w:sz w:val="20"/>
          <w:szCs w:val="20"/>
        </w:rPr>
        <w:t>se sociální pojištění zvýšilo na</w:t>
      </w:r>
      <w:r w:rsidRPr="006164D5">
        <w:rPr>
          <w:rFonts w:cstheme="minorHAnsi"/>
          <w:sz w:val="20"/>
          <w:szCs w:val="20"/>
        </w:rPr>
        <w:t xml:space="preserve"> 7,1 %, </w:t>
      </w:r>
      <w:r w:rsidR="00DC3BBF">
        <w:rPr>
          <w:rFonts w:cstheme="minorHAnsi"/>
          <w:sz w:val="20"/>
          <w:szCs w:val="20"/>
        </w:rPr>
        <w:t>celková sazba SZP tedy činí</w:t>
      </w:r>
      <w:r w:rsidRPr="006164D5">
        <w:rPr>
          <w:rFonts w:cstheme="minorHAnsi"/>
          <w:sz w:val="20"/>
          <w:szCs w:val="20"/>
        </w:rPr>
        <w:t xml:space="preserve"> 11,6 %</w:t>
      </w:r>
      <w:r w:rsidR="00DC3BBF">
        <w:rPr>
          <w:rFonts w:cstheme="minorHAnsi"/>
          <w:sz w:val="20"/>
          <w:szCs w:val="20"/>
        </w:rPr>
        <w:t>.</w:t>
      </w:r>
      <w:r w:rsidR="00665949">
        <w:rPr>
          <w:rFonts w:cstheme="minorHAnsi"/>
          <w:sz w:val="20"/>
          <w:szCs w:val="20"/>
        </w:rPr>
        <w:t xml:space="preserve"> </w:t>
      </w:r>
    </w:p>
    <w:p w14:paraId="0F0B6A33" w14:textId="25395896" w:rsidR="008769AE" w:rsidRPr="006164D5" w:rsidRDefault="00DC3BBF" w:rsidP="006164D5">
      <w:pPr>
        <w:overflowPunct w:val="0"/>
        <w:autoSpaceDE w:val="0"/>
        <w:autoSpaceDN w:val="0"/>
        <w:adjustRightInd w:val="0"/>
        <w:spacing w:after="0" w:line="240" w:lineRule="auto"/>
        <w:ind w:left="567"/>
        <w:jc w:val="both"/>
        <w:rPr>
          <w:rFonts w:cstheme="minorHAnsi"/>
          <w:sz w:val="20"/>
          <w:szCs w:val="20"/>
        </w:rPr>
      </w:pPr>
      <w:r>
        <w:rPr>
          <w:rFonts w:cstheme="minorHAnsi"/>
          <w:sz w:val="20"/>
          <w:szCs w:val="20"/>
        </w:rPr>
        <w:t>S</w:t>
      </w:r>
      <w:r w:rsidR="008769AE" w:rsidRPr="006164D5">
        <w:rPr>
          <w:rFonts w:cstheme="minorHAnsi"/>
          <w:sz w:val="20"/>
          <w:szCs w:val="20"/>
        </w:rPr>
        <w:t>azba SZP</w:t>
      </w:r>
      <w:r>
        <w:rPr>
          <w:rFonts w:cstheme="minorHAnsi"/>
          <w:sz w:val="20"/>
          <w:szCs w:val="20"/>
        </w:rPr>
        <w:t xml:space="preserve"> </w:t>
      </w:r>
      <w:r w:rsidR="009C42AD">
        <w:rPr>
          <w:rFonts w:cstheme="minorHAnsi"/>
          <w:sz w:val="20"/>
          <w:szCs w:val="20"/>
        </w:rPr>
        <w:t>pro</w:t>
      </w:r>
      <w:r>
        <w:rPr>
          <w:rFonts w:cstheme="minorHAnsi"/>
          <w:sz w:val="20"/>
          <w:szCs w:val="20"/>
        </w:rPr>
        <w:t xml:space="preserve"> zaměstnavatel</w:t>
      </w:r>
      <w:r w:rsidR="009C42AD">
        <w:rPr>
          <w:rFonts w:cstheme="minorHAnsi"/>
          <w:sz w:val="20"/>
          <w:szCs w:val="20"/>
        </w:rPr>
        <w:t>e</w:t>
      </w:r>
      <w:r w:rsidR="008769AE" w:rsidRPr="006164D5">
        <w:rPr>
          <w:rFonts w:cstheme="minorHAnsi"/>
          <w:sz w:val="20"/>
          <w:szCs w:val="20"/>
        </w:rPr>
        <w:t xml:space="preserve"> do 1. 7. 2019 = 34 %</w:t>
      </w:r>
      <w:r>
        <w:rPr>
          <w:rFonts w:cstheme="minorHAnsi"/>
          <w:sz w:val="20"/>
          <w:szCs w:val="20"/>
        </w:rPr>
        <w:t xml:space="preserve"> z vyměřovacího základu,</w:t>
      </w:r>
      <w:r w:rsidR="008769AE" w:rsidRPr="006164D5">
        <w:rPr>
          <w:rFonts w:cstheme="minorHAnsi"/>
          <w:sz w:val="20"/>
          <w:szCs w:val="20"/>
        </w:rPr>
        <w:t xml:space="preserve"> </w:t>
      </w:r>
      <w:r>
        <w:rPr>
          <w:rFonts w:cstheme="minorHAnsi"/>
          <w:sz w:val="20"/>
          <w:szCs w:val="20"/>
        </w:rPr>
        <w:t>následně</w:t>
      </w:r>
      <w:r w:rsidR="008769AE" w:rsidRPr="006164D5">
        <w:rPr>
          <w:rFonts w:cstheme="minorHAnsi"/>
          <w:sz w:val="20"/>
          <w:szCs w:val="20"/>
        </w:rPr>
        <w:t xml:space="preserve"> 33,8 %</w:t>
      </w:r>
      <w:r>
        <w:rPr>
          <w:rFonts w:cstheme="minorHAnsi"/>
          <w:sz w:val="20"/>
          <w:szCs w:val="20"/>
        </w:rPr>
        <w:t>, z</w:t>
      </w:r>
      <w:r w:rsidR="00770343">
        <w:rPr>
          <w:rFonts w:cstheme="minorHAnsi"/>
          <w:sz w:val="20"/>
          <w:szCs w:val="20"/>
        </w:rPr>
        <w:t> </w:t>
      </w:r>
      <w:r>
        <w:rPr>
          <w:rFonts w:cstheme="minorHAnsi"/>
          <w:sz w:val="20"/>
          <w:szCs w:val="20"/>
        </w:rPr>
        <w:t>toho</w:t>
      </w:r>
      <w:r w:rsidR="00770343">
        <w:rPr>
          <w:rFonts w:cstheme="minorHAnsi"/>
          <w:sz w:val="20"/>
          <w:szCs w:val="20"/>
        </w:rPr>
        <w:t xml:space="preserve"> </w:t>
      </w:r>
      <w:r>
        <w:rPr>
          <w:rFonts w:cstheme="minorHAnsi"/>
          <w:sz w:val="20"/>
          <w:szCs w:val="20"/>
        </w:rPr>
        <w:t xml:space="preserve">pojistné na </w:t>
      </w:r>
      <w:r w:rsidR="00CF394D" w:rsidRPr="006164D5">
        <w:rPr>
          <w:rFonts w:cstheme="minorHAnsi"/>
          <w:sz w:val="20"/>
          <w:szCs w:val="20"/>
        </w:rPr>
        <w:t xml:space="preserve">veřejné </w:t>
      </w:r>
      <w:r w:rsidR="00EB7EC8" w:rsidRPr="006164D5">
        <w:rPr>
          <w:rFonts w:cstheme="minorHAnsi"/>
          <w:sz w:val="20"/>
          <w:szCs w:val="20"/>
        </w:rPr>
        <w:t>zdravotní pojištění</w:t>
      </w:r>
      <w:r w:rsidR="008769AE" w:rsidRPr="006164D5">
        <w:rPr>
          <w:rFonts w:cstheme="minorHAnsi"/>
          <w:sz w:val="20"/>
          <w:szCs w:val="20"/>
        </w:rPr>
        <w:t xml:space="preserve"> 9 % </w:t>
      </w:r>
      <w:r>
        <w:rPr>
          <w:rFonts w:cstheme="minorHAnsi"/>
          <w:sz w:val="20"/>
          <w:szCs w:val="20"/>
        </w:rPr>
        <w:t>a</w:t>
      </w:r>
      <w:r w:rsidR="008769AE" w:rsidRPr="006164D5">
        <w:rPr>
          <w:rFonts w:cstheme="minorHAnsi"/>
          <w:sz w:val="20"/>
          <w:szCs w:val="20"/>
        </w:rPr>
        <w:t xml:space="preserve"> </w:t>
      </w:r>
      <w:r w:rsidR="00EB7EC8" w:rsidRPr="006164D5">
        <w:rPr>
          <w:rFonts w:cstheme="minorHAnsi"/>
          <w:sz w:val="20"/>
          <w:szCs w:val="20"/>
        </w:rPr>
        <w:t>pojistné na sociální zabezpečení</w:t>
      </w:r>
      <w:r w:rsidR="008769AE" w:rsidRPr="006164D5">
        <w:rPr>
          <w:rFonts w:cstheme="minorHAnsi"/>
          <w:sz w:val="20"/>
          <w:szCs w:val="20"/>
        </w:rPr>
        <w:t xml:space="preserve"> 25 %, resp. </w:t>
      </w:r>
      <w:r w:rsidRPr="009B3429">
        <w:rPr>
          <w:rFonts w:cstheme="minorHAnsi"/>
          <w:sz w:val="20"/>
          <w:szCs w:val="20"/>
        </w:rPr>
        <w:t>24,8 %</w:t>
      </w:r>
      <w:r>
        <w:rPr>
          <w:rFonts w:cstheme="minorHAnsi"/>
          <w:sz w:val="20"/>
          <w:szCs w:val="20"/>
        </w:rPr>
        <w:t xml:space="preserve"> </w:t>
      </w:r>
      <w:r w:rsidR="009C42AD">
        <w:rPr>
          <w:rFonts w:cstheme="minorHAnsi"/>
          <w:sz w:val="20"/>
          <w:szCs w:val="20"/>
        </w:rPr>
        <w:t>(</w:t>
      </w:r>
      <w:r>
        <w:rPr>
          <w:rFonts w:cstheme="minorHAnsi"/>
          <w:sz w:val="20"/>
          <w:szCs w:val="20"/>
        </w:rPr>
        <w:t>od</w:t>
      </w:r>
      <w:r w:rsidR="00770343">
        <w:rPr>
          <w:rFonts w:cstheme="minorHAnsi"/>
          <w:sz w:val="20"/>
          <w:szCs w:val="20"/>
        </w:rPr>
        <w:t> </w:t>
      </w:r>
      <w:r>
        <w:rPr>
          <w:rFonts w:cstheme="minorHAnsi"/>
          <w:sz w:val="20"/>
          <w:szCs w:val="20"/>
        </w:rPr>
        <w:t>1.</w:t>
      </w:r>
      <w:r w:rsidR="00770343">
        <w:rPr>
          <w:rFonts w:cstheme="minorHAnsi"/>
          <w:sz w:val="20"/>
          <w:szCs w:val="20"/>
        </w:rPr>
        <w:t> </w:t>
      </w:r>
      <w:r>
        <w:rPr>
          <w:rFonts w:cstheme="minorHAnsi"/>
          <w:sz w:val="20"/>
          <w:szCs w:val="20"/>
        </w:rPr>
        <w:t>7.</w:t>
      </w:r>
      <w:r w:rsidR="00770343">
        <w:rPr>
          <w:rFonts w:cstheme="minorHAnsi"/>
          <w:sz w:val="20"/>
          <w:szCs w:val="20"/>
        </w:rPr>
        <w:t> </w:t>
      </w:r>
      <w:r>
        <w:rPr>
          <w:rFonts w:cstheme="minorHAnsi"/>
          <w:sz w:val="20"/>
          <w:szCs w:val="20"/>
        </w:rPr>
        <w:t>2019</w:t>
      </w:r>
      <w:r w:rsidR="009C42AD">
        <w:rPr>
          <w:rFonts w:cstheme="minorHAnsi"/>
          <w:sz w:val="20"/>
          <w:szCs w:val="20"/>
        </w:rPr>
        <w:t>)</w:t>
      </w:r>
      <w:r>
        <w:rPr>
          <w:rFonts w:cstheme="minorHAnsi"/>
          <w:sz w:val="20"/>
          <w:szCs w:val="20"/>
        </w:rPr>
        <w:t>.</w:t>
      </w:r>
    </w:p>
    <w:p w14:paraId="0B19A590" w14:textId="23E9C8DE" w:rsidR="008769AE" w:rsidRDefault="008769AE" w:rsidP="006164D5">
      <w:pPr>
        <w:spacing w:before="240" w:line="240" w:lineRule="auto"/>
        <w:jc w:val="both"/>
        <w:rPr>
          <w:rFonts w:ascii="Calibri" w:hAnsi="Calibri" w:cs="Calibri"/>
          <w:sz w:val="24"/>
          <w:szCs w:val="24"/>
        </w:rPr>
      </w:pPr>
      <w:r w:rsidRPr="0083276F">
        <w:rPr>
          <w:rFonts w:ascii="Calibri" w:hAnsi="Calibri" w:cs="Calibri"/>
          <w:sz w:val="24"/>
          <w:szCs w:val="24"/>
        </w:rPr>
        <w:t xml:space="preserve">Z výše uvedeného výpočtu vyplývá, že </w:t>
      </w:r>
      <w:r w:rsidR="009774BA">
        <w:rPr>
          <w:rFonts w:ascii="Calibri" w:hAnsi="Calibri" w:cs="Calibri"/>
          <w:sz w:val="24"/>
          <w:szCs w:val="24"/>
        </w:rPr>
        <w:t>právnické osoby</w:t>
      </w:r>
      <w:r w:rsidRPr="0083276F">
        <w:rPr>
          <w:rFonts w:ascii="Calibri" w:hAnsi="Calibri" w:cs="Calibri"/>
          <w:sz w:val="24"/>
          <w:szCs w:val="24"/>
        </w:rPr>
        <w:t xml:space="preserve">, </w:t>
      </w:r>
      <w:r w:rsidR="009774BA">
        <w:rPr>
          <w:rFonts w:ascii="Calibri" w:hAnsi="Calibri" w:cs="Calibri"/>
          <w:sz w:val="24"/>
          <w:szCs w:val="24"/>
        </w:rPr>
        <w:t>jimž</w:t>
      </w:r>
      <w:r w:rsidRPr="0083276F">
        <w:rPr>
          <w:rFonts w:ascii="Calibri" w:hAnsi="Calibri" w:cs="Calibri"/>
          <w:sz w:val="24"/>
          <w:szCs w:val="24"/>
        </w:rPr>
        <w:t xml:space="preserve"> byla pravomocně uložena pokuta za přestupek podle § 140 odst. 1 písm. e) </w:t>
      </w:r>
      <w:r w:rsidR="009774BA">
        <w:rPr>
          <w:rFonts w:ascii="Calibri" w:hAnsi="Calibri" w:cs="Calibri"/>
          <w:sz w:val="24"/>
          <w:szCs w:val="24"/>
        </w:rPr>
        <w:t xml:space="preserve">zákona o zaměstnanosti, </w:t>
      </w:r>
      <w:r w:rsidR="009774BA" w:rsidRPr="0083276F">
        <w:rPr>
          <w:rFonts w:ascii="Calibri" w:hAnsi="Calibri" w:cs="Calibri"/>
          <w:sz w:val="24"/>
          <w:szCs w:val="24"/>
        </w:rPr>
        <w:t>měl</w:t>
      </w:r>
      <w:r w:rsidR="009774BA">
        <w:rPr>
          <w:rFonts w:ascii="Calibri" w:hAnsi="Calibri" w:cs="Calibri"/>
          <w:sz w:val="24"/>
          <w:szCs w:val="24"/>
        </w:rPr>
        <w:t>y</w:t>
      </w:r>
      <w:r w:rsidR="009774BA" w:rsidRPr="0083276F">
        <w:rPr>
          <w:rFonts w:ascii="Calibri" w:hAnsi="Calibri" w:cs="Calibri"/>
          <w:sz w:val="24"/>
          <w:szCs w:val="24"/>
        </w:rPr>
        <w:t xml:space="preserve"> v kontrolovaném období </w:t>
      </w:r>
      <w:r w:rsidRPr="0083276F">
        <w:rPr>
          <w:rFonts w:ascii="Calibri" w:hAnsi="Calibri" w:cs="Calibri"/>
          <w:sz w:val="24"/>
          <w:szCs w:val="24"/>
        </w:rPr>
        <w:t>uhra</w:t>
      </w:r>
      <w:r w:rsidR="009774BA">
        <w:rPr>
          <w:rFonts w:ascii="Calibri" w:hAnsi="Calibri" w:cs="Calibri"/>
          <w:sz w:val="24"/>
          <w:szCs w:val="24"/>
        </w:rPr>
        <w:t>dit</w:t>
      </w:r>
      <w:r w:rsidRPr="0083276F">
        <w:rPr>
          <w:rFonts w:ascii="Calibri" w:hAnsi="Calibri" w:cs="Calibri"/>
          <w:sz w:val="24"/>
          <w:szCs w:val="24"/>
        </w:rPr>
        <w:t xml:space="preserve"> částk</w:t>
      </w:r>
      <w:r w:rsidR="009774BA">
        <w:rPr>
          <w:rFonts w:ascii="Calibri" w:hAnsi="Calibri" w:cs="Calibri"/>
          <w:sz w:val="24"/>
          <w:szCs w:val="24"/>
        </w:rPr>
        <w:t>u</w:t>
      </w:r>
      <w:r w:rsidRPr="0083276F">
        <w:rPr>
          <w:rFonts w:ascii="Calibri" w:hAnsi="Calibri" w:cs="Calibri"/>
          <w:sz w:val="24"/>
          <w:szCs w:val="24"/>
        </w:rPr>
        <w:t xml:space="preserve"> minimálně ve výši 2 mil. Kč.</w:t>
      </w:r>
    </w:p>
    <w:p w14:paraId="38960EB3" w14:textId="5B9B1C04" w:rsidR="00A81476" w:rsidRPr="009B45DF" w:rsidRDefault="00A81476" w:rsidP="00A81476">
      <w:pPr>
        <w:spacing w:line="240" w:lineRule="auto"/>
        <w:jc w:val="both"/>
        <w:rPr>
          <w:sz w:val="24"/>
          <w:szCs w:val="24"/>
          <w:lang w:eastAsia="cs-CZ"/>
        </w:rPr>
      </w:pPr>
      <w:r>
        <w:rPr>
          <w:sz w:val="24"/>
          <w:szCs w:val="24"/>
          <w:lang w:eastAsia="cs-CZ"/>
        </w:rPr>
        <w:lastRenderedPageBreak/>
        <w:t xml:space="preserve">NKÚ zjistil, že úprava zákona o zaměstnanosti v souvislosti s transpozicí Sankční směrnice nebyla na jednání </w:t>
      </w:r>
      <w:r w:rsidRPr="0005650C">
        <w:rPr>
          <w:sz w:val="24"/>
          <w:szCs w:val="24"/>
          <w:lang w:eastAsia="cs-CZ"/>
        </w:rPr>
        <w:t xml:space="preserve">MOPNZ </w:t>
      </w:r>
      <w:r>
        <w:rPr>
          <w:sz w:val="24"/>
          <w:szCs w:val="24"/>
          <w:lang w:eastAsia="cs-CZ"/>
        </w:rPr>
        <w:t>projednávána.</w:t>
      </w:r>
    </w:p>
    <w:p w14:paraId="513E6AF9" w14:textId="7F17557E" w:rsidR="002D0FE7" w:rsidRDefault="002D0FE7" w:rsidP="006164D5">
      <w:pPr>
        <w:pStyle w:val="NadpisKZ"/>
        <w:numPr>
          <w:ilvl w:val="0"/>
          <w:numId w:val="17"/>
        </w:numPr>
        <w:spacing w:before="240" w:after="160"/>
        <w:ind w:hanging="357"/>
      </w:pPr>
      <w:r>
        <w:t>NKÚ odhadl únik</w:t>
      </w:r>
      <w:r w:rsidR="009774BA">
        <w:t>y</w:t>
      </w:r>
      <w:r>
        <w:t xml:space="preserve"> na dan</w:t>
      </w:r>
      <w:r w:rsidR="009774BA">
        <w:t>i</w:t>
      </w:r>
      <w:r>
        <w:t xml:space="preserve"> </w:t>
      </w:r>
      <w:r w:rsidRPr="00FC696E">
        <w:t>z příjm</w:t>
      </w:r>
      <w:r w:rsidR="0040548F">
        <w:t>ů</w:t>
      </w:r>
      <w:r w:rsidRPr="00FC696E">
        <w:t xml:space="preserve"> fyzických osob a na odvodech </w:t>
      </w:r>
      <w:r w:rsidR="009774BA">
        <w:t xml:space="preserve">pojistného </w:t>
      </w:r>
      <w:r w:rsidRPr="00FC696E">
        <w:t xml:space="preserve">na sociální </w:t>
      </w:r>
      <w:r w:rsidR="009774BA">
        <w:t xml:space="preserve">zabezpečení </w:t>
      </w:r>
      <w:r w:rsidRPr="00FC696E">
        <w:t xml:space="preserve">a </w:t>
      </w:r>
      <w:r w:rsidR="00CF394D">
        <w:t xml:space="preserve">veřejné </w:t>
      </w:r>
      <w:r w:rsidRPr="00FC696E">
        <w:t>zdravotní pojištění</w:t>
      </w:r>
      <w:r>
        <w:t xml:space="preserve"> ve výši desítek miliard korun</w:t>
      </w:r>
    </w:p>
    <w:p w14:paraId="629AAD0B" w14:textId="67E0A86A" w:rsidR="002D0FE7" w:rsidRDefault="003A1850" w:rsidP="00884D0E">
      <w:pPr>
        <w:autoSpaceDE w:val="0"/>
        <w:autoSpaceDN w:val="0"/>
        <w:adjustRightInd w:val="0"/>
        <w:spacing w:after="0" w:line="240" w:lineRule="auto"/>
        <w:jc w:val="both"/>
        <w:rPr>
          <w:rFonts w:ascii="Calibri" w:hAnsi="Calibri" w:cs="Calibri"/>
          <w:sz w:val="24"/>
          <w:szCs w:val="24"/>
        </w:rPr>
      </w:pPr>
      <w:r>
        <w:rPr>
          <w:sz w:val="24"/>
          <w:szCs w:val="24"/>
          <w:lang w:eastAsia="cs-CZ"/>
        </w:rPr>
        <w:t>K</w:t>
      </w:r>
      <w:r w:rsidR="002D0FE7" w:rsidRPr="002D0FE7">
        <w:rPr>
          <w:sz w:val="24"/>
          <w:szCs w:val="24"/>
          <w:lang w:eastAsia="cs-CZ"/>
        </w:rPr>
        <w:t xml:space="preserve">ontrolou </w:t>
      </w:r>
      <w:r>
        <w:rPr>
          <w:sz w:val="24"/>
          <w:szCs w:val="24"/>
          <w:lang w:eastAsia="cs-CZ"/>
        </w:rPr>
        <w:t xml:space="preserve">bylo </w:t>
      </w:r>
      <w:r w:rsidR="002D0FE7" w:rsidRPr="002D0FE7">
        <w:rPr>
          <w:sz w:val="24"/>
          <w:szCs w:val="24"/>
          <w:lang w:eastAsia="cs-CZ"/>
        </w:rPr>
        <w:t>zji</w:t>
      </w:r>
      <w:r>
        <w:rPr>
          <w:sz w:val="24"/>
          <w:szCs w:val="24"/>
          <w:lang w:eastAsia="cs-CZ"/>
        </w:rPr>
        <w:t>štěno</w:t>
      </w:r>
      <w:r w:rsidR="002D0FE7" w:rsidRPr="002D0FE7">
        <w:rPr>
          <w:sz w:val="24"/>
          <w:szCs w:val="24"/>
          <w:lang w:eastAsia="cs-CZ"/>
        </w:rPr>
        <w:t xml:space="preserve">, že MPSV neprovádělo </w:t>
      </w:r>
      <w:r w:rsidR="002D0FE7" w:rsidRPr="002D0FE7">
        <w:rPr>
          <w:rFonts w:ascii="Calibri" w:hAnsi="Calibri" w:cs="Calibri"/>
          <w:sz w:val="24"/>
          <w:szCs w:val="24"/>
        </w:rPr>
        <w:t>odhad</w:t>
      </w:r>
      <w:r>
        <w:rPr>
          <w:rFonts w:ascii="Calibri" w:hAnsi="Calibri" w:cs="Calibri"/>
          <w:sz w:val="24"/>
          <w:szCs w:val="24"/>
        </w:rPr>
        <w:t>y</w:t>
      </w:r>
      <w:r w:rsidR="002D0FE7" w:rsidRPr="002D0FE7">
        <w:rPr>
          <w:rFonts w:ascii="Calibri" w:hAnsi="Calibri" w:cs="Calibri"/>
          <w:sz w:val="24"/>
          <w:szCs w:val="24"/>
        </w:rPr>
        <w:t xml:space="preserve"> míry úniků na příjmech v oblasti nelegálního zaměstnávání</w:t>
      </w:r>
      <w:r w:rsidR="002D0FE7" w:rsidRPr="002D0FE7">
        <w:rPr>
          <w:sz w:val="24"/>
          <w:szCs w:val="24"/>
          <w:lang w:eastAsia="cs-CZ"/>
        </w:rPr>
        <w:t xml:space="preserve">. </w:t>
      </w:r>
      <w:r w:rsidR="002D0FE7" w:rsidRPr="002D0FE7">
        <w:rPr>
          <w:rFonts w:ascii="Calibri" w:hAnsi="Calibri" w:cs="Calibri"/>
          <w:sz w:val="24"/>
          <w:szCs w:val="24"/>
        </w:rPr>
        <w:t xml:space="preserve">NKÚ provedl vlastní výpočet, který vychází z odhadu rozsahu šedé ekonomiky. </w:t>
      </w:r>
      <w:r>
        <w:rPr>
          <w:rFonts w:ascii="Calibri" w:hAnsi="Calibri" w:cs="Calibri"/>
          <w:sz w:val="24"/>
          <w:szCs w:val="24"/>
        </w:rPr>
        <w:t>Ke stanovení</w:t>
      </w:r>
      <w:r w:rsidR="002D0FE7" w:rsidRPr="002D0FE7">
        <w:rPr>
          <w:rFonts w:ascii="Calibri" w:hAnsi="Calibri" w:cs="Calibri"/>
          <w:sz w:val="24"/>
          <w:szCs w:val="24"/>
        </w:rPr>
        <w:t xml:space="preserve"> rozsahu nelegální práce</w:t>
      </w:r>
      <w:r>
        <w:rPr>
          <w:rFonts w:ascii="Calibri" w:hAnsi="Calibri" w:cs="Calibri"/>
          <w:sz w:val="24"/>
          <w:szCs w:val="24"/>
        </w:rPr>
        <w:t xml:space="preserve"> </w:t>
      </w:r>
      <w:r w:rsidRPr="002D0FE7">
        <w:rPr>
          <w:rFonts w:ascii="Calibri" w:hAnsi="Calibri" w:cs="Calibri"/>
          <w:sz w:val="24"/>
          <w:szCs w:val="24"/>
        </w:rPr>
        <w:t xml:space="preserve">zvolil </w:t>
      </w:r>
      <w:r>
        <w:rPr>
          <w:rFonts w:ascii="Calibri" w:hAnsi="Calibri" w:cs="Calibri"/>
          <w:sz w:val="24"/>
          <w:szCs w:val="24"/>
        </w:rPr>
        <w:t>metodu</w:t>
      </w:r>
      <w:r w:rsidR="003052EB">
        <w:rPr>
          <w:rFonts w:ascii="Calibri" w:hAnsi="Calibri" w:cs="Calibri"/>
          <w:sz w:val="24"/>
          <w:szCs w:val="24"/>
        </w:rPr>
        <w:t>, která</w:t>
      </w:r>
      <w:r w:rsidR="002D0FE7" w:rsidRPr="002D0FE7">
        <w:rPr>
          <w:rFonts w:ascii="Calibri" w:hAnsi="Calibri" w:cs="Calibri"/>
          <w:sz w:val="24"/>
          <w:szCs w:val="24"/>
        </w:rPr>
        <w:t xml:space="preserve"> pracuje s údaji vykázanými ve statistikách práce, resp. vychází z porovnání výstupů výběrového šetření pracovních sil (dále také „VŠPS“) a podnikové statistiky práce (případně statistik úřadů práce). VŠPS</w:t>
      </w:r>
      <w:r w:rsidR="002D0FE7" w:rsidRPr="002D0FE7">
        <w:rPr>
          <w:rStyle w:val="Znakapoznpodarou"/>
          <w:rFonts w:ascii="Calibri" w:hAnsi="Calibri" w:cs="Calibri"/>
          <w:sz w:val="24"/>
          <w:szCs w:val="24"/>
        </w:rPr>
        <w:footnoteReference w:id="39"/>
      </w:r>
      <w:r w:rsidR="002D0FE7" w:rsidRPr="002D0FE7">
        <w:rPr>
          <w:rFonts w:ascii="Calibri" w:hAnsi="Calibri" w:cs="Calibri"/>
          <w:sz w:val="24"/>
          <w:szCs w:val="24"/>
        </w:rPr>
        <w:t xml:space="preserve"> odvozuje celkový počet zaměstnaných na základě odpovědí na otázku ohledně výkonu práce u jednotlivých osob v šetřených domácnostech. Rozhodující přitom není, zda byla závisl</w:t>
      </w:r>
      <w:r w:rsidR="005277D8">
        <w:rPr>
          <w:rFonts w:ascii="Calibri" w:hAnsi="Calibri" w:cs="Calibri"/>
          <w:sz w:val="24"/>
          <w:szCs w:val="24"/>
        </w:rPr>
        <w:t>á</w:t>
      </w:r>
      <w:r w:rsidR="002D0FE7" w:rsidRPr="002D0FE7">
        <w:rPr>
          <w:rFonts w:ascii="Calibri" w:hAnsi="Calibri" w:cs="Calibri"/>
          <w:sz w:val="24"/>
          <w:szCs w:val="24"/>
        </w:rPr>
        <w:t xml:space="preserve"> práce vykonávána na základě pracovní smlouvy a byla plněna daňová povinnost a zda měla daná osoba jedno nebo více souběžných zaměstnání. Podniková statistika (</w:t>
      </w:r>
      <w:r>
        <w:rPr>
          <w:rFonts w:ascii="Calibri" w:hAnsi="Calibri" w:cs="Calibri"/>
          <w:sz w:val="24"/>
          <w:szCs w:val="24"/>
        </w:rPr>
        <w:t>e</w:t>
      </w:r>
      <w:r w:rsidR="002D0FE7" w:rsidRPr="002D0FE7">
        <w:rPr>
          <w:rFonts w:ascii="Calibri" w:hAnsi="Calibri" w:cs="Calibri"/>
          <w:sz w:val="24"/>
          <w:szCs w:val="24"/>
        </w:rPr>
        <w:t>videnční počty zaměstnanců ve fyzických osobách a jejich mzdy)</w:t>
      </w:r>
      <w:r w:rsidR="002D0FE7" w:rsidRPr="002D0FE7">
        <w:rPr>
          <w:rStyle w:val="Znakapoznpodarou"/>
          <w:rFonts w:ascii="Calibri" w:hAnsi="Calibri" w:cs="Calibri"/>
          <w:sz w:val="24"/>
          <w:szCs w:val="24"/>
        </w:rPr>
        <w:footnoteReference w:id="40"/>
      </w:r>
      <w:r w:rsidR="002D0FE7" w:rsidRPr="002D0FE7">
        <w:rPr>
          <w:rFonts w:ascii="Calibri" w:hAnsi="Calibri" w:cs="Calibri"/>
          <w:sz w:val="24"/>
          <w:szCs w:val="24"/>
        </w:rPr>
        <w:t xml:space="preserve"> pak uvádí počet zaměstnaných na základě podnikového účetnictví a interních informačních systémů. Rozdíl mezi počty zaměstnaných dle obou zmíněných statistik práce lze z hlediska hrubého odhadu považovat za osoby vykonávající nelegální práci. Jedná se totiž o osoby, které nejsou zachyceny v podnikových statistikách, ale v rámci VŠPS uvedly, že v daném období </w:t>
      </w:r>
      <w:r w:rsidR="002D0FE7" w:rsidRPr="00A809DB">
        <w:rPr>
          <w:rFonts w:ascii="Calibri" w:hAnsi="Calibri" w:cs="Calibri"/>
          <w:sz w:val="24"/>
          <w:szCs w:val="24"/>
        </w:rPr>
        <w:t>vykonávaly</w:t>
      </w:r>
      <w:r w:rsidR="002D0FE7" w:rsidRPr="002D0FE7">
        <w:rPr>
          <w:rFonts w:ascii="Calibri" w:hAnsi="Calibri" w:cs="Calibri"/>
          <w:sz w:val="24"/>
          <w:szCs w:val="24"/>
        </w:rPr>
        <w:t xml:space="preserve"> závislou</w:t>
      </w:r>
      <w:r w:rsidR="002D0FE7" w:rsidRPr="002D0FE7">
        <w:rPr>
          <w:rStyle w:val="Znakapoznpodarou"/>
          <w:rFonts w:ascii="Calibri" w:hAnsi="Calibri" w:cs="Calibri"/>
          <w:sz w:val="24"/>
          <w:szCs w:val="24"/>
        </w:rPr>
        <w:footnoteReference w:id="41"/>
      </w:r>
      <w:r w:rsidR="002D0FE7" w:rsidRPr="002D0FE7">
        <w:rPr>
          <w:rFonts w:ascii="Calibri" w:hAnsi="Calibri" w:cs="Calibri"/>
          <w:sz w:val="24"/>
          <w:szCs w:val="24"/>
        </w:rPr>
        <w:t xml:space="preserve"> činnost</w:t>
      </w:r>
      <w:r w:rsidR="00961D28">
        <w:rPr>
          <w:rFonts w:ascii="Calibri" w:hAnsi="Calibri" w:cs="Calibri"/>
          <w:sz w:val="24"/>
          <w:szCs w:val="24"/>
        </w:rPr>
        <w:t>.</w:t>
      </w:r>
      <w:r w:rsidR="002D0FE7" w:rsidRPr="002D0FE7">
        <w:rPr>
          <w:rStyle w:val="Znakapoznpodarou"/>
          <w:rFonts w:ascii="Calibri" w:hAnsi="Calibri" w:cs="Calibri"/>
          <w:sz w:val="24"/>
          <w:szCs w:val="24"/>
        </w:rPr>
        <w:footnoteReference w:id="42"/>
      </w:r>
    </w:p>
    <w:p w14:paraId="49EE1374" w14:textId="11E1CFAF" w:rsidR="00C25E3F" w:rsidRPr="00E260D9" w:rsidRDefault="00C25E3F" w:rsidP="006164D5">
      <w:pPr>
        <w:keepNext/>
        <w:autoSpaceDE w:val="0"/>
        <w:autoSpaceDN w:val="0"/>
        <w:adjustRightInd w:val="0"/>
        <w:spacing w:before="240" w:after="0" w:line="240" w:lineRule="auto"/>
        <w:jc w:val="both"/>
        <w:rPr>
          <w:rFonts w:ascii="Calibri" w:hAnsi="Calibri" w:cs="Calibri"/>
          <w:b/>
          <w:bCs/>
          <w:sz w:val="24"/>
          <w:szCs w:val="24"/>
        </w:rPr>
      </w:pPr>
      <w:r w:rsidRPr="00E260D9">
        <w:rPr>
          <w:rFonts w:ascii="Calibri" w:hAnsi="Calibri" w:cs="Calibri"/>
          <w:b/>
          <w:bCs/>
          <w:sz w:val="24"/>
          <w:szCs w:val="24"/>
        </w:rPr>
        <w:t xml:space="preserve">Tabulka č. </w:t>
      </w:r>
      <w:r w:rsidR="00316A26">
        <w:rPr>
          <w:rFonts w:ascii="Calibri" w:hAnsi="Calibri" w:cs="Calibri"/>
          <w:b/>
          <w:bCs/>
          <w:sz w:val="24"/>
          <w:szCs w:val="24"/>
        </w:rPr>
        <w:t>6</w:t>
      </w:r>
      <w:r w:rsidR="0027557B">
        <w:rPr>
          <w:rFonts w:ascii="Calibri" w:hAnsi="Calibri" w:cs="Calibri"/>
          <w:b/>
          <w:bCs/>
          <w:sz w:val="24"/>
          <w:szCs w:val="24"/>
        </w:rPr>
        <w:t>:</w:t>
      </w:r>
      <w:r w:rsidRPr="00E260D9">
        <w:rPr>
          <w:rFonts w:ascii="Calibri" w:hAnsi="Calibri" w:cs="Calibri"/>
          <w:b/>
          <w:bCs/>
          <w:sz w:val="24"/>
          <w:szCs w:val="24"/>
        </w:rPr>
        <w:t xml:space="preserve"> </w:t>
      </w:r>
      <w:r w:rsidR="00664425">
        <w:rPr>
          <w:rFonts w:ascii="Calibri" w:hAnsi="Calibri" w:cs="Calibri"/>
          <w:b/>
          <w:bCs/>
          <w:sz w:val="24"/>
          <w:szCs w:val="24"/>
        </w:rPr>
        <w:t>Průměrné p</w:t>
      </w:r>
      <w:r w:rsidRPr="00E260D9">
        <w:rPr>
          <w:rFonts w:ascii="Calibri" w:hAnsi="Calibri" w:cs="Calibri"/>
          <w:b/>
          <w:bCs/>
          <w:sz w:val="24"/>
          <w:szCs w:val="24"/>
        </w:rPr>
        <w:t xml:space="preserve">očty zaměstnaných dle VŠPS a dle podnikových statistik </w:t>
      </w:r>
      <w:r w:rsidR="008A0596">
        <w:rPr>
          <w:rFonts w:ascii="Calibri" w:hAnsi="Calibri" w:cs="Calibri"/>
          <w:b/>
          <w:bCs/>
          <w:sz w:val="24"/>
          <w:szCs w:val="24"/>
        </w:rPr>
        <w:t>(</w:t>
      </w:r>
      <w:r w:rsidRPr="00E260D9">
        <w:rPr>
          <w:rFonts w:ascii="Calibri" w:hAnsi="Calibri" w:cs="Calibri"/>
          <w:b/>
          <w:bCs/>
          <w:sz w:val="24"/>
          <w:szCs w:val="24"/>
        </w:rPr>
        <w:t>v tis. osob</w:t>
      </w:r>
      <w:r w:rsidR="008A0596">
        <w:rPr>
          <w:rFonts w:ascii="Calibri" w:hAnsi="Calibri" w:cs="Calibri"/>
          <w:b/>
          <w:bCs/>
          <w:sz w:val="24"/>
          <w:szCs w:val="24"/>
        </w:rPr>
        <w:t>)</w:t>
      </w:r>
    </w:p>
    <w:tbl>
      <w:tblPr>
        <w:tblStyle w:val="Mkatabulky"/>
        <w:tblW w:w="9067" w:type="dxa"/>
        <w:tblLayout w:type="fixed"/>
        <w:tblLook w:val="04A0" w:firstRow="1" w:lastRow="0" w:firstColumn="1" w:lastColumn="0" w:noHBand="0" w:noVBand="1"/>
      </w:tblPr>
      <w:tblGrid>
        <w:gridCol w:w="5098"/>
        <w:gridCol w:w="992"/>
        <w:gridCol w:w="992"/>
        <w:gridCol w:w="992"/>
        <w:gridCol w:w="993"/>
      </w:tblGrid>
      <w:tr w:rsidR="00714F5E" w:rsidRPr="00714F5E" w14:paraId="00C11A13" w14:textId="77777777" w:rsidTr="006164D5">
        <w:trPr>
          <w:trHeight w:val="397"/>
        </w:trPr>
        <w:tc>
          <w:tcPr>
            <w:tcW w:w="5098" w:type="dxa"/>
            <w:shd w:val="clear" w:color="auto" w:fill="E7E6E6" w:themeFill="background2"/>
            <w:noWrap/>
            <w:vAlign w:val="center"/>
            <w:hideMark/>
          </w:tcPr>
          <w:p w14:paraId="4D6D1B1D" w14:textId="77777777" w:rsidR="00714F5E" w:rsidRPr="00DE3B01" w:rsidRDefault="00714F5E" w:rsidP="006164D5">
            <w:pPr>
              <w:autoSpaceDE w:val="0"/>
              <w:autoSpaceDN w:val="0"/>
              <w:adjustRightInd w:val="0"/>
              <w:rPr>
                <w:rFonts w:cstheme="minorHAnsi"/>
                <w:b/>
                <w:sz w:val="20"/>
                <w:szCs w:val="20"/>
              </w:rPr>
            </w:pPr>
          </w:p>
        </w:tc>
        <w:tc>
          <w:tcPr>
            <w:tcW w:w="992" w:type="dxa"/>
            <w:shd w:val="clear" w:color="auto" w:fill="E7E6E6" w:themeFill="background2"/>
            <w:noWrap/>
            <w:vAlign w:val="center"/>
            <w:hideMark/>
          </w:tcPr>
          <w:p w14:paraId="6DB5F66F" w14:textId="77777777" w:rsidR="00714F5E" w:rsidRPr="00DE3B01" w:rsidRDefault="00714F5E" w:rsidP="00830B05">
            <w:pPr>
              <w:autoSpaceDE w:val="0"/>
              <w:autoSpaceDN w:val="0"/>
              <w:adjustRightInd w:val="0"/>
              <w:jc w:val="center"/>
              <w:rPr>
                <w:rFonts w:cstheme="minorHAnsi"/>
                <w:b/>
                <w:sz w:val="20"/>
                <w:szCs w:val="20"/>
              </w:rPr>
            </w:pPr>
            <w:r w:rsidRPr="00DE3B01">
              <w:rPr>
                <w:rFonts w:cstheme="minorHAnsi"/>
                <w:b/>
                <w:sz w:val="20"/>
                <w:szCs w:val="20"/>
              </w:rPr>
              <w:t>2019</w:t>
            </w:r>
          </w:p>
        </w:tc>
        <w:tc>
          <w:tcPr>
            <w:tcW w:w="992" w:type="dxa"/>
            <w:shd w:val="clear" w:color="auto" w:fill="E7E6E6" w:themeFill="background2"/>
            <w:noWrap/>
            <w:vAlign w:val="center"/>
            <w:hideMark/>
          </w:tcPr>
          <w:p w14:paraId="78BBE46D" w14:textId="77777777" w:rsidR="00714F5E" w:rsidRPr="00DE3B01" w:rsidRDefault="00714F5E" w:rsidP="00830B05">
            <w:pPr>
              <w:autoSpaceDE w:val="0"/>
              <w:autoSpaceDN w:val="0"/>
              <w:adjustRightInd w:val="0"/>
              <w:jc w:val="center"/>
              <w:rPr>
                <w:rFonts w:cstheme="minorHAnsi"/>
                <w:b/>
                <w:sz w:val="20"/>
                <w:szCs w:val="20"/>
              </w:rPr>
            </w:pPr>
            <w:r w:rsidRPr="00DE3B01">
              <w:rPr>
                <w:rFonts w:cstheme="minorHAnsi"/>
                <w:b/>
                <w:sz w:val="20"/>
                <w:szCs w:val="20"/>
              </w:rPr>
              <w:t>2020</w:t>
            </w:r>
          </w:p>
        </w:tc>
        <w:tc>
          <w:tcPr>
            <w:tcW w:w="992" w:type="dxa"/>
            <w:shd w:val="clear" w:color="auto" w:fill="E7E6E6" w:themeFill="background2"/>
            <w:noWrap/>
            <w:vAlign w:val="center"/>
            <w:hideMark/>
          </w:tcPr>
          <w:p w14:paraId="5B371D36" w14:textId="77777777" w:rsidR="00714F5E" w:rsidRPr="00DE3B01" w:rsidRDefault="00714F5E" w:rsidP="00830B05">
            <w:pPr>
              <w:autoSpaceDE w:val="0"/>
              <w:autoSpaceDN w:val="0"/>
              <w:adjustRightInd w:val="0"/>
              <w:jc w:val="center"/>
              <w:rPr>
                <w:rFonts w:cstheme="minorHAnsi"/>
                <w:b/>
                <w:sz w:val="20"/>
                <w:szCs w:val="20"/>
              </w:rPr>
            </w:pPr>
            <w:r w:rsidRPr="00DE3B01">
              <w:rPr>
                <w:rFonts w:cstheme="minorHAnsi"/>
                <w:b/>
                <w:sz w:val="20"/>
                <w:szCs w:val="20"/>
              </w:rPr>
              <w:t>2021</w:t>
            </w:r>
          </w:p>
        </w:tc>
        <w:tc>
          <w:tcPr>
            <w:tcW w:w="993" w:type="dxa"/>
            <w:shd w:val="clear" w:color="auto" w:fill="E7E6E6" w:themeFill="background2"/>
            <w:noWrap/>
            <w:vAlign w:val="center"/>
            <w:hideMark/>
          </w:tcPr>
          <w:p w14:paraId="6C6884F2" w14:textId="77777777" w:rsidR="00714F5E" w:rsidRPr="00DE3B01" w:rsidRDefault="00714F5E" w:rsidP="00830B05">
            <w:pPr>
              <w:autoSpaceDE w:val="0"/>
              <w:autoSpaceDN w:val="0"/>
              <w:adjustRightInd w:val="0"/>
              <w:jc w:val="center"/>
              <w:rPr>
                <w:rFonts w:cstheme="minorHAnsi"/>
                <w:b/>
                <w:sz w:val="20"/>
                <w:szCs w:val="20"/>
              </w:rPr>
            </w:pPr>
            <w:r w:rsidRPr="00DE3B01">
              <w:rPr>
                <w:rFonts w:cstheme="minorHAnsi"/>
                <w:b/>
                <w:sz w:val="20"/>
                <w:szCs w:val="20"/>
              </w:rPr>
              <w:t>2022</w:t>
            </w:r>
          </w:p>
        </w:tc>
      </w:tr>
      <w:tr w:rsidR="00714F5E" w:rsidRPr="00714F5E" w14:paraId="0290B720" w14:textId="77777777" w:rsidTr="006164D5">
        <w:trPr>
          <w:trHeight w:val="340"/>
        </w:trPr>
        <w:tc>
          <w:tcPr>
            <w:tcW w:w="5098" w:type="dxa"/>
            <w:noWrap/>
            <w:vAlign w:val="center"/>
            <w:hideMark/>
          </w:tcPr>
          <w:p w14:paraId="0B11FC95" w14:textId="77777777" w:rsidR="00714F5E" w:rsidRPr="00DE3B01" w:rsidRDefault="00714F5E" w:rsidP="00830B05">
            <w:pPr>
              <w:rPr>
                <w:sz w:val="20"/>
                <w:szCs w:val="20"/>
              </w:rPr>
            </w:pPr>
            <w:r w:rsidRPr="00DE3B01">
              <w:rPr>
                <w:sz w:val="20"/>
                <w:szCs w:val="20"/>
              </w:rPr>
              <w:t>Zaměstnaní dle VŠPS</w:t>
            </w:r>
          </w:p>
        </w:tc>
        <w:tc>
          <w:tcPr>
            <w:tcW w:w="992" w:type="dxa"/>
            <w:noWrap/>
            <w:vAlign w:val="center"/>
            <w:hideMark/>
          </w:tcPr>
          <w:p w14:paraId="4C13A404" w14:textId="77777777" w:rsidR="00714F5E" w:rsidRPr="00DE3B01" w:rsidRDefault="00714F5E" w:rsidP="00830B05">
            <w:pPr>
              <w:jc w:val="right"/>
              <w:rPr>
                <w:sz w:val="20"/>
                <w:szCs w:val="20"/>
              </w:rPr>
            </w:pPr>
            <w:r w:rsidRPr="00DE3B01">
              <w:rPr>
                <w:sz w:val="20"/>
                <w:szCs w:val="20"/>
              </w:rPr>
              <w:t>4 412</w:t>
            </w:r>
          </w:p>
        </w:tc>
        <w:tc>
          <w:tcPr>
            <w:tcW w:w="992" w:type="dxa"/>
            <w:noWrap/>
            <w:vAlign w:val="center"/>
            <w:hideMark/>
          </w:tcPr>
          <w:p w14:paraId="28880229" w14:textId="77777777" w:rsidR="00714F5E" w:rsidRPr="00DE3B01" w:rsidRDefault="00714F5E" w:rsidP="00830B05">
            <w:pPr>
              <w:jc w:val="right"/>
              <w:rPr>
                <w:sz w:val="20"/>
                <w:szCs w:val="20"/>
              </w:rPr>
            </w:pPr>
            <w:r w:rsidRPr="00DE3B01">
              <w:rPr>
                <w:sz w:val="20"/>
                <w:szCs w:val="20"/>
              </w:rPr>
              <w:t>4 351</w:t>
            </w:r>
          </w:p>
        </w:tc>
        <w:tc>
          <w:tcPr>
            <w:tcW w:w="992" w:type="dxa"/>
            <w:noWrap/>
            <w:vAlign w:val="center"/>
            <w:hideMark/>
          </w:tcPr>
          <w:p w14:paraId="04C7B2D1" w14:textId="77777777" w:rsidR="00714F5E" w:rsidRPr="00DE3B01" w:rsidRDefault="00714F5E" w:rsidP="00830B05">
            <w:pPr>
              <w:jc w:val="right"/>
              <w:rPr>
                <w:sz w:val="20"/>
                <w:szCs w:val="20"/>
              </w:rPr>
            </w:pPr>
            <w:r w:rsidRPr="00DE3B01">
              <w:rPr>
                <w:sz w:val="20"/>
                <w:szCs w:val="20"/>
              </w:rPr>
              <w:t>4 383</w:t>
            </w:r>
          </w:p>
        </w:tc>
        <w:tc>
          <w:tcPr>
            <w:tcW w:w="993" w:type="dxa"/>
            <w:noWrap/>
            <w:vAlign w:val="center"/>
            <w:hideMark/>
          </w:tcPr>
          <w:p w14:paraId="7C23C02F" w14:textId="164276AB" w:rsidR="00714F5E" w:rsidRPr="00DE3B01" w:rsidRDefault="00714F5E" w:rsidP="00830B05">
            <w:pPr>
              <w:jc w:val="right"/>
              <w:rPr>
                <w:sz w:val="20"/>
                <w:szCs w:val="20"/>
              </w:rPr>
            </w:pPr>
            <w:r w:rsidRPr="00DE3B01">
              <w:rPr>
                <w:sz w:val="20"/>
                <w:szCs w:val="20"/>
              </w:rPr>
              <w:t xml:space="preserve">4 </w:t>
            </w:r>
            <w:r w:rsidR="00263945" w:rsidRPr="00DE3B01">
              <w:rPr>
                <w:sz w:val="20"/>
                <w:szCs w:val="20"/>
              </w:rPr>
              <w:t>34</w:t>
            </w:r>
            <w:r w:rsidR="00263945">
              <w:rPr>
                <w:sz w:val="20"/>
                <w:szCs w:val="20"/>
              </w:rPr>
              <w:t>5</w:t>
            </w:r>
          </w:p>
        </w:tc>
      </w:tr>
      <w:tr w:rsidR="00714F5E" w:rsidRPr="00714F5E" w14:paraId="544F3EBD" w14:textId="77777777" w:rsidTr="006164D5">
        <w:trPr>
          <w:trHeight w:val="340"/>
        </w:trPr>
        <w:tc>
          <w:tcPr>
            <w:tcW w:w="5098" w:type="dxa"/>
            <w:noWrap/>
            <w:vAlign w:val="center"/>
            <w:hideMark/>
          </w:tcPr>
          <w:p w14:paraId="04CDF768" w14:textId="65C82FC7" w:rsidR="00714F5E" w:rsidRPr="00DE3B01" w:rsidRDefault="00714F5E" w:rsidP="00830B05">
            <w:pPr>
              <w:rPr>
                <w:sz w:val="20"/>
                <w:szCs w:val="20"/>
              </w:rPr>
            </w:pPr>
            <w:r w:rsidRPr="00DE3B01">
              <w:rPr>
                <w:sz w:val="20"/>
                <w:szCs w:val="20"/>
              </w:rPr>
              <w:t xml:space="preserve">Počty zaměstnanců dle podnikové </w:t>
            </w:r>
            <w:r w:rsidR="00DE3B01" w:rsidRPr="00DE3B01">
              <w:rPr>
                <w:sz w:val="20"/>
                <w:szCs w:val="20"/>
              </w:rPr>
              <w:t>statistiky – fyzické</w:t>
            </w:r>
            <w:r w:rsidRPr="00DE3B01">
              <w:rPr>
                <w:sz w:val="20"/>
                <w:szCs w:val="20"/>
              </w:rPr>
              <w:t xml:space="preserve"> osoby</w:t>
            </w:r>
          </w:p>
        </w:tc>
        <w:tc>
          <w:tcPr>
            <w:tcW w:w="992" w:type="dxa"/>
            <w:noWrap/>
            <w:vAlign w:val="center"/>
            <w:hideMark/>
          </w:tcPr>
          <w:p w14:paraId="6C990DC6" w14:textId="77777777" w:rsidR="00714F5E" w:rsidRPr="00DE3B01" w:rsidRDefault="00714F5E" w:rsidP="00830B05">
            <w:pPr>
              <w:jc w:val="right"/>
              <w:rPr>
                <w:sz w:val="20"/>
                <w:szCs w:val="20"/>
              </w:rPr>
            </w:pPr>
            <w:r w:rsidRPr="00DE3B01">
              <w:rPr>
                <w:sz w:val="20"/>
                <w:szCs w:val="20"/>
              </w:rPr>
              <w:t>4 227</w:t>
            </w:r>
          </w:p>
        </w:tc>
        <w:tc>
          <w:tcPr>
            <w:tcW w:w="992" w:type="dxa"/>
            <w:noWrap/>
            <w:vAlign w:val="center"/>
            <w:hideMark/>
          </w:tcPr>
          <w:p w14:paraId="46B25038" w14:textId="77777777" w:rsidR="00714F5E" w:rsidRPr="00DE3B01" w:rsidRDefault="00714F5E" w:rsidP="00830B05">
            <w:pPr>
              <w:jc w:val="right"/>
              <w:rPr>
                <w:sz w:val="20"/>
                <w:szCs w:val="20"/>
              </w:rPr>
            </w:pPr>
            <w:r w:rsidRPr="00DE3B01">
              <w:rPr>
                <w:sz w:val="20"/>
                <w:szCs w:val="20"/>
              </w:rPr>
              <w:t>4 173</w:t>
            </w:r>
          </w:p>
        </w:tc>
        <w:tc>
          <w:tcPr>
            <w:tcW w:w="992" w:type="dxa"/>
            <w:noWrap/>
            <w:vAlign w:val="center"/>
            <w:hideMark/>
          </w:tcPr>
          <w:p w14:paraId="41BC433E" w14:textId="77777777" w:rsidR="00714F5E" w:rsidRPr="00DE3B01" w:rsidRDefault="00714F5E" w:rsidP="00830B05">
            <w:pPr>
              <w:jc w:val="right"/>
              <w:rPr>
                <w:sz w:val="20"/>
                <w:szCs w:val="20"/>
              </w:rPr>
            </w:pPr>
            <w:r w:rsidRPr="00DE3B01">
              <w:rPr>
                <w:sz w:val="20"/>
                <w:szCs w:val="20"/>
              </w:rPr>
              <w:t>4 186</w:t>
            </w:r>
          </w:p>
        </w:tc>
        <w:tc>
          <w:tcPr>
            <w:tcW w:w="993" w:type="dxa"/>
            <w:noWrap/>
            <w:vAlign w:val="center"/>
            <w:hideMark/>
          </w:tcPr>
          <w:p w14:paraId="6E6C85A0" w14:textId="77777777" w:rsidR="00714F5E" w:rsidRPr="00DE3B01" w:rsidRDefault="00714F5E" w:rsidP="00830B05">
            <w:pPr>
              <w:jc w:val="right"/>
              <w:rPr>
                <w:sz w:val="20"/>
                <w:szCs w:val="20"/>
              </w:rPr>
            </w:pPr>
            <w:r w:rsidRPr="00DE3B01">
              <w:rPr>
                <w:sz w:val="20"/>
                <w:szCs w:val="20"/>
              </w:rPr>
              <w:t>4 224</w:t>
            </w:r>
          </w:p>
        </w:tc>
      </w:tr>
      <w:tr w:rsidR="00714F5E" w:rsidRPr="00714F5E" w14:paraId="70CA6CE2" w14:textId="77777777" w:rsidTr="006164D5">
        <w:trPr>
          <w:trHeight w:val="340"/>
        </w:trPr>
        <w:tc>
          <w:tcPr>
            <w:tcW w:w="5098" w:type="dxa"/>
            <w:noWrap/>
            <w:vAlign w:val="center"/>
            <w:hideMark/>
          </w:tcPr>
          <w:p w14:paraId="7F26BCFC" w14:textId="77777777" w:rsidR="00714F5E" w:rsidRPr="00DE3B01" w:rsidRDefault="00714F5E" w:rsidP="00830B05">
            <w:pPr>
              <w:autoSpaceDE w:val="0"/>
              <w:autoSpaceDN w:val="0"/>
              <w:adjustRightInd w:val="0"/>
              <w:rPr>
                <w:rFonts w:ascii="Calibri" w:hAnsi="Calibri" w:cs="Calibri"/>
                <w:b/>
                <w:bCs/>
                <w:sz w:val="20"/>
                <w:szCs w:val="20"/>
              </w:rPr>
            </w:pPr>
            <w:r w:rsidRPr="00DE3B01">
              <w:rPr>
                <w:rFonts w:ascii="Calibri" w:hAnsi="Calibri" w:cs="Calibri"/>
                <w:b/>
                <w:bCs/>
                <w:sz w:val="20"/>
                <w:szCs w:val="20"/>
              </w:rPr>
              <w:t>Odhad počtu nelegálních zaměstnanců</w:t>
            </w:r>
          </w:p>
        </w:tc>
        <w:tc>
          <w:tcPr>
            <w:tcW w:w="992" w:type="dxa"/>
            <w:noWrap/>
            <w:vAlign w:val="center"/>
            <w:hideMark/>
          </w:tcPr>
          <w:p w14:paraId="0C2D1812" w14:textId="77777777" w:rsidR="00714F5E" w:rsidRPr="00DE3B01" w:rsidRDefault="00714F5E" w:rsidP="00830B05">
            <w:pPr>
              <w:autoSpaceDE w:val="0"/>
              <w:autoSpaceDN w:val="0"/>
              <w:adjustRightInd w:val="0"/>
              <w:jc w:val="right"/>
              <w:rPr>
                <w:rFonts w:ascii="Calibri" w:hAnsi="Calibri" w:cs="Calibri"/>
                <w:b/>
                <w:bCs/>
                <w:sz w:val="20"/>
                <w:szCs w:val="20"/>
              </w:rPr>
            </w:pPr>
            <w:r w:rsidRPr="00DE3B01">
              <w:rPr>
                <w:rFonts w:ascii="Calibri" w:hAnsi="Calibri" w:cs="Calibri"/>
                <w:b/>
                <w:bCs/>
                <w:sz w:val="20"/>
                <w:szCs w:val="20"/>
              </w:rPr>
              <w:t>185</w:t>
            </w:r>
          </w:p>
        </w:tc>
        <w:tc>
          <w:tcPr>
            <w:tcW w:w="992" w:type="dxa"/>
            <w:noWrap/>
            <w:vAlign w:val="center"/>
            <w:hideMark/>
          </w:tcPr>
          <w:p w14:paraId="39011C38" w14:textId="77777777" w:rsidR="00714F5E" w:rsidRPr="00DE3B01" w:rsidRDefault="00714F5E" w:rsidP="00830B05">
            <w:pPr>
              <w:autoSpaceDE w:val="0"/>
              <w:autoSpaceDN w:val="0"/>
              <w:adjustRightInd w:val="0"/>
              <w:jc w:val="right"/>
              <w:rPr>
                <w:rFonts w:ascii="Calibri" w:hAnsi="Calibri" w:cs="Calibri"/>
                <w:b/>
                <w:bCs/>
                <w:sz w:val="20"/>
                <w:szCs w:val="20"/>
              </w:rPr>
            </w:pPr>
            <w:r w:rsidRPr="00DE3B01">
              <w:rPr>
                <w:rFonts w:ascii="Calibri" w:hAnsi="Calibri" w:cs="Calibri"/>
                <w:b/>
                <w:bCs/>
                <w:sz w:val="20"/>
                <w:szCs w:val="20"/>
              </w:rPr>
              <w:t>178</w:t>
            </w:r>
          </w:p>
        </w:tc>
        <w:tc>
          <w:tcPr>
            <w:tcW w:w="992" w:type="dxa"/>
            <w:noWrap/>
            <w:vAlign w:val="center"/>
            <w:hideMark/>
          </w:tcPr>
          <w:p w14:paraId="7AA4543A" w14:textId="77777777" w:rsidR="00714F5E" w:rsidRPr="00DE3B01" w:rsidRDefault="00714F5E" w:rsidP="00830B05">
            <w:pPr>
              <w:autoSpaceDE w:val="0"/>
              <w:autoSpaceDN w:val="0"/>
              <w:adjustRightInd w:val="0"/>
              <w:jc w:val="right"/>
              <w:rPr>
                <w:rFonts w:ascii="Calibri" w:hAnsi="Calibri" w:cs="Calibri"/>
                <w:b/>
                <w:bCs/>
                <w:sz w:val="20"/>
                <w:szCs w:val="20"/>
              </w:rPr>
            </w:pPr>
            <w:r w:rsidRPr="00DE3B01">
              <w:rPr>
                <w:rFonts w:ascii="Calibri" w:hAnsi="Calibri" w:cs="Calibri"/>
                <w:b/>
                <w:bCs/>
                <w:sz w:val="20"/>
                <w:szCs w:val="20"/>
              </w:rPr>
              <w:t>196</w:t>
            </w:r>
          </w:p>
        </w:tc>
        <w:tc>
          <w:tcPr>
            <w:tcW w:w="993" w:type="dxa"/>
            <w:noWrap/>
            <w:vAlign w:val="center"/>
            <w:hideMark/>
          </w:tcPr>
          <w:p w14:paraId="0D4024A4" w14:textId="0ECF3160" w:rsidR="00714F5E" w:rsidRPr="00DE3B01" w:rsidRDefault="00263945" w:rsidP="00830B05">
            <w:pPr>
              <w:autoSpaceDE w:val="0"/>
              <w:autoSpaceDN w:val="0"/>
              <w:adjustRightInd w:val="0"/>
              <w:jc w:val="right"/>
              <w:rPr>
                <w:rFonts w:ascii="Calibri" w:hAnsi="Calibri" w:cs="Calibri"/>
                <w:b/>
                <w:bCs/>
                <w:sz w:val="20"/>
                <w:szCs w:val="20"/>
              </w:rPr>
            </w:pPr>
            <w:r w:rsidRPr="00DE3B01">
              <w:rPr>
                <w:rFonts w:ascii="Calibri" w:hAnsi="Calibri" w:cs="Calibri"/>
                <w:b/>
                <w:bCs/>
                <w:sz w:val="20"/>
                <w:szCs w:val="20"/>
              </w:rPr>
              <w:t>12</w:t>
            </w:r>
            <w:r>
              <w:rPr>
                <w:rFonts w:ascii="Calibri" w:hAnsi="Calibri" w:cs="Calibri"/>
                <w:b/>
                <w:bCs/>
                <w:sz w:val="20"/>
                <w:szCs w:val="20"/>
              </w:rPr>
              <w:t>1</w:t>
            </w:r>
          </w:p>
        </w:tc>
      </w:tr>
    </w:tbl>
    <w:p w14:paraId="1B4BBABA" w14:textId="2FD50F84" w:rsidR="00665949" w:rsidRPr="00622599" w:rsidRDefault="00665949" w:rsidP="006164D5">
      <w:pPr>
        <w:spacing w:after="0" w:line="240" w:lineRule="auto"/>
        <w:ind w:left="567" w:hanging="567"/>
        <w:rPr>
          <w:rFonts w:ascii="Calibri" w:eastAsia="Times New Roman" w:hAnsi="Calibri" w:cs="Calibri"/>
          <w:sz w:val="20"/>
          <w:szCs w:val="20"/>
        </w:rPr>
      </w:pPr>
      <w:r w:rsidRPr="006164D5">
        <w:rPr>
          <w:rFonts w:ascii="Calibri" w:eastAsia="Times New Roman" w:hAnsi="Calibri" w:cs="Calibri"/>
          <w:b/>
          <w:bCs/>
          <w:sz w:val="20"/>
          <w:szCs w:val="20"/>
        </w:rPr>
        <w:t>Zdroj:</w:t>
      </w:r>
      <w:r w:rsidRPr="00622599">
        <w:rPr>
          <w:rFonts w:ascii="Calibri" w:eastAsia="Times New Roman" w:hAnsi="Calibri" w:cs="Calibri"/>
          <w:sz w:val="20"/>
          <w:szCs w:val="20"/>
        </w:rPr>
        <w:t xml:space="preserve"> </w:t>
      </w:r>
      <w:r>
        <w:rPr>
          <w:rFonts w:ascii="Calibri" w:eastAsia="Times New Roman" w:hAnsi="Calibri" w:cs="Calibri"/>
          <w:sz w:val="20"/>
          <w:szCs w:val="20"/>
        </w:rPr>
        <w:tab/>
      </w:r>
      <w:r w:rsidRPr="00622599">
        <w:rPr>
          <w:rFonts w:ascii="Calibri" w:eastAsia="Times New Roman" w:hAnsi="Calibri" w:cs="Calibri"/>
          <w:sz w:val="20"/>
          <w:szCs w:val="20"/>
        </w:rPr>
        <w:t>ČSÚ (</w:t>
      </w:r>
      <w:r w:rsidRPr="006164D5">
        <w:rPr>
          <w:rFonts w:ascii="Calibri" w:eastAsia="Times New Roman" w:hAnsi="Calibri" w:cs="Calibri"/>
          <w:i/>
          <w:iCs/>
          <w:sz w:val="20"/>
          <w:szCs w:val="20"/>
        </w:rPr>
        <w:t xml:space="preserve">Zaměstnanost a nezaměstnanost </w:t>
      </w:r>
      <w:r w:rsidR="00A809DB">
        <w:rPr>
          <w:rFonts w:ascii="Calibri" w:eastAsia="Times New Roman" w:hAnsi="Calibri" w:cs="Calibri"/>
          <w:i/>
          <w:iCs/>
          <w:sz w:val="20"/>
          <w:szCs w:val="20"/>
        </w:rPr>
        <w:t>(</w:t>
      </w:r>
      <w:r w:rsidRPr="006164D5">
        <w:rPr>
          <w:rFonts w:ascii="Calibri" w:eastAsia="Times New Roman" w:hAnsi="Calibri" w:cs="Calibri"/>
          <w:i/>
          <w:iCs/>
          <w:sz w:val="20"/>
          <w:szCs w:val="20"/>
        </w:rPr>
        <w:t>VŠPS</w:t>
      </w:r>
      <w:r w:rsidR="00A809DB">
        <w:rPr>
          <w:rFonts w:ascii="Calibri" w:eastAsia="Times New Roman" w:hAnsi="Calibri" w:cs="Calibri"/>
          <w:i/>
          <w:iCs/>
          <w:sz w:val="20"/>
          <w:szCs w:val="20"/>
        </w:rPr>
        <w:t>)</w:t>
      </w:r>
      <w:r w:rsidRPr="00622599">
        <w:rPr>
          <w:rFonts w:ascii="Calibri" w:eastAsia="Times New Roman" w:hAnsi="Calibri" w:cs="Calibri"/>
          <w:sz w:val="20"/>
          <w:szCs w:val="20"/>
        </w:rPr>
        <w:t xml:space="preserve">: https://csu.gov.cz/zamestnanost-a-nezamestnanost-vsps; </w:t>
      </w:r>
      <w:r w:rsidRPr="006164D5">
        <w:rPr>
          <w:rFonts w:ascii="Calibri" w:eastAsia="Times New Roman" w:hAnsi="Calibri" w:cs="Calibri"/>
          <w:i/>
          <w:iCs/>
          <w:sz w:val="20"/>
          <w:szCs w:val="20"/>
        </w:rPr>
        <w:t>Evidenční počty zaměstnanců a jejich mzdy</w:t>
      </w:r>
      <w:r w:rsidRPr="00622599">
        <w:rPr>
          <w:rFonts w:ascii="Calibri" w:eastAsia="Times New Roman" w:hAnsi="Calibri" w:cs="Calibri"/>
          <w:sz w:val="20"/>
          <w:szCs w:val="20"/>
        </w:rPr>
        <w:t>:</w:t>
      </w:r>
      <w:r>
        <w:rPr>
          <w:rFonts w:ascii="Calibri" w:eastAsia="Times New Roman" w:hAnsi="Calibri" w:cs="Calibri"/>
          <w:sz w:val="20"/>
          <w:szCs w:val="20"/>
        </w:rPr>
        <w:t xml:space="preserve"> </w:t>
      </w:r>
      <w:r w:rsidRPr="00665949">
        <w:rPr>
          <w:rFonts w:ascii="Calibri" w:eastAsia="Times New Roman" w:hAnsi="Calibri" w:cs="Calibri"/>
          <w:sz w:val="20"/>
          <w:szCs w:val="20"/>
        </w:rPr>
        <w:t>https://vdb.czso.cz/vdbvo2/faces/cs/index.jsf?page=statistiky&amp;katalog=30852)</w:t>
      </w:r>
      <w:r w:rsidR="00A809DB">
        <w:rPr>
          <w:rFonts w:ascii="Calibri" w:eastAsia="Times New Roman" w:hAnsi="Calibri" w:cs="Calibri"/>
          <w:sz w:val="20"/>
          <w:szCs w:val="20"/>
        </w:rPr>
        <w:t>;</w:t>
      </w:r>
      <w:r w:rsidRPr="00665949">
        <w:rPr>
          <w:rFonts w:ascii="Calibri" w:eastAsia="Times New Roman" w:hAnsi="Calibri" w:cs="Calibri"/>
          <w:sz w:val="20"/>
          <w:szCs w:val="20"/>
        </w:rPr>
        <w:t xml:space="preserve"> vlastní výpočet</w:t>
      </w:r>
      <w:r w:rsidR="00A809DB">
        <w:rPr>
          <w:rFonts w:ascii="Calibri" w:eastAsia="Times New Roman" w:hAnsi="Calibri" w:cs="Calibri"/>
          <w:sz w:val="20"/>
          <w:szCs w:val="20"/>
        </w:rPr>
        <w:t xml:space="preserve"> NKÚ</w:t>
      </w:r>
      <w:r w:rsidRPr="00665949">
        <w:rPr>
          <w:rFonts w:ascii="Calibri" w:eastAsia="Times New Roman" w:hAnsi="Calibri" w:cs="Calibri"/>
          <w:sz w:val="20"/>
          <w:szCs w:val="20"/>
        </w:rPr>
        <w:t>.</w:t>
      </w:r>
    </w:p>
    <w:p w14:paraId="7AED2B0E" w14:textId="2BF1C67B" w:rsidR="001D5185" w:rsidRPr="006164D5" w:rsidRDefault="00215D61" w:rsidP="006164D5">
      <w:pPr>
        <w:spacing w:after="0" w:line="240" w:lineRule="auto"/>
        <w:ind w:left="567" w:hanging="567"/>
        <w:jc w:val="both"/>
        <w:rPr>
          <w:rFonts w:ascii="Calibri" w:eastAsia="Times New Roman" w:hAnsi="Calibri" w:cs="Calibri"/>
          <w:sz w:val="20"/>
          <w:szCs w:val="20"/>
        </w:rPr>
      </w:pPr>
      <w:r w:rsidRPr="006164D5">
        <w:rPr>
          <w:rFonts w:ascii="Calibri" w:eastAsia="Times New Roman" w:hAnsi="Calibri" w:cs="Calibri"/>
          <w:b/>
          <w:bCs/>
          <w:sz w:val="20"/>
          <w:szCs w:val="20"/>
        </w:rPr>
        <w:t>Pozn</w:t>
      </w:r>
      <w:r w:rsidR="00665949" w:rsidRPr="006164D5">
        <w:rPr>
          <w:rFonts w:ascii="Calibri" w:eastAsia="Times New Roman" w:hAnsi="Calibri" w:cs="Calibri"/>
          <w:b/>
          <w:bCs/>
          <w:sz w:val="20"/>
          <w:szCs w:val="20"/>
        </w:rPr>
        <w:t>.</w:t>
      </w:r>
      <w:r w:rsidRPr="006164D5">
        <w:rPr>
          <w:rFonts w:ascii="Calibri" w:eastAsia="Times New Roman" w:hAnsi="Calibri" w:cs="Calibri"/>
          <w:b/>
          <w:bCs/>
          <w:sz w:val="20"/>
          <w:szCs w:val="20"/>
        </w:rPr>
        <w:t xml:space="preserve">: </w:t>
      </w:r>
      <w:r w:rsidR="00665949">
        <w:rPr>
          <w:rFonts w:ascii="Calibri" w:eastAsia="Times New Roman" w:hAnsi="Calibri" w:cs="Calibri"/>
          <w:b/>
          <w:bCs/>
          <w:sz w:val="20"/>
          <w:szCs w:val="20"/>
        </w:rPr>
        <w:tab/>
      </w:r>
      <w:r w:rsidR="001D5185" w:rsidRPr="006164D5">
        <w:rPr>
          <w:rFonts w:ascii="Calibri" w:eastAsia="Times New Roman" w:hAnsi="Calibri" w:cs="Calibri"/>
          <w:sz w:val="20"/>
          <w:szCs w:val="20"/>
        </w:rPr>
        <w:t>Z</w:t>
      </w:r>
      <w:r w:rsidRPr="006164D5">
        <w:rPr>
          <w:rFonts w:ascii="Calibri" w:eastAsia="Times New Roman" w:hAnsi="Calibri" w:cs="Calibri"/>
          <w:sz w:val="20"/>
          <w:szCs w:val="20"/>
        </w:rPr>
        <w:t xml:space="preserve">a rok 2023 </w:t>
      </w:r>
      <w:r w:rsidR="00A809DB">
        <w:rPr>
          <w:rFonts w:ascii="Calibri" w:eastAsia="Times New Roman" w:hAnsi="Calibri" w:cs="Calibri"/>
          <w:sz w:val="20"/>
          <w:szCs w:val="20"/>
        </w:rPr>
        <w:t>nebyla v době kontroly</w:t>
      </w:r>
      <w:r w:rsidRPr="006164D5">
        <w:rPr>
          <w:rFonts w:ascii="Calibri" w:eastAsia="Times New Roman" w:hAnsi="Calibri" w:cs="Calibri"/>
          <w:sz w:val="20"/>
          <w:szCs w:val="20"/>
        </w:rPr>
        <w:t xml:space="preserve"> k dispozici relevantní data</w:t>
      </w:r>
      <w:r w:rsidR="000D3F6F" w:rsidRPr="006164D5">
        <w:rPr>
          <w:rFonts w:ascii="Calibri" w:eastAsia="Times New Roman" w:hAnsi="Calibri" w:cs="Calibri"/>
          <w:sz w:val="20"/>
          <w:szCs w:val="20"/>
        </w:rPr>
        <w:t>.</w:t>
      </w:r>
      <w:r w:rsidR="00664425" w:rsidRPr="006164D5">
        <w:rPr>
          <w:rFonts w:ascii="Calibri" w:eastAsia="Times New Roman" w:hAnsi="Calibri" w:cs="Calibri"/>
          <w:sz w:val="20"/>
          <w:szCs w:val="20"/>
        </w:rPr>
        <w:t xml:space="preserve"> </w:t>
      </w:r>
    </w:p>
    <w:p w14:paraId="20C01AFB" w14:textId="7A2A14B0" w:rsidR="00215D61" w:rsidRPr="006164D5" w:rsidRDefault="00664425" w:rsidP="006164D5">
      <w:pPr>
        <w:spacing w:after="0" w:line="240" w:lineRule="auto"/>
        <w:ind w:left="567"/>
        <w:jc w:val="both"/>
        <w:rPr>
          <w:rFonts w:ascii="Calibri" w:eastAsia="Times New Roman" w:hAnsi="Calibri" w:cs="Calibri"/>
          <w:sz w:val="20"/>
          <w:szCs w:val="20"/>
        </w:rPr>
      </w:pPr>
      <w:r w:rsidRPr="006164D5">
        <w:rPr>
          <w:rFonts w:ascii="Calibri" w:eastAsia="Times New Roman" w:hAnsi="Calibri" w:cs="Calibri"/>
          <w:sz w:val="20"/>
          <w:szCs w:val="20"/>
        </w:rPr>
        <w:t>V každém kalendářním roce se jedná o průměr za jednotliv</w:t>
      </w:r>
      <w:r w:rsidR="0027557B" w:rsidRPr="006164D5">
        <w:rPr>
          <w:rFonts w:ascii="Calibri" w:eastAsia="Times New Roman" w:hAnsi="Calibri" w:cs="Calibri"/>
          <w:sz w:val="20"/>
          <w:szCs w:val="20"/>
        </w:rPr>
        <w:t>á</w:t>
      </w:r>
      <w:r w:rsidRPr="006164D5">
        <w:rPr>
          <w:rFonts w:ascii="Calibri" w:eastAsia="Times New Roman" w:hAnsi="Calibri" w:cs="Calibri"/>
          <w:sz w:val="20"/>
          <w:szCs w:val="20"/>
        </w:rPr>
        <w:t xml:space="preserve"> čtvrtletí daného roku. </w:t>
      </w:r>
    </w:p>
    <w:p w14:paraId="4FC73D83" w14:textId="77777777" w:rsidR="003A1850" w:rsidRDefault="003A1850">
      <w:pPr>
        <w:rPr>
          <w:rFonts w:ascii="Calibri" w:eastAsia="Times New Roman" w:hAnsi="Calibri" w:cs="Calibri"/>
          <w:sz w:val="20"/>
          <w:szCs w:val="20"/>
        </w:rPr>
      </w:pPr>
      <w:r>
        <w:rPr>
          <w:rFonts w:ascii="Calibri" w:eastAsia="Times New Roman" w:hAnsi="Calibri" w:cs="Calibri"/>
          <w:sz w:val="20"/>
          <w:szCs w:val="20"/>
        </w:rPr>
        <w:br w:type="page"/>
      </w:r>
    </w:p>
    <w:p w14:paraId="7D21F15F" w14:textId="25A53EEA" w:rsidR="002D0FE7" w:rsidRPr="000E09C5" w:rsidRDefault="002D0FE7" w:rsidP="006164D5">
      <w:pPr>
        <w:autoSpaceDE w:val="0"/>
        <w:autoSpaceDN w:val="0"/>
        <w:adjustRightInd w:val="0"/>
        <w:spacing w:before="240" w:after="0" w:line="240" w:lineRule="auto"/>
        <w:jc w:val="both"/>
        <w:rPr>
          <w:rFonts w:ascii="Calibri" w:hAnsi="Calibri" w:cs="Calibri"/>
          <w:sz w:val="24"/>
          <w:szCs w:val="24"/>
        </w:rPr>
      </w:pPr>
      <w:r w:rsidRPr="00F81E7C">
        <w:rPr>
          <w:rFonts w:ascii="Calibri" w:hAnsi="Calibri" w:cs="Calibri"/>
          <w:sz w:val="24"/>
          <w:szCs w:val="24"/>
        </w:rPr>
        <w:lastRenderedPageBreak/>
        <w:t xml:space="preserve">Odhad výpadku příjmů </w:t>
      </w:r>
      <w:r w:rsidR="00A809DB">
        <w:rPr>
          <w:rFonts w:ascii="Calibri" w:hAnsi="Calibri" w:cs="Calibri"/>
          <w:sz w:val="24"/>
          <w:szCs w:val="24"/>
        </w:rPr>
        <w:t>z DPFO</w:t>
      </w:r>
      <w:r w:rsidRPr="00F81E7C">
        <w:rPr>
          <w:rFonts w:ascii="Calibri" w:hAnsi="Calibri" w:cs="Calibri"/>
          <w:sz w:val="24"/>
          <w:szCs w:val="24"/>
        </w:rPr>
        <w:t xml:space="preserve"> a </w:t>
      </w:r>
      <w:r w:rsidR="00A809DB">
        <w:rPr>
          <w:rFonts w:ascii="Calibri" w:hAnsi="Calibri" w:cs="Calibri"/>
          <w:sz w:val="24"/>
          <w:szCs w:val="24"/>
        </w:rPr>
        <w:t xml:space="preserve">z </w:t>
      </w:r>
      <w:r w:rsidRPr="00F81E7C">
        <w:rPr>
          <w:rFonts w:ascii="Calibri" w:hAnsi="Calibri" w:cs="Calibri"/>
          <w:sz w:val="24"/>
          <w:szCs w:val="24"/>
        </w:rPr>
        <w:t>odvod</w:t>
      </w:r>
      <w:r w:rsidR="00A809DB">
        <w:rPr>
          <w:rFonts w:ascii="Calibri" w:hAnsi="Calibri" w:cs="Calibri"/>
          <w:sz w:val="24"/>
          <w:szCs w:val="24"/>
        </w:rPr>
        <w:t>ů</w:t>
      </w:r>
      <w:r w:rsidRPr="00F81E7C">
        <w:rPr>
          <w:rFonts w:ascii="Calibri" w:hAnsi="Calibri" w:cs="Calibri"/>
          <w:sz w:val="24"/>
          <w:szCs w:val="24"/>
        </w:rPr>
        <w:t xml:space="preserve"> </w:t>
      </w:r>
      <w:r w:rsidRPr="000E09C5">
        <w:rPr>
          <w:rFonts w:ascii="Calibri" w:hAnsi="Calibri" w:cs="Calibri"/>
          <w:sz w:val="24"/>
          <w:szCs w:val="24"/>
        </w:rPr>
        <w:t xml:space="preserve">na </w:t>
      </w:r>
      <w:r w:rsidR="00A809DB">
        <w:rPr>
          <w:rFonts w:ascii="Calibri" w:hAnsi="Calibri" w:cs="Calibri"/>
          <w:sz w:val="24"/>
          <w:szCs w:val="24"/>
        </w:rPr>
        <w:t>SZP</w:t>
      </w:r>
      <w:r w:rsidRPr="000E09C5">
        <w:rPr>
          <w:rFonts w:ascii="Calibri" w:hAnsi="Calibri" w:cs="Calibri"/>
          <w:sz w:val="24"/>
          <w:szCs w:val="24"/>
        </w:rPr>
        <w:t xml:space="preserve"> vychází z čtvrtletních časových řad výše</w:t>
      </w:r>
      <w:r>
        <w:rPr>
          <w:rFonts w:ascii="Calibri" w:hAnsi="Calibri" w:cs="Calibri"/>
          <w:sz w:val="24"/>
          <w:szCs w:val="24"/>
        </w:rPr>
        <w:t xml:space="preserve"> </w:t>
      </w:r>
      <w:r w:rsidRPr="000E09C5">
        <w:rPr>
          <w:rFonts w:ascii="Calibri" w:hAnsi="Calibri" w:cs="Calibri"/>
          <w:sz w:val="24"/>
          <w:szCs w:val="24"/>
        </w:rPr>
        <w:t>zmíněných statistik práce a z následujících předpokladů:</w:t>
      </w:r>
    </w:p>
    <w:p w14:paraId="1A35D242" w14:textId="77777777" w:rsidR="002D0FE7" w:rsidRPr="00F203FA" w:rsidRDefault="002D0FE7" w:rsidP="003052EB">
      <w:pPr>
        <w:pStyle w:val="Odstavecseseznamem"/>
        <w:numPr>
          <w:ilvl w:val="0"/>
          <w:numId w:val="6"/>
        </w:numPr>
        <w:autoSpaceDE w:val="0"/>
        <w:autoSpaceDN w:val="0"/>
        <w:adjustRightInd w:val="0"/>
        <w:spacing w:after="0" w:line="240" w:lineRule="auto"/>
        <w:jc w:val="both"/>
        <w:rPr>
          <w:rFonts w:ascii="Calibri" w:hAnsi="Calibri" w:cs="Calibri"/>
          <w:sz w:val="24"/>
          <w:szCs w:val="24"/>
        </w:rPr>
      </w:pPr>
      <w:r w:rsidRPr="00F203FA">
        <w:rPr>
          <w:rFonts w:ascii="Calibri" w:hAnsi="Calibri" w:cs="Calibri"/>
          <w:sz w:val="24"/>
          <w:szCs w:val="24"/>
        </w:rPr>
        <w:t>zaměstnanec pracoval nelegálně po dobu tří měsíců</w:t>
      </w:r>
      <w:r w:rsidRPr="00F203FA">
        <w:rPr>
          <w:rStyle w:val="Znakapoznpodarou"/>
          <w:rFonts w:ascii="Calibri" w:hAnsi="Calibri" w:cs="Calibri"/>
          <w:sz w:val="24"/>
          <w:szCs w:val="24"/>
        </w:rPr>
        <w:footnoteReference w:id="43"/>
      </w:r>
      <w:r w:rsidR="006127EC" w:rsidRPr="00F203FA">
        <w:rPr>
          <w:rFonts w:ascii="Calibri" w:hAnsi="Calibri" w:cs="Calibri"/>
          <w:sz w:val="24"/>
          <w:szCs w:val="24"/>
        </w:rPr>
        <w:t>;</w:t>
      </w:r>
    </w:p>
    <w:p w14:paraId="1DCFF47D" w14:textId="615A7925" w:rsidR="002D0FE7" w:rsidRPr="000E09C5" w:rsidRDefault="002D0FE7" w:rsidP="003052EB">
      <w:pPr>
        <w:pStyle w:val="Odstavecseseznamem"/>
        <w:numPr>
          <w:ilvl w:val="0"/>
          <w:numId w:val="6"/>
        </w:numPr>
        <w:autoSpaceDE w:val="0"/>
        <w:autoSpaceDN w:val="0"/>
        <w:adjustRightInd w:val="0"/>
        <w:spacing w:after="0" w:line="240" w:lineRule="auto"/>
        <w:jc w:val="both"/>
        <w:rPr>
          <w:rFonts w:ascii="Calibri" w:hAnsi="Calibri" w:cs="Calibri"/>
          <w:sz w:val="24"/>
          <w:szCs w:val="24"/>
        </w:rPr>
      </w:pPr>
      <w:r w:rsidRPr="000E09C5">
        <w:rPr>
          <w:rFonts w:ascii="Calibri" w:hAnsi="Calibri" w:cs="Calibri"/>
          <w:sz w:val="24"/>
          <w:szCs w:val="24"/>
        </w:rPr>
        <w:t>nelegálně pracující zaměstnan</w:t>
      </w:r>
      <w:r w:rsidR="00A809DB">
        <w:rPr>
          <w:rFonts w:ascii="Calibri" w:hAnsi="Calibri" w:cs="Calibri"/>
          <w:sz w:val="24"/>
          <w:szCs w:val="24"/>
        </w:rPr>
        <w:t>e</w:t>
      </w:r>
      <w:r w:rsidRPr="000E09C5">
        <w:rPr>
          <w:rFonts w:ascii="Calibri" w:hAnsi="Calibri" w:cs="Calibri"/>
          <w:sz w:val="24"/>
          <w:szCs w:val="24"/>
        </w:rPr>
        <w:t xml:space="preserve">c </w:t>
      </w:r>
      <w:r w:rsidR="00A809DB">
        <w:rPr>
          <w:rFonts w:ascii="Calibri" w:hAnsi="Calibri" w:cs="Calibri"/>
          <w:sz w:val="24"/>
          <w:szCs w:val="24"/>
        </w:rPr>
        <w:t>pobíral</w:t>
      </w:r>
      <w:r w:rsidRPr="000E09C5">
        <w:rPr>
          <w:rFonts w:ascii="Calibri" w:hAnsi="Calibri" w:cs="Calibri"/>
          <w:sz w:val="24"/>
          <w:szCs w:val="24"/>
        </w:rPr>
        <w:t xml:space="preserve"> minimální mzd</w:t>
      </w:r>
      <w:r w:rsidR="00A809DB">
        <w:rPr>
          <w:rFonts w:ascii="Calibri" w:hAnsi="Calibri" w:cs="Calibri"/>
          <w:sz w:val="24"/>
          <w:szCs w:val="24"/>
        </w:rPr>
        <w:t>u, příp. průměrnou mzdu</w:t>
      </w:r>
      <w:r w:rsidR="005277D8">
        <w:rPr>
          <w:rFonts w:ascii="Calibri" w:hAnsi="Calibri" w:cs="Calibri"/>
          <w:sz w:val="24"/>
          <w:szCs w:val="24"/>
        </w:rPr>
        <w:t>;</w:t>
      </w:r>
    </w:p>
    <w:p w14:paraId="4DE30FF7" w14:textId="2E58EB5F" w:rsidR="002D0FE7" w:rsidRDefault="002D0FE7" w:rsidP="003052EB">
      <w:pPr>
        <w:pStyle w:val="Odstavecseseznamem"/>
        <w:numPr>
          <w:ilvl w:val="0"/>
          <w:numId w:val="6"/>
        </w:numPr>
        <w:autoSpaceDE w:val="0"/>
        <w:autoSpaceDN w:val="0"/>
        <w:adjustRightInd w:val="0"/>
        <w:spacing w:after="0" w:line="240" w:lineRule="auto"/>
        <w:jc w:val="both"/>
        <w:rPr>
          <w:rFonts w:ascii="Calibri" w:hAnsi="Calibri" w:cs="Calibri"/>
          <w:sz w:val="24"/>
          <w:szCs w:val="24"/>
        </w:rPr>
      </w:pPr>
      <w:r w:rsidRPr="000E09C5">
        <w:rPr>
          <w:rFonts w:ascii="Calibri" w:hAnsi="Calibri" w:cs="Calibri"/>
          <w:sz w:val="24"/>
          <w:szCs w:val="24"/>
        </w:rPr>
        <w:t>odvody na DPFO a na SZP byly stanoveny v souladu s legislativou platnou v</w:t>
      </w:r>
      <w:r w:rsidR="00A809DB">
        <w:rPr>
          <w:rFonts w:ascii="Calibri" w:hAnsi="Calibri" w:cs="Calibri"/>
          <w:sz w:val="24"/>
          <w:szCs w:val="24"/>
        </w:rPr>
        <w:t> </w:t>
      </w:r>
      <w:r w:rsidRPr="000E09C5">
        <w:rPr>
          <w:rFonts w:ascii="Calibri" w:hAnsi="Calibri" w:cs="Calibri"/>
          <w:sz w:val="24"/>
          <w:szCs w:val="24"/>
        </w:rPr>
        <w:t>kontrolovaném období: daňovým základem byla v letech 2019–2020 superhrubá mzda</w:t>
      </w:r>
      <w:r>
        <w:rPr>
          <w:rStyle w:val="Znakapoznpodarou"/>
          <w:rFonts w:ascii="Calibri" w:hAnsi="Calibri" w:cs="Calibri"/>
          <w:sz w:val="24"/>
          <w:szCs w:val="24"/>
        </w:rPr>
        <w:footnoteReference w:id="44"/>
      </w:r>
      <w:r w:rsidRPr="000E09C5">
        <w:rPr>
          <w:rFonts w:ascii="Calibri" w:hAnsi="Calibri" w:cs="Calibri"/>
          <w:sz w:val="24"/>
          <w:szCs w:val="24"/>
        </w:rPr>
        <w:t>, v letech 2021–2023 hrubá mzda; sazba DPFO činila 15 % z daňového základu; roční sleva na dani na poplatníka byla v letech 2019–2020 stanovena na 28 480 Kč, v</w:t>
      </w:r>
      <w:r w:rsidR="00A809DB">
        <w:rPr>
          <w:rFonts w:ascii="Calibri" w:hAnsi="Calibri" w:cs="Calibri"/>
          <w:sz w:val="24"/>
          <w:szCs w:val="24"/>
        </w:rPr>
        <w:t> </w:t>
      </w:r>
      <w:r w:rsidRPr="000E09C5">
        <w:rPr>
          <w:rFonts w:ascii="Calibri" w:hAnsi="Calibri" w:cs="Calibri"/>
          <w:sz w:val="24"/>
          <w:szCs w:val="24"/>
        </w:rPr>
        <w:t xml:space="preserve">roce 2021 na 27 840 Kč a v roce 2022 na 30 840 Kč; odvody na SZP v případě zaměstnance činily celkem 11 % z hrubé mzdy v celém kontrolovaném období a odvody na SZP v případě zaměstnavatele </w:t>
      </w:r>
      <w:r w:rsidR="005277D8" w:rsidRPr="000E09C5">
        <w:rPr>
          <w:rFonts w:ascii="Calibri" w:hAnsi="Calibri" w:cs="Calibri"/>
          <w:sz w:val="24"/>
          <w:szCs w:val="24"/>
        </w:rPr>
        <w:t>do 1.</w:t>
      </w:r>
      <w:r w:rsidR="00A809DB">
        <w:rPr>
          <w:rFonts w:ascii="Calibri" w:hAnsi="Calibri" w:cs="Calibri"/>
          <w:sz w:val="24"/>
          <w:szCs w:val="24"/>
        </w:rPr>
        <w:t> </w:t>
      </w:r>
      <w:r w:rsidR="005277D8" w:rsidRPr="000E09C5">
        <w:rPr>
          <w:rFonts w:ascii="Calibri" w:hAnsi="Calibri" w:cs="Calibri"/>
          <w:sz w:val="24"/>
          <w:szCs w:val="24"/>
        </w:rPr>
        <w:t xml:space="preserve">7. 2019 </w:t>
      </w:r>
      <w:r w:rsidRPr="000E09C5">
        <w:rPr>
          <w:rFonts w:ascii="Calibri" w:hAnsi="Calibri" w:cs="Calibri"/>
          <w:sz w:val="24"/>
          <w:szCs w:val="24"/>
        </w:rPr>
        <w:t>činily 34 % z hrubé mzdy a následně byly sníženy na 33,8 % hrubé mzdy</w:t>
      </w:r>
      <w:r w:rsidR="005277D8">
        <w:rPr>
          <w:rFonts w:ascii="Calibri" w:hAnsi="Calibri" w:cs="Calibri"/>
          <w:sz w:val="24"/>
          <w:szCs w:val="24"/>
        </w:rPr>
        <w:t>;</w:t>
      </w:r>
    </w:p>
    <w:p w14:paraId="1AE8452F" w14:textId="71F5E5B6" w:rsidR="002D0FE7" w:rsidRDefault="002D0FE7" w:rsidP="003052EB">
      <w:pPr>
        <w:pStyle w:val="Odstavecseseznamem"/>
        <w:numPr>
          <w:ilvl w:val="0"/>
          <w:numId w:val="6"/>
        </w:numPr>
        <w:autoSpaceDE w:val="0"/>
        <w:autoSpaceDN w:val="0"/>
        <w:adjustRightInd w:val="0"/>
        <w:spacing w:after="0" w:line="240" w:lineRule="auto"/>
        <w:jc w:val="both"/>
        <w:rPr>
          <w:rFonts w:ascii="Calibri" w:hAnsi="Calibri" w:cs="Calibri"/>
          <w:sz w:val="24"/>
          <w:szCs w:val="24"/>
        </w:rPr>
      </w:pPr>
      <w:r w:rsidRPr="000E09C5">
        <w:rPr>
          <w:rFonts w:ascii="Calibri" w:hAnsi="Calibri" w:cs="Calibri"/>
          <w:sz w:val="24"/>
          <w:szCs w:val="24"/>
        </w:rPr>
        <w:t xml:space="preserve">výpočet nezohledňuje uplatnění dalších daňových slev a zvýhodnění, protože by to nemělo vliv na výsledek; v případě uvažované tříměsíční doby trvání nelegální práce je u minimální i průměrné mzdy daňový odvod již po uplatnění základní daňové slevy na poplatníka vždy nulový, tj. odhadovaný únik na příjmech souvisí pouze s odvody na sociální a </w:t>
      </w:r>
      <w:r w:rsidR="00CF394D">
        <w:rPr>
          <w:rFonts w:ascii="Calibri" w:hAnsi="Calibri" w:cs="Calibri"/>
          <w:sz w:val="24"/>
          <w:szCs w:val="24"/>
        </w:rPr>
        <w:t xml:space="preserve">veřejné </w:t>
      </w:r>
      <w:r w:rsidRPr="000E09C5">
        <w:rPr>
          <w:rFonts w:ascii="Calibri" w:hAnsi="Calibri" w:cs="Calibri"/>
          <w:sz w:val="24"/>
          <w:szCs w:val="24"/>
        </w:rPr>
        <w:t>zdravotní pojištění.</w:t>
      </w:r>
    </w:p>
    <w:p w14:paraId="5BB2D65E" w14:textId="244A7354" w:rsidR="001665C0" w:rsidRPr="00E260D9" w:rsidRDefault="00836D94" w:rsidP="006164D5">
      <w:pPr>
        <w:spacing w:before="240" w:after="0"/>
        <w:jc w:val="both"/>
        <w:rPr>
          <w:rFonts w:cstheme="minorHAnsi"/>
          <w:b/>
          <w:bCs/>
          <w:sz w:val="24"/>
          <w:szCs w:val="24"/>
        </w:rPr>
      </w:pPr>
      <w:r>
        <w:rPr>
          <w:rFonts w:cstheme="minorHAnsi"/>
          <w:b/>
          <w:bCs/>
          <w:sz w:val="24"/>
          <w:szCs w:val="24"/>
        </w:rPr>
        <w:t xml:space="preserve">Tabulka č. </w:t>
      </w:r>
      <w:r w:rsidR="00316A26">
        <w:rPr>
          <w:rFonts w:cstheme="minorHAnsi"/>
          <w:b/>
          <w:bCs/>
          <w:sz w:val="24"/>
          <w:szCs w:val="24"/>
        </w:rPr>
        <w:t>7</w:t>
      </w:r>
      <w:r w:rsidR="008A0596">
        <w:rPr>
          <w:rFonts w:cstheme="minorHAnsi"/>
          <w:b/>
          <w:bCs/>
          <w:sz w:val="24"/>
          <w:szCs w:val="24"/>
        </w:rPr>
        <w:t>:</w:t>
      </w:r>
      <w:r>
        <w:rPr>
          <w:rFonts w:cstheme="minorHAnsi"/>
          <w:b/>
          <w:bCs/>
          <w:sz w:val="24"/>
          <w:szCs w:val="24"/>
        </w:rPr>
        <w:t xml:space="preserve"> Odhad úniků na příjmech veřejných rozpočtů </w:t>
      </w:r>
      <w:r w:rsidR="00A809DB">
        <w:rPr>
          <w:rFonts w:cstheme="minorHAnsi"/>
          <w:b/>
          <w:bCs/>
          <w:sz w:val="24"/>
          <w:szCs w:val="24"/>
        </w:rPr>
        <w:t>z důvodu</w:t>
      </w:r>
      <w:r>
        <w:rPr>
          <w:rFonts w:cstheme="minorHAnsi"/>
          <w:b/>
          <w:bCs/>
          <w:sz w:val="24"/>
          <w:szCs w:val="24"/>
        </w:rPr>
        <w:t xml:space="preserve"> NLZ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1"/>
        <w:gridCol w:w="874"/>
        <w:gridCol w:w="881"/>
        <w:gridCol w:w="881"/>
        <w:gridCol w:w="874"/>
        <w:gridCol w:w="1051"/>
      </w:tblGrid>
      <w:tr w:rsidR="0027557B" w:rsidRPr="0027557B" w14:paraId="5D02F95F" w14:textId="77777777" w:rsidTr="006164D5">
        <w:trPr>
          <w:trHeight w:val="397"/>
        </w:trPr>
        <w:tc>
          <w:tcPr>
            <w:tcW w:w="2483" w:type="pct"/>
            <w:shd w:val="clear" w:color="auto" w:fill="E7E6E6" w:themeFill="background2"/>
            <w:noWrap/>
            <w:vAlign w:val="center"/>
            <w:hideMark/>
          </w:tcPr>
          <w:p w14:paraId="3F21462B" w14:textId="37190B1B" w:rsidR="0027557B" w:rsidRPr="0027557B" w:rsidRDefault="0027557B" w:rsidP="00830B05">
            <w:pPr>
              <w:autoSpaceDE w:val="0"/>
              <w:autoSpaceDN w:val="0"/>
              <w:adjustRightInd w:val="0"/>
              <w:spacing w:after="0" w:line="240" w:lineRule="auto"/>
              <w:jc w:val="center"/>
              <w:rPr>
                <w:rFonts w:cstheme="minorHAnsi"/>
                <w:b/>
                <w:sz w:val="20"/>
                <w:szCs w:val="20"/>
              </w:rPr>
            </w:pPr>
          </w:p>
        </w:tc>
        <w:tc>
          <w:tcPr>
            <w:tcW w:w="482" w:type="pct"/>
            <w:shd w:val="clear" w:color="auto" w:fill="E7E6E6" w:themeFill="background2"/>
            <w:noWrap/>
            <w:vAlign w:val="center"/>
            <w:hideMark/>
          </w:tcPr>
          <w:p w14:paraId="7A8DC0BA" w14:textId="77777777" w:rsidR="0027557B" w:rsidRPr="0027557B" w:rsidRDefault="0027557B" w:rsidP="00830B05">
            <w:pPr>
              <w:autoSpaceDE w:val="0"/>
              <w:autoSpaceDN w:val="0"/>
              <w:adjustRightInd w:val="0"/>
              <w:spacing w:after="0" w:line="240" w:lineRule="auto"/>
              <w:jc w:val="center"/>
              <w:rPr>
                <w:rFonts w:cstheme="minorHAnsi"/>
                <w:b/>
                <w:sz w:val="20"/>
                <w:szCs w:val="20"/>
              </w:rPr>
            </w:pPr>
            <w:r w:rsidRPr="0027557B">
              <w:rPr>
                <w:rFonts w:cstheme="minorHAnsi"/>
                <w:b/>
                <w:sz w:val="20"/>
                <w:szCs w:val="20"/>
              </w:rPr>
              <w:t>2019</w:t>
            </w:r>
          </w:p>
        </w:tc>
        <w:tc>
          <w:tcPr>
            <w:tcW w:w="486" w:type="pct"/>
            <w:shd w:val="clear" w:color="auto" w:fill="E7E6E6" w:themeFill="background2"/>
            <w:noWrap/>
            <w:vAlign w:val="center"/>
            <w:hideMark/>
          </w:tcPr>
          <w:p w14:paraId="2B2788FF" w14:textId="77777777" w:rsidR="0027557B" w:rsidRPr="0027557B" w:rsidRDefault="0027557B" w:rsidP="00830B05">
            <w:pPr>
              <w:autoSpaceDE w:val="0"/>
              <w:autoSpaceDN w:val="0"/>
              <w:adjustRightInd w:val="0"/>
              <w:spacing w:after="0" w:line="240" w:lineRule="auto"/>
              <w:jc w:val="center"/>
              <w:rPr>
                <w:rFonts w:cstheme="minorHAnsi"/>
                <w:b/>
                <w:sz w:val="20"/>
                <w:szCs w:val="20"/>
              </w:rPr>
            </w:pPr>
            <w:r w:rsidRPr="0027557B">
              <w:rPr>
                <w:rFonts w:cstheme="minorHAnsi"/>
                <w:b/>
                <w:sz w:val="20"/>
                <w:szCs w:val="20"/>
              </w:rPr>
              <w:t>2020</w:t>
            </w:r>
          </w:p>
        </w:tc>
        <w:tc>
          <w:tcPr>
            <w:tcW w:w="486" w:type="pct"/>
            <w:shd w:val="clear" w:color="auto" w:fill="E7E6E6" w:themeFill="background2"/>
            <w:noWrap/>
            <w:vAlign w:val="center"/>
            <w:hideMark/>
          </w:tcPr>
          <w:p w14:paraId="26BF67FE" w14:textId="77777777" w:rsidR="0027557B" w:rsidRPr="0027557B" w:rsidRDefault="0027557B" w:rsidP="00830B05">
            <w:pPr>
              <w:autoSpaceDE w:val="0"/>
              <w:autoSpaceDN w:val="0"/>
              <w:adjustRightInd w:val="0"/>
              <w:spacing w:after="0" w:line="240" w:lineRule="auto"/>
              <w:jc w:val="center"/>
              <w:rPr>
                <w:rFonts w:cstheme="minorHAnsi"/>
                <w:b/>
                <w:sz w:val="20"/>
                <w:szCs w:val="20"/>
              </w:rPr>
            </w:pPr>
            <w:r w:rsidRPr="0027557B">
              <w:rPr>
                <w:rFonts w:cstheme="minorHAnsi"/>
                <w:b/>
                <w:sz w:val="20"/>
                <w:szCs w:val="20"/>
              </w:rPr>
              <w:t>2021</w:t>
            </w:r>
          </w:p>
        </w:tc>
        <w:tc>
          <w:tcPr>
            <w:tcW w:w="482" w:type="pct"/>
            <w:shd w:val="clear" w:color="auto" w:fill="E7E6E6" w:themeFill="background2"/>
            <w:noWrap/>
            <w:vAlign w:val="center"/>
            <w:hideMark/>
          </w:tcPr>
          <w:p w14:paraId="18054E72" w14:textId="77777777" w:rsidR="0027557B" w:rsidRPr="0027557B" w:rsidRDefault="0027557B" w:rsidP="00830B05">
            <w:pPr>
              <w:autoSpaceDE w:val="0"/>
              <w:autoSpaceDN w:val="0"/>
              <w:adjustRightInd w:val="0"/>
              <w:spacing w:after="0" w:line="240" w:lineRule="auto"/>
              <w:jc w:val="center"/>
              <w:rPr>
                <w:rFonts w:cstheme="minorHAnsi"/>
                <w:b/>
                <w:sz w:val="20"/>
                <w:szCs w:val="20"/>
              </w:rPr>
            </w:pPr>
            <w:r w:rsidRPr="0027557B">
              <w:rPr>
                <w:rFonts w:cstheme="minorHAnsi"/>
                <w:b/>
                <w:sz w:val="20"/>
                <w:szCs w:val="20"/>
              </w:rPr>
              <w:t>2022</w:t>
            </w:r>
          </w:p>
        </w:tc>
        <w:tc>
          <w:tcPr>
            <w:tcW w:w="580" w:type="pct"/>
            <w:shd w:val="clear" w:color="auto" w:fill="E7E6E6" w:themeFill="background2"/>
            <w:noWrap/>
            <w:vAlign w:val="center"/>
            <w:hideMark/>
          </w:tcPr>
          <w:p w14:paraId="1E9F36B8" w14:textId="573732DC" w:rsidR="0027557B" w:rsidRPr="0027557B" w:rsidRDefault="0027557B" w:rsidP="00830B05">
            <w:pPr>
              <w:autoSpaceDE w:val="0"/>
              <w:autoSpaceDN w:val="0"/>
              <w:adjustRightInd w:val="0"/>
              <w:spacing w:after="0" w:line="240" w:lineRule="auto"/>
              <w:jc w:val="center"/>
              <w:rPr>
                <w:rFonts w:cstheme="minorHAnsi"/>
                <w:b/>
                <w:sz w:val="20"/>
                <w:szCs w:val="20"/>
              </w:rPr>
            </w:pPr>
            <w:r w:rsidRPr="0027557B">
              <w:rPr>
                <w:rFonts w:cstheme="minorHAnsi"/>
                <w:b/>
                <w:sz w:val="20"/>
                <w:szCs w:val="20"/>
              </w:rPr>
              <w:t>2019–202</w:t>
            </w:r>
            <w:r w:rsidR="00A809DB">
              <w:rPr>
                <w:rFonts w:cstheme="minorHAnsi"/>
                <w:b/>
                <w:sz w:val="20"/>
                <w:szCs w:val="20"/>
              </w:rPr>
              <w:t>2</w:t>
            </w:r>
          </w:p>
        </w:tc>
      </w:tr>
      <w:tr w:rsidR="0027557B" w:rsidRPr="0027557B" w14:paraId="122355BB" w14:textId="77777777" w:rsidTr="006164D5">
        <w:trPr>
          <w:trHeight w:val="340"/>
        </w:trPr>
        <w:tc>
          <w:tcPr>
            <w:tcW w:w="2483" w:type="pct"/>
            <w:shd w:val="clear" w:color="auto" w:fill="auto"/>
            <w:noWrap/>
            <w:vAlign w:val="center"/>
            <w:hideMark/>
          </w:tcPr>
          <w:p w14:paraId="5625AB1F" w14:textId="7BA6F77D" w:rsidR="0027557B" w:rsidRPr="0027557B" w:rsidRDefault="0027557B" w:rsidP="00830B05">
            <w:pPr>
              <w:spacing w:after="0" w:line="240" w:lineRule="auto"/>
              <w:rPr>
                <w:rFonts w:ascii="Calibri" w:hAnsi="Calibri" w:cs="Calibri"/>
                <w:b/>
                <w:bCs/>
                <w:sz w:val="20"/>
                <w:szCs w:val="20"/>
              </w:rPr>
            </w:pPr>
            <w:r w:rsidRPr="0027557B">
              <w:rPr>
                <w:rFonts w:ascii="Calibri" w:hAnsi="Calibri" w:cs="Calibri"/>
                <w:b/>
                <w:bCs/>
                <w:sz w:val="20"/>
                <w:szCs w:val="20"/>
              </w:rPr>
              <w:t xml:space="preserve">Celkové odvody na DPFO a SZP za 3 měsíce* </w:t>
            </w:r>
            <w:r w:rsidR="00A809DB">
              <w:rPr>
                <w:rFonts w:ascii="Calibri" w:hAnsi="Calibri" w:cs="Calibri"/>
                <w:b/>
                <w:bCs/>
                <w:sz w:val="20"/>
                <w:szCs w:val="20"/>
              </w:rPr>
              <w:t>(</w:t>
            </w:r>
            <w:r w:rsidRPr="0027557B">
              <w:rPr>
                <w:rFonts w:ascii="Calibri" w:hAnsi="Calibri" w:cs="Calibri"/>
                <w:b/>
                <w:bCs/>
                <w:sz w:val="20"/>
                <w:szCs w:val="20"/>
              </w:rPr>
              <w:t>v Kč</w:t>
            </w:r>
            <w:r w:rsidR="00A809DB">
              <w:rPr>
                <w:rFonts w:ascii="Calibri" w:hAnsi="Calibri" w:cs="Calibri"/>
                <w:b/>
                <w:bCs/>
                <w:sz w:val="20"/>
                <w:szCs w:val="20"/>
              </w:rPr>
              <w:t>)</w:t>
            </w:r>
          </w:p>
        </w:tc>
        <w:tc>
          <w:tcPr>
            <w:tcW w:w="482" w:type="pct"/>
            <w:shd w:val="clear" w:color="auto" w:fill="auto"/>
            <w:noWrap/>
            <w:vAlign w:val="center"/>
            <w:hideMark/>
          </w:tcPr>
          <w:p w14:paraId="7E229688" w14:textId="77777777" w:rsidR="0027557B" w:rsidRPr="0027557B" w:rsidRDefault="0027557B" w:rsidP="00830B05">
            <w:pPr>
              <w:spacing w:after="0" w:line="240" w:lineRule="auto"/>
              <w:jc w:val="right"/>
              <w:rPr>
                <w:sz w:val="20"/>
                <w:szCs w:val="20"/>
              </w:rPr>
            </w:pPr>
            <w:r w:rsidRPr="0027557B">
              <w:rPr>
                <w:sz w:val="20"/>
                <w:szCs w:val="20"/>
              </w:rPr>
              <w:t> </w:t>
            </w:r>
          </w:p>
        </w:tc>
        <w:tc>
          <w:tcPr>
            <w:tcW w:w="486" w:type="pct"/>
            <w:shd w:val="clear" w:color="auto" w:fill="auto"/>
            <w:noWrap/>
            <w:vAlign w:val="center"/>
            <w:hideMark/>
          </w:tcPr>
          <w:p w14:paraId="0FF5CA2F" w14:textId="77777777" w:rsidR="0027557B" w:rsidRPr="0027557B" w:rsidRDefault="0027557B" w:rsidP="00830B05">
            <w:pPr>
              <w:spacing w:after="0" w:line="240" w:lineRule="auto"/>
              <w:jc w:val="right"/>
              <w:rPr>
                <w:sz w:val="20"/>
                <w:szCs w:val="20"/>
              </w:rPr>
            </w:pPr>
            <w:r w:rsidRPr="0027557B">
              <w:rPr>
                <w:sz w:val="20"/>
                <w:szCs w:val="20"/>
              </w:rPr>
              <w:t> </w:t>
            </w:r>
          </w:p>
        </w:tc>
        <w:tc>
          <w:tcPr>
            <w:tcW w:w="486" w:type="pct"/>
            <w:shd w:val="clear" w:color="auto" w:fill="auto"/>
            <w:noWrap/>
            <w:vAlign w:val="center"/>
            <w:hideMark/>
          </w:tcPr>
          <w:p w14:paraId="635A1A67" w14:textId="77777777" w:rsidR="0027557B" w:rsidRPr="0027557B" w:rsidRDefault="0027557B" w:rsidP="00830B05">
            <w:pPr>
              <w:spacing w:after="0" w:line="240" w:lineRule="auto"/>
              <w:jc w:val="right"/>
              <w:rPr>
                <w:sz w:val="20"/>
                <w:szCs w:val="20"/>
              </w:rPr>
            </w:pPr>
            <w:r w:rsidRPr="0027557B">
              <w:rPr>
                <w:sz w:val="20"/>
                <w:szCs w:val="20"/>
              </w:rPr>
              <w:t> </w:t>
            </w:r>
          </w:p>
        </w:tc>
        <w:tc>
          <w:tcPr>
            <w:tcW w:w="482" w:type="pct"/>
            <w:shd w:val="clear" w:color="auto" w:fill="auto"/>
            <w:noWrap/>
            <w:vAlign w:val="center"/>
            <w:hideMark/>
          </w:tcPr>
          <w:p w14:paraId="12B3DD81" w14:textId="77777777" w:rsidR="0027557B" w:rsidRPr="0027557B" w:rsidRDefault="0027557B" w:rsidP="00830B05">
            <w:pPr>
              <w:spacing w:after="0" w:line="240" w:lineRule="auto"/>
              <w:jc w:val="right"/>
              <w:rPr>
                <w:sz w:val="20"/>
                <w:szCs w:val="20"/>
              </w:rPr>
            </w:pPr>
            <w:r w:rsidRPr="0027557B">
              <w:rPr>
                <w:sz w:val="20"/>
                <w:szCs w:val="20"/>
              </w:rPr>
              <w:t> </w:t>
            </w:r>
          </w:p>
        </w:tc>
        <w:tc>
          <w:tcPr>
            <w:tcW w:w="580" w:type="pct"/>
            <w:shd w:val="clear" w:color="auto" w:fill="auto"/>
            <w:noWrap/>
            <w:vAlign w:val="center"/>
            <w:hideMark/>
          </w:tcPr>
          <w:p w14:paraId="1945498D" w14:textId="77777777" w:rsidR="0027557B" w:rsidRPr="0027557B" w:rsidRDefault="0027557B" w:rsidP="00830B05">
            <w:pPr>
              <w:spacing w:after="0" w:line="240" w:lineRule="auto"/>
              <w:jc w:val="right"/>
              <w:rPr>
                <w:sz w:val="20"/>
                <w:szCs w:val="20"/>
              </w:rPr>
            </w:pPr>
            <w:r w:rsidRPr="0027557B">
              <w:rPr>
                <w:sz w:val="20"/>
                <w:szCs w:val="20"/>
              </w:rPr>
              <w:t> </w:t>
            </w:r>
          </w:p>
        </w:tc>
      </w:tr>
      <w:tr w:rsidR="0027557B" w:rsidRPr="0027557B" w14:paraId="1652CCF3" w14:textId="77777777" w:rsidTr="006164D5">
        <w:trPr>
          <w:trHeight w:val="340"/>
        </w:trPr>
        <w:tc>
          <w:tcPr>
            <w:tcW w:w="2483" w:type="pct"/>
            <w:shd w:val="clear" w:color="auto" w:fill="auto"/>
            <w:noWrap/>
            <w:vAlign w:val="center"/>
            <w:hideMark/>
          </w:tcPr>
          <w:p w14:paraId="709CA08D" w14:textId="77777777" w:rsidR="0027557B" w:rsidRPr="0027557B" w:rsidRDefault="0027557B" w:rsidP="00830B05">
            <w:pPr>
              <w:spacing w:after="0" w:line="240" w:lineRule="auto"/>
              <w:rPr>
                <w:rFonts w:ascii="Calibri" w:hAnsi="Calibri" w:cs="Calibri"/>
                <w:sz w:val="20"/>
                <w:szCs w:val="20"/>
              </w:rPr>
            </w:pPr>
            <w:r w:rsidRPr="0027557B">
              <w:rPr>
                <w:rFonts w:ascii="Calibri" w:hAnsi="Calibri" w:cs="Calibri"/>
                <w:sz w:val="20"/>
                <w:szCs w:val="20"/>
              </w:rPr>
              <w:t xml:space="preserve">    - z minimální mzdy</w:t>
            </w:r>
          </w:p>
        </w:tc>
        <w:tc>
          <w:tcPr>
            <w:tcW w:w="482" w:type="pct"/>
            <w:shd w:val="clear" w:color="auto" w:fill="auto"/>
            <w:noWrap/>
            <w:vAlign w:val="center"/>
            <w:hideMark/>
          </w:tcPr>
          <w:p w14:paraId="43C83536" w14:textId="1B503D1C" w:rsidR="0027557B" w:rsidRPr="0027557B" w:rsidRDefault="0027557B" w:rsidP="00830B05">
            <w:pPr>
              <w:spacing w:after="0" w:line="240" w:lineRule="auto"/>
              <w:jc w:val="right"/>
              <w:rPr>
                <w:sz w:val="20"/>
                <w:szCs w:val="20"/>
              </w:rPr>
            </w:pPr>
            <w:r w:rsidRPr="0027557B">
              <w:rPr>
                <w:sz w:val="20"/>
                <w:szCs w:val="20"/>
              </w:rPr>
              <w:t>17</w:t>
            </w:r>
            <w:r>
              <w:rPr>
                <w:sz w:val="20"/>
                <w:szCs w:val="20"/>
              </w:rPr>
              <w:t xml:space="preserve"> </w:t>
            </w:r>
            <w:r w:rsidRPr="0027557B">
              <w:rPr>
                <w:sz w:val="20"/>
                <w:szCs w:val="20"/>
              </w:rPr>
              <w:t>984</w:t>
            </w:r>
          </w:p>
        </w:tc>
        <w:tc>
          <w:tcPr>
            <w:tcW w:w="486" w:type="pct"/>
            <w:shd w:val="clear" w:color="auto" w:fill="auto"/>
            <w:noWrap/>
            <w:vAlign w:val="center"/>
            <w:hideMark/>
          </w:tcPr>
          <w:p w14:paraId="72AE3959" w14:textId="70450A86" w:rsidR="0027557B" w:rsidRPr="0027557B" w:rsidRDefault="0027557B" w:rsidP="00830B05">
            <w:pPr>
              <w:spacing w:after="0" w:line="240" w:lineRule="auto"/>
              <w:jc w:val="right"/>
              <w:rPr>
                <w:sz w:val="20"/>
                <w:szCs w:val="20"/>
              </w:rPr>
            </w:pPr>
            <w:r w:rsidRPr="0027557B">
              <w:rPr>
                <w:sz w:val="20"/>
                <w:szCs w:val="20"/>
              </w:rPr>
              <w:t>19</w:t>
            </w:r>
            <w:r>
              <w:rPr>
                <w:sz w:val="20"/>
                <w:szCs w:val="20"/>
              </w:rPr>
              <w:t xml:space="preserve"> </w:t>
            </w:r>
            <w:r w:rsidRPr="0027557B">
              <w:rPr>
                <w:sz w:val="20"/>
                <w:szCs w:val="20"/>
              </w:rPr>
              <w:t>622</w:t>
            </w:r>
          </w:p>
        </w:tc>
        <w:tc>
          <w:tcPr>
            <w:tcW w:w="486" w:type="pct"/>
            <w:shd w:val="clear" w:color="auto" w:fill="auto"/>
            <w:noWrap/>
            <w:vAlign w:val="center"/>
            <w:hideMark/>
          </w:tcPr>
          <w:p w14:paraId="20DAF848" w14:textId="23B1AF17" w:rsidR="0027557B" w:rsidRPr="0027557B" w:rsidRDefault="0027557B" w:rsidP="00830B05">
            <w:pPr>
              <w:spacing w:after="0" w:line="240" w:lineRule="auto"/>
              <w:jc w:val="right"/>
              <w:rPr>
                <w:sz w:val="20"/>
                <w:szCs w:val="20"/>
              </w:rPr>
            </w:pPr>
            <w:r w:rsidRPr="0027557B">
              <w:rPr>
                <w:sz w:val="20"/>
                <w:szCs w:val="20"/>
              </w:rPr>
              <w:t>20</w:t>
            </w:r>
            <w:r>
              <w:rPr>
                <w:sz w:val="20"/>
                <w:szCs w:val="20"/>
              </w:rPr>
              <w:t xml:space="preserve"> </w:t>
            </w:r>
            <w:r w:rsidRPr="0027557B">
              <w:rPr>
                <w:sz w:val="20"/>
                <w:szCs w:val="20"/>
              </w:rPr>
              <w:t>429</w:t>
            </w:r>
          </w:p>
        </w:tc>
        <w:tc>
          <w:tcPr>
            <w:tcW w:w="482" w:type="pct"/>
            <w:shd w:val="clear" w:color="auto" w:fill="auto"/>
            <w:noWrap/>
            <w:vAlign w:val="center"/>
            <w:hideMark/>
          </w:tcPr>
          <w:p w14:paraId="0B7399D5" w14:textId="7296DB4C" w:rsidR="0027557B" w:rsidRPr="0027557B" w:rsidRDefault="0027557B" w:rsidP="00830B05">
            <w:pPr>
              <w:spacing w:after="0" w:line="240" w:lineRule="auto"/>
              <w:jc w:val="right"/>
              <w:rPr>
                <w:sz w:val="20"/>
                <w:szCs w:val="20"/>
              </w:rPr>
            </w:pPr>
            <w:r w:rsidRPr="0027557B">
              <w:rPr>
                <w:sz w:val="20"/>
                <w:szCs w:val="20"/>
              </w:rPr>
              <w:t>21</w:t>
            </w:r>
            <w:r>
              <w:rPr>
                <w:sz w:val="20"/>
                <w:szCs w:val="20"/>
              </w:rPr>
              <w:t xml:space="preserve"> </w:t>
            </w:r>
            <w:r w:rsidRPr="0027557B">
              <w:rPr>
                <w:sz w:val="20"/>
                <w:szCs w:val="20"/>
              </w:rPr>
              <w:t>773</w:t>
            </w:r>
          </w:p>
        </w:tc>
        <w:tc>
          <w:tcPr>
            <w:tcW w:w="580" w:type="pct"/>
            <w:shd w:val="clear" w:color="auto" w:fill="auto"/>
            <w:noWrap/>
            <w:vAlign w:val="center"/>
            <w:hideMark/>
          </w:tcPr>
          <w:p w14:paraId="6CE13247" w14:textId="77777777" w:rsidR="0027557B" w:rsidRPr="0027557B" w:rsidRDefault="0027557B" w:rsidP="006164D5">
            <w:pPr>
              <w:spacing w:after="0" w:line="240" w:lineRule="auto"/>
              <w:jc w:val="right"/>
              <w:rPr>
                <w:sz w:val="20"/>
                <w:szCs w:val="20"/>
              </w:rPr>
            </w:pPr>
            <w:r w:rsidRPr="0027557B">
              <w:rPr>
                <w:sz w:val="20"/>
                <w:szCs w:val="20"/>
              </w:rPr>
              <w:t> </w:t>
            </w:r>
          </w:p>
        </w:tc>
      </w:tr>
      <w:tr w:rsidR="0027557B" w:rsidRPr="0027557B" w14:paraId="646E3B7E" w14:textId="77777777" w:rsidTr="006164D5">
        <w:trPr>
          <w:trHeight w:val="340"/>
        </w:trPr>
        <w:tc>
          <w:tcPr>
            <w:tcW w:w="2483" w:type="pct"/>
            <w:shd w:val="clear" w:color="auto" w:fill="auto"/>
            <w:noWrap/>
            <w:vAlign w:val="center"/>
            <w:hideMark/>
          </w:tcPr>
          <w:p w14:paraId="018D4333" w14:textId="77777777" w:rsidR="0027557B" w:rsidRPr="0027557B" w:rsidRDefault="0027557B" w:rsidP="00830B05">
            <w:pPr>
              <w:spacing w:after="0" w:line="240" w:lineRule="auto"/>
              <w:rPr>
                <w:rFonts w:ascii="Calibri" w:hAnsi="Calibri" w:cs="Calibri"/>
                <w:sz w:val="20"/>
                <w:szCs w:val="20"/>
              </w:rPr>
            </w:pPr>
            <w:r w:rsidRPr="0027557B">
              <w:rPr>
                <w:rFonts w:ascii="Calibri" w:hAnsi="Calibri" w:cs="Calibri"/>
                <w:sz w:val="20"/>
                <w:szCs w:val="20"/>
              </w:rPr>
              <w:t xml:space="preserve">    - z průměrné mzdy</w:t>
            </w:r>
          </w:p>
        </w:tc>
        <w:tc>
          <w:tcPr>
            <w:tcW w:w="482" w:type="pct"/>
            <w:shd w:val="clear" w:color="auto" w:fill="auto"/>
            <w:noWrap/>
            <w:vAlign w:val="center"/>
            <w:hideMark/>
          </w:tcPr>
          <w:p w14:paraId="2357A27E" w14:textId="2067D990" w:rsidR="0027557B" w:rsidRPr="0027557B" w:rsidRDefault="0027557B" w:rsidP="00830B05">
            <w:pPr>
              <w:spacing w:after="0" w:line="240" w:lineRule="auto"/>
              <w:jc w:val="right"/>
              <w:rPr>
                <w:sz w:val="20"/>
                <w:szCs w:val="20"/>
              </w:rPr>
            </w:pPr>
            <w:r w:rsidRPr="0027557B">
              <w:rPr>
                <w:sz w:val="20"/>
                <w:szCs w:val="20"/>
              </w:rPr>
              <w:t>44</w:t>
            </w:r>
            <w:r>
              <w:rPr>
                <w:sz w:val="20"/>
                <w:szCs w:val="20"/>
              </w:rPr>
              <w:t xml:space="preserve"> </w:t>
            </w:r>
            <w:r w:rsidRPr="0027557B">
              <w:rPr>
                <w:sz w:val="20"/>
                <w:szCs w:val="20"/>
              </w:rPr>
              <w:t>640</w:t>
            </w:r>
          </w:p>
        </w:tc>
        <w:tc>
          <w:tcPr>
            <w:tcW w:w="486" w:type="pct"/>
            <w:shd w:val="clear" w:color="auto" w:fill="auto"/>
            <w:noWrap/>
            <w:vAlign w:val="center"/>
            <w:hideMark/>
          </w:tcPr>
          <w:p w14:paraId="740180A2" w14:textId="4B1232F7" w:rsidR="0027557B" w:rsidRPr="0027557B" w:rsidRDefault="0027557B" w:rsidP="00830B05">
            <w:pPr>
              <w:spacing w:after="0" w:line="240" w:lineRule="auto"/>
              <w:jc w:val="right"/>
              <w:rPr>
                <w:sz w:val="20"/>
                <w:szCs w:val="20"/>
              </w:rPr>
            </w:pPr>
            <w:r w:rsidRPr="0027557B">
              <w:rPr>
                <w:sz w:val="20"/>
                <w:szCs w:val="20"/>
              </w:rPr>
              <w:t>46</w:t>
            </w:r>
            <w:r>
              <w:rPr>
                <w:sz w:val="20"/>
                <w:szCs w:val="20"/>
              </w:rPr>
              <w:t xml:space="preserve"> </w:t>
            </w:r>
            <w:r w:rsidRPr="0027557B">
              <w:rPr>
                <w:sz w:val="20"/>
                <w:szCs w:val="20"/>
              </w:rPr>
              <w:t>368</w:t>
            </w:r>
          </w:p>
        </w:tc>
        <w:tc>
          <w:tcPr>
            <w:tcW w:w="486" w:type="pct"/>
            <w:shd w:val="clear" w:color="auto" w:fill="auto"/>
            <w:noWrap/>
            <w:vAlign w:val="center"/>
            <w:hideMark/>
          </w:tcPr>
          <w:p w14:paraId="78B0A96B" w14:textId="143A1CC7" w:rsidR="0027557B" w:rsidRPr="0027557B" w:rsidRDefault="0027557B" w:rsidP="00830B05">
            <w:pPr>
              <w:spacing w:after="0" w:line="240" w:lineRule="auto"/>
              <w:jc w:val="right"/>
              <w:rPr>
                <w:sz w:val="20"/>
                <w:szCs w:val="20"/>
              </w:rPr>
            </w:pPr>
            <w:r w:rsidRPr="0027557B">
              <w:rPr>
                <w:sz w:val="20"/>
                <w:szCs w:val="20"/>
              </w:rPr>
              <w:t>49</w:t>
            </w:r>
            <w:r>
              <w:rPr>
                <w:sz w:val="20"/>
                <w:szCs w:val="20"/>
              </w:rPr>
              <w:t xml:space="preserve"> </w:t>
            </w:r>
            <w:r w:rsidRPr="0027557B">
              <w:rPr>
                <w:sz w:val="20"/>
                <w:szCs w:val="20"/>
              </w:rPr>
              <w:t>193</w:t>
            </w:r>
          </w:p>
        </w:tc>
        <w:tc>
          <w:tcPr>
            <w:tcW w:w="482" w:type="pct"/>
            <w:shd w:val="clear" w:color="auto" w:fill="auto"/>
            <w:noWrap/>
            <w:vAlign w:val="center"/>
            <w:hideMark/>
          </w:tcPr>
          <w:p w14:paraId="2C6058F2" w14:textId="146EB91D" w:rsidR="0027557B" w:rsidRPr="0027557B" w:rsidRDefault="0027557B" w:rsidP="00830B05">
            <w:pPr>
              <w:spacing w:after="0" w:line="240" w:lineRule="auto"/>
              <w:jc w:val="right"/>
              <w:rPr>
                <w:sz w:val="20"/>
                <w:szCs w:val="20"/>
              </w:rPr>
            </w:pPr>
            <w:r w:rsidRPr="0027557B">
              <w:rPr>
                <w:sz w:val="20"/>
                <w:szCs w:val="20"/>
              </w:rPr>
              <w:t>50</w:t>
            </w:r>
            <w:r>
              <w:rPr>
                <w:sz w:val="20"/>
                <w:szCs w:val="20"/>
              </w:rPr>
              <w:t xml:space="preserve"> </w:t>
            </w:r>
            <w:r w:rsidRPr="0027557B">
              <w:rPr>
                <w:sz w:val="20"/>
                <w:szCs w:val="20"/>
              </w:rPr>
              <w:t>803</w:t>
            </w:r>
          </w:p>
        </w:tc>
        <w:tc>
          <w:tcPr>
            <w:tcW w:w="580" w:type="pct"/>
            <w:shd w:val="clear" w:color="auto" w:fill="auto"/>
            <w:noWrap/>
            <w:vAlign w:val="center"/>
            <w:hideMark/>
          </w:tcPr>
          <w:p w14:paraId="0741051F" w14:textId="77777777" w:rsidR="0027557B" w:rsidRPr="0027557B" w:rsidRDefault="0027557B" w:rsidP="006164D5">
            <w:pPr>
              <w:spacing w:after="0" w:line="240" w:lineRule="auto"/>
              <w:jc w:val="right"/>
              <w:rPr>
                <w:sz w:val="20"/>
                <w:szCs w:val="20"/>
              </w:rPr>
            </w:pPr>
            <w:r w:rsidRPr="0027557B">
              <w:rPr>
                <w:sz w:val="20"/>
                <w:szCs w:val="20"/>
              </w:rPr>
              <w:t> </w:t>
            </w:r>
          </w:p>
        </w:tc>
      </w:tr>
      <w:tr w:rsidR="0027557B" w:rsidRPr="0027557B" w14:paraId="476C02B3" w14:textId="77777777" w:rsidTr="006164D5">
        <w:trPr>
          <w:trHeight w:val="340"/>
        </w:trPr>
        <w:tc>
          <w:tcPr>
            <w:tcW w:w="2483" w:type="pct"/>
            <w:shd w:val="clear" w:color="auto" w:fill="auto"/>
            <w:noWrap/>
            <w:vAlign w:val="center"/>
            <w:hideMark/>
          </w:tcPr>
          <w:p w14:paraId="73ED4AAE" w14:textId="4F7160E2" w:rsidR="0027557B" w:rsidRPr="0027557B" w:rsidRDefault="0027557B" w:rsidP="00830B05">
            <w:pPr>
              <w:spacing w:after="0" w:line="240" w:lineRule="auto"/>
              <w:rPr>
                <w:rFonts w:ascii="Calibri" w:hAnsi="Calibri" w:cs="Calibri"/>
                <w:b/>
                <w:bCs/>
                <w:sz w:val="20"/>
                <w:szCs w:val="20"/>
              </w:rPr>
            </w:pPr>
            <w:r w:rsidRPr="0027557B">
              <w:rPr>
                <w:rFonts w:ascii="Calibri" w:hAnsi="Calibri" w:cs="Calibri"/>
                <w:b/>
                <w:bCs/>
                <w:sz w:val="20"/>
                <w:szCs w:val="20"/>
              </w:rPr>
              <w:t xml:space="preserve">Roční únik na DPFO a SZP </w:t>
            </w:r>
            <w:r w:rsidR="00A809DB">
              <w:rPr>
                <w:rFonts w:ascii="Calibri" w:hAnsi="Calibri" w:cs="Calibri"/>
                <w:b/>
                <w:bCs/>
                <w:sz w:val="20"/>
                <w:szCs w:val="20"/>
              </w:rPr>
              <w:t>(</w:t>
            </w:r>
            <w:r w:rsidRPr="0027557B">
              <w:rPr>
                <w:rFonts w:ascii="Calibri" w:hAnsi="Calibri" w:cs="Calibri"/>
                <w:b/>
                <w:bCs/>
                <w:sz w:val="20"/>
                <w:szCs w:val="20"/>
              </w:rPr>
              <w:t>v mil. Kč</w:t>
            </w:r>
            <w:r w:rsidR="00A809DB">
              <w:rPr>
                <w:rFonts w:ascii="Calibri" w:hAnsi="Calibri" w:cs="Calibri"/>
                <w:b/>
                <w:bCs/>
                <w:sz w:val="20"/>
                <w:szCs w:val="20"/>
              </w:rPr>
              <w:t>)</w:t>
            </w:r>
          </w:p>
        </w:tc>
        <w:tc>
          <w:tcPr>
            <w:tcW w:w="482" w:type="pct"/>
            <w:shd w:val="clear" w:color="auto" w:fill="auto"/>
            <w:noWrap/>
            <w:vAlign w:val="center"/>
            <w:hideMark/>
          </w:tcPr>
          <w:p w14:paraId="7156E35A" w14:textId="77777777" w:rsidR="0027557B" w:rsidRPr="0027557B" w:rsidRDefault="0027557B" w:rsidP="00830B05">
            <w:pPr>
              <w:spacing w:after="0" w:line="240" w:lineRule="auto"/>
              <w:jc w:val="right"/>
              <w:rPr>
                <w:sz w:val="20"/>
                <w:szCs w:val="20"/>
              </w:rPr>
            </w:pPr>
            <w:r w:rsidRPr="0027557B">
              <w:rPr>
                <w:sz w:val="20"/>
                <w:szCs w:val="20"/>
              </w:rPr>
              <w:t> </w:t>
            </w:r>
          </w:p>
        </w:tc>
        <w:tc>
          <w:tcPr>
            <w:tcW w:w="486" w:type="pct"/>
            <w:shd w:val="clear" w:color="auto" w:fill="auto"/>
            <w:noWrap/>
            <w:vAlign w:val="center"/>
            <w:hideMark/>
          </w:tcPr>
          <w:p w14:paraId="2D5CF480" w14:textId="77777777" w:rsidR="0027557B" w:rsidRPr="0027557B" w:rsidRDefault="0027557B" w:rsidP="00830B05">
            <w:pPr>
              <w:spacing w:after="0" w:line="240" w:lineRule="auto"/>
              <w:jc w:val="right"/>
              <w:rPr>
                <w:sz w:val="20"/>
                <w:szCs w:val="20"/>
              </w:rPr>
            </w:pPr>
            <w:r w:rsidRPr="0027557B">
              <w:rPr>
                <w:sz w:val="20"/>
                <w:szCs w:val="20"/>
              </w:rPr>
              <w:t> </w:t>
            </w:r>
          </w:p>
        </w:tc>
        <w:tc>
          <w:tcPr>
            <w:tcW w:w="486" w:type="pct"/>
            <w:shd w:val="clear" w:color="auto" w:fill="auto"/>
            <w:noWrap/>
            <w:vAlign w:val="center"/>
            <w:hideMark/>
          </w:tcPr>
          <w:p w14:paraId="621C8F44" w14:textId="77777777" w:rsidR="0027557B" w:rsidRPr="0027557B" w:rsidRDefault="0027557B" w:rsidP="00830B05">
            <w:pPr>
              <w:spacing w:after="0" w:line="240" w:lineRule="auto"/>
              <w:jc w:val="right"/>
              <w:rPr>
                <w:sz w:val="20"/>
                <w:szCs w:val="20"/>
              </w:rPr>
            </w:pPr>
            <w:r w:rsidRPr="0027557B">
              <w:rPr>
                <w:sz w:val="20"/>
                <w:szCs w:val="20"/>
              </w:rPr>
              <w:t> </w:t>
            </w:r>
          </w:p>
        </w:tc>
        <w:tc>
          <w:tcPr>
            <w:tcW w:w="482" w:type="pct"/>
            <w:shd w:val="clear" w:color="auto" w:fill="auto"/>
            <w:noWrap/>
            <w:vAlign w:val="center"/>
            <w:hideMark/>
          </w:tcPr>
          <w:p w14:paraId="7CB10974" w14:textId="77777777" w:rsidR="0027557B" w:rsidRPr="0027557B" w:rsidRDefault="0027557B" w:rsidP="00830B05">
            <w:pPr>
              <w:spacing w:after="0" w:line="240" w:lineRule="auto"/>
              <w:jc w:val="right"/>
              <w:rPr>
                <w:sz w:val="20"/>
                <w:szCs w:val="20"/>
              </w:rPr>
            </w:pPr>
            <w:r w:rsidRPr="0027557B">
              <w:rPr>
                <w:sz w:val="20"/>
                <w:szCs w:val="20"/>
              </w:rPr>
              <w:t> </w:t>
            </w:r>
          </w:p>
        </w:tc>
        <w:tc>
          <w:tcPr>
            <w:tcW w:w="580" w:type="pct"/>
            <w:shd w:val="clear" w:color="auto" w:fill="auto"/>
            <w:noWrap/>
            <w:vAlign w:val="center"/>
            <w:hideMark/>
          </w:tcPr>
          <w:p w14:paraId="2EC49A9B" w14:textId="77777777" w:rsidR="0027557B" w:rsidRPr="0027557B" w:rsidRDefault="0027557B" w:rsidP="00830B05">
            <w:pPr>
              <w:spacing w:after="0" w:line="240" w:lineRule="auto"/>
              <w:jc w:val="right"/>
              <w:rPr>
                <w:sz w:val="20"/>
                <w:szCs w:val="20"/>
              </w:rPr>
            </w:pPr>
            <w:r w:rsidRPr="0027557B">
              <w:rPr>
                <w:sz w:val="20"/>
                <w:szCs w:val="20"/>
              </w:rPr>
              <w:t> </w:t>
            </w:r>
          </w:p>
        </w:tc>
      </w:tr>
      <w:tr w:rsidR="0027557B" w:rsidRPr="0027557B" w14:paraId="37E15610" w14:textId="77777777" w:rsidTr="006164D5">
        <w:trPr>
          <w:trHeight w:val="340"/>
        </w:trPr>
        <w:tc>
          <w:tcPr>
            <w:tcW w:w="2483" w:type="pct"/>
            <w:shd w:val="clear" w:color="auto" w:fill="auto"/>
            <w:noWrap/>
            <w:vAlign w:val="center"/>
            <w:hideMark/>
          </w:tcPr>
          <w:p w14:paraId="15B0776E" w14:textId="77777777" w:rsidR="0027557B" w:rsidRPr="0027557B" w:rsidRDefault="0027557B" w:rsidP="00830B05">
            <w:pPr>
              <w:spacing w:after="0" w:line="240" w:lineRule="auto"/>
              <w:rPr>
                <w:rFonts w:ascii="Calibri" w:hAnsi="Calibri" w:cs="Calibri"/>
                <w:sz w:val="20"/>
                <w:szCs w:val="20"/>
              </w:rPr>
            </w:pPr>
            <w:r w:rsidRPr="0027557B">
              <w:rPr>
                <w:rFonts w:ascii="Calibri" w:hAnsi="Calibri" w:cs="Calibri"/>
                <w:sz w:val="20"/>
                <w:szCs w:val="20"/>
              </w:rPr>
              <w:t xml:space="preserve">    - při uvažování minimální mzdy</w:t>
            </w:r>
          </w:p>
        </w:tc>
        <w:tc>
          <w:tcPr>
            <w:tcW w:w="482" w:type="pct"/>
            <w:shd w:val="clear" w:color="auto" w:fill="auto"/>
            <w:noWrap/>
            <w:vAlign w:val="center"/>
            <w:hideMark/>
          </w:tcPr>
          <w:p w14:paraId="2DE267BE" w14:textId="76C05790" w:rsidR="0027557B" w:rsidRPr="0027557B" w:rsidRDefault="0027557B" w:rsidP="00830B05">
            <w:pPr>
              <w:spacing w:after="0" w:line="240" w:lineRule="auto"/>
              <w:jc w:val="right"/>
              <w:rPr>
                <w:sz w:val="20"/>
                <w:szCs w:val="20"/>
              </w:rPr>
            </w:pPr>
            <w:r w:rsidRPr="0027557B">
              <w:rPr>
                <w:sz w:val="20"/>
                <w:szCs w:val="20"/>
              </w:rPr>
              <w:t>13</w:t>
            </w:r>
            <w:r>
              <w:rPr>
                <w:sz w:val="20"/>
                <w:szCs w:val="20"/>
              </w:rPr>
              <w:t xml:space="preserve"> </w:t>
            </w:r>
            <w:r w:rsidRPr="0027557B">
              <w:rPr>
                <w:sz w:val="20"/>
                <w:szCs w:val="20"/>
              </w:rPr>
              <w:t>332</w:t>
            </w:r>
          </w:p>
        </w:tc>
        <w:tc>
          <w:tcPr>
            <w:tcW w:w="486" w:type="pct"/>
            <w:shd w:val="clear" w:color="auto" w:fill="auto"/>
            <w:noWrap/>
            <w:vAlign w:val="center"/>
            <w:hideMark/>
          </w:tcPr>
          <w:p w14:paraId="61B2A103" w14:textId="3BCE5065" w:rsidR="0027557B" w:rsidRPr="0027557B" w:rsidRDefault="0027557B" w:rsidP="00830B05">
            <w:pPr>
              <w:spacing w:after="0" w:line="240" w:lineRule="auto"/>
              <w:jc w:val="right"/>
              <w:rPr>
                <w:sz w:val="20"/>
                <w:szCs w:val="20"/>
              </w:rPr>
            </w:pPr>
            <w:r w:rsidRPr="0027557B">
              <w:rPr>
                <w:sz w:val="20"/>
                <w:szCs w:val="20"/>
              </w:rPr>
              <w:t>13</w:t>
            </w:r>
            <w:r>
              <w:rPr>
                <w:sz w:val="20"/>
                <w:szCs w:val="20"/>
              </w:rPr>
              <w:t xml:space="preserve"> </w:t>
            </w:r>
            <w:r w:rsidRPr="0027557B">
              <w:rPr>
                <w:sz w:val="20"/>
                <w:szCs w:val="20"/>
              </w:rPr>
              <w:t>942</w:t>
            </w:r>
          </w:p>
        </w:tc>
        <w:tc>
          <w:tcPr>
            <w:tcW w:w="486" w:type="pct"/>
            <w:shd w:val="clear" w:color="auto" w:fill="auto"/>
            <w:noWrap/>
            <w:vAlign w:val="center"/>
            <w:hideMark/>
          </w:tcPr>
          <w:p w14:paraId="1CD7EAC0" w14:textId="10B53B1C" w:rsidR="0027557B" w:rsidRPr="0027557B" w:rsidRDefault="0027557B" w:rsidP="00830B05">
            <w:pPr>
              <w:spacing w:after="0" w:line="240" w:lineRule="auto"/>
              <w:jc w:val="right"/>
              <w:rPr>
                <w:sz w:val="20"/>
                <w:szCs w:val="20"/>
              </w:rPr>
            </w:pPr>
            <w:r w:rsidRPr="0027557B">
              <w:rPr>
                <w:sz w:val="20"/>
                <w:szCs w:val="20"/>
              </w:rPr>
              <w:t>16</w:t>
            </w:r>
            <w:r>
              <w:rPr>
                <w:sz w:val="20"/>
                <w:szCs w:val="20"/>
              </w:rPr>
              <w:t xml:space="preserve"> </w:t>
            </w:r>
            <w:r w:rsidRPr="0027557B">
              <w:rPr>
                <w:sz w:val="20"/>
                <w:szCs w:val="20"/>
              </w:rPr>
              <w:t>041</w:t>
            </w:r>
          </w:p>
        </w:tc>
        <w:tc>
          <w:tcPr>
            <w:tcW w:w="482" w:type="pct"/>
            <w:shd w:val="clear" w:color="auto" w:fill="auto"/>
            <w:noWrap/>
            <w:vAlign w:val="center"/>
            <w:hideMark/>
          </w:tcPr>
          <w:p w14:paraId="2255887D" w14:textId="62047745" w:rsidR="0027557B" w:rsidRPr="0027557B" w:rsidRDefault="0027557B" w:rsidP="00830B05">
            <w:pPr>
              <w:spacing w:after="0" w:line="240" w:lineRule="auto"/>
              <w:jc w:val="right"/>
              <w:rPr>
                <w:sz w:val="20"/>
                <w:szCs w:val="20"/>
              </w:rPr>
            </w:pPr>
            <w:r w:rsidRPr="0027557B">
              <w:rPr>
                <w:sz w:val="20"/>
                <w:szCs w:val="20"/>
              </w:rPr>
              <w:t>10</w:t>
            </w:r>
            <w:r>
              <w:rPr>
                <w:sz w:val="20"/>
                <w:szCs w:val="20"/>
              </w:rPr>
              <w:t xml:space="preserve"> </w:t>
            </w:r>
            <w:r w:rsidRPr="0027557B">
              <w:rPr>
                <w:sz w:val="20"/>
                <w:szCs w:val="20"/>
              </w:rPr>
              <w:t>495</w:t>
            </w:r>
          </w:p>
        </w:tc>
        <w:tc>
          <w:tcPr>
            <w:tcW w:w="580" w:type="pct"/>
            <w:shd w:val="clear" w:color="auto" w:fill="auto"/>
            <w:noWrap/>
            <w:vAlign w:val="center"/>
            <w:hideMark/>
          </w:tcPr>
          <w:p w14:paraId="4661FADA" w14:textId="6E7470D0" w:rsidR="0027557B" w:rsidRPr="0027557B" w:rsidRDefault="0027557B" w:rsidP="00830B05">
            <w:pPr>
              <w:spacing w:after="0" w:line="240" w:lineRule="auto"/>
              <w:jc w:val="right"/>
              <w:rPr>
                <w:sz w:val="20"/>
                <w:szCs w:val="20"/>
              </w:rPr>
            </w:pPr>
            <w:r w:rsidRPr="0027557B">
              <w:rPr>
                <w:sz w:val="20"/>
                <w:szCs w:val="20"/>
              </w:rPr>
              <w:t>53</w:t>
            </w:r>
            <w:r>
              <w:rPr>
                <w:sz w:val="20"/>
                <w:szCs w:val="20"/>
              </w:rPr>
              <w:t xml:space="preserve"> </w:t>
            </w:r>
            <w:r w:rsidRPr="0027557B">
              <w:rPr>
                <w:sz w:val="20"/>
                <w:szCs w:val="20"/>
              </w:rPr>
              <w:t>809</w:t>
            </w:r>
          </w:p>
        </w:tc>
      </w:tr>
      <w:tr w:rsidR="0027557B" w:rsidRPr="0027557B" w14:paraId="7B8923EC" w14:textId="77777777" w:rsidTr="006164D5">
        <w:trPr>
          <w:trHeight w:val="340"/>
        </w:trPr>
        <w:tc>
          <w:tcPr>
            <w:tcW w:w="2483" w:type="pct"/>
            <w:shd w:val="clear" w:color="auto" w:fill="auto"/>
            <w:noWrap/>
            <w:vAlign w:val="center"/>
            <w:hideMark/>
          </w:tcPr>
          <w:p w14:paraId="5AAF679F" w14:textId="77777777" w:rsidR="0027557B" w:rsidRPr="0027557B" w:rsidRDefault="0027557B" w:rsidP="00830B05">
            <w:pPr>
              <w:spacing w:after="0" w:line="240" w:lineRule="auto"/>
              <w:rPr>
                <w:rFonts w:ascii="Calibri" w:hAnsi="Calibri" w:cs="Calibri"/>
                <w:sz w:val="20"/>
                <w:szCs w:val="20"/>
              </w:rPr>
            </w:pPr>
            <w:r w:rsidRPr="0027557B">
              <w:rPr>
                <w:rFonts w:ascii="Calibri" w:hAnsi="Calibri" w:cs="Calibri"/>
                <w:sz w:val="20"/>
                <w:szCs w:val="20"/>
              </w:rPr>
              <w:t xml:space="preserve">    - při uvažování průměrné mzdy</w:t>
            </w:r>
          </w:p>
        </w:tc>
        <w:tc>
          <w:tcPr>
            <w:tcW w:w="482" w:type="pct"/>
            <w:shd w:val="clear" w:color="auto" w:fill="auto"/>
            <w:noWrap/>
            <w:vAlign w:val="center"/>
            <w:hideMark/>
          </w:tcPr>
          <w:p w14:paraId="1627275D" w14:textId="4BEC1AD6" w:rsidR="0027557B" w:rsidRPr="0027557B" w:rsidRDefault="0027557B" w:rsidP="00830B05">
            <w:pPr>
              <w:spacing w:after="0" w:line="240" w:lineRule="auto"/>
              <w:jc w:val="right"/>
              <w:rPr>
                <w:sz w:val="20"/>
                <w:szCs w:val="20"/>
              </w:rPr>
            </w:pPr>
            <w:r w:rsidRPr="0027557B">
              <w:rPr>
                <w:sz w:val="20"/>
                <w:szCs w:val="20"/>
              </w:rPr>
              <w:t>33</w:t>
            </w:r>
            <w:r>
              <w:rPr>
                <w:sz w:val="20"/>
                <w:szCs w:val="20"/>
              </w:rPr>
              <w:t xml:space="preserve"> </w:t>
            </w:r>
            <w:r w:rsidRPr="0027557B">
              <w:rPr>
                <w:sz w:val="20"/>
                <w:szCs w:val="20"/>
              </w:rPr>
              <w:t>093</w:t>
            </w:r>
          </w:p>
        </w:tc>
        <w:tc>
          <w:tcPr>
            <w:tcW w:w="486" w:type="pct"/>
            <w:shd w:val="clear" w:color="auto" w:fill="auto"/>
            <w:noWrap/>
            <w:vAlign w:val="center"/>
            <w:hideMark/>
          </w:tcPr>
          <w:p w14:paraId="771DE423" w14:textId="74EF058F" w:rsidR="0027557B" w:rsidRPr="0027557B" w:rsidRDefault="0027557B" w:rsidP="00830B05">
            <w:pPr>
              <w:spacing w:after="0" w:line="240" w:lineRule="auto"/>
              <w:jc w:val="right"/>
              <w:rPr>
                <w:sz w:val="20"/>
                <w:szCs w:val="20"/>
              </w:rPr>
            </w:pPr>
            <w:r w:rsidRPr="0027557B">
              <w:rPr>
                <w:sz w:val="20"/>
                <w:szCs w:val="20"/>
              </w:rPr>
              <w:t>32</w:t>
            </w:r>
            <w:r>
              <w:rPr>
                <w:sz w:val="20"/>
                <w:szCs w:val="20"/>
              </w:rPr>
              <w:t xml:space="preserve"> </w:t>
            </w:r>
            <w:r w:rsidRPr="0027557B">
              <w:rPr>
                <w:sz w:val="20"/>
                <w:szCs w:val="20"/>
              </w:rPr>
              <w:t>945</w:t>
            </w:r>
          </w:p>
        </w:tc>
        <w:tc>
          <w:tcPr>
            <w:tcW w:w="486" w:type="pct"/>
            <w:shd w:val="clear" w:color="auto" w:fill="auto"/>
            <w:noWrap/>
            <w:vAlign w:val="center"/>
            <w:hideMark/>
          </w:tcPr>
          <w:p w14:paraId="50C60C3F" w14:textId="13A953E7" w:rsidR="0027557B" w:rsidRPr="0027557B" w:rsidRDefault="0027557B" w:rsidP="00830B05">
            <w:pPr>
              <w:spacing w:after="0" w:line="240" w:lineRule="auto"/>
              <w:jc w:val="right"/>
              <w:rPr>
                <w:sz w:val="20"/>
                <w:szCs w:val="20"/>
              </w:rPr>
            </w:pPr>
            <w:r w:rsidRPr="0027557B">
              <w:rPr>
                <w:sz w:val="20"/>
                <w:szCs w:val="20"/>
              </w:rPr>
              <w:t>38</w:t>
            </w:r>
            <w:r>
              <w:rPr>
                <w:sz w:val="20"/>
                <w:szCs w:val="20"/>
              </w:rPr>
              <w:t xml:space="preserve"> </w:t>
            </w:r>
            <w:r w:rsidRPr="0027557B">
              <w:rPr>
                <w:sz w:val="20"/>
                <w:szCs w:val="20"/>
              </w:rPr>
              <w:t>627</w:t>
            </w:r>
          </w:p>
        </w:tc>
        <w:tc>
          <w:tcPr>
            <w:tcW w:w="482" w:type="pct"/>
            <w:shd w:val="clear" w:color="auto" w:fill="auto"/>
            <w:noWrap/>
            <w:vAlign w:val="center"/>
            <w:hideMark/>
          </w:tcPr>
          <w:p w14:paraId="58D0BEB4" w14:textId="60606E4D" w:rsidR="0027557B" w:rsidRPr="0027557B" w:rsidRDefault="0027557B" w:rsidP="00830B05">
            <w:pPr>
              <w:spacing w:after="0" w:line="240" w:lineRule="auto"/>
              <w:jc w:val="right"/>
              <w:rPr>
                <w:sz w:val="20"/>
                <w:szCs w:val="20"/>
              </w:rPr>
            </w:pPr>
            <w:r w:rsidRPr="0027557B">
              <w:rPr>
                <w:sz w:val="20"/>
                <w:szCs w:val="20"/>
              </w:rPr>
              <w:t>24</w:t>
            </w:r>
            <w:r>
              <w:rPr>
                <w:sz w:val="20"/>
                <w:szCs w:val="20"/>
              </w:rPr>
              <w:t xml:space="preserve"> </w:t>
            </w:r>
            <w:r w:rsidRPr="0027557B">
              <w:rPr>
                <w:sz w:val="20"/>
                <w:szCs w:val="20"/>
              </w:rPr>
              <w:t>487</w:t>
            </w:r>
          </w:p>
        </w:tc>
        <w:tc>
          <w:tcPr>
            <w:tcW w:w="580" w:type="pct"/>
            <w:shd w:val="clear" w:color="auto" w:fill="auto"/>
            <w:noWrap/>
            <w:vAlign w:val="center"/>
            <w:hideMark/>
          </w:tcPr>
          <w:p w14:paraId="5B30D5DB" w14:textId="0418CA89" w:rsidR="0027557B" w:rsidRPr="0027557B" w:rsidRDefault="0027557B" w:rsidP="00830B05">
            <w:pPr>
              <w:spacing w:after="0" w:line="240" w:lineRule="auto"/>
              <w:jc w:val="right"/>
              <w:rPr>
                <w:sz w:val="20"/>
                <w:szCs w:val="20"/>
              </w:rPr>
            </w:pPr>
            <w:r w:rsidRPr="0027557B">
              <w:rPr>
                <w:sz w:val="20"/>
                <w:szCs w:val="20"/>
              </w:rPr>
              <w:t>129</w:t>
            </w:r>
            <w:r>
              <w:rPr>
                <w:sz w:val="20"/>
                <w:szCs w:val="20"/>
              </w:rPr>
              <w:t xml:space="preserve"> </w:t>
            </w:r>
            <w:r w:rsidRPr="0027557B">
              <w:rPr>
                <w:sz w:val="20"/>
                <w:szCs w:val="20"/>
              </w:rPr>
              <w:t>152</w:t>
            </w:r>
          </w:p>
        </w:tc>
      </w:tr>
    </w:tbl>
    <w:p w14:paraId="3D893746" w14:textId="0009823C" w:rsidR="00665949" w:rsidRPr="00AF208B" w:rsidRDefault="00665949" w:rsidP="00665949">
      <w:pPr>
        <w:spacing w:after="0" w:line="240" w:lineRule="auto"/>
        <w:jc w:val="both"/>
        <w:rPr>
          <w:rFonts w:cstheme="minorHAnsi"/>
          <w:sz w:val="20"/>
          <w:szCs w:val="20"/>
        </w:rPr>
      </w:pPr>
      <w:r w:rsidRPr="006164D5">
        <w:rPr>
          <w:rFonts w:cstheme="minorHAnsi"/>
          <w:b/>
          <w:bCs/>
          <w:sz w:val="20"/>
          <w:szCs w:val="20"/>
        </w:rPr>
        <w:t>Zdroj:</w:t>
      </w:r>
      <w:r w:rsidRPr="00AF208B">
        <w:rPr>
          <w:rFonts w:cstheme="minorHAnsi"/>
          <w:sz w:val="20"/>
          <w:szCs w:val="20"/>
        </w:rPr>
        <w:t xml:space="preserve"> ČSÚ, MPSV</w:t>
      </w:r>
      <w:r w:rsidR="000011BE">
        <w:rPr>
          <w:rFonts w:cstheme="minorHAnsi"/>
          <w:sz w:val="20"/>
          <w:szCs w:val="20"/>
        </w:rPr>
        <w:t>,</w:t>
      </w:r>
      <w:r w:rsidRPr="00AF208B">
        <w:rPr>
          <w:rFonts w:cstheme="minorHAnsi"/>
          <w:sz w:val="20"/>
          <w:szCs w:val="20"/>
        </w:rPr>
        <w:t xml:space="preserve"> vlastní výpočty NKÚ.</w:t>
      </w:r>
    </w:p>
    <w:p w14:paraId="6F142593" w14:textId="1EDE82B9" w:rsidR="0005650C" w:rsidRPr="006164D5" w:rsidRDefault="001665C0" w:rsidP="006164D5">
      <w:pPr>
        <w:spacing w:after="0" w:line="240" w:lineRule="auto"/>
        <w:ind w:left="284" w:hanging="284"/>
        <w:jc w:val="both"/>
        <w:rPr>
          <w:rFonts w:cstheme="minorHAnsi"/>
          <w:sz w:val="20"/>
          <w:szCs w:val="20"/>
        </w:rPr>
      </w:pPr>
      <w:r w:rsidRPr="006164D5">
        <w:rPr>
          <w:rFonts w:cstheme="minorHAnsi"/>
          <w:sz w:val="20"/>
          <w:szCs w:val="20"/>
        </w:rPr>
        <w:t xml:space="preserve">* </w:t>
      </w:r>
      <w:r w:rsidR="00665949">
        <w:rPr>
          <w:rFonts w:cstheme="minorHAnsi"/>
          <w:sz w:val="20"/>
          <w:szCs w:val="20"/>
        </w:rPr>
        <w:t>V</w:t>
      </w:r>
      <w:r w:rsidR="00263945" w:rsidRPr="006164D5">
        <w:rPr>
          <w:rFonts w:cstheme="minorHAnsi"/>
          <w:sz w:val="20"/>
          <w:szCs w:val="20"/>
        </w:rPr>
        <w:t xml:space="preserve">ážený </w:t>
      </w:r>
      <w:r w:rsidRPr="006164D5">
        <w:rPr>
          <w:rFonts w:cstheme="minorHAnsi"/>
          <w:sz w:val="20"/>
          <w:szCs w:val="20"/>
        </w:rPr>
        <w:t>průměr z čtvrtletních hodnot</w:t>
      </w:r>
      <w:r w:rsidR="00836D94" w:rsidRPr="006164D5">
        <w:rPr>
          <w:rFonts w:cstheme="minorHAnsi"/>
          <w:sz w:val="20"/>
          <w:szCs w:val="20"/>
        </w:rPr>
        <w:t>.</w:t>
      </w:r>
    </w:p>
    <w:p w14:paraId="72FDEF52" w14:textId="290D8AA7" w:rsidR="002D0FE7" w:rsidRDefault="002D0FE7" w:rsidP="006164D5">
      <w:pPr>
        <w:autoSpaceDE w:val="0"/>
        <w:autoSpaceDN w:val="0"/>
        <w:adjustRightInd w:val="0"/>
        <w:spacing w:before="240" w:line="240" w:lineRule="auto"/>
        <w:jc w:val="both"/>
        <w:rPr>
          <w:rFonts w:ascii="Calibri" w:hAnsi="Calibri" w:cs="Calibri"/>
          <w:sz w:val="24"/>
          <w:szCs w:val="24"/>
        </w:rPr>
      </w:pPr>
      <w:r>
        <w:rPr>
          <w:rFonts w:ascii="Calibri" w:hAnsi="Calibri" w:cs="Calibri"/>
          <w:sz w:val="24"/>
          <w:szCs w:val="24"/>
        </w:rPr>
        <w:t xml:space="preserve">Na základě výše uvedených předpokladů a </w:t>
      </w:r>
      <w:r w:rsidR="000011BE">
        <w:rPr>
          <w:rFonts w:ascii="Calibri" w:hAnsi="Calibri" w:cs="Calibri"/>
          <w:sz w:val="24"/>
          <w:szCs w:val="24"/>
        </w:rPr>
        <w:t>při</w:t>
      </w:r>
      <w:r>
        <w:rPr>
          <w:rFonts w:ascii="Calibri" w:hAnsi="Calibri" w:cs="Calibri"/>
          <w:sz w:val="24"/>
          <w:szCs w:val="24"/>
        </w:rPr>
        <w:t xml:space="preserve"> využití odhadu počtu nelegálních zaměstnanců </w:t>
      </w:r>
      <w:r w:rsidR="000011BE">
        <w:rPr>
          <w:rFonts w:ascii="Calibri" w:hAnsi="Calibri" w:cs="Calibri"/>
          <w:sz w:val="24"/>
          <w:szCs w:val="24"/>
        </w:rPr>
        <w:t>dle</w:t>
      </w:r>
      <w:r>
        <w:rPr>
          <w:rFonts w:ascii="Calibri" w:hAnsi="Calibri" w:cs="Calibri"/>
          <w:sz w:val="24"/>
          <w:szCs w:val="24"/>
        </w:rPr>
        <w:t xml:space="preserve"> statistik práce </w:t>
      </w:r>
      <w:r w:rsidR="000011BE">
        <w:rPr>
          <w:rFonts w:ascii="Calibri" w:hAnsi="Calibri" w:cs="Calibri"/>
          <w:sz w:val="24"/>
          <w:szCs w:val="24"/>
        </w:rPr>
        <w:t>lze konstatovat</w:t>
      </w:r>
      <w:r>
        <w:rPr>
          <w:rFonts w:ascii="Calibri" w:hAnsi="Calibri" w:cs="Calibri"/>
          <w:sz w:val="24"/>
          <w:szCs w:val="24"/>
        </w:rPr>
        <w:t xml:space="preserve">, že výpadek příjmů </w:t>
      </w:r>
      <w:r w:rsidR="000011BE">
        <w:rPr>
          <w:rFonts w:ascii="Calibri" w:hAnsi="Calibri" w:cs="Calibri"/>
          <w:sz w:val="24"/>
          <w:szCs w:val="24"/>
        </w:rPr>
        <w:t>z</w:t>
      </w:r>
      <w:r>
        <w:rPr>
          <w:rFonts w:ascii="Calibri" w:hAnsi="Calibri" w:cs="Calibri"/>
          <w:sz w:val="24"/>
          <w:szCs w:val="24"/>
        </w:rPr>
        <w:t xml:space="preserve"> DPFO a SZP se v letech 2019</w:t>
      </w:r>
      <w:r w:rsidR="000011BE">
        <w:rPr>
          <w:rFonts w:ascii="Calibri" w:hAnsi="Calibri" w:cs="Calibri"/>
          <w:sz w:val="24"/>
          <w:szCs w:val="24"/>
        </w:rPr>
        <w:t>–</w:t>
      </w:r>
      <w:r>
        <w:rPr>
          <w:rFonts w:ascii="Calibri" w:hAnsi="Calibri" w:cs="Calibri"/>
          <w:sz w:val="24"/>
          <w:szCs w:val="24"/>
        </w:rPr>
        <w:t xml:space="preserve">2022 </w:t>
      </w:r>
      <w:r w:rsidR="000011BE">
        <w:rPr>
          <w:rFonts w:ascii="Calibri" w:hAnsi="Calibri" w:cs="Calibri"/>
          <w:sz w:val="24"/>
          <w:szCs w:val="24"/>
        </w:rPr>
        <w:t>pohyboval v řádu</w:t>
      </w:r>
      <w:r>
        <w:rPr>
          <w:rFonts w:ascii="Calibri" w:hAnsi="Calibri" w:cs="Calibri"/>
          <w:sz w:val="24"/>
          <w:szCs w:val="24"/>
        </w:rPr>
        <w:t xml:space="preserve"> desítek </w:t>
      </w:r>
      <w:r w:rsidR="000011BE">
        <w:rPr>
          <w:rFonts w:ascii="Calibri" w:hAnsi="Calibri" w:cs="Calibri"/>
          <w:sz w:val="24"/>
          <w:szCs w:val="24"/>
        </w:rPr>
        <w:t>miliard korun</w:t>
      </w:r>
      <w:r>
        <w:rPr>
          <w:rFonts w:ascii="Calibri" w:hAnsi="Calibri" w:cs="Calibri"/>
          <w:sz w:val="24"/>
          <w:szCs w:val="24"/>
        </w:rPr>
        <w:t>.</w:t>
      </w:r>
    </w:p>
    <w:p w14:paraId="44FB5167" w14:textId="46F98EA8" w:rsidR="006127EC" w:rsidRDefault="000B1E69" w:rsidP="006164D5">
      <w:pPr>
        <w:autoSpaceDE w:val="0"/>
        <w:autoSpaceDN w:val="0"/>
        <w:adjustRightInd w:val="0"/>
        <w:spacing w:line="240" w:lineRule="auto"/>
        <w:jc w:val="both"/>
        <w:rPr>
          <w:sz w:val="24"/>
          <w:szCs w:val="24"/>
          <w:lang w:eastAsia="cs-CZ"/>
        </w:rPr>
      </w:pPr>
      <w:r>
        <w:rPr>
          <w:sz w:val="24"/>
          <w:szCs w:val="24"/>
          <w:lang w:eastAsia="cs-CZ"/>
        </w:rPr>
        <w:t xml:space="preserve">V kontrolní akci č. 18/32 NKÚ zjistil, že problematikou odhadu úniků na daních a pojistném na sociální zabezpečení a </w:t>
      </w:r>
      <w:r w:rsidR="000011BE">
        <w:rPr>
          <w:sz w:val="24"/>
          <w:szCs w:val="24"/>
          <w:lang w:eastAsia="cs-CZ"/>
        </w:rPr>
        <w:t xml:space="preserve">veřejné </w:t>
      </w:r>
      <w:r>
        <w:rPr>
          <w:sz w:val="24"/>
          <w:szCs w:val="24"/>
          <w:lang w:eastAsia="cs-CZ"/>
        </w:rPr>
        <w:t xml:space="preserve">zdravotní pojištění v důsledku nelegálního zaměstnávání se zabýval Výzkumný ústav práce a sociálních věcí, v. v. i. </w:t>
      </w:r>
      <w:r w:rsidR="006127EC">
        <w:rPr>
          <w:sz w:val="24"/>
          <w:szCs w:val="24"/>
          <w:lang w:eastAsia="cs-CZ"/>
        </w:rPr>
        <w:t>Tento výzkumný ústav zpracoval</w:t>
      </w:r>
      <w:r>
        <w:rPr>
          <w:sz w:val="24"/>
          <w:szCs w:val="24"/>
          <w:lang w:eastAsia="cs-CZ"/>
        </w:rPr>
        <w:t xml:space="preserve"> v roce </w:t>
      </w:r>
      <w:r>
        <w:rPr>
          <w:sz w:val="24"/>
          <w:szCs w:val="24"/>
          <w:lang w:eastAsia="cs-CZ"/>
        </w:rPr>
        <w:lastRenderedPageBreak/>
        <w:t>2014 studii</w:t>
      </w:r>
      <w:r w:rsidR="006127EC">
        <w:rPr>
          <w:rStyle w:val="Znakapoznpodarou"/>
          <w:sz w:val="24"/>
          <w:szCs w:val="24"/>
          <w:lang w:eastAsia="cs-CZ"/>
        </w:rPr>
        <w:footnoteReference w:id="45"/>
      </w:r>
      <w:r w:rsidR="006127EC">
        <w:rPr>
          <w:sz w:val="24"/>
          <w:szCs w:val="24"/>
          <w:lang w:eastAsia="cs-CZ"/>
        </w:rPr>
        <w:t>, dle které výpadek inkasa daní a veřejných pojistných z důvodu nelegální práce v sektoru závislé práce činil 50 mld. Kč.</w:t>
      </w:r>
    </w:p>
    <w:p w14:paraId="490F3F6B" w14:textId="01B8CEDF" w:rsidR="00316A26" w:rsidRDefault="003459E7" w:rsidP="00F77118">
      <w:pPr>
        <w:autoSpaceDE w:val="0"/>
        <w:autoSpaceDN w:val="0"/>
        <w:adjustRightInd w:val="0"/>
        <w:spacing w:after="0" w:line="240" w:lineRule="auto"/>
        <w:jc w:val="both"/>
        <w:rPr>
          <w:rFonts w:ascii="Calibri" w:hAnsi="Calibri" w:cs="Calibri"/>
          <w:sz w:val="24"/>
          <w:szCs w:val="24"/>
        </w:rPr>
      </w:pPr>
      <w:r>
        <w:rPr>
          <w:sz w:val="24"/>
          <w:szCs w:val="24"/>
          <w:lang w:eastAsia="cs-CZ"/>
        </w:rPr>
        <w:t>Tématu</w:t>
      </w:r>
      <w:r w:rsidR="002D0FE7" w:rsidRPr="00F203FA">
        <w:rPr>
          <w:sz w:val="24"/>
          <w:szCs w:val="24"/>
          <w:lang w:eastAsia="cs-CZ"/>
        </w:rPr>
        <w:t xml:space="preserve"> </w:t>
      </w:r>
      <w:r w:rsidR="002D0FE7" w:rsidRPr="00F203FA">
        <w:rPr>
          <w:rFonts w:ascii="Calibri" w:hAnsi="Calibri" w:cs="Calibri"/>
          <w:sz w:val="24"/>
          <w:szCs w:val="24"/>
        </w:rPr>
        <w:t>šedé ekonomiky a nehlášené práce</w:t>
      </w:r>
      <w:r w:rsidR="0088232D" w:rsidRPr="00F203FA">
        <w:rPr>
          <w:sz w:val="24"/>
          <w:szCs w:val="24"/>
          <w:lang w:eastAsia="cs-CZ"/>
        </w:rPr>
        <w:t xml:space="preserve"> </w:t>
      </w:r>
      <w:r>
        <w:rPr>
          <w:sz w:val="24"/>
          <w:szCs w:val="24"/>
          <w:lang w:eastAsia="cs-CZ"/>
        </w:rPr>
        <w:t>(</w:t>
      </w:r>
      <w:r w:rsidR="0088232D" w:rsidRPr="00F203FA">
        <w:rPr>
          <w:sz w:val="24"/>
          <w:szCs w:val="24"/>
          <w:lang w:eastAsia="cs-CZ"/>
        </w:rPr>
        <w:t>což je pojem širší než pojem nelegální práce</w:t>
      </w:r>
      <w:r>
        <w:rPr>
          <w:sz w:val="24"/>
          <w:szCs w:val="24"/>
          <w:lang w:eastAsia="cs-CZ"/>
        </w:rPr>
        <w:t>)</w:t>
      </w:r>
      <w:r w:rsidR="002D0FE7" w:rsidRPr="00090DB2">
        <w:rPr>
          <w:rFonts w:ascii="Calibri" w:hAnsi="Calibri" w:cs="Calibri"/>
          <w:sz w:val="24"/>
          <w:szCs w:val="24"/>
        </w:rPr>
        <w:t xml:space="preserve"> </w:t>
      </w:r>
      <w:r>
        <w:rPr>
          <w:rFonts w:ascii="Calibri" w:hAnsi="Calibri" w:cs="Calibri"/>
          <w:sz w:val="24"/>
          <w:szCs w:val="24"/>
        </w:rPr>
        <w:t>se věnovala také</w:t>
      </w:r>
      <w:r w:rsidR="002D0FE7" w:rsidRPr="00090DB2">
        <w:rPr>
          <w:sz w:val="24"/>
          <w:szCs w:val="24"/>
          <w:lang w:eastAsia="cs-CZ"/>
        </w:rPr>
        <w:t xml:space="preserve"> Evropská komise ve</w:t>
      </w:r>
      <w:r w:rsidR="002D0FE7" w:rsidRPr="00090DB2">
        <w:rPr>
          <w:sz w:val="24"/>
          <w:szCs w:val="24"/>
        </w:rPr>
        <w:t xml:space="preserve"> </w:t>
      </w:r>
      <w:r w:rsidR="002D0FE7" w:rsidRPr="00090DB2">
        <w:rPr>
          <w:i/>
          <w:iCs/>
          <w:sz w:val="24"/>
          <w:szCs w:val="24"/>
          <w:lang w:eastAsia="cs-CZ"/>
        </w:rPr>
        <w:t>Studii o účinnosti politik pro řešení nehlášené práce</w:t>
      </w:r>
      <w:r w:rsidR="002D0FE7" w:rsidRPr="00F203FA">
        <w:rPr>
          <w:rStyle w:val="Znakapoznpodarou"/>
          <w:sz w:val="24"/>
          <w:szCs w:val="24"/>
          <w:lang w:eastAsia="cs-CZ"/>
        </w:rPr>
        <w:footnoteReference w:id="46"/>
      </w:r>
      <w:r w:rsidR="002D0FE7" w:rsidRPr="00F203FA">
        <w:rPr>
          <w:sz w:val="24"/>
          <w:szCs w:val="24"/>
          <w:lang w:eastAsia="cs-CZ"/>
        </w:rPr>
        <w:t>, kde uvádí souhrnné odhady ekonomických dopadů souvisejících s nehlášenou prací</w:t>
      </w:r>
      <w:r w:rsidR="00DE3B01">
        <w:rPr>
          <w:sz w:val="24"/>
          <w:szCs w:val="24"/>
          <w:lang w:eastAsia="cs-CZ"/>
        </w:rPr>
        <w:t xml:space="preserve"> </w:t>
      </w:r>
      <w:r w:rsidR="0088232D" w:rsidRPr="00090DB2">
        <w:rPr>
          <w:sz w:val="24"/>
          <w:szCs w:val="24"/>
          <w:lang w:eastAsia="cs-CZ"/>
        </w:rPr>
        <w:t xml:space="preserve">pro rok </w:t>
      </w:r>
      <w:r w:rsidR="002D0FE7" w:rsidRPr="00090DB2">
        <w:rPr>
          <w:sz w:val="24"/>
          <w:szCs w:val="24"/>
          <w:lang w:eastAsia="cs-CZ"/>
        </w:rPr>
        <w:t xml:space="preserve">2019. </w:t>
      </w:r>
      <w:r w:rsidR="002D0FE7" w:rsidRPr="00090DB2">
        <w:rPr>
          <w:rFonts w:ascii="Calibri" w:hAnsi="Calibri" w:cs="Calibri"/>
          <w:sz w:val="24"/>
          <w:szCs w:val="24"/>
        </w:rPr>
        <w:t>Pro Českou republiku byl odhadnut rozsah šedé ekonomiky v roce 2019 ve výši 9,6 % HDP (průměr za země EU činil 14,8 % HDP)</w:t>
      </w:r>
      <w:r>
        <w:rPr>
          <w:rFonts w:ascii="Calibri" w:hAnsi="Calibri" w:cs="Calibri"/>
          <w:sz w:val="24"/>
          <w:szCs w:val="24"/>
        </w:rPr>
        <w:t>.</w:t>
      </w:r>
      <w:r w:rsidR="002D0FE7" w:rsidRPr="00090DB2">
        <w:rPr>
          <w:sz w:val="24"/>
          <w:szCs w:val="24"/>
          <w:lang w:eastAsia="cs-CZ"/>
        </w:rPr>
        <w:t xml:space="preserve"> </w:t>
      </w:r>
      <w:r w:rsidR="002D0FE7" w:rsidRPr="00090DB2">
        <w:rPr>
          <w:rFonts w:ascii="Calibri" w:hAnsi="Calibri" w:cs="Calibri"/>
          <w:sz w:val="24"/>
          <w:szCs w:val="24"/>
        </w:rPr>
        <w:t>To odpovídá ztrátě příjmů vládních institucí v ČR v</w:t>
      </w:r>
      <w:r>
        <w:rPr>
          <w:rFonts w:ascii="Calibri" w:hAnsi="Calibri" w:cs="Calibri"/>
          <w:sz w:val="24"/>
          <w:szCs w:val="24"/>
        </w:rPr>
        <w:t> </w:t>
      </w:r>
      <w:r w:rsidR="002D0FE7" w:rsidRPr="00090DB2">
        <w:rPr>
          <w:rFonts w:ascii="Calibri" w:hAnsi="Calibri" w:cs="Calibri"/>
          <w:sz w:val="24"/>
          <w:szCs w:val="24"/>
        </w:rPr>
        <w:t>rozsahu cca 108 mld. Kč</w:t>
      </w:r>
      <w:r>
        <w:rPr>
          <w:rFonts w:ascii="Calibri" w:hAnsi="Calibri" w:cs="Calibri"/>
          <w:sz w:val="24"/>
          <w:szCs w:val="24"/>
        </w:rPr>
        <w:t xml:space="preserve">, z toho </w:t>
      </w:r>
      <w:r w:rsidR="002D0FE7" w:rsidRPr="00090DB2">
        <w:rPr>
          <w:rFonts w:ascii="Calibri" w:hAnsi="Calibri" w:cs="Calibri"/>
          <w:sz w:val="24"/>
          <w:szCs w:val="24"/>
        </w:rPr>
        <w:t>necelých 89 mld. Kč (1,5 % HDP) připadá na ztrátu příjmů ze závislé činnosti (průměr EU činil cca 1,9 % HDP).</w:t>
      </w:r>
      <w:r w:rsidR="002D0FE7">
        <w:rPr>
          <w:rFonts w:ascii="Calibri" w:hAnsi="Calibri" w:cs="Calibri"/>
          <w:sz w:val="24"/>
          <w:szCs w:val="24"/>
        </w:rPr>
        <w:t xml:space="preserve"> </w:t>
      </w:r>
    </w:p>
    <w:p w14:paraId="499D0087" w14:textId="5019AA5C" w:rsidR="00316A26" w:rsidRPr="0052318D" w:rsidRDefault="00316A26" w:rsidP="006164D5">
      <w:pPr>
        <w:pStyle w:val="NadpisKZ"/>
        <w:numPr>
          <w:ilvl w:val="0"/>
          <w:numId w:val="17"/>
        </w:numPr>
        <w:tabs>
          <w:tab w:val="clear" w:pos="360"/>
        </w:tabs>
        <w:spacing w:before="240" w:after="160"/>
        <w:ind w:hanging="357"/>
      </w:pPr>
      <w:r w:rsidRPr="00B77332">
        <w:t>Orgány inspekce práce a celní orgány v letech 2019</w:t>
      </w:r>
      <w:r w:rsidR="003459E7">
        <w:t>–</w:t>
      </w:r>
      <w:r w:rsidRPr="00B77332">
        <w:t xml:space="preserve">2023 provedly celkem 35 561 kontrol se zaměřením na nelegální zaměstnávání </w:t>
      </w:r>
    </w:p>
    <w:p w14:paraId="272A2871" w14:textId="0A9A5901" w:rsidR="00316A26" w:rsidRPr="0052318D" w:rsidRDefault="00316A26" w:rsidP="00316A26">
      <w:pPr>
        <w:autoSpaceDE w:val="0"/>
        <w:autoSpaceDN w:val="0"/>
        <w:adjustRightInd w:val="0"/>
        <w:spacing w:line="240" w:lineRule="auto"/>
        <w:jc w:val="both"/>
        <w:rPr>
          <w:rFonts w:cstheme="minorHAnsi"/>
          <w:sz w:val="24"/>
          <w:szCs w:val="24"/>
        </w:rPr>
      </w:pPr>
      <w:r w:rsidRPr="0052318D">
        <w:rPr>
          <w:rFonts w:cstheme="minorHAnsi"/>
          <w:sz w:val="24"/>
          <w:szCs w:val="24"/>
        </w:rPr>
        <w:t xml:space="preserve">NKÚ zjišťoval celkový počet kontrol provedených v letech 2019 až 2023 </w:t>
      </w:r>
      <w:r>
        <w:rPr>
          <w:rFonts w:cstheme="minorHAnsi"/>
          <w:sz w:val="24"/>
          <w:szCs w:val="24"/>
        </w:rPr>
        <w:t xml:space="preserve">orgány inspekce práce </w:t>
      </w:r>
      <w:r w:rsidRPr="0052318D">
        <w:rPr>
          <w:rFonts w:cstheme="minorHAnsi"/>
          <w:sz w:val="24"/>
          <w:szCs w:val="24"/>
        </w:rPr>
        <w:t xml:space="preserve">a počet kontrol v oblasti </w:t>
      </w:r>
      <w:r>
        <w:rPr>
          <w:rFonts w:cstheme="minorHAnsi"/>
          <w:sz w:val="24"/>
          <w:szCs w:val="24"/>
        </w:rPr>
        <w:t xml:space="preserve">nelegálního zaměstnávání </w:t>
      </w:r>
      <w:r w:rsidRPr="0052318D">
        <w:rPr>
          <w:rFonts w:cstheme="minorHAnsi"/>
          <w:sz w:val="24"/>
          <w:szCs w:val="24"/>
        </w:rPr>
        <w:t>včetně počtu odhalených nelegálně zaměstnaných osob.</w:t>
      </w:r>
    </w:p>
    <w:p w14:paraId="13B1C1C9" w14:textId="6DCF9CE6" w:rsidR="00316A26" w:rsidRDefault="00316A26" w:rsidP="006164D5">
      <w:pPr>
        <w:autoSpaceDE w:val="0"/>
        <w:autoSpaceDN w:val="0"/>
        <w:adjustRightInd w:val="0"/>
        <w:spacing w:after="240" w:line="240" w:lineRule="auto"/>
        <w:jc w:val="both"/>
        <w:rPr>
          <w:rFonts w:cstheme="minorHAnsi"/>
          <w:sz w:val="24"/>
          <w:szCs w:val="24"/>
        </w:rPr>
      </w:pPr>
      <w:r w:rsidRPr="0052318D">
        <w:rPr>
          <w:rFonts w:cstheme="minorHAnsi"/>
          <w:sz w:val="24"/>
          <w:szCs w:val="24"/>
        </w:rPr>
        <w:t xml:space="preserve">Zaměstnavatelé v některých segmentech řešili nedostatek pracovní síly zaměstnáváním pracovníků ze zahraničí, u kterých SÚIP v rámci kontrolní činnosti zjišťoval nedodržení podmínek stanovených pracovněprávními předpisy a předpisy upravujícími pobyt cizinců na území České republiky. </w:t>
      </w:r>
    </w:p>
    <w:p w14:paraId="2563F8F0" w14:textId="1F2F878F" w:rsidR="00316A26" w:rsidRPr="0052318D" w:rsidRDefault="00316A26" w:rsidP="00316A26">
      <w:pPr>
        <w:spacing w:after="0"/>
        <w:jc w:val="both"/>
        <w:rPr>
          <w:rFonts w:cstheme="minorHAnsi"/>
          <w:b/>
          <w:sz w:val="24"/>
          <w:szCs w:val="24"/>
        </w:rPr>
      </w:pPr>
      <w:r w:rsidRPr="0052318D">
        <w:rPr>
          <w:rFonts w:cstheme="minorHAnsi"/>
          <w:b/>
          <w:sz w:val="24"/>
          <w:szCs w:val="24"/>
        </w:rPr>
        <w:t xml:space="preserve">Tabulka č. </w:t>
      </w:r>
      <w:r>
        <w:rPr>
          <w:rFonts w:cstheme="minorHAnsi"/>
          <w:b/>
          <w:sz w:val="24"/>
          <w:szCs w:val="24"/>
        </w:rPr>
        <w:t xml:space="preserve">8: </w:t>
      </w:r>
      <w:r w:rsidRPr="0052318D">
        <w:rPr>
          <w:rFonts w:cstheme="minorHAnsi"/>
          <w:b/>
          <w:sz w:val="24"/>
          <w:szCs w:val="24"/>
        </w:rPr>
        <w:t>P</w:t>
      </w:r>
      <w:r>
        <w:rPr>
          <w:rFonts w:cstheme="minorHAnsi"/>
          <w:b/>
          <w:sz w:val="24"/>
          <w:szCs w:val="24"/>
        </w:rPr>
        <w:t>očet</w:t>
      </w:r>
      <w:r w:rsidRPr="0052318D">
        <w:rPr>
          <w:rFonts w:cstheme="minorHAnsi"/>
          <w:b/>
          <w:sz w:val="24"/>
          <w:szCs w:val="24"/>
        </w:rPr>
        <w:t xml:space="preserve"> kontrol a zjištěných nelegálně zaměstnaných osob v letech 2019 až 2023</w:t>
      </w:r>
    </w:p>
    <w:tbl>
      <w:tblPr>
        <w:tblStyle w:val="Mkatabulky"/>
        <w:tblW w:w="5000" w:type="pct"/>
        <w:tblLook w:val="04A0" w:firstRow="1" w:lastRow="0" w:firstColumn="1" w:lastColumn="0" w:noHBand="0" w:noVBand="1"/>
      </w:tblPr>
      <w:tblGrid>
        <w:gridCol w:w="988"/>
        <w:gridCol w:w="1275"/>
        <w:gridCol w:w="1843"/>
        <w:gridCol w:w="2532"/>
        <w:gridCol w:w="2424"/>
      </w:tblGrid>
      <w:tr w:rsidR="00316A26" w:rsidRPr="00610A78" w14:paraId="3A5E2F1C" w14:textId="77777777" w:rsidTr="006164D5">
        <w:tc>
          <w:tcPr>
            <w:tcW w:w="988" w:type="dxa"/>
            <w:shd w:val="clear" w:color="auto" w:fill="E6E6E6"/>
            <w:vAlign w:val="center"/>
          </w:tcPr>
          <w:p w14:paraId="0751DC84"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Rok</w:t>
            </w:r>
          </w:p>
        </w:tc>
        <w:tc>
          <w:tcPr>
            <w:tcW w:w="1275" w:type="dxa"/>
            <w:shd w:val="clear" w:color="auto" w:fill="E6E6E6"/>
            <w:vAlign w:val="center"/>
          </w:tcPr>
          <w:p w14:paraId="6A8578CF"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Počet kontrol celkem</w:t>
            </w:r>
          </w:p>
        </w:tc>
        <w:tc>
          <w:tcPr>
            <w:tcW w:w="1843" w:type="dxa"/>
            <w:shd w:val="clear" w:color="auto" w:fill="E6E6E6"/>
            <w:vAlign w:val="center"/>
          </w:tcPr>
          <w:p w14:paraId="42F4536F" w14:textId="03A96557" w:rsidR="003459E7" w:rsidRPr="006164D5" w:rsidRDefault="003459E7" w:rsidP="006164D5">
            <w:pPr>
              <w:autoSpaceDE w:val="0"/>
              <w:autoSpaceDN w:val="0"/>
              <w:adjustRightInd w:val="0"/>
              <w:ind w:left="249"/>
              <w:rPr>
                <w:rFonts w:cstheme="minorHAnsi"/>
                <w:b/>
                <w:sz w:val="18"/>
                <w:szCs w:val="18"/>
              </w:rPr>
            </w:pPr>
            <w:r w:rsidRPr="006164D5">
              <w:rPr>
                <w:rFonts w:cstheme="minorHAnsi"/>
                <w:b/>
                <w:sz w:val="18"/>
                <w:szCs w:val="18"/>
              </w:rPr>
              <w:t>– z</w:t>
            </w:r>
            <w:r w:rsidR="00316A26" w:rsidRPr="006164D5">
              <w:rPr>
                <w:rFonts w:cstheme="minorHAnsi"/>
                <w:b/>
                <w:sz w:val="18"/>
                <w:szCs w:val="18"/>
              </w:rPr>
              <w:t xml:space="preserve"> toho počet </w:t>
            </w:r>
          </w:p>
          <w:p w14:paraId="1D789AA2" w14:textId="4FB3E210"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kontrol NLZ</w:t>
            </w:r>
          </w:p>
        </w:tc>
        <w:tc>
          <w:tcPr>
            <w:tcW w:w="2532" w:type="dxa"/>
            <w:shd w:val="clear" w:color="auto" w:fill="E6E6E6"/>
            <w:vAlign w:val="center"/>
          </w:tcPr>
          <w:p w14:paraId="36D0EEE0"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Počet zjištěných nelegálních zaměstnanců</w:t>
            </w:r>
          </w:p>
        </w:tc>
        <w:tc>
          <w:tcPr>
            <w:tcW w:w="2424" w:type="dxa"/>
            <w:shd w:val="clear" w:color="auto" w:fill="E6E6E6"/>
            <w:vAlign w:val="center"/>
          </w:tcPr>
          <w:p w14:paraId="0868DFCB" w14:textId="14A16CE3" w:rsidR="00316A26" w:rsidRPr="006164D5" w:rsidRDefault="003459E7" w:rsidP="001221EB">
            <w:pPr>
              <w:autoSpaceDE w:val="0"/>
              <w:autoSpaceDN w:val="0"/>
              <w:adjustRightInd w:val="0"/>
              <w:jc w:val="center"/>
              <w:rPr>
                <w:rFonts w:cstheme="minorHAnsi"/>
                <w:b/>
                <w:sz w:val="18"/>
                <w:szCs w:val="18"/>
              </w:rPr>
            </w:pPr>
            <w:r w:rsidRPr="006164D5">
              <w:rPr>
                <w:rFonts w:cstheme="minorHAnsi"/>
                <w:b/>
                <w:sz w:val="18"/>
                <w:szCs w:val="18"/>
              </w:rPr>
              <w:t>Struktura množiny</w:t>
            </w:r>
            <w:r w:rsidR="00316A26" w:rsidRPr="006164D5">
              <w:rPr>
                <w:rFonts w:cstheme="minorHAnsi"/>
                <w:b/>
                <w:sz w:val="18"/>
                <w:szCs w:val="18"/>
              </w:rPr>
              <w:t xml:space="preserve"> zjištěných nelegálních zaměstnanců</w:t>
            </w:r>
          </w:p>
        </w:tc>
      </w:tr>
      <w:tr w:rsidR="00316A26" w:rsidRPr="00610A78" w14:paraId="3B59C780" w14:textId="77777777" w:rsidTr="006164D5">
        <w:trPr>
          <w:trHeight w:val="418"/>
        </w:trPr>
        <w:tc>
          <w:tcPr>
            <w:tcW w:w="988" w:type="dxa"/>
            <w:vAlign w:val="center"/>
          </w:tcPr>
          <w:p w14:paraId="4A422022"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2019</w:t>
            </w:r>
          </w:p>
        </w:tc>
        <w:tc>
          <w:tcPr>
            <w:tcW w:w="1275" w:type="dxa"/>
            <w:vAlign w:val="center"/>
          </w:tcPr>
          <w:p w14:paraId="65D7A5D2"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25 834</w:t>
            </w:r>
          </w:p>
        </w:tc>
        <w:tc>
          <w:tcPr>
            <w:tcW w:w="1843" w:type="dxa"/>
            <w:vAlign w:val="center"/>
          </w:tcPr>
          <w:p w14:paraId="1D015197"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 xml:space="preserve">8 160 </w:t>
            </w:r>
            <w:r w:rsidRPr="006164D5">
              <w:rPr>
                <w:rFonts w:cstheme="minorHAnsi"/>
                <w:sz w:val="18"/>
                <w:szCs w:val="18"/>
              </w:rPr>
              <w:t>(32 %)</w:t>
            </w:r>
          </w:p>
        </w:tc>
        <w:tc>
          <w:tcPr>
            <w:tcW w:w="2532" w:type="dxa"/>
            <w:vAlign w:val="center"/>
          </w:tcPr>
          <w:p w14:paraId="56A3E1B3" w14:textId="77777777" w:rsidR="00316A26" w:rsidRPr="006164D5" w:rsidRDefault="00316A26" w:rsidP="001221EB">
            <w:pPr>
              <w:autoSpaceDE w:val="0"/>
              <w:autoSpaceDN w:val="0"/>
              <w:adjustRightInd w:val="0"/>
              <w:jc w:val="center"/>
              <w:rPr>
                <w:rFonts w:cstheme="minorHAnsi"/>
                <w:sz w:val="18"/>
                <w:szCs w:val="18"/>
              </w:rPr>
            </w:pPr>
            <w:r w:rsidRPr="006164D5">
              <w:rPr>
                <w:rFonts w:cstheme="minorHAnsi"/>
                <w:sz w:val="18"/>
                <w:szCs w:val="18"/>
              </w:rPr>
              <w:t>4 342</w:t>
            </w:r>
          </w:p>
        </w:tc>
        <w:tc>
          <w:tcPr>
            <w:tcW w:w="2424" w:type="dxa"/>
            <w:vAlign w:val="center"/>
          </w:tcPr>
          <w:p w14:paraId="681673AE"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622 občané ČR</w:t>
            </w:r>
          </w:p>
          <w:p w14:paraId="4060CA61"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207 občané EU</w:t>
            </w:r>
          </w:p>
          <w:p w14:paraId="5C40C1DB" w14:textId="77777777" w:rsidR="00316A26" w:rsidRPr="006164D5" w:rsidRDefault="00316A26" w:rsidP="006164D5">
            <w:pPr>
              <w:tabs>
                <w:tab w:val="left" w:pos="849"/>
              </w:tabs>
              <w:autoSpaceDE w:val="0"/>
              <w:autoSpaceDN w:val="0"/>
              <w:adjustRightInd w:val="0"/>
              <w:ind w:right="454"/>
              <w:jc w:val="center"/>
              <w:rPr>
                <w:rFonts w:cstheme="minorHAnsi"/>
                <w:sz w:val="18"/>
                <w:szCs w:val="18"/>
              </w:rPr>
            </w:pPr>
            <w:r w:rsidRPr="006164D5">
              <w:rPr>
                <w:rFonts w:cstheme="minorHAnsi"/>
                <w:sz w:val="18"/>
                <w:szCs w:val="18"/>
              </w:rPr>
              <w:t>3 513 cizinci</w:t>
            </w:r>
          </w:p>
        </w:tc>
      </w:tr>
      <w:tr w:rsidR="00316A26" w:rsidRPr="00610A78" w14:paraId="2C1959E8" w14:textId="77777777" w:rsidTr="006164D5">
        <w:trPr>
          <w:trHeight w:val="425"/>
        </w:trPr>
        <w:tc>
          <w:tcPr>
            <w:tcW w:w="988" w:type="dxa"/>
            <w:vAlign w:val="center"/>
          </w:tcPr>
          <w:p w14:paraId="7E474446"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2020</w:t>
            </w:r>
          </w:p>
        </w:tc>
        <w:tc>
          <w:tcPr>
            <w:tcW w:w="1275" w:type="dxa"/>
            <w:vAlign w:val="center"/>
          </w:tcPr>
          <w:p w14:paraId="0F133C46"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15 852</w:t>
            </w:r>
          </w:p>
        </w:tc>
        <w:tc>
          <w:tcPr>
            <w:tcW w:w="1843" w:type="dxa"/>
            <w:vAlign w:val="center"/>
          </w:tcPr>
          <w:p w14:paraId="6FFC133B"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 xml:space="preserve">5 557 </w:t>
            </w:r>
            <w:r w:rsidRPr="006164D5">
              <w:rPr>
                <w:rFonts w:cstheme="minorHAnsi"/>
                <w:sz w:val="18"/>
                <w:szCs w:val="18"/>
              </w:rPr>
              <w:t>(35 %)</w:t>
            </w:r>
          </w:p>
        </w:tc>
        <w:tc>
          <w:tcPr>
            <w:tcW w:w="2532" w:type="dxa"/>
            <w:vAlign w:val="center"/>
          </w:tcPr>
          <w:p w14:paraId="347ABB6A" w14:textId="77777777" w:rsidR="00316A26" w:rsidRPr="006164D5" w:rsidRDefault="00316A26" w:rsidP="001221EB">
            <w:pPr>
              <w:autoSpaceDE w:val="0"/>
              <w:autoSpaceDN w:val="0"/>
              <w:adjustRightInd w:val="0"/>
              <w:jc w:val="center"/>
              <w:rPr>
                <w:rFonts w:cstheme="minorHAnsi"/>
                <w:sz w:val="18"/>
                <w:szCs w:val="18"/>
              </w:rPr>
            </w:pPr>
            <w:r w:rsidRPr="006164D5">
              <w:rPr>
                <w:rFonts w:cstheme="minorHAnsi"/>
                <w:sz w:val="18"/>
                <w:szCs w:val="18"/>
              </w:rPr>
              <w:t>3 110</w:t>
            </w:r>
          </w:p>
        </w:tc>
        <w:tc>
          <w:tcPr>
            <w:tcW w:w="2424" w:type="dxa"/>
            <w:vAlign w:val="center"/>
          </w:tcPr>
          <w:p w14:paraId="6374AA72"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556 občané ČR</w:t>
            </w:r>
          </w:p>
          <w:p w14:paraId="0DBBC88F"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141 občané EU</w:t>
            </w:r>
          </w:p>
          <w:p w14:paraId="7809D410" w14:textId="77777777" w:rsidR="00316A26" w:rsidRPr="006164D5" w:rsidRDefault="00316A26" w:rsidP="006164D5">
            <w:pPr>
              <w:autoSpaceDE w:val="0"/>
              <w:autoSpaceDN w:val="0"/>
              <w:adjustRightInd w:val="0"/>
              <w:ind w:right="454"/>
              <w:jc w:val="center"/>
              <w:rPr>
                <w:rFonts w:cstheme="minorHAnsi"/>
                <w:sz w:val="18"/>
                <w:szCs w:val="18"/>
              </w:rPr>
            </w:pPr>
            <w:r w:rsidRPr="006164D5">
              <w:rPr>
                <w:rFonts w:cstheme="minorHAnsi"/>
                <w:sz w:val="18"/>
                <w:szCs w:val="18"/>
              </w:rPr>
              <w:t>2 413 cizinci</w:t>
            </w:r>
          </w:p>
        </w:tc>
      </w:tr>
      <w:tr w:rsidR="00316A26" w:rsidRPr="00610A78" w14:paraId="6B1F3C4C" w14:textId="77777777" w:rsidTr="006164D5">
        <w:trPr>
          <w:trHeight w:val="457"/>
        </w:trPr>
        <w:tc>
          <w:tcPr>
            <w:tcW w:w="988" w:type="dxa"/>
            <w:vAlign w:val="center"/>
          </w:tcPr>
          <w:p w14:paraId="639AE8EE"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2021</w:t>
            </w:r>
          </w:p>
        </w:tc>
        <w:tc>
          <w:tcPr>
            <w:tcW w:w="1275" w:type="dxa"/>
            <w:vAlign w:val="center"/>
          </w:tcPr>
          <w:p w14:paraId="48E6CF86"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14 443</w:t>
            </w:r>
          </w:p>
        </w:tc>
        <w:tc>
          <w:tcPr>
            <w:tcW w:w="1843" w:type="dxa"/>
            <w:vAlign w:val="center"/>
          </w:tcPr>
          <w:p w14:paraId="59B41215"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 xml:space="preserve">5 222 </w:t>
            </w:r>
            <w:r w:rsidRPr="006164D5">
              <w:rPr>
                <w:rFonts w:cstheme="minorHAnsi"/>
                <w:sz w:val="18"/>
                <w:szCs w:val="18"/>
              </w:rPr>
              <w:t>(36 %)</w:t>
            </w:r>
          </w:p>
        </w:tc>
        <w:tc>
          <w:tcPr>
            <w:tcW w:w="2532" w:type="dxa"/>
            <w:vAlign w:val="center"/>
          </w:tcPr>
          <w:p w14:paraId="6C2697A1" w14:textId="77777777" w:rsidR="00316A26" w:rsidRPr="006164D5" w:rsidRDefault="00316A26" w:rsidP="001221EB">
            <w:pPr>
              <w:autoSpaceDE w:val="0"/>
              <w:autoSpaceDN w:val="0"/>
              <w:adjustRightInd w:val="0"/>
              <w:jc w:val="center"/>
              <w:rPr>
                <w:rFonts w:cstheme="minorHAnsi"/>
                <w:sz w:val="18"/>
                <w:szCs w:val="18"/>
              </w:rPr>
            </w:pPr>
            <w:r w:rsidRPr="006164D5">
              <w:rPr>
                <w:rFonts w:cstheme="minorHAnsi"/>
                <w:sz w:val="18"/>
                <w:szCs w:val="18"/>
              </w:rPr>
              <w:t>3 295</w:t>
            </w:r>
          </w:p>
        </w:tc>
        <w:tc>
          <w:tcPr>
            <w:tcW w:w="2424" w:type="dxa"/>
            <w:vAlign w:val="center"/>
          </w:tcPr>
          <w:p w14:paraId="1F93D9D3"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312 občané ČR</w:t>
            </w:r>
          </w:p>
          <w:p w14:paraId="06184182"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288 občané EU</w:t>
            </w:r>
          </w:p>
          <w:p w14:paraId="6B95C123" w14:textId="77777777" w:rsidR="00316A26" w:rsidRPr="006164D5" w:rsidRDefault="00316A26" w:rsidP="006164D5">
            <w:pPr>
              <w:autoSpaceDE w:val="0"/>
              <w:autoSpaceDN w:val="0"/>
              <w:adjustRightInd w:val="0"/>
              <w:ind w:right="454"/>
              <w:jc w:val="center"/>
              <w:rPr>
                <w:rFonts w:cstheme="minorHAnsi"/>
                <w:sz w:val="18"/>
                <w:szCs w:val="18"/>
              </w:rPr>
            </w:pPr>
            <w:r w:rsidRPr="006164D5">
              <w:rPr>
                <w:rFonts w:cstheme="minorHAnsi"/>
                <w:sz w:val="18"/>
                <w:szCs w:val="18"/>
              </w:rPr>
              <w:t>2 695 cizinci</w:t>
            </w:r>
          </w:p>
        </w:tc>
      </w:tr>
      <w:tr w:rsidR="00316A26" w:rsidRPr="00610A78" w14:paraId="4906799C" w14:textId="77777777" w:rsidTr="006164D5">
        <w:trPr>
          <w:trHeight w:val="421"/>
        </w:trPr>
        <w:tc>
          <w:tcPr>
            <w:tcW w:w="988" w:type="dxa"/>
            <w:vAlign w:val="center"/>
          </w:tcPr>
          <w:p w14:paraId="28590EB2"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2022</w:t>
            </w:r>
          </w:p>
        </w:tc>
        <w:tc>
          <w:tcPr>
            <w:tcW w:w="1275" w:type="dxa"/>
            <w:vAlign w:val="center"/>
          </w:tcPr>
          <w:p w14:paraId="7B958978"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18 553</w:t>
            </w:r>
          </w:p>
        </w:tc>
        <w:tc>
          <w:tcPr>
            <w:tcW w:w="1843" w:type="dxa"/>
            <w:vAlign w:val="center"/>
          </w:tcPr>
          <w:p w14:paraId="32C7B363"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 xml:space="preserve">6 572 </w:t>
            </w:r>
            <w:r w:rsidRPr="006164D5">
              <w:rPr>
                <w:rFonts w:cstheme="minorHAnsi"/>
                <w:sz w:val="18"/>
                <w:szCs w:val="18"/>
              </w:rPr>
              <w:t>(35 %)</w:t>
            </w:r>
          </w:p>
        </w:tc>
        <w:tc>
          <w:tcPr>
            <w:tcW w:w="2532" w:type="dxa"/>
            <w:vAlign w:val="center"/>
          </w:tcPr>
          <w:p w14:paraId="32399AEF" w14:textId="77777777" w:rsidR="00316A26" w:rsidRPr="006164D5" w:rsidRDefault="00316A26" w:rsidP="001221EB">
            <w:pPr>
              <w:autoSpaceDE w:val="0"/>
              <w:autoSpaceDN w:val="0"/>
              <w:adjustRightInd w:val="0"/>
              <w:jc w:val="center"/>
              <w:rPr>
                <w:rFonts w:cstheme="minorHAnsi"/>
                <w:sz w:val="18"/>
                <w:szCs w:val="18"/>
              </w:rPr>
            </w:pPr>
            <w:r w:rsidRPr="006164D5">
              <w:rPr>
                <w:rFonts w:cstheme="minorHAnsi"/>
                <w:sz w:val="18"/>
                <w:szCs w:val="18"/>
              </w:rPr>
              <w:t>2 561</w:t>
            </w:r>
          </w:p>
        </w:tc>
        <w:tc>
          <w:tcPr>
            <w:tcW w:w="2424" w:type="dxa"/>
            <w:vAlign w:val="center"/>
          </w:tcPr>
          <w:p w14:paraId="66F97E9D"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475 občané ČR</w:t>
            </w:r>
          </w:p>
          <w:p w14:paraId="0C7B4B4B" w14:textId="77777777" w:rsidR="00316A26" w:rsidRPr="006164D5" w:rsidRDefault="00316A26" w:rsidP="006164D5">
            <w:pPr>
              <w:autoSpaceDE w:val="0"/>
              <w:autoSpaceDN w:val="0"/>
              <w:adjustRightInd w:val="0"/>
              <w:ind w:left="113"/>
              <w:jc w:val="center"/>
              <w:rPr>
                <w:rFonts w:cstheme="minorHAnsi"/>
                <w:sz w:val="18"/>
                <w:szCs w:val="18"/>
              </w:rPr>
            </w:pPr>
            <w:r w:rsidRPr="006164D5">
              <w:rPr>
                <w:rFonts w:cstheme="minorHAnsi"/>
                <w:sz w:val="18"/>
                <w:szCs w:val="18"/>
              </w:rPr>
              <w:t>79 občané EU</w:t>
            </w:r>
          </w:p>
          <w:p w14:paraId="71043231" w14:textId="77777777" w:rsidR="00316A26" w:rsidRPr="006164D5" w:rsidRDefault="00316A26" w:rsidP="006164D5">
            <w:pPr>
              <w:tabs>
                <w:tab w:val="left" w:pos="903"/>
              </w:tabs>
              <w:autoSpaceDE w:val="0"/>
              <w:autoSpaceDN w:val="0"/>
              <w:adjustRightInd w:val="0"/>
              <w:ind w:right="454"/>
              <w:jc w:val="center"/>
              <w:rPr>
                <w:rFonts w:cstheme="minorHAnsi"/>
                <w:sz w:val="18"/>
                <w:szCs w:val="18"/>
              </w:rPr>
            </w:pPr>
            <w:r w:rsidRPr="006164D5">
              <w:rPr>
                <w:rFonts w:cstheme="minorHAnsi"/>
                <w:sz w:val="18"/>
                <w:szCs w:val="18"/>
              </w:rPr>
              <w:t>2 007 cizinci</w:t>
            </w:r>
          </w:p>
        </w:tc>
      </w:tr>
      <w:tr w:rsidR="00316A26" w:rsidRPr="00610A78" w14:paraId="4C97829E" w14:textId="77777777" w:rsidTr="006164D5">
        <w:trPr>
          <w:trHeight w:val="413"/>
        </w:trPr>
        <w:tc>
          <w:tcPr>
            <w:tcW w:w="988" w:type="dxa"/>
            <w:vAlign w:val="center"/>
          </w:tcPr>
          <w:p w14:paraId="18744099"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2023</w:t>
            </w:r>
          </w:p>
        </w:tc>
        <w:tc>
          <w:tcPr>
            <w:tcW w:w="1275" w:type="dxa"/>
            <w:vAlign w:val="center"/>
          </w:tcPr>
          <w:p w14:paraId="3EDEE8C7"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19 977</w:t>
            </w:r>
          </w:p>
        </w:tc>
        <w:tc>
          <w:tcPr>
            <w:tcW w:w="1843" w:type="dxa"/>
            <w:vAlign w:val="center"/>
          </w:tcPr>
          <w:p w14:paraId="0894E0CE" w14:textId="77777777" w:rsidR="00316A26" w:rsidRPr="006164D5" w:rsidRDefault="00316A26" w:rsidP="001221EB">
            <w:pPr>
              <w:autoSpaceDE w:val="0"/>
              <w:autoSpaceDN w:val="0"/>
              <w:adjustRightInd w:val="0"/>
              <w:jc w:val="center"/>
              <w:rPr>
                <w:rFonts w:cstheme="minorHAnsi"/>
                <w:b/>
                <w:sz w:val="18"/>
                <w:szCs w:val="18"/>
              </w:rPr>
            </w:pPr>
            <w:r w:rsidRPr="006164D5">
              <w:rPr>
                <w:rFonts w:cstheme="minorHAnsi"/>
                <w:b/>
                <w:sz w:val="18"/>
                <w:szCs w:val="18"/>
              </w:rPr>
              <w:t xml:space="preserve">6 574 </w:t>
            </w:r>
            <w:r w:rsidRPr="006164D5">
              <w:rPr>
                <w:rFonts w:cstheme="minorHAnsi"/>
                <w:sz w:val="18"/>
                <w:szCs w:val="18"/>
              </w:rPr>
              <w:t>(33 %)</w:t>
            </w:r>
          </w:p>
        </w:tc>
        <w:tc>
          <w:tcPr>
            <w:tcW w:w="2532" w:type="dxa"/>
            <w:vAlign w:val="center"/>
          </w:tcPr>
          <w:p w14:paraId="5280EF63" w14:textId="77777777" w:rsidR="00316A26" w:rsidRPr="006164D5" w:rsidRDefault="00316A26" w:rsidP="001221EB">
            <w:pPr>
              <w:autoSpaceDE w:val="0"/>
              <w:autoSpaceDN w:val="0"/>
              <w:adjustRightInd w:val="0"/>
              <w:jc w:val="center"/>
              <w:rPr>
                <w:rFonts w:cstheme="minorHAnsi"/>
                <w:sz w:val="18"/>
                <w:szCs w:val="18"/>
              </w:rPr>
            </w:pPr>
            <w:r w:rsidRPr="006164D5">
              <w:rPr>
                <w:rFonts w:cstheme="minorHAnsi"/>
                <w:sz w:val="18"/>
                <w:szCs w:val="18"/>
              </w:rPr>
              <w:t>2 801</w:t>
            </w:r>
          </w:p>
        </w:tc>
        <w:tc>
          <w:tcPr>
            <w:tcW w:w="2424" w:type="dxa"/>
            <w:vAlign w:val="center"/>
          </w:tcPr>
          <w:p w14:paraId="376C9DC7" w14:textId="77777777" w:rsidR="00316A26" w:rsidRPr="006164D5" w:rsidRDefault="00316A26" w:rsidP="006164D5">
            <w:pPr>
              <w:autoSpaceDE w:val="0"/>
              <w:autoSpaceDN w:val="0"/>
              <w:adjustRightInd w:val="0"/>
              <w:jc w:val="center"/>
              <w:rPr>
                <w:rFonts w:cstheme="minorHAnsi"/>
                <w:sz w:val="18"/>
                <w:szCs w:val="18"/>
              </w:rPr>
            </w:pPr>
            <w:r w:rsidRPr="006164D5">
              <w:rPr>
                <w:rFonts w:cstheme="minorHAnsi"/>
                <w:sz w:val="18"/>
                <w:szCs w:val="18"/>
              </w:rPr>
              <w:t>583 občané ČR</w:t>
            </w:r>
          </w:p>
          <w:p w14:paraId="5CEDBBF3" w14:textId="77777777" w:rsidR="00316A26" w:rsidRPr="006164D5" w:rsidRDefault="00316A26" w:rsidP="006164D5">
            <w:pPr>
              <w:autoSpaceDE w:val="0"/>
              <w:autoSpaceDN w:val="0"/>
              <w:adjustRightInd w:val="0"/>
              <w:ind w:left="113"/>
              <w:jc w:val="center"/>
              <w:rPr>
                <w:rFonts w:cstheme="minorHAnsi"/>
                <w:sz w:val="18"/>
                <w:szCs w:val="18"/>
              </w:rPr>
            </w:pPr>
            <w:r w:rsidRPr="006164D5">
              <w:rPr>
                <w:rFonts w:cstheme="minorHAnsi"/>
                <w:sz w:val="18"/>
                <w:szCs w:val="18"/>
              </w:rPr>
              <w:t>62 občané EU</w:t>
            </w:r>
          </w:p>
          <w:p w14:paraId="27503F42" w14:textId="77777777" w:rsidR="00316A26" w:rsidRPr="006164D5" w:rsidRDefault="00316A26" w:rsidP="006164D5">
            <w:pPr>
              <w:autoSpaceDE w:val="0"/>
              <w:autoSpaceDN w:val="0"/>
              <w:adjustRightInd w:val="0"/>
              <w:ind w:right="454"/>
              <w:jc w:val="center"/>
              <w:rPr>
                <w:rFonts w:cstheme="minorHAnsi"/>
                <w:sz w:val="18"/>
                <w:szCs w:val="18"/>
              </w:rPr>
            </w:pPr>
            <w:r w:rsidRPr="006164D5">
              <w:rPr>
                <w:rFonts w:cstheme="minorHAnsi"/>
                <w:sz w:val="18"/>
                <w:szCs w:val="18"/>
              </w:rPr>
              <w:t>2 156 cizinci</w:t>
            </w:r>
          </w:p>
        </w:tc>
      </w:tr>
    </w:tbl>
    <w:p w14:paraId="6B7AD7B7" w14:textId="0FDAEF60" w:rsidR="00316A26" w:rsidRPr="006164D5" w:rsidRDefault="00316A26" w:rsidP="008A0596">
      <w:pPr>
        <w:autoSpaceDE w:val="0"/>
        <w:autoSpaceDN w:val="0"/>
        <w:adjustRightInd w:val="0"/>
        <w:spacing w:after="0"/>
        <w:jc w:val="both"/>
        <w:rPr>
          <w:rFonts w:cstheme="minorHAnsi"/>
          <w:iCs/>
          <w:sz w:val="20"/>
          <w:szCs w:val="20"/>
        </w:rPr>
      </w:pPr>
      <w:r w:rsidRPr="006164D5">
        <w:rPr>
          <w:rFonts w:cstheme="minorHAnsi"/>
          <w:b/>
          <w:bCs/>
          <w:iCs/>
          <w:sz w:val="20"/>
          <w:szCs w:val="20"/>
        </w:rPr>
        <w:t>Zdroj:</w:t>
      </w:r>
      <w:r w:rsidRPr="006164D5">
        <w:rPr>
          <w:rFonts w:cstheme="minorHAnsi"/>
          <w:iCs/>
          <w:sz w:val="20"/>
          <w:szCs w:val="20"/>
        </w:rPr>
        <w:t xml:space="preserve"> SÚIP</w:t>
      </w:r>
      <w:r w:rsidR="008A0596">
        <w:rPr>
          <w:rFonts w:cstheme="minorHAnsi"/>
          <w:iCs/>
          <w:sz w:val="20"/>
          <w:szCs w:val="20"/>
        </w:rPr>
        <w:t>.</w:t>
      </w:r>
    </w:p>
    <w:p w14:paraId="62B26C08" w14:textId="467C2AF0" w:rsidR="00316A26" w:rsidRDefault="00316A26" w:rsidP="006164D5">
      <w:pPr>
        <w:tabs>
          <w:tab w:val="left" w:pos="7513"/>
        </w:tabs>
        <w:autoSpaceDE w:val="0"/>
        <w:autoSpaceDN w:val="0"/>
        <w:adjustRightInd w:val="0"/>
        <w:spacing w:before="240" w:line="240" w:lineRule="auto"/>
        <w:jc w:val="both"/>
        <w:rPr>
          <w:rFonts w:cstheme="minorHAnsi"/>
          <w:sz w:val="24"/>
          <w:szCs w:val="24"/>
        </w:rPr>
      </w:pPr>
      <w:r w:rsidRPr="0052318D">
        <w:rPr>
          <w:rFonts w:cstheme="minorHAnsi"/>
          <w:sz w:val="24"/>
          <w:szCs w:val="24"/>
        </w:rPr>
        <w:t>Orgány inspekce práce v</w:t>
      </w:r>
      <w:r w:rsidR="00414407">
        <w:rPr>
          <w:rFonts w:cstheme="minorHAnsi"/>
          <w:sz w:val="24"/>
          <w:szCs w:val="24"/>
        </w:rPr>
        <w:t xml:space="preserve"> </w:t>
      </w:r>
      <w:r w:rsidRPr="0052318D">
        <w:rPr>
          <w:rFonts w:cstheme="minorHAnsi"/>
          <w:sz w:val="24"/>
          <w:szCs w:val="24"/>
        </w:rPr>
        <w:t>letech 2019 až 2023 uložily v</w:t>
      </w:r>
      <w:r w:rsidR="00414407">
        <w:rPr>
          <w:rFonts w:cstheme="minorHAnsi"/>
          <w:sz w:val="24"/>
          <w:szCs w:val="24"/>
        </w:rPr>
        <w:t xml:space="preserve"> </w:t>
      </w:r>
      <w:r w:rsidRPr="0052318D">
        <w:rPr>
          <w:rFonts w:cstheme="minorHAnsi"/>
          <w:sz w:val="24"/>
          <w:szCs w:val="24"/>
        </w:rPr>
        <w:t>oblasti pracovněprávních vztahů, bezpečnosti a ochrany zdraví při práci a oblasti zaměstnanosti pokuty v</w:t>
      </w:r>
      <w:r w:rsidR="00414407">
        <w:rPr>
          <w:rFonts w:cstheme="minorHAnsi"/>
          <w:sz w:val="24"/>
          <w:szCs w:val="24"/>
        </w:rPr>
        <w:t xml:space="preserve"> </w:t>
      </w:r>
      <w:r w:rsidRPr="0052318D">
        <w:rPr>
          <w:rFonts w:cstheme="minorHAnsi"/>
          <w:sz w:val="24"/>
          <w:szCs w:val="24"/>
        </w:rPr>
        <w:t xml:space="preserve">celkové výši </w:t>
      </w:r>
      <w:r>
        <w:rPr>
          <w:rFonts w:cstheme="minorHAnsi"/>
          <w:sz w:val="24"/>
          <w:szCs w:val="24"/>
        </w:rPr>
        <w:br/>
      </w:r>
      <w:r w:rsidRPr="0052318D">
        <w:rPr>
          <w:rFonts w:cstheme="minorHAnsi"/>
          <w:sz w:val="24"/>
          <w:szCs w:val="24"/>
        </w:rPr>
        <w:t>1 577 505 970 Kč</w:t>
      </w:r>
      <w:r w:rsidRPr="0052318D">
        <w:rPr>
          <w:rStyle w:val="Znakapoznpodarou"/>
          <w:rFonts w:cstheme="minorHAnsi"/>
          <w:sz w:val="24"/>
          <w:szCs w:val="24"/>
        </w:rPr>
        <w:footnoteReference w:id="47"/>
      </w:r>
      <w:r w:rsidRPr="0052318D">
        <w:rPr>
          <w:rFonts w:cstheme="minorHAnsi"/>
          <w:sz w:val="24"/>
          <w:szCs w:val="24"/>
        </w:rPr>
        <w:t>, z toho v oblasti NLZ ve výši 816 </w:t>
      </w:r>
      <w:r>
        <w:rPr>
          <w:rFonts w:cstheme="minorHAnsi"/>
          <w:sz w:val="24"/>
          <w:szCs w:val="24"/>
        </w:rPr>
        <w:t>329</w:t>
      </w:r>
      <w:r w:rsidRPr="0052318D">
        <w:rPr>
          <w:rFonts w:cstheme="minorHAnsi"/>
          <w:sz w:val="24"/>
          <w:szCs w:val="24"/>
        </w:rPr>
        <w:t xml:space="preserve"> 600 Kč. </w:t>
      </w:r>
    </w:p>
    <w:p w14:paraId="69455AF6" w14:textId="58B83640" w:rsidR="00277739" w:rsidRDefault="00316A26" w:rsidP="00E95CAF">
      <w:pPr>
        <w:autoSpaceDE w:val="0"/>
        <w:autoSpaceDN w:val="0"/>
        <w:adjustRightInd w:val="0"/>
        <w:spacing w:after="0" w:line="240" w:lineRule="auto"/>
        <w:jc w:val="both"/>
        <w:rPr>
          <w:rFonts w:cstheme="minorHAnsi"/>
          <w:bCs/>
          <w:sz w:val="24"/>
          <w:szCs w:val="24"/>
        </w:rPr>
      </w:pPr>
      <w:r>
        <w:rPr>
          <w:rFonts w:cstheme="minorHAnsi"/>
          <w:sz w:val="24"/>
          <w:szCs w:val="24"/>
        </w:rPr>
        <w:lastRenderedPageBreak/>
        <w:t xml:space="preserve">SÚIP vydal v letech 2019–2023 </w:t>
      </w:r>
      <w:r>
        <w:rPr>
          <w:rFonts w:cstheme="minorHAnsi"/>
          <w:bCs/>
          <w:sz w:val="24"/>
          <w:szCs w:val="24"/>
        </w:rPr>
        <w:t>celkem 2 450 pravomocných rozhodnutí o uložení pokuty v oblasti NLZ ve výši 739 010 500 Kč.</w:t>
      </w:r>
    </w:p>
    <w:p w14:paraId="5545665D" w14:textId="24881BF2" w:rsidR="00316A26" w:rsidRDefault="00FD3D4C" w:rsidP="006164D5">
      <w:pPr>
        <w:keepNext/>
        <w:autoSpaceDE w:val="0"/>
        <w:autoSpaceDN w:val="0"/>
        <w:adjustRightInd w:val="0"/>
        <w:spacing w:before="240" w:after="0"/>
        <w:ind w:left="993" w:hanging="993"/>
        <w:rPr>
          <w:rFonts w:cstheme="minorHAnsi"/>
          <w:b/>
          <w:sz w:val="24"/>
          <w:szCs w:val="24"/>
        </w:rPr>
      </w:pPr>
      <w:r>
        <w:rPr>
          <w:rFonts w:cstheme="minorHAnsi"/>
          <w:b/>
          <w:sz w:val="24"/>
          <w:szCs w:val="24"/>
        </w:rPr>
        <w:t>G</w:t>
      </w:r>
      <w:r w:rsidR="00316A26">
        <w:rPr>
          <w:rFonts w:cstheme="minorHAnsi"/>
          <w:b/>
          <w:sz w:val="24"/>
          <w:szCs w:val="24"/>
        </w:rPr>
        <w:t xml:space="preserve">raf č. 1: </w:t>
      </w:r>
      <w:r w:rsidR="002B2966">
        <w:rPr>
          <w:rFonts w:cstheme="minorHAnsi"/>
          <w:b/>
          <w:sz w:val="24"/>
          <w:szCs w:val="24"/>
        </w:rPr>
        <w:tab/>
      </w:r>
      <w:r w:rsidR="00316A26">
        <w:rPr>
          <w:rFonts w:cstheme="minorHAnsi"/>
          <w:b/>
          <w:sz w:val="24"/>
          <w:szCs w:val="24"/>
        </w:rPr>
        <w:t xml:space="preserve">Pravomocné pokuty </w:t>
      </w:r>
      <w:r w:rsidR="00316A26" w:rsidRPr="009B52F5">
        <w:rPr>
          <w:rFonts w:cstheme="minorHAnsi"/>
          <w:b/>
          <w:bCs/>
          <w:sz w:val="24"/>
          <w:szCs w:val="24"/>
        </w:rPr>
        <w:t xml:space="preserve">v oblasti </w:t>
      </w:r>
      <w:r w:rsidR="00316A26">
        <w:rPr>
          <w:rFonts w:cstheme="minorHAnsi"/>
          <w:b/>
          <w:bCs/>
          <w:sz w:val="24"/>
          <w:szCs w:val="24"/>
        </w:rPr>
        <w:t>nelegálního zaměstnávání</w:t>
      </w:r>
      <w:r w:rsidR="00316A26" w:rsidRPr="009B52F5">
        <w:rPr>
          <w:rFonts w:cstheme="minorHAnsi"/>
          <w:b/>
          <w:bCs/>
          <w:sz w:val="24"/>
          <w:szCs w:val="24"/>
        </w:rPr>
        <w:t xml:space="preserve"> </w:t>
      </w:r>
      <w:r w:rsidR="00316A26">
        <w:rPr>
          <w:rFonts w:cstheme="minorHAnsi"/>
          <w:b/>
          <w:bCs/>
          <w:sz w:val="24"/>
          <w:szCs w:val="24"/>
        </w:rPr>
        <w:t xml:space="preserve">uložené </w:t>
      </w:r>
      <w:r w:rsidR="002B2966">
        <w:rPr>
          <w:rFonts w:cstheme="minorHAnsi"/>
          <w:b/>
          <w:bCs/>
          <w:sz w:val="24"/>
          <w:szCs w:val="24"/>
        </w:rPr>
        <w:t>Státním úřadem inspekce práce v období let</w:t>
      </w:r>
      <w:r w:rsidR="00316A26">
        <w:rPr>
          <w:rFonts w:cstheme="minorHAnsi"/>
          <w:b/>
          <w:bCs/>
          <w:sz w:val="24"/>
          <w:szCs w:val="24"/>
        </w:rPr>
        <w:t xml:space="preserve"> </w:t>
      </w:r>
      <w:r w:rsidR="00316A26" w:rsidRPr="00CE0842">
        <w:rPr>
          <w:rFonts w:cstheme="minorHAnsi"/>
          <w:b/>
          <w:sz w:val="24"/>
          <w:szCs w:val="24"/>
        </w:rPr>
        <w:t>2019</w:t>
      </w:r>
      <w:r w:rsidR="00316A26">
        <w:rPr>
          <w:rFonts w:cstheme="minorHAnsi"/>
          <w:b/>
          <w:sz w:val="24"/>
          <w:szCs w:val="24"/>
        </w:rPr>
        <w:t>–2023</w:t>
      </w:r>
    </w:p>
    <w:p w14:paraId="6274D320" w14:textId="77777777" w:rsidR="00316A26" w:rsidRDefault="00316A26" w:rsidP="00316A26">
      <w:pPr>
        <w:autoSpaceDE w:val="0"/>
        <w:autoSpaceDN w:val="0"/>
        <w:adjustRightInd w:val="0"/>
        <w:spacing w:after="0" w:line="240" w:lineRule="auto"/>
        <w:jc w:val="both"/>
        <w:rPr>
          <w:rFonts w:cstheme="minorHAnsi"/>
          <w:bCs/>
          <w:sz w:val="24"/>
          <w:szCs w:val="24"/>
        </w:rPr>
      </w:pPr>
      <w:r w:rsidRPr="000E5A36">
        <w:rPr>
          <w:noProof/>
          <w:color w:val="2EB3A1"/>
        </w:rPr>
        <w:drawing>
          <wp:inline distT="0" distB="0" distL="0" distR="0" wp14:anchorId="23165730" wp14:editId="4CC61FC9">
            <wp:extent cx="5760000" cy="2952000"/>
            <wp:effectExtent l="0" t="0" r="0" b="1270"/>
            <wp:docPr id="1148850358" name="Graf 1148850358">
              <a:extLst xmlns:a="http://schemas.openxmlformats.org/drawingml/2006/main">
                <a:ext uri="{FF2B5EF4-FFF2-40B4-BE49-F238E27FC236}">
                  <a16:creationId xmlns:a16="http://schemas.microsoft.com/office/drawing/2014/main" id="{1ACD37FB-3F7C-4AE9-9759-00B2531F4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D46E8F" w14:textId="14A4D5D4" w:rsidR="00316A26" w:rsidRPr="006164D5" w:rsidRDefault="00316A26" w:rsidP="00316A26">
      <w:pPr>
        <w:autoSpaceDE w:val="0"/>
        <w:autoSpaceDN w:val="0"/>
        <w:adjustRightInd w:val="0"/>
        <w:spacing w:after="0" w:line="240" w:lineRule="auto"/>
        <w:jc w:val="both"/>
        <w:rPr>
          <w:rFonts w:cstheme="minorHAnsi"/>
          <w:bCs/>
          <w:sz w:val="20"/>
          <w:szCs w:val="20"/>
        </w:rPr>
      </w:pPr>
      <w:r w:rsidRPr="006164D5">
        <w:rPr>
          <w:rFonts w:cstheme="minorHAnsi"/>
          <w:b/>
          <w:sz w:val="20"/>
          <w:szCs w:val="20"/>
        </w:rPr>
        <w:t>Zdroj:</w:t>
      </w:r>
      <w:r w:rsidRPr="006164D5">
        <w:rPr>
          <w:rFonts w:cstheme="minorHAnsi"/>
          <w:bCs/>
          <w:sz w:val="20"/>
          <w:szCs w:val="20"/>
        </w:rPr>
        <w:t xml:space="preserve"> SÚIP</w:t>
      </w:r>
      <w:r w:rsidR="002B2966">
        <w:rPr>
          <w:rFonts w:cstheme="minorHAnsi"/>
          <w:bCs/>
          <w:sz w:val="20"/>
          <w:szCs w:val="20"/>
        </w:rPr>
        <w:t>;</w:t>
      </w:r>
      <w:r w:rsidRPr="006164D5">
        <w:rPr>
          <w:rFonts w:cstheme="minorHAnsi"/>
          <w:bCs/>
          <w:sz w:val="20"/>
          <w:szCs w:val="20"/>
        </w:rPr>
        <w:t xml:space="preserve"> vlastní zpracování NKÚ.</w:t>
      </w:r>
    </w:p>
    <w:p w14:paraId="0EA22810" w14:textId="7A99D059" w:rsidR="00316A26" w:rsidRPr="0052318D" w:rsidRDefault="00316A26" w:rsidP="006164D5">
      <w:pPr>
        <w:autoSpaceDE w:val="0"/>
        <w:autoSpaceDN w:val="0"/>
        <w:adjustRightInd w:val="0"/>
        <w:spacing w:before="240" w:line="240" w:lineRule="auto"/>
        <w:jc w:val="both"/>
        <w:rPr>
          <w:rFonts w:cstheme="minorHAnsi"/>
          <w:bCs/>
          <w:sz w:val="24"/>
          <w:szCs w:val="24"/>
        </w:rPr>
      </w:pPr>
      <w:r w:rsidRPr="0052318D">
        <w:rPr>
          <w:rFonts w:cstheme="minorHAnsi"/>
          <w:bCs/>
          <w:sz w:val="24"/>
          <w:szCs w:val="24"/>
        </w:rPr>
        <w:t>Po</w:t>
      </w:r>
      <w:r w:rsidR="00CC6B69">
        <w:rPr>
          <w:rFonts w:cstheme="minorHAnsi"/>
          <w:bCs/>
          <w:sz w:val="24"/>
          <w:szCs w:val="24"/>
        </w:rPr>
        <w:t>díl</w:t>
      </w:r>
      <w:r w:rsidRPr="0052318D">
        <w:rPr>
          <w:rFonts w:cstheme="minorHAnsi"/>
          <w:bCs/>
          <w:sz w:val="24"/>
          <w:szCs w:val="24"/>
        </w:rPr>
        <w:t xml:space="preserve"> kontrol zaměřených na oblast NLZ činil v</w:t>
      </w:r>
      <w:r w:rsidR="00CC6B69">
        <w:rPr>
          <w:rFonts w:cstheme="minorHAnsi"/>
          <w:bCs/>
          <w:sz w:val="24"/>
          <w:szCs w:val="24"/>
        </w:rPr>
        <w:t xml:space="preserve"> </w:t>
      </w:r>
      <w:r w:rsidRPr="0052318D">
        <w:rPr>
          <w:rFonts w:cstheme="minorHAnsi"/>
          <w:bCs/>
          <w:sz w:val="24"/>
          <w:szCs w:val="24"/>
        </w:rPr>
        <w:t>letech 2019 až 2023 v průměru 34 % z celkového počtu</w:t>
      </w:r>
      <w:r>
        <w:rPr>
          <w:rFonts w:cstheme="minorHAnsi"/>
          <w:bCs/>
          <w:sz w:val="24"/>
          <w:szCs w:val="24"/>
        </w:rPr>
        <w:t xml:space="preserve"> provedených</w:t>
      </w:r>
      <w:r w:rsidRPr="0052318D">
        <w:rPr>
          <w:rFonts w:cstheme="minorHAnsi"/>
          <w:bCs/>
          <w:sz w:val="24"/>
          <w:szCs w:val="24"/>
        </w:rPr>
        <w:t xml:space="preserve"> kontrol</w:t>
      </w:r>
      <w:r w:rsidR="00CC6B69">
        <w:rPr>
          <w:rFonts w:cstheme="minorHAnsi"/>
          <w:bCs/>
          <w:sz w:val="24"/>
          <w:szCs w:val="24"/>
        </w:rPr>
        <w:t>;</w:t>
      </w:r>
      <w:r w:rsidRPr="0052318D">
        <w:rPr>
          <w:rFonts w:cstheme="minorHAnsi"/>
          <w:bCs/>
          <w:sz w:val="24"/>
          <w:szCs w:val="24"/>
        </w:rPr>
        <w:t xml:space="preserve"> výše pravomocně uložených pokut v oblasti NLZ činila v letech 2019 až 2023 v průměru 57 % z celkové </w:t>
      </w:r>
      <w:r>
        <w:rPr>
          <w:rFonts w:cstheme="minorHAnsi"/>
          <w:bCs/>
          <w:sz w:val="24"/>
          <w:szCs w:val="24"/>
        </w:rPr>
        <w:t>výše</w:t>
      </w:r>
      <w:r w:rsidRPr="0052318D">
        <w:rPr>
          <w:rFonts w:cstheme="minorHAnsi"/>
          <w:bCs/>
          <w:sz w:val="24"/>
          <w:szCs w:val="24"/>
        </w:rPr>
        <w:t xml:space="preserve"> pravomocně uložených pokut.</w:t>
      </w:r>
    </w:p>
    <w:p w14:paraId="7DE7A58E" w14:textId="7EE09A08" w:rsidR="00316A26" w:rsidRPr="00C53E19" w:rsidRDefault="00316A26" w:rsidP="00316A26">
      <w:pPr>
        <w:spacing w:line="240" w:lineRule="auto"/>
        <w:jc w:val="both"/>
        <w:rPr>
          <w:sz w:val="24"/>
          <w:szCs w:val="24"/>
          <w:lang w:eastAsia="cs-CZ"/>
        </w:rPr>
      </w:pPr>
      <w:r w:rsidRPr="00C53E19">
        <w:rPr>
          <w:sz w:val="24"/>
          <w:szCs w:val="24"/>
          <w:lang w:eastAsia="cs-CZ"/>
        </w:rPr>
        <w:t>GŘC sleduje kontroly v</w:t>
      </w:r>
      <w:r w:rsidR="00CC6B69">
        <w:rPr>
          <w:sz w:val="24"/>
          <w:szCs w:val="24"/>
          <w:lang w:eastAsia="cs-CZ"/>
        </w:rPr>
        <w:t xml:space="preserve"> </w:t>
      </w:r>
      <w:r w:rsidRPr="00C53E19">
        <w:rPr>
          <w:sz w:val="24"/>
          <w:szCs w:val="24"/>
          <w:lang w:eastAsia="cs-CZ"/>
        </w:rPr>
        <w:t>oblasti nelegální</w:t>
      </w:r>
      <w:r w:rsidR="00CC6B69">
        <w:rPr>
          <w:sz w:val="24"/>
          <w:szCs w:val="24"/>
          <w:lang w:eastAsia="cs-CZ"/>
        </w:rPr>
        <w:t>ho</w:t>
      </w:r>
      <w:r w:rsidRPr="00C53E19">
        <w:rPr>
          <w:sz w:val="24"/>
          <w:szCs w:val="24"/>
          <w:lang w:eastAsia="cs-CZ"/>
        </w:rPr>
        <w:t xml:space="preserve"> zaměstnávání cizinců v</w:t>
      </w:r>
      <w:r w:rsidR="00CC6B69">
        <w:rPr>
          <w:sz w:val="24"/>
          <w:szCs w:val="24"/>
          <w:lang w:eastAsia="cs-CZ"/>
        </w:rPr>
        <w:t xml:space="preserve"> </w:t>
      </w:r>
      <w:r w:rsidRPr="00C53E19">
        <w:rPr>
          <w:sz w:val="24"/>
          <w:szCs w:val="24"/>
          <w:lang w:eastAsia="cs-CZ"/>
        </w:rPr>
        <w:t>aplikaci</w:t>
      </w:r>
      <w:r>
        <w:rPr>
          <w:sz w:val="24"/>
          <w:szCs w:val="24"/>
          <w:lang w:eastAsia="cs-CZ"/>
        </w:rPr>
        <w:t xml:space="preserve"> </w:t>
      </w:r>
      <w:r w:rsidRPr="006164D5">
        <w:rPr>
          <w:i/>
          <w:iCs/>
          <w:sz w:val="24"/>
          <w:szCs w:val="24"/>
          <w:lang w:eastAsia="cs-CZ"/>
        </w:rPr>
        <w:t>Sdružená podpora rozhodování</w:t>
      </w:r>
      <w:r w:rsidRPr="00C53E19">
        <w:rPr>
          <w:sz w:val="24"/>
          <w:szCs w:val="24"/>
          <w:lang w:eastAsia="cs-CZ"/>
        </w:rPr>
        <w:t xml:space="preserve">. Statistika </w:t>
      </w:r>
      <w:r w:rsidR="00CC6B69">
        <w:rPr>
          <w:sz w:val="24"/>
          <w:szCs w:val="24"/>
          <w:lang w:eastAsia="cs-CZ"/>
        </w:rPr>
        <w:t>v této aplikaci</w:t>
      </w:r>
      <w:r w:rsidRPr="00C53E19">
        <w:rPr>
          <w:sz w:val="24"/>
          <w:szCs w:val="24"/>
          <w:lang w:eastAsia="cs-CZ"/>
        </w:rPr>
        <w:t xml:space="preserve"> mj. zobrazuje počty zahájených a ukončených kontrol, kontrol s</w:t>
      </w:r>
      <w:r w:rsidR="003D5B7D">
        <w:rPr>
          <w:sz w:val="24"/>
          <w:szCs w:val="24"/>
          <w:lang w:eastAsia="cs-CZ"/>
        </w:rPr>
        <w:t xml:space="preserve"> </w:t>
      </w:r>
      <w:r w:rsidRPr="00C53E19">
        <w:rPr>
          <w:sz w:val="24"/>
          <w:szCs w:val="24"/>
          <w:lang w:eastAsia="cs-CZ"/>
        </w:rPr>
        <w:t>nálezem, kontrolovaných cizinců (</w:t>
      </w:r>
      <w:r w:rsidR="00CC6B69">
        <w:rPr>
          <w:sz w:val="24"/>
          <w:szCs w:val="24"/>
          <w:lang w:eastAsia="cs-CZ"/>
        </w:rPr>
        <w:t>včetně informace o počtu osob bez</w:t>
      </w:r>
      <w:r w:rsidRPr="00C53E19">
        <w:rPr>
          <w:sz w:val="24"/>
          <w:szCs w:val="24"/>
          <w:lang w:eastAsia="cs-CZ"/>
        </w:rPr>
        <w:t xml:space="preserve"> povolení k pobytu </w:t>
      </w:r>
      <w:r w:rsidR="00CC6B69">
        <w:rPr>
          <w:sz w:val="24"/>
          <w:szCs w:val="24"/>
          <w:lang w:eastAsia="cs-CZ"/>
        </w:rPr>
        <w:t xml:space="preserve">či </w:t>
      </w:r>
      <w:r w:rsidRPr="00C53E19">
        <w:rPr>
          <w:sz w:val="24"/>
          <w:szCs w:val="24"/>
          <w:lang w:eastAsia="cs-CZ"/>
        </w:rPr>
        <w:t>k zaměstnání), počty nesplněn</w:t>
      </w:r>
      <w:r w:rsidR="00CC6B69">
        <w:rPr>
          <w:sz w:val="24"/>
          <w:szCs w:val="24"/>
          <w:lang w:eastAsia="cs-CZ"/>
        </w:rPr>
        <w:t>í</w:t>
      </w:r>
      <w:r w:rsidRPr="00C53E19">
        <w:rPr>
          <w:sz w:val="24"/>
          <w:szCs w:val="24"/>
          <w:lang w:eastAsia="cs-CZ"/>
        </w:rPr>
        <w:t xml:space="preserve"> oznamovací povinnost</w:t>
      </w:r>
      <w:r w:rsidR="00CC6B69">
        <w:rPr>
          <w:sz w:val="24"/>
          <w:szCs w:val="24"/>
          <w:lang w:eastAsia="cs-CZ"/>
        </w:rPr>
        <w:t>i</w:t>
      </w:r>
      <w:r w:rsidRPr="00C53E19">
        <w:rPr>
          <w:sz w:val="24"/>
          <w:szCs w:val="24"/>
          <w:lang w:eastAsia="cs-CZ"/>
        </w:rPr>
        <w:t xml:space="preserve"> a</w:t>
      </w:r>
      <w:r>
        <w:rPr>
          <w:sz w:val="24"/>
          <w:szCs w:val="24"/>
          <w:lang w:eastAsia="cs-CZ"/>
        </w:rPr>
        <w:t>pod</w:t>
      </w:r>
      <w:r w:rsidRPr="00C53E19">
        <w:rPr>
          <w:sz w:val="24"/>
          <w:szCs w:val="24"/>
          <w:lang w:eastAsia="cs-CZ"/>
        </w:rPr>
        <w:t>.</w:t>
      </w:r>
    </w:p>
    <w:p w14:paraId="3AC73E2F" w14:textId="46959319" w:rsidR="00316A26" w:rsidRPr="00C53E19" w:rsidRDefault="00316A26" w:rsidP="006164D5">
      <w:pPr>
        <w:spacing w:before="240" w:after="0" w:line="240" w:lineRule="auto"/>
        <w:jc w:val="both"/>
        <w:rPr>
          <w:b/>
          <w:bCs/>
          <w:sz w:val="24"/>
          <w:szCs w:val="24"/>
          <w:lang w:eastAsia="cs-CZ"/>
        </w:rPr>
      </w:pPr>
      <w:r w:rsidRPr="00C53E19">
        <w:rPr>
          <w:b/>
          <w:bCs/>
          <w:sz w:val="24"/>
          <w:szCs w:val="24"/>
          <w:lang w:eastAsia="cs-CZ"/>
        </w:rPr>
        <w:t xml:space="preserve">Tabulka č. </w:t>
      </w:r>
      <w:r>
        <w:rPr>
          <w:b/>
          <w:bCs/>
          <w:sz w:val="24"/>
          <w:szCs w:val="24"/>
          <w:lang w:eastAsia="cs-CZ"/>
        </w:rPr>
        <w:t xml:space="preserve">9: </w:t>
      </w:r>
      <w:r w:rsidRPr="00C53E19">
        <w:rPr>
          <w:b/>
          <w:bCs/>
          <w:sz w:val="24"/>
          <w:szCs w:val="24"/>
          <w:lang w:eastAsia="cs-CZ"/>
        </w:rPr>
        <w:t>Počet kontrol zaměstnávání cizinců v letech 2019–2023</w:t>
      </w:r>
    </w:p>
    <w:tbl>
      <w:tblPr>
        <w:tblStyle w:val="Mkatabulky"/>
        <w:tblW w:w="5000" w:type="pct"/>
        <w:tblLayout w:type="fixed"/>
        <w:tblLook w:val="04A0" w:firstRow="1" w:lastRow="0" w:firstColumn="1" w:lastColumn="0" w:noHBand="0" w:noVBand="1"/>
      </w:tblPr>
      <w:tblGrid>
        <w:gridCol w:w="1053"/>
        <w:gridCol w:w="1870"/>
        <w:gridCol w:w="1900"/>
        <w:gridCol w:w="2192"/>
        <w:gridCol w:w="2047"/>
      </w:tblGrid>
      <w:tr w:rsidR="00316A26" w:rsidRPr="00AA35CE" w14:paraId="269A0200" w14:textId="77777777" w:rsidTr="001221EB">
        <w:tc>
          <w:tcPr>
            <w:tcW w:w="1021" w:type="dxa"/>
            <w:shd w:val="clear" w:color="auto" w:fill="E6E6E6"/>
            <w:vAlign w:val="center"/>
          </w:tcPr>
          <w:p w14:paraId="08A965D2" w14:textId="77777777" w:rsidR="00316A26" w:rsidRPr="00AA35CE" w:rsidRDefault="00316A26" w:rsidP="001221EB">
            <w:pPr>
              <w:jc w:val="center"/>
              <w:rPr>
                <w:rFonts w:cstheme="minorHAnsi"/>
                <w:b/>
                <w:bCs/>
                <w:sz w:val="20"/>
                <w:szCs w:val="20"/>
              </w:rPr>
            </w:pPr>
            <w:r w:rsidRPr="00AA35CE">
              <w:rPr>
                <w:rFonts w:cstheme="minorHAnsi"/>
                <w:b/>
                <w:bCs/>
                <w:sz w:val="20"/>
                <w:szCs w:val="20"/>
              </w:rPr>
              <w:t>Rok</w:t>
            </w:r>
          </w:p>
        </w:tc>
        <w:tc>
          <w:tcPr>
            <w:tcW w:w="1814" w:type="dxa"/>
            <w:shd w:val="clear" w:color="auto" w:fill="E6E6E6"/>
            <w:vAlign w:val="center"/>
          </w:tcPr>
          <w:p w14:paraId="65B3ED79" w14:textId="77777777" w:rsidR="00316A26" w:rsidRPr="00AA35CE" w:rsidRDefault="00316A26" w:rsidP="001221EB">
            <w:pPr>
              <w:jc w:val="center"/>
              <w:rPr>
                <w:rFonts w:cstheme="minorHAnsi"/>
                <w:b/>
                <w:bCs/>
                <w:sz w:val="20"/>
                <w:szCs w:val="20"/>
              </w:rPr>
            </w:pPr>
            <w:r>
              <w:rPr>
                <w:rFonts w:cstheme="minorHAnsi"/>
                <w:b/>
                <w:bCs/>
                <w:sz w:val="20"/>
                <w:szCs w:val="20"/>
              </w:rPr>
              <w:t>P</w:t>
            </w:r>
            <w:r w:rsidRPr="00AA35CE">
              <w:rPr>
                <w:rFonts w:cstheme="minorHAnsi"/>
                <w:b/>
                <w:bCs/>
                <w:sz w:val="20"/>
                <w:szCs w:val="20"/>
              </w:rPr>
              <w:t>očet zahájených kontrol</w:t>
            </w:r>
          </w:p>
        </w:tc>
        <w:tc>
          <w:tcPr>
            <w:tcW w:w="1843" w:type="dxa"/>
            <w:shd w:val="clear" w:color="auto" w:fill="E6E6E6"/>
            <w:vAlign w:val="center"/>
          </w:tcPr>
          <w:p w14:paraId="42AA2009" w14:textId="77777777" w:rsidR="00316A26" w:rsidRPr="00AA35CE" w:rsidRDefault="00316A26" w:rsidP="001221EB">
            <w:pPr>
              <w:jc w:val="center"/>
              <w:rPr>
                <w:rFonts w:cstheme="minorHAnsi"/>
                <w:b/>
                <w:bCs/>
                <w:sz w:val="20"/>
                <w:szCs w:val="20"/>
              </w:rPr>
            </w:pPr>
            <w:r>
              <w:rPr>
                <w:rFonts w:cstheme="minorHAnsi"/>
                <w:b/>
                <w:bCs/>
                <w:sz w:val="20"/>
                <w:szCs w:val="20"/>
              </w:rPr>
              <w:t>P</w:t>
            </w:r>
            <w:r w:rsidRPr="00AA35CE">
              <w:rPr>
                <w:rFonts w:cstheme="minorHAnsi"/>
                <w:b/>
                <w:bCs/>
                <w:sz w:val="20"/>
                <w:szCs w:val="20"/>
              </w:rPr>
              <w:t>očet ukončených kontrol</w:t>
            </w:r>
          </w:p>
        </w:tc>
        <w:tc>
          <w:tcPr>
            <w:tcW w:w="2126" w:type="dxa"/>
            <w:shd w:val="clear" w:color="auto" w:fill="E6E6E6"/>
            <w:vAlign w:val="center"/>
          </w:tcPr>
          <w:p w14:paraId="139BD463" w14:textId="77777777" w:rsidR="00316A26" w:rsidRPr="00AA35CE" w:rsidRDefault="00316A26" w:rsidP="001221EB">
            <w:pPr>
              <w:jc w:val="center"/>
              <w:rPr>
                <w:rFonts w:cstheme="minorHAnsi"/>
                <w:b/>
                <w:bCs/>
                <w:sz w:val="20"/>
                <w:szCs w:val="20"/>
              </w:rPr>
            </w:pPr>
            <w:r>
              <w:rPr>
                <w:rFonts w:cstheme="minorHAnsi"/>
                <w:b/>
                <w:bCs/>
                <w:sz w:val="20"/>
                <w:szCs w:val="20"/>
              </w:rPr>
              <w:t xml:space="preserve">Počet </w:t>
            </w:r>
            <w:r w:rsidRPr="00AA35CE">
              <w:rPr>
                <w:rFonts w:cstheme="minorHAnsi"/>
                <w:b/>
                <w:bCs/>
                <w:sz w:val="20"/>
                <w:szCs w:val="20"/>
              </w:rPr>
              <w:t>kontrol s pozitivním výsledkem</w:t>
            </w:r>
          </w:p>
        </w:tc>
        <w:tc>
          <w:tcPr>
            <w:tcW w:w="1985" w:type="dxa"/>
            <w:shd w:val="clear" w:color="auto" w:fill="E6E6E6"/>
            <w:vAlign w:val="center"/>
          </w:tcPr>
          <w:p w14:paraId="5C2F88A5" w14:textId="77777777" w:rsidR="00316A26" w:rsidRPr="00AA35CE" w:rsidRDefault="00316A26" w:rsidP="001221EB">
            <w:pPr>
              <w:jc w:val="center"/>
              <w:rPr>
                <w:rFonts w:cstheme="minorHAnsi"/>
                <w:b/>
                <w:bCs/>
                <w:sz w:val="20"/>
                <w:szCs w:val="20"/>
              </w:rPr>
            </w:pPr>
            <w:r>
              <w:rPr>
                <w:rFonts w:cstheme="minorHAnsi"/>
                <w:b/>
                <w:bCs/>
                <w:sz w:val="20"/>
                <w:szCs w:val="20"/>
              </w:rPr>
              <w:t>P</w:t>
            </w:r>
            <w:r w:rsidRPr="00AA35CE">
              <w:rPr>
                <w:rFonts w:cstheme="minorHAnsi"/>
                <w:b/>
                <w:bCs/>
                <w:sz w:val="20"/>
                <w:szCs w:val="20"/>
              </w:rPr>
              <w:t>odíl kontrol s pozitivním výsledkem</w:t>
            </w:r>
          </w:p>
        </w:tc>
      </w:tr>
      <w:tr w:rsidR="00316A26" w:rsidRPr="00AA35CE" w14:paraId="24116B99" w14:textId="77777777" w:rsidTr="001221EB">
        <w:tc>
          <w:tcPr>
            <w:tcW w:w="1021" w:type="dxa"/>
            <w:vAlign w:val="center"/>
          </w:tcPr>
          <w:p w14:paraId="7D4B8E97" w14:textId="77777777" w:rsidR="00316A26" w:rsidRPr="00AA35CE" w:rsidRDefault="00316A26" w:rsidP="001221EB">
            <w:pPr>
              <w:jc w:val="center"/>
              <w:rPr>
                <w:rFonts w:cstheme="minorHAnsi"/>
                <w:sz w:val="20"/>
                <w:szCs w:val="20"/>
              </w:rPr>
            </w:pPr>
            <w:r w:rsidRPr="00AA35CE">
              <w:rPr>
                <w:rFonts w:cstheme="minorHAnsi"/>
                <w:sz w:val="20"/>
                <w:szCs w:val="20"/>
              </w:rPr>
              <w:t>2019</w:t>
            </w:r>
          </w:p>
        </w:tc>
        <w:tc>
          <w:tcPr>
            <w:tcW w:w="1814" w:type="dxa"/>
            <w:vAlign w:val="center"/>
          </w:tcPr>
          <w:p w14:paraId="56AA39D4" w14:textId="77777777" w:rsidR="00316A26" w:rsidRPr="00AA35CE" w:rsidRDefault="00316A26" w:rsidP="001221EB">
            <w:pPr>
              <w:jc w:val="center"/>
              <w:rPr>
                <w:rFonts w:cstheme="minorHAnsi"/>
                <w:sz w:val="20"/>
                <w:szCs w:val="20"/>
              </w:rPr>
            </w:pPr>
            <w:r w:rsidRPr="00AA35CE">
              <w:rPr>
                <w:rFonts w:cstheme="minorHAnsi"/>
                <w:sz w:val="20"/>
                <w:szCs w:val="20"/>
              </w:rPr>
              <w:t>881</w:t>
            </w:r>
          </w:p>
        </w:tc>
        <w:tc>
          <w:tcPr>
            <w:tcW w:w="1843" w:type="dxa"/>
            <w:vAlign w:val="center"/>
          </w:tcPr>
          <w:p w14:paraId="5B796756" w14:textId="77777777" w:rsidR="00316A26" w:rsidRPr="00AA35CE" w:rsidRDefault="00316A26" w:rsidP="001221EB">
            <w:pPr>
              <w:jc w:val="center"/>
              <w:rPr>
                <w:rFonts w:cstheme="minorHAnsi"/>
                <w:sz w:val="20"/>
                <w:szCs w:val="20"/>
              </w:rPr>
            </w:pPr>
            <w:r w:rsidRPr="00AA35CE">
              <w:rPr>
                <w:rFonts w:cstheme="minorHAnsi"/>
                <w:sz w:val="20"/>
                <w:szCs w:val="20"/>
              </w:rPr>
              <w:t>789</w:t>
            </w:r>
          </w:p>
        </w:tc>
        <w:tc>
          <w:tcPr>
            <w:tcW w:w="2126" w:type="dxa"/>
            <w:vAlign w:val="center"/>
          </w:tcPr>
          <w:p w14:paraId="5B7E289B" w14:textId="77777777" w:rsidR="00316A26" w:rsidRPr="00AA35CE" w:rsidRDefault="00316A26" w:rsidP="001221EB">
            <w:pPr>
              <w:jc w:val="center"/>
              <w:rPr>
                <w:rFonts w:cstheme="minorHAnsi"/>
                <w:sz w:val="20"/>
                <w:szCs w:val="20"/>
              </w:rPr>
            </w:pPr>
            <w:r w:rsidRPr="00AA35CE">
              <w:rPr>
                <w:rFonts w:cstheme="minorHAnsi"/>
                <w:sz w:val="20"/>
                <w:szCs w:val="20"/>
              </w:rPr>
              <w:t>440</w:t>
            </w:r>
          </w:p>
        </w:tc>
        <w:tc>
          <w:tcPr>
            <w:tcW w:w="1985" w:type="dxa"/>
            <w:vAlign w:val="center"/>
          </w:tcPr>
          <w:p w14:paraId="11E89E66" w14:textId="77777777" w:rsidR="00316A26" w:rsidRPr="00AA35CE" w:rsidRDefault="00316A26" w:rsidP="001221EB">
            <w:pPr>
              <w:jc w:val="center"/>
              <w:rPr>
                <w:rFonts w:cstheme="minorHAnsi"/>
                <w:sz w:val="20"/>
                <w:szCs w:val="20"/>
              </w:rPr>
            </w:pPr>
            <w:r w:rsidRPr="00AA35CE">
              <w:rPr>
                <w:rFonts w:cstheme="minorHAnsi"/>
                <w:sz w:val="20"/>
                <w:szCs w:val="20"/>
              </w:rPr>
              <w:t>55,77 %</w:t>
            </w:r>
          </w:p>
        </w:tc>
      </w:tr>
      <w:tr w:rsidR="00316A26" w:rsidRPr="00AA35CE" w14:paraId="0F0AFA38" w14:textId="77777777" w:rsidTr="001221EB">
        <w:tc>
          <w:tcPr>
            <w:tcW w:w="1021" w:type="dxa"/>
            <w:vAlign w:val="center"/>
          </w:tcPr>
          <w:p w14:paraId="4B599D6E" w14:textId="77777777" w:rsidR="00316A26" w:rsidRPr="00AA35CE" w:rsidRDefault="00316A26" w:rsidP="001221EB">
            <w:pPr>
              <w:jc w:val="center"/>
              <w:rPr>
                <w:rFonts w:cstheme="minorHAnsi"/>
                <w:sz w:val="20"/>
                <w:szCs w:val="20"/>
              </w:rPr>
            </w:pPr>
            <w:r w:rsidRPr="00AA35CE">
              <w:rPr>
                <w:rFonts w:cstheme="minorHAnsi"/>
                <w:sz w:val="20"/>
                <w:szCs w:val="20"/>
              </w:rPr>
              <w:t>2020</w:t>
            </w:r>
          </w:p>
        </w:tc>
        <w:tc>
          <w:tcPr>
            <w:tcW w:w="1814" w:type="dxa"/>
            <w:vAlign w:val="center"/>
          </w:tcPr>
          <w:p w14:paraId="47F95E6D" w14:textId="77777777" w:rsidR="00316A26" w:rsidRPr="00AA35CE" w:rsidRDefault="00316A26" w:rsidP="001221EB">
            <w:pPr>
              <w:jc w:val="center"/>
              <w:rPr>
                <w:rFonts w:cstheme="minorHAnsi"/>
                <w:sz w:val="20"/>
                <w:szCs w:val="20"/>
              </w:rPr>
            </w:pPr>
            <w:r w:rsidRPr="00AA35CE">
              <w:rPr>
                <w:rFonts w:cstheme="minorHAnsi"/>
                <w:sz w:val="20"/>
                <w:szCs w:val="20"/>
              </w:rPr>
              <w:t>640</w:t>
            </w:r>
          </w:p>
        </w:tc>
        <w:tc>
          <w:tcPr>
            <w:tcW w:w="1843" w:type="dxa"/>
            <w:vAlign w:val="center"/>
          </w:tcPr>
          <w:p w14:paraId="44A850CB" w14:textId="77777777" w:rsidR="00316A26" w:rsidRPr="00AA35CE" w:rsidRDefault="00316A26" w:rsidP="001221EB">
            <w:pPr>
              <w:jc w:val="center"/>
              <w:rPr>
                <w:rFonts w:cstheme="minorHAnsi"/>
                <w:sz w:val="20"/>
                <w:szCs w:val="20"/>
              </w:rPr>
            </w:pPr>
            <w:r w:rsidRPr="00AA35CE">
              <w:rPr>
                <w:rFonts w:cstheme="minorHAnsi"/>
                <w:sz w:val="20"/>
                <w:szCs w:val="20"/>
              </w:rPr>
              <w:t>640</w:t>
            </w:r>
          </w:p>
        </w:tc>
        <w:tc>
          <w:tcPr>
            <w:tcW w:w="2126" w:type="dxa"/>
            <w:vAlign w:val="center"/>
          </w:tcPr>
          <w:p w14:paraId="08304362" w14:textId="77777777" w:rsidR="00316A26" w:rsidRPr="00AA35CE" w:rsidRDefault="00316A26" w:rsidP="001221EB">
            <w:pPr>
              <w:jc w:val="center"/>
              <w:rPr>
                <w:rFonts w:cstheme="minorHAnsi"/>
                <w:sz w:val="20"/>
                <w:szCs w:val="20"/>
              </w:rPr>
            </w:pPr>
            <w:r w:rsidRPr="00AA35CE">
              <w:rPr>
                <w:rFonts w:cstheme="minorHAnsi"/>
                <w:sz w:val="20"/>
                <w:szCs w:val="20"/>
              </w:rPr>
              <w:t>342</w:t>
            </w:r>
          </w:p>
        </w:tc>
        <w:tc>
          <w:tcPr>
            <w:tcW w:w="1985" w:type="dxa"/>
            <w:vAlign w:val="center"/>
          </w:tcPr>
          <w:p w14:paraId="3E95AC97" w14:textId="77777777" w:rsidR="00316A26" w:rsidRPr="00AA35CE" w:rsidRDefault="00316A26" w:rsidP="001221EB">
            <w:pPr>
              <w:jc w:val="center"/>
              <w:rPr>
                <w:rFonts w:cstheme="minorHAnsi"/>
                <w:sz w:val="20"/>
                <w:szCs w:val="20"/>
              </w:rPr>
            </w:pPr>
            <w:r w:rsidRPr="00AA35CE">
              <w:rPr>
                <w:rFonts w:cstheme="minorHAnsi"/>
                <w:sz w:val="20"/>
                <w:szCs w:val="20"/>
              </w:rPr>
              <w:t>53,44 %</w:t>
            </w:r>
          </w:p>
        </w:tc>
      </w:tr>
      <w:tr w:rsidR="00316A26" w:rsidRPr="00AA35CE" w14:paraId="27A4C6A2" w14:textId="77777777" w:rsidTr="001221EB">
        <w:tc>
          <w:tcPr>
            <w:tcW w:w="1021" w:type="dxa"/>
            <w:vAlign w:val="center"/>
          </w:tcPr>
          <w:p w14:paraId="332DF642" w14:textId="77777777" w:rsidR="00316A26" w:rsidRPr="00AA35CE" w:rsidRDefault="00316A26" w:rsidP="001221EB">
            <w:pPr>
              <w:jc w:val="center"/>
              <w:rPr>
                <w:rFonts w:cstheme="minorHAnsi"/>
                <w:sz w:val="20"/>
                <w:szCs w:val="20"/>
              </w:rPr>
            </w:pPr>
            <w:r w:rsidRPr="00AA35CE">
              <w:rPr>
                <w:rFonts w:cstheme="minorHAnsi"/>
                <w:sz w:val="20"/>
                <w:szCs w:val="20"/>
              </w:rPr>
              <w:t>2021</w:t>
            </w:r>
          </w:p>
        </w:tc>
        <w:tc>
          <w:tcPr>
            <w:tcW w:w="1814" w:type="dxa"/>
            <w:vAlign w:val="center"/>
          </w:tcPr>
          <w:p w14:paraId="054D197F" w14:textId="77777777" w:rsidR="00316A26" w:rsidRPr="00AA35CE" w:rsidRDefault="00316A26" w:rsidP="001221EB">
            <w:pPr>
              <w:jc w:val="center"/>
              <w:rPr>
                <w:rFonts w:cstheme="minorHAnsi"/>
                <w:sz w:val="20"/>
                <w:szCs w:val="20"/>
              </w:rPr>
            </w:pPr>
            <w:r w:rsidRPr="00AA35CE">
              <w:rPr>
                <w:rFonts w:cstheme="minorHAnsi"/>
                <w:sz w:val="20"/>
                <w:szCs w:val="20"/>
              </w:rPr>
              <w:t>749</w:t>
            </w:r>
          </w:p>
        </w:tc>
        <w:tc>
          <w:tcPr>
            <w:tcW w:w="1843" w:type="dxa"/>
            <w:vAlign w:val="center"/>
          </w:tcPr>
          <w:p w14:paraId="79D7D69B" w14:textId="77777777" w:rsidR="00316A26" w:rsidRPr="00AA35CE" w:rsidRDefault="00316A26" w:rsidP="001221EB">
            <w:pPr>
              <w:jc w:val="center"/>
              <w:rPr>
                <w:rFonts w:cstheme="minorHAnsi"/>
                <w:sz w:val="20"/>
                <w:szCs w:val="20"/>
              </w:rPr>
            </w:pPr>
            <w:r w:rsidRPr="00AA35CE">
              <w:rPr>
                <w:rFonts w:cstheme="minorHAnsi"/>
                <w:sz w:val="20"/>
                <w:szCs w:val="20"/>
              </w:rPr>
              <w:t>749</w:t>
            </w:r>
          </w:p>
        </w:tc>
        <w:tc>
          <w:tcPr>
            <w:tcW w:w="2126" w:type="dxa"/>
            <w:vAlign w:val="center"/>
          </w:tcPr>
          <w:p w14:paraId="6850DE5C" w14:textId="77777777" w:rsidR="00316A26" w:rsidRPr="00AA35CE" w:rsidRDefault="00316A26" w:rsidP="001221EB">
            <w:pPr>
              <w:jc w:val="center"/>
              <w:rPr>
                <w:rFonts w:cstheme="minorHAnsi"/>
                <w:sz w:val="20"/>
                <w:szCs w:val="20"/>
              </w:rPr>
            </w:pPr>
            <w:r w:rsidRPr="00AA35CE">
              <w:rPr>
                <w:rFonts w:cstheme="minorHAnsi"/>
                <w:sz w:val="20"/>
                <w:szCs w:val="20"/>
              </w:rPr>
              <w:t>379</w:t>
            </w:r>
          </w:p>
        </w:tc>
        <w:tc>
          <w:tcPr>
            <w:tcW w:w="1985" w:type="dxa"/>
            <w:vAlign w:val="center"/>
          </w:tcPr>
          <w:p w14:paraId="016F588D" w14:textId="77777777" w:rsidR="00316A26" w:rsidRPr="00AA35CE" w:rsidRDefault="00316A26" w:rsidP="001221EB">
            <w:pPr>
              <w:jc w:val="center"/>
              <w:rPr>
                <w:rFonts w:cstheme="minorHAnsi"/>
                <w:sz w:val="20"/>
                <w:szCs w:val="20"/>
              </w:rPr>
            </w:pPr>
            <w:r w:rsidRPr="00AA35CE">
              <w:rPr>
                <w:rFonts w:cstheme="minorHAnsi"/>
                <w:sz w:val="20"/>
                <w:szCs w:val="20"/>
              </w:rPr>
              <w:t>50,60 %</w:t>
            </w:r>
          </w:p>
        </w:tc>
      </w:tr>
      <w:tr w:rsidR="00316A26" w:rsidRPr="00AA35CE" w14:paraId="260B3E38" w14:textId="77777777" w:rsidTr="001221EB">
        <w:tc>
          <w:tcPr>
            <w:tcW w:w="1021" w:type="dxa"/>
            <w:vAlign w:val="center"/>
          </w:tcPr>
          <w:p w14:paraId="7764EB2C" w14:textId="77777777" w:rsidR="00316A26" w:rsidRPr="00AA35CE" w:rsidRDefault="00316A26" w:rsidP="001221EB">
            <w:pPr>
              <w:jc w:val="center"/>
              <w:rPr>
                <w:rFonts w:cstheme="minorHAnsi"/>
                <w:sz w:val="20"/>
                <w:szCs w:val="20"/>
              </w:rPr>
            </w:pPr>
            <w:r w:rsidRPr="00AA35CE">
              <w:rPr>
                <w:rFonts w:cstheme="minorHAnsi"/>
                <w:sz w:val="20"/>
                <w:szCs w:val="20"/>
              </w:rPr>
              <w:t>2022</w:t>
            </w:r>
          </w:p>
        </w:tc>
        <w:tc>
          <w:tcPr>
            <w:tcW w:w="1814" w:type="dxa"/>
            <w:vAlign w:val="center"/>
          </w:tcPr>
          <w:p w14:paraId="759EF6C6" w14:textId="77777777" w:rsidR="00316A26" w:rsidRPr="00AA35CE" w:rsidRDefault="00316A26" w:rsidP="001221EB">
            <w:pPr>
              <w:jc w:val="center"/>
              <w:rPr>
                <w:rFonts w:cstheme="minorHAnsi"/>
                <w:sz w:val="20"/>
                <w:szCs w:val="20"/>
              </w:rPr>
            </w:pPr>
            <w:r w:rsidRPr="00AA35CE">
              <w:rPr>
                <w:rFonts w:cstheme="minorHAnsi"/>
                <w:sz w:val="20"/>
                <w:szCs w:val="20"/>
              </w:rPr>
              <w:t>624</w:t>
            </w:r>
          </w:p>
        </w:tc>
        <w:tc>
          <w:tcPr>
            <w:tcW w:w="1843" w:type="dxa"/>
            <w:vAlign w:val="center"/>
          </w:tcPr>
          <w:p w14:paraId="6E6DEEDB" w14:textId="77777777" w:rsidR="00316A26" w:rsidRPr="00AA35CE" w:rsidRDefault="00316A26" w:rsidP="001221EB">
            <w:pPr>
              <w:jc w:val="center"/>
              <w:rPr>
                <w:rFonts w:cstheme="minorHAnsi"/>
                <w:sz w:val="20"/>
                <w:szCs w:val="20"/>
              </w:rPr>
            </w:pPr>
            <w:r w:rsidRPr="00AA35CE">
              <w:rPr>
                <w:rFonts w:cstheme="minorHAnsi"/>
                <w:sz w:val="20"/>
                <w:szCs w:val="20"/>
              </w:rPr>
              <w:t>624</w:t>
            </w:r>
          </w:p>
        </w:tc>
        <w:tc>
          <w:tcPr>
            <w:tcW w:w="2126" w:type="dxa"/>
            <w:vAlign w:val="center"/>
          </w:tcPr>
          <w:p w14:paraId="0A713B2D" w14:textId="77777777" w:rsidR="00316A26" w:rsidRPr="00AA35CE" w:rsidRDefault="00316A26" w:rsidP="001221EB">
            <w:pPr>
              <w:jc w:val="center"/>
              <w:rPr>
                <w:rFonts w:cstheme="minorHAnsi"/>
                <w:sz w:val="20"/>
                <w:szCs w:val="20"/>
              </w:rPr>
            </w:pPr>
            <w:r w:rsidRPr="00AA35CE">
              <w:rPr>
                <w:rFonts w:cstheme="minorHAnsi"/>
                <w:sz w:val="20"/>
                <w:szCs w:val="20"/>
              </w:rPr>
              <w:t>294</w:t>
            </w:r>
          </w:p>
        </w:tc>
        <w:tc>
          <w:tcPr>
            <w:tcW w:w="1985" w:type="dxa"/>
            <w:vAlign w:val="center"/>
          </w:tcPr>
          <w:p w14:paraId="34F7EB50" w14:textId="77777777" w:rsidR="00316A26" w:rsidRPr="00AA35CE" w:rsidRDefault="00316A26" w:rsidP="001221EB">
            <w:pPr>
              <w:jc w:val="center"/>
              <w:rPr>
                <w:rFonts w:cstheme="minorHAnsi"/>
                <w:sz w:val="20"/>
                <w:szCs w:val="20"/>
              </w:rPr>
            </w:pPr>
            <w:r w:rsidRPr="00AA35CE">
              <w:rPr>
                <w:rFonts w:cstheme="minorHAnsi"/>
                <w:sz w:val="20"/>
                <w:szCs w:val="20"/>
              </w:rPr>
              <w:t>47,12 %</w:t>
            </w:r>
          </w:p>
        </w:tc>
      </w:tr>
      <w:tr w:rsidR="00316A26" w:rsidRPr="00AA35CE" w14:paraId="71B94CF2" w14:textId="77777777" w:rsidTr="001221EB">
        <w:tc>
          <w:tcPr>
            <w:tcW w:w="1021" w:type="dxa"/>
            <w:vAlign w:val="center"/>
          </w:tcPr>
          <w:p w14:paraId="185EC23D" w14:textId="77777777" w:rsidR="00316A26" w:rsidRPr="00AA35CE" w:rsidRDefault="00316A26" w:rsidP="001221EB">
            <w:pPr>
              <w:jc w:val="center"/>
              <w:rPr>
                <w:rFonts w:cstheme="minorHAnsi"/>
                <w:sz w:val="20"/>
                <w:szCs w:val="20"/>
              </w:rPr>
            </w:pPr>
            <w:r w:rsidRPr="00AA35CE">
              <w:rPr>
                <w:rFonts w:cstheme="minorHAnsi"/>
                <w:sz w:val="20"/>
                <w:szCs w:val="20"/>
              </w:rPr>
              <w:t>2023</w:t>
            </w:r>
          </w:p>
        </w:tc>
        <w:tc>
          <w:tcPr>
            <w:tcW w:w="1814" w:type="dxa"/>
            <w:vAlign w:val="center"/>
          </w:tcPr>
          <w:p w14:paraId="064E541D" w14:textId="77777777" w:rsidR="00316A26" w:rsidRPr="00AA35CE" w:rsidRDefault="00316A26" w:rsidP="001221EB">
            <w:pPr>
              <w:jc w:val="center"/>
              <w:rPr>
                <w:rFonts w:cstheme="minorHAnsi"/>
                <w:sz w:val="20"/>
                <w:szCs w:val="20"/>
              </w:rPr>
            </w:pPr>
            <w:r w:rsidRPr="00AA35CE">
              <w:rPr>
                <w:rFonts w:cstheme="minorHAnsi"/>
                <w:sz w:val="20"/>
                <w:szCs w:val="20"/>
              </w:rPr>
              <w:t>674</w:t>
            </w:r>
          </w:p>
        </w:tc>
        <w:tc>
          <w:tcPr>
            <w:tcW w:w="1843" w:type="dxa"/>
            <w:vAlign w:val="center"/>
          </w:tcPr>
          <w:p w14:paraId="05FD879F" w14:textId="77777777" w:rsidR="00316A26" w:rsidRPr="00AA35CE" w:rsidRDefault="00316A26" w:rsidP="001221EB">
            <w:pPr>
              <w:jc w:val="center"/>
              <w:rPr>
                <w:rFonts w:cstheme="minorHAnsi"/>
                <w:sz w:val="20"/>
                <w:szCs w:val="20"/>
              </w:rPr>
            </w:pPr>
            <w:r w:rsidRPr="00AA35CE">
              <w:rPr>
                <w:rFonts w:cstheme="minorHAnsi"/>
                <w:sz w:val="20"/>
                <w:szCs w:val="20"/>
              </w:rPr>
              <w:t>674</w:t>
            </w:r>
          </w:p>
        </w:tc>
        <w:tc>
          <w:tcPr>
            <w:tcW w:w="2126" w:type="dxa"/>
            <w:vAlign w:val="center"/>
          </w:tcPr>
          <w:p w14:paraId="6A48A33E" w14:textId="77777777" w:rsidR="00316A26" w:rsidRPr="00AA35CE" w:rsidRDefault="00316A26" w:rsidP="001221EB">
            <w:pPr>
              <w:jc w:val="center"/>
              <w:rPr>
                <w:rFonts w:cstheme="minorHAnsi"/>
                <w:sz w:val="20"/>
                <w:szCs w:val="20"/>
              </w:rPr>
            </w:pPr>
            <w:r w:rsidRPr="00AA35CE">
              <w:rPr>
                <w:rFonts w:cstheme="minorHAnsi"/>
                <w:sz w:val="20"/>
                <w:szCs w:val="20"/>
              </w:rPr>
              <w:t>245</w:t>
            </w:r>
          </w:p>
        </w:tc>
        <w:tc>
          <w:tcPr>
            <w:tcW w:w="1985" w:type="dxa"/>
            <w:vAlign w:val="center"/>
          </w:tcPr>
          <w:p w14:paraId="7FAB8279" w14:textId="77777777" w:rsidR="00316A26" w:rsidRPr="00AA35CE" w:rsidRDefault="00316A26" w:rsidP="001221EB">
            <w:pPr>
              <w:jc w:val="center"/>
              <w:rPr>
                <w:rFonts w:cstheme="minorHAnsi"/>
                <w:sz w:val="20"/>
                <w:szCs w:val="20"/>
              </w:rPr>
            </w:pPr>
            <w:r w:rsidRPr="00AA35CE">
              <w:rPr>
                <w:rFonts w:cstheme="minorHAnsi"/>
                <w:sz w:val="20"/>
                <w:szCs w:val="20"/>
              </w:rPr>
              <w:t>36,35 %</w:t>
            </w:r>
          </w:p>
        </w:tc>
      </w:tr>
    </w:tbl>
    <w:p w14:paraId="6CC9DCD1" w14:textId="2E5DCA38" w:rsidR="00316A26" w:rsidRPr="006164D5" w:rsidRDefault="00316A26" w:rsidP="006164D5">
      <w:pPr>
        <w:ind w:left="567" w:hanging="567"/>
        <w:rPr>
          <w:rFonts w:cstheme="minorHAnsi"/>
          <w:sz w:val="20"/>
          <w:szCs w:val="20"/>
        </w:rPr>
      </w:pPr>
      <w:r w:rsidRPr="006164D5">
        <w:rPr>
          <w:rFonts w:cstheme="minorHAnsi"/>
          <w:b/>
          <w:bCs/>
          <w:sz w:val="20"/>
          <w:szCs w:val="20"/>
        </w:rPr>
        <w:t>Zdroj:</w:t>
      </w:r>
      <w:r w:rsidRPr="006164D5">
        <w:rPr>
          <w:rFonts w:cstheme="minorHAnsi"/>
          <w:sz w:val="20"/>
          <w:szCs w:val="20"/>
        </w:rPr>
        <w:t xml:space="preserve"> </w:t>
      </w:r>
      <w:r w:rsidR="008A0596">
        <w:rPr>
          <w:rFonts w:cstheme="minorHAnsi"/>
          <w:sz w:val="20"/>
          <w:szCs w:val="20"/>
        </w:rPr>
        <w:tab/>
      </w:r>
      <w:r w:rsidR="00414407">
        <w:rPr>
          <w:rFonts w:cstheme="minorHAnsi"/>
          <w:sz w:val="20"/>
          <w:szCs w:val="20"/>
        </w:rPr>
        <w:t>s</w:t>
      </w:r>
      <w:r w:rsidRPr="006164D5">
        <w:rPr>
          <w:rFonts w:cstheme="minorHAnsi"/>
          <w:sz w:val="20"/>
          <w:szCs w:val="20"/>
        </w:rPr>
        <w:t xml:space="preserve">ituační zprávy </w:t>
      </w:r>
      <w:r w:rsidR="00414407">
        <w:rPr>
          <w:rFonts w:cstheme="minorHAnsi"/>
          <w:sz w:val="20"/>
          <w:szCs w:val="20"/>
        </w:rPr>
        <w:t xml:space="preserve">GŘC s názvem </w:t>
      </w:r>
      <w:r w:rsidRPr="006164D5">
        <w:rPr>
          <w:rFonts w:cstheme="minorHAnsi"/>
          <w:sz w:val="20"/>
          <w:szCs w:val="20"/>
        </w:rPr>
        <w:t>VYHODNOCENÍ KONTROL V OBLASTI DOZORU NAD ZAMĚSTNÁVÁNÍM CIZINCŮ za roky 2019</w:t>
      </w:r>
      <w:r w:rsidR="008A0596">
        <w:rPr>
          <w:rFonts w:cstheme="minorHAnsi"/>
          <w:sz w:val="20"/>
          <w:szCs w:val="20"/>
        </w:rPr>
        <w:t>–</w:t>
      </w:r>
      <w:r w:rsidRPr="006164D5">
        <w:rPr>
          <w:rFonts w:cstheme="minorHAnsi"/>
          <w:sz w:val="20"/>
          <w:szCs w:val="20"/>
        </w:rPr>
        <w:t>2021</w:t>
      </w:r>
      <w:r w:rsidR="00414407">
        <w:rPr>
          <w:rFonts w:cstheme="minorHAnsi"/>
          <w:sz w:val="20"/>
          <w:szCs w:val="20"/>
        </w:rPr>
        <w:t>;</w:t>
      </w:r>
      <w:r w:rsidRPr="006164D5">
        <w:rPr>
          <w:sz w:val="20"/>
          <w:szCs w:val="20"/>
        </w:rPr>
        <w:t xml:space="preserve"> vlastní zpra</w:t>
      </w:r>
      <w:r w:rsidR="00414407">
        <w:rPr>
          <w:sz w:val="20"/>
          <w:szCs w:val="20"/>
        </w:rPr>
        <w:t>c</w:t>
      </w:r>
      <w:r w:rsidRPr="006164D5">
        <w:rPr>
          <w:sz w:val="20"/>
          <w:szCs w:val="20"/>
        </w:rPr>
        <w:t>ování NKÚ</w:t>
      </w:r>
      <w:r w:rsidR="008A0596">
        <w:rPr>
          <w:sz w:val="20"/>
          <w:szCs w:val="20"/>
        </w:rPr>
        <w:t>.</w:t>
      </w:r>
    </w:p>
    <w:p w14:paraId="17293657" w14:textId="5F237FBD" w:rsidR="00316A26" w:rsidRPr="007B0FEA" w:rsidRDefault="00316A26" w:rsidP="006164D5">
      <w:pPr>
        <w:spacing w:before="240" w:after="120" w:line="240" w:lineRule="auto"/>
        <w:jc w:val="both"/>
        <w:rPr>
          <w:sz w:val="24"/>
          <w:szCs w:val="24"/>
          <w:lang w:eastAsia="cs-CZ"/>
        </w:rPr>
      </w:pPr>
      <w:r w:rsidRPr="00C53E19">
        <w:rPr>
          <w:sz w:val="24"/>
          <w:szCs w:val="24"/>
          <w:lang w:eastAsia="cs-CZ"/>
        </w:rPr>
        <w:t>G</w:t>
      </w:r>
      <w:r w:rsidR="00B20FC6">
        <w:rPr>
          <w:sz w:val="24"/>
          <w:szCs w:val="24"/>
          <w:lang w:eastAsia="cs-CZ"/>
        </w:rPr>
        <w:t>enerální ředitelství cel</w:t>
      </w:r>
      <w:r w:rsidRPr="00C53E19">
        <w:rPr>
          <w:sz w:val="24"/>
          <w:szCs w:val="24"/>
          <w:lang w:eastAsia="cs-CZ"/>
        </w:rPr>
        <w:t xml:space="preserve"> ukončilo v letech 2019–2023 celkem 3 476 kontrol zaměstnávání cizinců</w:t>
      </w:r>
      <w:r>
        <w:rPr>
          <w:sz w:val="24"/>
          <w:szCs w:val="24"/>
          <w:lang w:eastAsia="cs-CZ"/>
        </w:rPr>
        <w:t>, v 1 700 kontrolách zjistilo</w:t>
      </w:r>
      <w:r w:rsidRPr="00C53E19">
        <w:rPr>
          <w:sz w:val="24"/>
          <w:szCs w:val="24"/>
          <w:lang w:eastAsia="cs-CZ"/>
        </w:rPr>
        <w:t xml:space="preserve"> </w:t>
      </w:r>
      <w:r>
        <w:rPr>
          <w:sz w:val="24"/>
          <w:szCs w:val="24"/>
          <w:lang w:eastAsia="cs-CZ"/>
        </w:rPr>
        <w:t>nelegální zaměstnávání</w:t>
      </w:r>
      <w:r w:rsidRPr="00C53E19">
        <w:rPr>
          <w:sz w:val="24"/>
          <w:szCs w:val="24"/>
          <w:lang w:eastAsia="cs-CZ"/>
        </w:rPr>
        <w:t xml:space="preserve"> cizinců.</w:t>
      </w:r>
    </w:p>
    <w:p w14:paraId="75469518" w14:textId="77777777" w:rsidR="008E0711" w:rsidRDefault="008E0711">
      <w:pPr>
        <w:rPr>
          <w:rFonts w:eastAsia="Times New Roman" w:cstheme="minorHAnsi"/>
          <w:b/>
          <w:color w:val="000000"/>
          <w:sz w:val="24"/>
          <w:szCs w:val="20"/>
          <w:lang w:eastAsia="cs-CZ"/>
        </w:rPr>
      </w:pPr>
      <w:r>
        <w:br w:type="page"/>
      </w:r>
    </w:p>
    <w:p w14:paraId="532C20CF" w14:textId="26AA7B3D" w:rsidR="000B6583" w:rsidRPr="00A1758E" w:rsidRDefault="000B6583" w:rsidP="006164D5">
      <w:pPr>
        <w:pStyle w:val="Nadpis1"/>
        <w:numPr>
          <w:ilvl w:val="0"/>
          <w:numId w:val="0"/>
        </w:numPr>
        <w:spacing w:before="0"/>
        <w:jc w:val="left"/>
      </w:pPr>
      <w:r w:rsidRPr="00A1758E">
        <w:lastRenderedPageBreak/>
        <w:t>Seznam zkratek</w:t>
      </w:r>
    </w:p>
    <w:tbl>
      <w:tblPr>
        <w:tblStyle w:val="Mkatabulky"/>
        <w:tblW w:w="0" w:type="auto"/>
        <w:tblLook w:val="04A0" w:firstRow="1" w:lastRow="0" w:firstColumn="1" w:lastColumn="0" w:noHBand="0" w:noVBand="1"/>
      </w:tblPr>
      <w:tblGrid>
        <w:gridCol w:w="2972"/>
        <w:gridCol w:w="6090"/>
      </w:tblGrid>
      <w:tr w:rsidR="00C61078" w:rsidRPr="00EB13C1" w14:paraId="25F258C0" w14:textId="77777777" w:rsidTr="006164D5">
        <w:tc>
          <w:tcPr>
            <w:tcW w:w="2972" w:type="dxa"/>
            <w:shd w:val="clear" w:color="auto" w:fill="auto"/>
          </w:tcPr>
          <w:p w14:paraId="5EF3894D"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CS ČR</w:t>
            </w:r>
          </w:p>
        </w:tc>
        <w:tc>
          <w:tcPr>
            <w:tcW w:w="6090" w:type="dxa"/>
          </w:tcPr>
          <w:p w14:paraId="3FE74296"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Celní správa České republiky</w:t>
            </w:r>
          </w:p>
        </w:tc>
      </w:tr>
      <w:tr w:rsidR="00861801" w:rsidRPr="00EB13C1" w14:paraId="11B7062A" w14:textId="77777777" w:rsidTr="006164D5">
        <w:tc>
          <w:tcPr>
            <w:tcW w:w="2972" w:type="dxa"/>
            <w:shd w:val="clear" w:color="auto" w:fill="auto"/>
          </w:tcPr>
          <w:p w14:paraId="2699D4E7" w14:textId="43A30874" w:rsidR="00861801" w:rsidRPr="00051632" w:rsidRDefault="00861801" w:rsidP="001665C0">
            <w:pPr>
              <w:jc w:val="both"/>
              <w:rPr>
                <w:rFonts w:cstheme="minorHAnsi"/>
                <w:sz w:val="24"/>
                <w:szCs w:val="24"/>
                <w:lang w:eastAsia="cs-CZ"/>
              </w:rPr>
            </w:pPr>
            <w:r w:rsidRPr="00051632">
              <w:rPr>
                <w:rFonts w:cstheme="minorHAnsi"/>
                <w:sz w:val="24"/>
                <w:szCs w:val="24"/>
                <w:lang w:eastAsia="cs-CZ"/>
              </w:rPr>
              <w:t>CÚ</w:t>
            </w:r>
          </w:p>
        </w:tc>
        <w:tc>
          <w:tcPr>
            <w:tcW w:w="6090" w:type="dxa"/>
          </w:tcPr>
          <w:p w14:paraId="768970BD" w14:textId="5DEA7987" w:rsidR="00861801" w:rsidRPr="00051632" w:rsidRDefault="00861801" w:rsidP="00C25745">
            <w:pPr>
              <w:rPr>
                <w:rFonts w:cstheme="minorHAnsi"/>
                <w:sz w:val="24"/>
                <w:szCs w:val="24"/>
                <w:lang w:eastAsia="cs-CZ"/>
              </w:rPr>
            </w:pPr>
            <w:r w:rsidRPr="00051632">
              <w:rPr>
                <w:rFonts w:cstheme="minorHAnsi"/>
                <w:sz w:val="24"/>
                <w:szCs w:val="24"/>
                <w:lang w:eastAsia="cs-CZ"/>
              </w:rPr>
              <w:t xml:space="preserve">Celní </w:t>
            </w:r>
            <w:r w:rsidR="003C227F" w:rsidRPr="00051632">
              <w:rPr>
                <w:rFonts w:cstheme="minorHAnsi"/>
                <w:sz w:val="24"/>
                <w:szCs w:val="24"/>
                <w:lang w:eastAsia="cs-CZ"/>
              </w:rPr>
              <w:t>ú</w:t>
            </w:r>
            <w:r w:rsidRPr="00051632">
              <w:rPr>
                <w:rFonts w:cstheme="minorHAnsi"/>
                <w:sz w:val="24"/>
                <w:szCs w:val="24"/>
                <w:lang w:eastAsia="cs-CZ"/>
              </w:rPr>
              <w:t>řad</w:t>
            </w:r>
            <w:r w:rsidR="00693C2D" w:rsidRPr="00051632">
              <w:rPr>
                <w:rFonts w:cstheme="minorHAnsi"/>
                <w:sz w:val="24"/>
                <w:szCs w:val="24"/>
                <w:lang w:eastAsia="cs-CZ"/>
              </w:rPr>
              <w:t>y</w:t>
            </w:r>
          </w:p>
        </w:tc>
      </w:tr>
      <w:tr w:rsidR="00927E4F" w:rsidRPr="00EB13C1" w14:paraId="7BAE8C7E" w14:textId="77777777" w:rsidTr="006164D5">
        <w:tc>
          <w:tcPr>
            <w:tcW w:w="2972" w:type="dxa"/>
            <w:shd w:val="clear" w:color="auto" w:fill="auto"/>
          </w:tcPr>
          <w:p w14:paraId="2EF2720B" w14:textId="024D7AEB" w:rsidR="00927E4F" w:rsidRPr="00051632" w:rsidRDefault="00927E4F" w:rsidP="001665C0">
            <w:pPr>
              <w:jc w:val="both"/>
              <w:rPr>
                <w:rFonts w:cstheme="minorHAnsi"/>
                <w:sz w:val="24"/>
                <w:szCs w:val="24"/>
                <w:lang w:eastAsia="cs-CZ"/>
              </w:rPr>
            </w:pPr>
            <w:r w:rsidRPr="00051632">
              <w:rPr>
                <w:rFonts w:cstheme="minorHAnsi"/>
                <w:sz w:val="24"/>
                <w:szCs w:val="24"/>
                <w:lang w:eastAsia="cs-CZ"/>
              </w:rPr>
              <w:t>ČR</w:t>
            </w:r>
          </w:p>
        </w:tc>
        <w:tc>
          <w:tcPr>
            <w:tcW w:w="6090" w:type="dxa"/>
          </w:tcPr>
          <w:p w14:paraId="260DD4EF" w14:textId="4B0F99D6" w:rsidR="00927E4F" w:rsidRPr="00051632" w:rsidRDefault="00927E4F" w:rsidP="00C25745">
            <w:pPr>
              <w:rPr>
                <w:rFonts w:cstheme="minorHAnsi"/>
                <w:sz w:val="24"/>
                <w:szCs w:val="24"/>
                <w:lang w:eastAsia="cs-CZ"/>
              </w:rPr>
            </w:pPr>
            <w:r w:rsidRPr="00051632">
              <w:rPr>
                <w:rFonts w:cstheme="minorHAnsi"/>
                <w:sz w:val="24"/>
                <w:szCs w:val="24"/>
                <w:lang w:eastAsia="cs-CZ"/>
              </w:rPr>
              <w:t>Česká republika</w:t>
            </w:r>
          </w:p>
        </w:tc>
      </w:tr>
      <w:tr w:rsidR="00C61078" w:rsidRPr="00EB13C1" w14:paraId="3799B772" w14:textId="77777777" w:rsidTr="006164D5">
        <w:tc>
          <w:tcPr>
            <w:tcW w:w="2972" w:type="dxa"/>
            <w:shd w:val="clear" w:color="auto" w:fill="auto"/>
          </w:tcPr>
          <w:p w14:paraId="5D437293"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ČSSZ</w:t>
            </w:r>
          </w:p>
        </w:tc>
        <w:tc>
          <w:tcPr>
            <w:tcW w:w="6090" w:type="dxa"/>
          </w:tcPr>
          <w:p w14:paraId="7F8F4D69" w14:textId="77777777" w:rsidR="00C61078" w:rsidRPr="00051632" w:rsidRDefault="00C61078" w:rsidP="00C25745">
            <w:pPr>
              <w:rPr>
                <w:rFonts w:cstheme="minorHAnsi"/>
                <w:color w:val="000000"/>
                <w:sz w:val="24"/>
                <w:szCs w:val="24"/>
              </w:rPr>
            </w:pPr>
            <w:r w:rsidRPr="00051632">
              <w:rPr>
                <w:rFonts w:cstheme="minorHAnsi"/>
                <w:color w:val="000000"/>
                <w:sz w:val="24"/>
                <w:szCs w:val="24"/>
              </w:rPr>
              <w:t xml:space="preserve">Česká správa sociálního zabezpečení </w:t>
            </w:r>
          </w:p>
        </w:tc>
      </w:tr>
      <w:tr w:rsidR="00927E4F" w:rsidRPr="00EB13C1" w14:paraId="55661AA9" w14:textId="77777777" w:rsidTr="00927E4F">
        <w:tc>
          <w:tcPr>
            <w:tcW w:w="2972" w:type="dxa"/>
            <w:shd w:val="clear" w:color="auto" w:fill="auto"/>
          </w:tcPr>
          <w:p w14:paraId="71237577" w14:textId="79A878E5" w:rsidR="00927E4F" w:rsidRPr="00051632" w:rsidRDefault="00927E4F" w:rsidP="001665C0">
            <w:pPr>
              <w:jc w:val="both"/>
              <w:rPr>
                <w:rFonts w:cstheme="minorHAnsi"/>
                <w:sz w:val="24"/>
                <w:szCs w:val="24"/>
                <w:lang w:eastAsia="cs-CZ"/>
              </w:rPr>
            </w:pPr>
            <w:r w:rsidRPr="00051632">
              <w:rPr>
                <w:rFonts w:cstheme="minorHAnsi"/>
                <w:sz w:val="24"/>
                <w:szCs w:val="24"/>
                <w:lang w:eastAsia="cs-CZ"/>
              </w:rPr>
              <w:t>ČSÚ</w:t>
            </w:r>
          </w:p>
        </w:tc>
        <w:tc>
          <w:tcPr>
            <w:tcW w:w="6090" w:type="dxa"/>
          </w:tcPr>
          <w:p w14:paraId="785E5169" w14:textId="55ED7B5E" w:rsidR="00927E4F" w:rsidRPr="00051632" w:rsidRDefault="00927E4F" w:rsidP="00C25745">
            <w:pPr>
              <w:rPr>
                <w:rFonts w:cstheme="minorHAnsi"/>
                <w:color w:val="000000"/>
                <w:sz w:val="24"/>
                <w:szCs w:val="24"/>
              </w:rPr>
            </w:pPr>
            <w:r w:rsidRPr="00051632">
              <w:rPr>
                <w:rFonts w:cstheme="minorHAnsi"/>
                <w:color w:val="000000"/>
                <w:sz w:val="24"/>
                <w:szCs w:val="24"/>
              </w:rPr>
              <w:t>Český statistický úřad</w:t>
            </w:r>
          </w:p>
        </w:tc>
      </w:tr>
      <w:tr w:rsidR="00C61078" w:rsidRPr="00EB13C1" w14:paraId="70D57DE7" w14:textId="77777777" w:rsidTr="006164D5">
        <w:tc>
          <w:tcPr>
            <w:tcW w:w="2972" w:type="dxa"/>
            <w:shd w:val="clear" w:color="auto" w:fill="auto"/>
          </w:tcPr>
          <w:p w14:paraId="1F1F6576"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DPFO</w:t>
            </w:r>
          </w:p>
        </w:tc>
        <w:tc>
          <w:tcPr>
            <w:tcW w:w="6090" w:type="dxa"/>
          </w:tcPr>
          <w:p w14:paraId="12841991" w14:textId="77777777" w:rsidR="00C61078" w:rsidRPr="00051632" w:rsidRDefault="00C61078" w:rsidP="00C25745">
            <w:pPr>
              <w:rPr>
                <w:rFonts w:cstheme="minorHAnsi"/>
                <w:sz w:val="24"/>
                <w:szCs w:val="24"/>
                <w:lang w:eastAsia="cs-CZ"/>
              </w:rPr>
            </w:pPr>
            <w:bookmarkStart w:id="17" w:name="_Hlk192969325"/>
            <w:r w:rsidRPr="00051632">
              <w:rPr>
                <w:rFonts w:cstheme="minorHAnsi"/>
                <w:sz w:val="24"/>
                <w:szCs w:val="24"/>
                <w:lang w:eastAsia="cs-CZ"/>
              </w:rPr>
              <w:t>Daň z příjmů fyzických osob</w:t>
            </w:r>
            <w:bookmarkEnd w:id="17"/>
          </w:p>
        </w:tc>
      </w:tr>
      <w:tr w:rsidR="00927E4F" w:rsidRPr="00EB13C1" w14:paraId="6F943FD6" w14:textId="77777777" w:rsidTr="006164D5">
        <w:tc>
          <w:tcPr>
            <w:tcW w:w="2972" w:type="dxa"/>
            <w:shd w:val="clear" w:color="auto" w:fill="auto"/>
          </w:tcPr>
          <w:p w14:paraId="3273EA7E" w14:textId="6C5FB962" w:rsidR="00927E4F" w:rsidRPr="00051632" w:rsidRDefault="00927E4F" w:rsidP="001665C0">
            <w:pPr>
              <w:jc w:val="both"/>
              <w:rPr>
                <w:rFonts w:cstheme="minorHAnsi"/>
                <w:sz w:val="24"/>
                <w:szCs w:val="24"/>
                <w:lang w:eastAsia="cs-CZ"/>
              </w:rPr>
            </w:pPr>
            <w:r w:rsidRPr="00051632">
              <w:rPr>
                <w:rFonts w:cstheme="minorHAnsi"/>
                <w:sz w:val="24"/>
                <w:szCs w:val="24"/>
                <w:lang w:eastAsia="cs-CZ"/>
              </w:rPr>
              <w:t>EU</w:t>
            </w:r>
          </w:p>
        </w:tc>
        <w:tc>
          <w:tcPr>
            <w:tcW w:w="6090" w:type="dxa"/>
          </w:tcPr>
          <w:p w14:paraId="23F7AC28" w14:textId="01A453F2" w:rsidR="00927E4F" w:rsidRPr="00051632" w:rsidRDefault="00927E4F" w:rsidP="00C25745">
            <w:pPr>
              <w:rPr>
                <w:rFonts w:cstheme="minorHAnsi"/>
                <w:sz w:val="24"/>
                <w:szCs w:val="24"/>
                <w:lang w:eastAsia="cs-CZ"/>
              </w:rPr>
            </w:pPr>
            <w:r w:rsidRPr="00051632">
              <w:rPr>
                <w:rFonts w:cstheme="minorHAnsi"/>
                <w:sz w:val="24"/>
                <w:szCs w:val="24"/>
                <w:lang w:eastAsia="cs-CZ"/>
              </w:rPr>
              <w:t>Evropská unie</w:t>
            </w:r>
          </w:p>
        </w:tc>
      </w:tr>
      <w:tr w:rsidR="00C61078" w:rsidRPr="00EB13C1" w14:paraId="5F16552B" w14:textId="77777777" w:rsidTr="006164D5">
        <w:tc>
          <w:tcPr>
            <w:tcW w:w="2972" w:type="dxa"/>
            <w:shd w:val="clear" w:color="auto" w:fill="auto"/>
          </w:tcPr>
          <w:p w14:paraId="494C09E4"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FS ČR</w:t>
            </w:r>
          </w:p>
        </w:tc>
        <w:tc>
          <w:tcPr>
            <w:tcW w:w="6090" w:type="dxa"/>
          </w:tcPr>
          <w:p w14:paraId="05245D27"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Finanční správa České republiky</w:t>
            </w:r>
          </w:p>
        </w:tc>
      </w:tr>
      <w:tr w:rsidR="00927E4F" w:rsidRPr="00EB13C1" w14:paraId="2D04F8B6" w14:textId="77777777" w:rsidTr="00927E4F">
        <w:tc>
          <w:tcPr>
            <w:tcW w:w="2972" w:type="dxa"/>
            <w:shd w:val="clear" w:color="auto" w:fill="auto"/>
          </w:tcPr>
          <w:p w14:paraId="0DA5127F" w14:textId="799255B7" w:rsidR="00927E4F" w:rsidRPr="00051632" w:rsidRDefault="00927E4F" w:rsidP="001665C0">
            <w:pPr>
              <w:jc w:val="both"/>
              <w:rPr>
                <w:rFonts w:cstheme="minorHAnsi"/>
                <w:sz w:val="24"/>
                <w:szCs w:val="24"/>
                <w:lang w:eastAsia="cs-CZ"/>
              </w:rPr>
            </w:pPr>
            <w:r w:rsidRPr="00051632">
              <w:rPr>
                <w:rFonts w:cstheme="minorHAnsi"/>
                <w:sz w:val="24"/>
                <w:szCs w:val="24"/>
                <w:lang w:eastAsia="cs-CZ"/>
              </w:rPr>
              <w:t>FÚ</w:t>
            </w:r>
          </w:p>
        </w:tc>
        <w:tc>
          <w:tcPr>
            <w:tcW w:w="6090" w:type="dxa"/>
          </w:tcPr>
          <w:p w14:paraId="10C33CED" w14:textId="07371A41" w:rsidR="00927E4F" w:rsidRPr="00051632" w:rsidRDefault="00927E4F" w:rsidP="00C25745">
            <w:pPr>
              <w:rPr>
                <w:rFonts w:cstheme="minorHAnsi"/>
                <w:sz w:val="24"/>
                <w:szCs w:val="24"/>
                <w:lang w:eastAsia="cs-CZ"/>
              </w:rPr>
            </w:pPr>
            <w:r w:rsidRPr="00051632">
              <w:rPr>
                <w:rFonts w:cstheme="minorHAnsi"/>
                <w:sz w:val="24"/>
                <w:szCs w:val="24"/>
                <w:lang w:eastAsia="cs-CZ"/>
              </w:rPr>
              <w:t>Finanční úřady</w:t>
            </w:r>
          </w:p>
        </w:tc>
      </w:tr>
      <w:tr w:rsidR="00C61078" w:rsidRPr="00EB13C1" w14:paraId="3AD2FC3E" w14:textId="77777777" w:rsidTr="006164D5">
        <w:tc>
          <w:tcPr>
            <w:tcW w:w="2972" w:type="dxa"/>
            <w:shd w:val="clear" w:color="auto" w:fill="auto"/>
          </w:tcPr>
          <w:p w14:paraId="76CE2EB4"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GFŘ</w:t>
            </w:r>
          </w:p>
        </w:tc>
        <w:tc>
          <w:tcPr>
            <w:tcW w:w="6090" w:type="dxa"/>
          </w:tcPr>
          <w:p w14:paraId="5EE2B8A8"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Generální finanční ředitelství</w:t>
            </w:r>
          </w:p>
        </w:tc>
      </w:tr>
      <w:tr w:rsidR="00C61078" w:rsidRPr="00EB13C1" w14:paraId="6D119D70" w14:textId="77777777" w:rsidTr="006164D5">
        <w:tc>
          <w:tcPr>
            <w:tcW w:w="2972" w:type="dxa"/>
            <w:shd w:val="clear" w:color="auto" w:fill="auto"/>
          </w:tcPr>
          <w:p w14:paraId="4B23AFFD"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GŘC</w:t>
            </w:r>
          </w:p>
        </w:tc>
        <w:tc>
          <w:tcPr>
            <w:tcW w:w="6090" w:type="dxa"/>
          </w:tcPr>
          <w:p w14:paraId="3323521B"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Generální ředitelství cel</w:t>
            </w:r>
          </w:p>
        </w:tc>
      </w:tr>
      <w:tr w:rsidR="00927E4F" w:rsidRPr="00EB13C1" w14:paraId="2934F83D" w14:textId="77777777" w:rsidTr="006164D5">
        <w:tc>
          <w:tcPr>
            <w:tcW w:w="2972" w:type="dxa"/>
            <w:shd w:val="clear" w:color="auto" w:fill="auto"/>
          </w:tcPr>
          <w:p w14:paraId="57FF03D2" w14:textId="79E4917C" w:rsidR="00927E4F" w:rsidRPr="00051632" w:rsidRDefault="00927E4F" w:rsidP="001665C0">
            <w:pPr>
              <w:jc w:val="both"/>
              <w:rPr>
                <w:rFonts w:cstheme="minorHAnsi"/>
                <w:sz w:val="24"/>
                <w:szCs w:val="24"/>
                <w:lang w:eastAsia="cs-CZ"/>
              </w:rPr>
            </w:pPr>
            <w:r w:rsidRPr="00051632">
              <w:rPr>
                <w:rFonts w:cstheme="minorHAnsi"/>
                <w:sz w:val="24"/>
                <w:szCs w:val="24"/>
                <w:lang w:eastAsia="cs-CZ"/>
              </w:rPr>
              <w:t>HDP</w:t>
            </w:r>
          </w:p>
        </w:tc>
        <w:tc>
          <w:tcPr>
            <w:tcW w:w="6090" w:type="dxa"/>
          </w:tcPr>
          <w:p w14:paraId="6D4272A4" w14:textId="688EFBF2" w:rsidR="00927E4F" w:rsidRPr="00051632" w:rsidRDefault="00927E4F" w:rsidP="00C25745">
            <w:pPr>
              <w:rPr>
                <w:rFonts w:cstheme="minorHAnsi"/>
                <w:sz w:val="24"/>
                <w:szCs w:val="24"/>
                <w:lang w:eastAsia="cs-CZ"/>
              </w:rPr>
            </w:pPr>
            <w:r w:rsidRPr="00051632">
              <w:rPr>
                <w:rFonts w:cstheme="minorHAnsi"/>
                <w:sz w:val="24"/>
                <w:szCs w:val="24"/>
                <w:lang w:eastAsia="cs-CZ"/>
              </w:rPr>
              <w:t>Hrubý domácí produkt</w:t>
            </w:r>
          </w:p>
        </w:tc>
      </w:tr>
      <w:tr w:rsidR="00927E4F" w:rsidRPr="00EB13C1" w14:paraId="1DAA7525" w14:textId="77777777" w:rsidTr="006164D5">
        <w:tc>
          <w:tcPr>
            <w:tcW w:w="2972" w:type="dxa"/>
            <w:shd w:val="clear" w:color="auto" w:fill="auto"/>
          </w:tcPr>
          <w:p w14:paraId="0F2ED9DA" w14:textId="1E5F5641" w:rsidR="00927E4F" w:rsidRPr="00051632" w:rsidRDefault="00927E4F" w:rsidP="001665C0">
            <w:pPr>
              <w:jc w:val="both"/>
              <w:rPr>
                <w:rFonts w:cstheme="minorHAnsi"/>
                <w:sz w:val="24"/>
                <w:szCs w:val="24"/>
                <w:lang w:eastAsia="cs-CZ"/>
              </w:rPr>
            </w:pPr>
            <w:r w:rsidRPr="00051632">
              <w:rPr>
                <w:rFonts w:cstheme="minorHAnsi"/>
                <w:sz w:val="24"/>
                <w:szCs w:val="24"/>
                <w:lang w:eastAsia="cs-CZ"/>
              </w:rPr>
              <w:t>KA</w:t>
            </w:r>
          </w:p>
        </w:tc>
        <w:tc>
          <w:tcPr>
            <w:tcW w:w="6090" w:type="dxa"/>
          </w:tcPr>
          <w:p w14:paraId="136826F0" w14:textId="4B1E6A35" w:rsidR="00927E4F" w:rsidRPr="00051632" w:rsidRDefault="00927E4F" w:rsidP="00C25745">
            <w:pPr>
              <w:rPr>
                <w:rFonts w:cstheme="minorHAnsi"/>
                <w:sz w:val="24"/>
                <w:szCs w:val="24"/>
                <w:lang w:eastAsia="cs-CZ"/>
              </w:rPr>
            </w:pPr>
            <w:r w:rsidRPr="00051632">
              <w:rPr>
                <w:rFonts w:cstheme="minorHAnsi"/>
                <w:sz w:val="24"/>
                <w:szCs w:val="24"/>
                <w:lang w:eastAsia="cs-CZ"/>
              </w:rPr>
              <w:t>Kontrolní akce Nejvyššího kontrolního úřadu</w:t>
            </w:r>
          </w:p>
        </w:tc>
      </w:tr>
      <w:tr w:rsidR="00C61078" w:rsidRPr="00EB13C1" w14:paraId="35241871" w14:textId="77777777" w:rsidTr="006164D5">
        <w:tc>
          <w:tcPr>
            <w:tcW w:w="2972" w:type="dxa"/>
            <w:shd w:val="clear" w:color="auto" w:fill="auto"/>
          </w:tcPr>
          <w:p w14:paraId="57D1C467"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MF</w:t>
            </w:r>
          </w:p>
        </w:tc>
        <w:tc>
          <w:tcPr>
            <w:tcW w:w="6090" w:type="dxa"/>
          </w:tcPr>
          <w:p w14:paraId="256880DB"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Ministerstvo financí</w:t>
            </w:r>
          </w:p>
        </w:tc>
      </w:tr>
      <w:tr w:rsidR="00C61078" w:rsidRPr="00EB13C1" w14:paraId="6C70814A" w14:textId="77777777" w:rsidTr="006164D5">
        <w:tc>
          <w:tcPr>
            <w:tcW w:w="2972" w:type="dxa"/>
            <w:shd w:val="clear" w:color="auto" w:fill="auto"/>
          </w:tcPr>
          <w:p w14:paraId="44CA7A72" w14:textId="77777777" w:rsidR="00C61078" w:rsidRPr="00051632" w:rsidRDefault="00C61078" w:rsidP="001665C0">
            <w:pPr>
              <w:jc w:val="both"/>
              <w:rPr>
                <w:rFonts w:cstheme="minorHAnsi"/>
                <w:sz w:val="24"/>
                <w:szCs w:val="24"/>
                <w:lang w:eastAsia="cs-CZ"/>
              </w:rPr>
            </w:pPr>
            <w:r w:rsidRPr="00051632">
              <w:rPr>
                <w:rFonts w:cstheme="minorHAnsi"/>
                <w:color w:val="000000"/>
                <w:sz w:val="24"/>
                <w:szCs w:val="24"/>
              </w:rPr>
              <w:t>MOPNZ</w:t>
            </w:r>
          </w:p>
        </w:tc>
        <w:tc>
          <w:tcPr>
            <w:tcW w:w="6090" w:type="dxa"/>
          </w:tcPr>
          <w:p w14:paraId="26C847A0" w14:textId="7143FCA2" w:rsidR="00C61078" w:rsidRPr="00051632" w:rsidRDefault="00861801" w:rsidP="00C25745">
            <w:pPr>
              <w:rPr>
                <w:rFonts w:cstheme="minorHAnsi"/>
                <w:color w:val="000000"/>
                <w:sz w:val="24"/>
                <w:szCs w:val="24"/>
              </w:rPr>
            </w:pPr>
            <w:r w:rsidRPr="00051632">
              <w:rPr>
                <w:rFonts w:eastAsia="Calibri" w:cstheme="minorHAnsi"/>
                <w:sz w:val="24"/>
                <w:szCs w:val="24"/>
              </w:rPr>
              <w:t>Meziresortní orgán pro potírání nelegálního zaměstnávání</w:t>
            </w:r>
          </w:p>
        </w:tc>
      </w:tr>
      <w:tr w:rsidR="00C61078" w:rsidRPr="00EB13C1" w14:paraId="701FFDDE" w14:textId="77777777" w:rsidTr="006164D5">
        <w:tc>
          <w:tcPr>
            <w:tcW w:w="2972" w:type="dxa"/>
            <w:shd w:val="clear" w:color="auto" w:fill="auto"/>
          </w:tcPr>
          <w:p w14:paraId="331CEE9E"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MPSV</w:t>
            </w:r>
          </w:p>
        </w:tc>
        <w:tc>
          <w:tcPr>
            <w:tcW w:w="6090" w:type="dxa"/>
          </w:tcPr>
          <w:p w14:paraId="77FAEB40" w14:textId="77777777" w:rsidR="00C61078" w:rsidRPr="00051632" w:rsidRDefault="00C61078" w:rsidP="00C25745">
            <w:pPr>
              <w:rPr>
                <w:rFonts w:cstheme="minorHAnsi"/>
                <w:sz w:val="24"/>
                <w:szCs w:val="24"/>
                <w:lang w:eastAsia="cs-CZ"/>
              </w:rPr>
            </w:pPr>
            <w:r w:rsidRPr="00051632">
              <w:rPr>
                <w:rFonts w:cstheme="minorHAnsi"/>
                <w:color w:val="000000"/>
                <w:sz w:val="24"/>
                <w:szCs w:val="24"/>
              </w:rPr>
              <w:t xml:space="preserve">Ministerstvo práce a sociálních věcí </w:t>
            </w:r>
          </w:p>
        </w:tc>
      </w:tr>
      <w:tr w:rsidR="00E1177E" w:rsidRPr="00EB13C1" w14:paraId="34066398" w14:textId="77777777" w:rsidTr="006164D5">
        <w:tc>
          <w:tcPr>
            <w:tcW w:w="2972" w:type="dxa"/>
            <w:shd w:val="clear" w:color="auto" w:fill="auto"/>
          </w:tcPr>
          <w:p w14:paraId="165B2529" w14:textId="77777777" w:rsidR="00E1177E" w:rsidRPr="00051632" w:rsidRDefault="00E1177E" w:rsidP="001665C0">
            <w:pPr>
              <w:jc w:val="both"/>
              <w:rPr>
                <w:rFonts w:cstheme="minorHAnsi"/>
                <w:sz w:val="24"/>
                <w:szCs w:val="24"/>
                <w:lang w:eastAsia="cs-CZ"/>
              </w:rPr>
            </w:pPr>
            <w:r w:rsidRPr="00051632">
              <w:rPr>
                <w:rFonts w:cstheme="minorHAnsi"/>
                <w:sz w:val="24"/>
                <w:szCs w:val="24"/>
                <w:lang w:eastAsia="cs-CZ"/>
              </w:rPr>
              <w:t>NKÚ</w:t>
            </w:r>
          </w:p>
        </w:tc>
        <w:tc>
          <w:tcPr>
            <w:tcW w:w="6090" w:type="dxa"/>
          </w:tcPr>
          <w:p w14:paraId="41AD64F2" w14:textId="77777777" w:rsidR="00E1177E" w:rsidRPr="00051632" w:rsidRDefault="00E1177E" w:rsidP="00C25745">
            <w:pPr>
              <w:rPr>
                <w:rFonts w:cstheme="minorHAnsi"/>
                <w:color w:val="000000"/>
                <w:sz w:val="24"/>
                <w:szCs w:val="24"/>
              </w:rPr>
            </w:pPr>
            <w:r w:rsidRPr="00051632">
              <w:rPr>
                <w:rFonts w:cstheme="minorHAnsi"/>
                <w:sz w:val="24"/>
                <w:szCs w:val="24"/>
                <w:lang w:eastAsia="cs-CZ"/>
              </w:rPr>
              <w:t>Nejvyšší kontrolní úřad</w:t>
            </w:r>
          </w:p>
        </w:tc>
      </w:tr>
      <w:tr w:rsidR="00E1177E" w:rsidRPr="00EB13C1" w14:paraId="41E8060C" w14:textId="77777777" w:rsidTr="006164D5">
        <w:tc>
          <w:tcPr>
            <w:tcW w:w="2972" w:type="dxa"/>
            <w:shd w:val="clear" w:color="auto" w:fill="auto"/>
          </w:tcPr>
          <w:p w14:paraId="7427833A" w14:textId="77777777" w:rsidR="00E1177E" w:rsidRPr="00051632" w:rsidRDefault="00E1177E" w:rsidP="001665C0">
            <w:pPr>
              <w:jc w:val="both"/>
              <w:rPr>
                <w:rFonts w:cstheme="minorHAnsi"/>
                <w:sz w:val="24"/>
                <w:szCs w:val="24"/>
                <w:lang w:eastAsia="cs-CZ"/>
              </w:rPr>
            </w:pPr>
            <w:r w:rsidRPr="00051632">
              <w:rPr>
                <w:rFonts w:cstheme="minorHAnsi"/>
                <w:sz w:val="24"/>
                <w:szCs w:val="24"/>
                <w:lang w:eastAsia="cs-CZ"/>
              </w:rPr>
              <w:t>NLZ</w:t>
            </w:r>
          </w:p>
        </w:tc>
        <w:tc>
          <w:tcPr>
            <w:tcW w:w="6090" w:type="dxa"/>
          </w:tcPr>
          <w:p w14:paraId="2AE22D13" w14:textId="77777777" w:rsidR="00E1177E" w:rsidRPr="00051632" w:rsidRDefault="00E1177E" w:rsidP="00C25745">
            <w:pPr>
              <w:rPr>
                <w:rFonts w:cstheme="minorHAnsi"/>
                <w:color w:val="000000"/>
                <w:sz w:val="24"/>
                <w:szCs w:val="24"/>
              </w:rPr>
            </w:pPr>
            <w:r w:rsidRPr="00051632">
              <w:rPr>
                <w:rFonts w:cstheme="minorHAnsi"/>
                <w:sz w:val="24"/>
                <w:szCs w:val="24"/>
                <w:lang w:eastAsia="cs-CZ"/>
              </w:rPr>
              <w:t>Nelegální zaměstnávání</w:t>
            </w:r>
          </w:p>
        </w:tc>
      </w:tr>
      <w:tr w:rsidR="00927E4F" w:rsidRPr="00EB13C1" w14:paraId="6C3B842D" w14:textId="77777777" w:rsidTr="00927E4F">
        <w:tc>
          <w:tcPr>
            <w:tcW w:w="2972" w:type="dxa"/>
            <w:shd w:val="clear" w:color="auto" w:fill="auto"/>
          </w:tcPr>
          <w:p w14:paraId="3B2FB995" w14:textId="16E17DFE" w:rsidR="00927E4F" w:rsidRPr="00051632" w:rsidRDefault="00927E4F" w:rsidP="001665C0">
            <w:pPr>
              <w:jc w:val="both"/>
              <w:rPr>
                <w:rFonts w:cstheme="minorHAnsi"/>
                <w:sz w:val="24"/>
                <w:szCs w:val="24"/>
                <w:lang w:eastAsia="cs-CZ"/>
              </w:rPr>
            </w:pPr>
            <w:r w:rsidRPr="00051632">
              <w:rPr>
                <w:rFonts w:cstheme="minorHAnsi"/>
                <w:sz w:val="24"/>
                <w:szCs w:val="24"/>
                <w:lang w:eastAsia="cs-CZ"/>
              </w:rPr>
              <w:t>OFŘ</w:t>
            </w:r>
          </w:p>
        </w:tc>
        <w:tc>
          <w:tcPr>
            <w:tcW w:w="6090" w:type="dxa"/>
          </w:tcPr>
          <w:p w14:paraId="30EF6D29" w14:textId="16F7547E" w:rsidR="00927E4F" w:rsidRPr="00051632" w:rsidRDefault="00927E4F" w:rsidP="00C25745">
            <w:pPr>
              <w:rPr>
                <w:rFonts w:cstheme="minorHAnsi"/>
                <w:sz w:val="24"/>
                <w:szCs w:val="24"/>
                <w:lang w:eastAsia="cs-CZ"/>
              </w:rPr>
            </w:pPr>
            <w:r w:rsidRPr="00051632">
              <w:rPr>
                <w:rFonts w:cstheme="minorHAnsi"/>
                <w:sz w:val="24"/>
                <w:szCs w:val="24"/>
                <w:lang w:eastAsia="cs-CZ"/>
              </w:rPr>
              <w:t>Odvolací finanční ředitelství</w:t>
            </w:r>
          </w:p>
        </w:tc>
      </w:tr>
      <w:tr w:rsidR="00C61078" w:rsidRPr="00EB13C1" w14:paraId="03D416FB" w14:textId="77777777" w:rsidTr="006164D5">
        <w:tc>
          <w:tcPr>
            <w:tcW w:w="2972" w:type="dxa"/>
            <w:shd w:val="clear" w:color="auto" w:fill="auto"/>
          </w:tcPr>
          <w:p w14:paraId="7D3CD385"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OIP</w:t>
            </w:r>
          </w:p>
        </w:tc>
        <w:tc>
          <w:tcPr>
            <w:tcW w:w="6090" w:type="dxa"/>
          </w:tcPr>
          <w:p w14:paraId="218B9B5E" w14:textId="583FCF02" w:rsidR="00C61078" w:rsidRPr="00051632" w:rsidRDefault="00C104DD" w:rsidP="00C25745">
            <w:pPr>
              <w:rPr>
                <w:rFonts w:cstheme="minorHAnsi"/>
                <w:sz w:val="24"/>
                <w:szCs w:val="24"/>
                <w:lang w:eastAsia="cs-CZ"/>
              </w:rPr>
            </w:pPr>
            <w:r w:rsidRPr="00051632">
              <w:rPr>
                <w:rFonts w:cstheme="minorHAnsi"/>
                <w:sz w:val="24"/>
                <w:szCs w:val="24"/>
                <w:lang w:eastAsia="cs-CZ"/>
              </w:rPr>
              <w:t>Oblastní</w:t>
            </w:r>
            <w:r w:rsidR="00C61078" w:rsidRPr="00051632">
              <w:rPr>
                <w:rFonts w:cstheme="minorHAnsi"/>
                <w:sz w:val="24"/>
                <w:szCs w:val="24"/>
                <w:lang w:eastAsia="cs-CZ"/>
              </w:rPr>
              <w:t xml:space="preserve"> inspektorát práce</w:t>
            </w:r>
          </w:p>
        </w:tc>
      </w:tr>
      <w:tr w:rsidR="00C61078" w:rsidRPr="00EB13C1" w14:paraId="1FDFD257" w14:textId="77777777" w:rsidTr="006164D5">
        <w:tc>
          <w:tcPr>
            <w:tcW w:w="2972" w:type="dxa"/>
            <w:shd w:val="clear" w:color="auto" w:fill="auto"/>
          </w:tcPr>
          <w:p w14:paraId="7A8246A4"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OSSZ</w:t>
            </w:r>
          </w:p>
        </w:tc>
        <w:tc>
          <w:tcPr>
            <w:tcW w:w="6090" w:type="dxa"/>
          </w:tcPr>
          <w:p w14:paraId="72DCE8E7" w14:textId="22F558D2" w:rsidR="00C61078" w:rsidRPr="00051632" w:rsidRDefault="00C61078" w:rsidP="00C25745">
            <w:pPr>
              <w:rPr>
                <w:rFonts w:cstheme="minorHAnsi"/>
                <w:sz w:val="24"/>
                <w:szCs w:val="24"/>
                <w:lang w:eastAsia="cs-CZ"/>
              </w:rPr>
            </w:pPr>
            <w:r w:rsidRPr="00051632">
              <w:rPr>
                <w:rFonts w:cstheme="minorHAnsi"/>
                <w:sz w:val="24"/>
                <w:szCs w:val="24"/>
                <w:lang w:eastAsia="cs-CZ"/>
              </w:rPr>
              <w:t>Okresní správ</w:t>
            </w:r>
            <w:r w:rsidR="00766F5D">
              <w:rPr>
                <w:rFonts w:cstheme="minorHAnsi"/>
                <w:sz w:val="24"/>
                <w:szCs w:val="24"/>
                <w:lang w:eastAsia="cs-CZ"/>
              </w:rPr>
              <w:t>y</w:t>
            </w:r>
            <w:r w:rsidRPr="00051632">
              <w:rPr>
                <w:rFonts w:cstheme="minorHAnsi"/>
                <w:sz w:val="24"/>
                <w:szCs w:val="24"/>
                <w:lang w:eastAsia="cs-CZ"/>
              </w:rPr>
              <w:t xml:space="preserve"> sociálního zabezpečení </w:t>
            </w:r>
          </w:p>
        </w:tc>
      </w:tr>
      <w:tr w:rsidR="00927E4F" w:rsidRPr="00EB13C1" w14:paraId="2F12347D" w14:textId="77777777" w:rsidTr="006164D5">
        <w:tc>
          <w:tcPr>
            <w:tcW w:w="2972" w:type="dxa"/>
            <w:shd w:val="clear" w:color="auto" w:fill="auto"/>
          </w:tcPr>
          <w:p w14:paraId="0E37E2ED" w14:textId="1C5945FF" w:rsidR="00927E4F" w:rsidRPr="00051632" w:rsidRDefault="00927E4F" w:rsidP="001665C0">
            <w:pPr>
              <w:jc w:val="both"/>
              <w:rPr>
                <w:rFonts w:cstheme="minorHAnsi"/>
                <w:sz w:val="24"/>
                <w:szCs w:val="24"/>
                <w:lang w:eastAsia="cs-CZ"/>
              </w:rPr>
            </w:pPr>
            <w:r w:rsidRPr="00051632">
              <w:rPr>
                <w:rFonts w:cstheme="minorHAnsi"/>
                <w:sz w:val="24"/>
                <w:szCs w:val="24"/>
                <w:lang w:eastAsia="cs-CZ"/>
              </w:rPr>
              <w:t>OSVČ</w:t>
            </w:r>
          </w:p>
        </w:tc>
        <w:tc>
          <w:tcPr>
            <w:tcW w:w="6090" w:type="dxa"/>
          </w:tcPr>
          <w:p w14:paraId="11095BC4" w14:textId="24CF1A3D" w:rsidR="00927E4F" w:rsidRPr="00051632" w:rsidRDefault="00927E4F" w:rsidP="00C25745">
            <w:pPr>
              <w:rPr>
                <w:rFonts w:cstheme="minorHAnsi"/>
                <w:sz w:val="24"/>
                <w:szCs w:val="24"/>
                <w:lang w:eastAsia="cs-CZ"/>
              </w:rPr>
            </w:pPr>
            <w:r w:rsidRPr="00051632">
              <w:rPr>
                <w:rFonts w:cstheme="minorHAnsi"/>
                <w:sz w:val="24"/>
                <w:szCs w:val="24"/>
                <w:lang w:eastAsia="cs-CZ"/>
              </w:rPr>
              <w:t>Osob</w:t>
            </w:r>
            <w:r w:rsidR="00051632" w:rsidRPr="00051632">
              <w:rPr>
                <w:rFonts w:cstheme="minorHAnsi"/>
                <w:sz w:val="24"/>
                <w:szCs w:val="24"/>
                <w:lang w:eastAsia="cs-CZ"/>
              </w:rPr>
              <w:t>y</w:t>
            </w:r>
            <w:r w:rsidRPr="00051632">
              <w:rPr>
                <w:rFonts w:cstheme="minorHAnsi"/>
                <w:sz w:val="24"/>
                <w:szCs w:val="24"/>
                <w:lang w:eastAsia="cs-CZ"/>
              </w:rPr>
              <w:t xml:space="preserve"> samostatně výdělečně činn</w:t>
            </w:r>
            <w:r w:rsidR="00051632" w:rsidRPr="00051632">
              <w:rPr>
                <w:rFonts w:cstheme="minorHAnsi"/>
                <w:sz w:val="24"/>
                <w:szCs w:val="24"/>
                <w:lang w:eastAsia="cs-CZ"/>
              </w:rPr>
              <w:t>é</w:t>
            </w:r>
          </w:p>
        </w:tc>
      </w:tr>
      <w:tr w:rsidR="00927E4F" w:rsidRPr="00EB13C1" w14:paraId="77B06788" w14:textId="77777777" w:rsidTr="00927E4F">
        <w:tc>
          <w:tcPr>
            <w:tcW w:w="2972" w:type="dxa"/>
            <w:shd w:val="clear" w:color="auto" w:fill="auto"/>
          </w:tcPr>
          <w:p w14:paraId="1260DB0E" w14:textId="50F5BFBC" w:rsidR="00927E4F" w:rsidRPr="00051632" w:rsidRDefault="00927E4F" w:rsidP="001665C0">
            <w:pPr>
              <w:jc w:val="both"/>
              <w:rPr>
                <w:rFonts w:cstheme="minorHAnsi"/>
                <w:sz w:val="24"/>
                <w:szCs w:val="24"/>
                <w:lang w:eastAsia="cs-CZ"/>
              </w:rPr>
            </w:pPr>
            <w:r w:rsidRPr="00051632">
              <w:rPr>
                <w:rFonts w:cstheme="minorHAnsi"/>
                <w:sz w:val="24"/>
                <w:szCs w:val="24"/>
                <w:lang w:eastAsia="cs-CZ"/>
              </w:rPr>
              <w:t>PM</w:t>
            </w:r>
          </w:p>
        </w:tc>
        <w:tc>
          <w:tcPr>
            <w:tcW w:w="6090" w:type="dxa"/>
          </w:tcPr>
          <w:p w14:paraId="28C0635B" w14:textId="4464FA70" w:rsidR="00927E4F" w:rsidRPr="00051632" w:rsidRDefault="00927E4F" w:rsidP="00C25745">
            <w:pPr>
              <w:rPr>
                <w:rFonts w:cstheme="minorHAnsi"/>
                <w:sz w:val="24"/>
                <w:szCs w:val="24"/>
                <w:lang w:eastAsia="cs-CZ"/>
              </w:rPr>
            </w:pPr>
            <w:r w:rsidRPr="00051632">
              <w:rPr>
                <w:rFonts w:cstheme="minorHAnsi"/>
                <w:sz w:val="24"/>
                <w:szCs w:val="24"/>
                <w:lang w:eastAsia="cs-CZ"/>
              </w:rPr>
              <w:t>Právní moc</w:t>
            </w:r>
          </w:p>
        </w:tc>
      </w:tr>
      <w:tr w:rsidR="003C227F" w:rsidRPr="00EB13C1" w14:paraId="61F292F8" w14:textId="77777777" w:rsidTr="006164D5">
        <w:tc>
          <w:tcPr>
            <w:tcW w:w="2972" w:type="dxa"/>
            <w:shd w:val="clear" w:color="auto" w:fill="auto"/>
          </w:tcPr>
          <w:p w14:paraId="38CB8EE9" w14:textId="58A126BB" w:rsidR="003C227F" w:rsidRPr="00051632" w:rsidRDefault="003C227F" w:rsidP="001665C0">
            <w:pPr>
              <w:jc w:val="both"/>
              <w:rPr>
                <w:rFonts w:cstheme="minorHAnsi"/>
                <w:sz w:val="24"/>
                <w:szCs w:val="24"/>
                <w:lang w:eastAsia="cs-CZ"/>
              </w:rPr>
            </w:pPr>
            <w:r w:rsidRPr="00051632">
              <w:rPr>
                <w:rFonts w:cstheme="minorHAnsi"/>
                <w:sz w:val="24"/>
                <w:szCs w:val="24"/>
                <w:lang w:eastAsia="cs-CZ"/>
              </w:rPr>
              <w:t>PP</w:t>
            </w:r>
          </w:p>
        </w:tc>
        <w:tc>
          <w:tcPr>
            <w:tcW w:w="6090" w:type="dxa"/>
          </w:tcPr>
          <w:p w14:paraId="74364B45" w14:textId="2FCCFD41" w:rsidR="003C227F" w:rsidRPr="00051632" w:rsidRDefault="003C227F" w:rsidP="00C25745">
            <w:pPr>
              <w:rPr>
                <w:rFonts w:cstheme="minorHAnsi"/>
                <w:sz w:val="24"/>
                <w:szCs w:val="24"/>
                <w:lang w:eastAsia="cs-CZ"/>
              </w:rPr>
            </w:pPr>
            <w:r w:rsidRPr="00051632">
              <w:rPr>
                <w:rFonts w:cstheme="minorHAnsi"/>
                <w:sz w:val="24"/>
                <w:szCs w:val="24"/>
                <w:lang w:eastAsia="cs-CZ"/>
              </w:rPr>
              <w:t>Peněžitá plnění</w:t>
            </w:r>
          </w:p>
        </w:tc>
      </w:tr>
      <w:tr w:rsidR="00C61078" w:rsidRPr="00EB13C1" w14:paraId="0875A692" w14:textId="77777777" w:rsidTr="006164D5">
        <w:tc>
          <w:tcPr>
            <w:tcW w:w="2972" w:type="dxa"/>
            <w:shd w:val="clear" w:color="auto" w:fill="auto"/>
          </w:tcPr>
          <w:p w14:paraId="68952726"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Sankční směrnice</w:t>
            </w:r>
          </w:p>
        </w:tc>
        <w:tc>
          <w:tcPr>
            <w:tcW w:w="6090" w:type="dxa"/>
          </w:tcPr>
          <w:p w14:paraId="3D0BCAF3" w14:textId="0FA12963" w:rsidR="00C61078" w:rsidRPr="00051632" w:rsidRDefault="00C61078" w:rsidP="00C25745">
            <w:pPr>
              <w:rPr>
                <w:rFonts w:cstheme="minorHAnsi"/>
                <w:sz w:val="24"/>
                <w:szCs w:val="24"/>
                <w:lang w:eastAsia="cs-CZ"/>
              </w:rPr>
            </w:pPr>
            <w:r w:rsidRPr="00051632">
              <w:rPr>
                <w:rFonts w:cstheme="minorHAnsi"/>
                <w:sz w:val="24"/>
                <w:szCs w:val="24"/>
                <w:lang w:eastAsia="cs-CZ"/>
              </w:rPr>
              <w:t>Směrnice Evropského parlamentu a Rady 2009/52/ES ze dne 18. června 2009</w:t>
            </w:r>
            <w:r w:rsidR="00693C2D" w:rsidRPr="00051632">
              <w:rPr>
                <w:rFonts w:cstheme="minorHAnsi"/>
                <w:sz w:val="24"/>
                <w:szCs w:val="24"/>
                <w:lang w:eastAsia="cs-CZ"/>
              </w:rPr>
              <w:t>,</w:t>
            </w:r>
            <w:r w:rsidRPr="00051632">
              <w:rPr>
                <w:rFonts w:cstheme="minorHAnsi"/>
                <w:sz w:val="24"/>
                <w:szCs w:val="24"/>
                <w:lang w:eastAsia="cs-CZ"/>
              </w:rPr>
              <w:t xml:space="preserve"> o</w:t>
            </w:r>
            <w:r w:rsidR="00C25745" w:rsidRPr="00051632">
              <w:rPr>
                <w:rFonts w:cstheme="minorHAnsi"/>
                <w:sz w:val="24"/>
                <w:szCs w:val="24"/>
                <w:lang w:eastAsia="cs-CZ"/>
              </w:rPr>
              <w:t> </w:t>
            </w:r>
            <w:r w:rsidRPr="00051632">
              <w:rPr>
                <w:rFonts w:cstheme="minorHAnsi"/>
                <w:sz w:val="24"/>
                <w:szCs w:val="24"/>
                <w:lang w:eastAsia="cs-CZ"/>
              </w:rPr>
              <w:t>minimálních normách pro sankce a</w:t>
            </w:r>
            <w:r w:rsidR="00C25745" w:rsidRPr="00051632">
              <w:rPr>
                <w:rFonts w:cstheme="minorHAnsi"/>
                <w:sz w:val="24"/>
                <w:szCs w:val="24"/>
                <w:lang w:eastAsia="cs-CZ"/>
              </w:rPr>
              <w:t> </w:t>
            </w:r>
            <w:r w:rsidRPr="00051632">
              <w:rPr>
                <w:rFonts w:cstheme="minorHAnsi"/>
                <w:sz w:val="24"/>
                <w:szCs w:val="24"/>
                <w:lang w:eastAsia="cs-CZ"/>
              </w:rPr>
              <w:t>opatření vůči zaměstnavatelům neoprávněně pobývajících státních příslušníků třetích zemí</w:t>
            </w:r>
          </w:p>
        </w:tc>
      </w:tr>
      <w:tr w:rsidR="00C61078" w:rsidRPr="00EB13C1" w14:paraId="50C4CB67" w14:textId="77777777" w:rsidTr="006164D5">
        <w:tc>
          <w:tcPr>
            <w:tcW w:w="2972" w:type="dxa"/>
            <w:shd w:val="clear" w:color="auto" w:fill="auto"/>
          </w:tcPr>
          <w:p w14:paraId="2483DDCC" w14:textId="77777777" w:rsidR="00C61078" w:rsidRPr="00051632" w:rsidRDefault="00C61078" w:rsidP="001665C0">
            <w:pPr>
              <w:jc w:val="both"/>
              <w:rPr>
                <w:rFonts w:cstheme="minorHAnsi"/>
                <w:sz w:val="24"/>
                <w:szCs w:val="24"/>
                <w:lang w:eastAsia="cs-CZ"/>
              </w:rPr>
            </w:pPr>
            <w:r w:rsidRPr="00051632">
              <w:rPr>
                <w:rFonts w:cstheme="minorHAnsi"/>
                <w:color w:val="000000"/>
                <w:sz w:val="24"/>
                <w:szCs w:val="24"/>
              </w:rPr>
              <w:t>SÚIP</w:t>
            </w:r>
          </w:p>
        </w:tc>
        <w:tc>
          <w:tcPr>
            <w:tcW w:w="6090" w:type="dxa"/>
          </w:tcPr>
          <w:p w14:paraId="71E09BC5" w14:textId="77777777" w:rsidR="00C61078" w:rsidRPr="00051632" w:rsidRDefault="00C61078" w:rsidP="00C25745">
            <w:pPr>
              <w:rPr>
                <w:rFonts w:cstheme="minorHAnsi"/>
                <w:sz w:val="24"/>
                <w:szCs w:val="24"/>
                <w:lang w:eastAsia="cs-CZ"/>
              </w:rPr>
            </w:pPr>
            <w:r w:rsidRPr="00051632">
              <w:rPr>
                <w:rFonts w:cstheme="minorHAnsi"/>
                <w:color w:val="000000"/>
                <w:sz w:val="24"/>
                <w:szCs w:val="24"/>
              </w:rPr>
              <w:t xml:space="preserve">Státní úřad inspekce práce </w:t>
            </w:r>
          </w:p>
        </w:tc>
      </w:tr>
      <w:tr w:rsidR="00C61078" w:rsidRPr="00EB13C1" w14:paraId="0AE7F5E3" w14:textId="77777777" w:rsidTr="006164D5">
        <w:tc>
          <w:tcPr>
            <w:tcW w:w="2972" w:type="dxa"/>
            <w:shd w:val="clear" w:color="auto" w:fill="auto"/>
          </w:tcPr>
          <w:p w14:paraId="28BC0B8E"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SZP</w:t>
            </w:r>
          </w:p>
        </w:tc>
        <w:tc>
          <w:tcPr>
            <w:tcW w:w="6090" w:type="dxa"/>
          </w:tcPr>
          <w:p w14:paraId="511417F5" w14:textId="395D22A4" w:rsidR="00C61078" w:rsidRPr="00051632" w:rsidRDefault="00693C2D" w:rsidP="00C25745">
            <w:pPr>
              <w:rPr>
                <w:rFonts w:cstheme="minorHAnsi"/>
                <w:sz w:val="24"/>
                <w:szCs w:val="24"/>
                <w:lang w:eastAsia="cs-CZ"/>
              </w:rPr>
            </w:pPr>
            <w:r w:rsidRPr="006164D5">
              <w:rPr>
                <w:rFonts w:eastAsia="Calibri" w:cstheme="minorHAnsi"/>
                <w:sz w:val="24"/>
                <w:szCs w:val="24"/>
              </w:rPr>
              <w:t xml:space="preserve">Sociální a zdravotní pojištění </w:t>
            </w:r>
            <w:r w:rsidR="00C104DD" w:rsidRPr="00051632">
              <w:rPr>
                <w:rFonts w:eastAsia="Calibri" w:cstheme="minorHAnsi"/>
                <w:sz w:val="24"/>
                <w:szCs w:val="24"/>
              </w:rPr>
              <w:t>(</w:t>
            </w:r>
            <w:r w:rsidRPr="006164D5">
              <w:rPr>
                <w:rFonts w:eastAsia="Calibri" w:cstheme="minorHAnsi"/>
                <w:sz w:val="24"/>
                <w:szCs w:val="24"/>
              </w:rPr>
              <w:t>resp. pojistné na s</w:t>
            </w:r>
            <w:r w:rsidR="003C227F" w:rsidRPr="006164D5">
              <w:rPr>
                <w:rFonts w:eastAsia="Calibri" w:cstheme="minorHAnsi"/>
                <w:sz w:val="24"/>
                <w:szCs w:val="24"/>
              </w:rPr>
              <w:t xml:space="preserve">ociální zabezpečení a </w:t>
            </w:r>
            <w:r w:rsidRPr="006164D5">
              <w:rPr>
                <w:rFonts w:eastAsia="Calibri" w:cstheme="minorHAnsi"/>
                <w:sz w:val="24"/>
                <w:szCs w:val="24"/>
              </w:rPr>
              <w:t xml:space="preserve">pojistné na </w:t>
            </w:r>
            <w:r w:rsidR="00CF394D" w:rsidRPr="00051632">
              <w:rPr>
                <w:rFonts w:cstheme="minorHAnsi"/>
                <w:sz w:val="24"/>
                <w:szCs w:val="24"/>
              </w:rPr>
              <w:t xml:space="preserve">veřejné </w:t>
            </w:r>
            <w:r w:rsidR="003C227F" w:rsidRPr="006164D5">
              <w:rPr>
                <w:rFonts w:eastAsia="Calibri" w:cstheme="minorHAnsi"/>
                <w:sz w:val="24"/>
                <w:szCs w:val="24"/>
              </w:rPr>
              <w:t>zdravotní pojištění</w:t>
            </w:r>
            <w:r w:rsidR="00C104DD" w:rsidRPr="00051632">
              <w:rPr>
                <w:rFonts w:eastAsia="Calibri" w:cstheme="minorHAnsi"/>
                <w:sz w:val="24"/>
                <w:szCs w:val="24"/>
              </w:rPr>
              <w:t>)</w:t>
            </w:r>
          </w:p>
        </w:tc>
      </w:tr>
      <w:tr w:rsidR="00C61078" w:rsidRPr="00EB13C1" w14:paraId="79EF9210" w14:textId="77777777" w:rsidTr="006164D5">
        <w:tc>
          <w:tcPr>
            <w:tcW w:w="2972" w:type="dxa"/>
            <w:shd w:val="clear" w:color="auto" w:fill="auto"/>
          </w:tcPr>
          <w:p w14:paraId="7FD0BDCF"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Taktický postup GFŘ</w:t>
            </w:r>
          </w:p>
        </w:tc>
        <w:tc>
          <w:tcPr>
            <w:tcW w:w="6090" w:type="dxa"/>
          </w:tcPr>
          <w:p w14:paraId="060E9ED2" w14:textId="724B0C25" w:rsidR="00C61078" w:rsidRPr="006164D5" w:rsidRDefault="00C61078" w:rsidP="00C25745">
            <w:pPr>
              <w:rPr>
                <w:rFonts w:cstheme="minorHAnsi"/>
                <w:i/>
                <w:iCs/>
                <w:sz w:val="24"/>
                <w:szCs w:val="24"/>
                <w:lang w:eastAsia="cs-CZ"/>
              </w:rPr>
            </w:pPr>
            <w:r w:rsidRPr="006164D5">
              <w:rPr>
                <w:rFonts w:cstheme="minorHAnsi"/>
                <w:i/>
                <w:iCs/>
                <w:sz w:val="24"/>
                <w:szCs w:val="24"/>
                <w:lang w:eastAsia="cs-CZ"/>
              </w:rPr>
              <w:t>Taktický postup k realizaci přenosu a</w:t>
            </w:r>
            <w:r w:rsidR="00C25745" w:rsidRPr="006164D5">
              <w:rPr>
                <w:rFonts w:cstheme="minorHAnsi"/>
                <w:i/>
                <w:iCs/>
                <w:sz w:val="24"/>
                <w:szCs w:val="24"/>
                <w:lang w:eastAsia="cs-CZ"/>
              </w:rPr>
              <w:t> </w:t>
            </w:r>
            <w:r w:rsidRPr="006164D5">
              <w:rPr>
                <w:rFonts w:cstheme="minorHAnsi"/>
                <w:i/>
                <w:iCs/>
                <w:sz w:val="24"/>
                <w:szCs w:val="24"/>
                <w:lang w:eastAsia="cs-CZ"/>
              </w:rPr>
              <w:t xml:space="preserve">zpracování kontrolních zjištění Státního úřadu inspekce práce a </w:t>
            </w:r>
            <w:r w:rsidR="00226747" w:rsidRPr="006164D5">
              <w:rPr>
                <w:rFonts w:cstheme="minorHAnsi"/>
                <w:i/>
                <w:iCs/>
                <w:sz w:val="24"/>
                <w:szCs w:val="24"/>
                <w:lang w:eastAsia="cs-CZ"/>
              </w:rPr>
              <w:t>Generálního ředitelství cel</w:t>
            </w:r>
            <w:r w:rsidRPr="006164D5">
              <w:rPr>
                <w:rFonts w:cstheme="minorHAnsi"/>
                <w:i/>
                <w:iCs/>
                <w:sz w:val="24"/>
                <w:szCs w:val="24"/>
                <w:lang w:eastAsia="cs-CZ"/>
              </w:rPr>
              <w:t xml:space="preserve"> v oblasti nelegálního zaměstnávání</w:t>
            </w:r>
          </w:p>
        </w:tc>
      </w:tr>
      <w:tr w:rsidR="00C61078" w:rsidRPr="00EB13C1" w14:paraId="437F350E" w14:textId="77777777" w:rsidTr="006164D5">
        <w:tc>
          <w:tcPr>
            <w:tcW w:w="2972" w:type="dxa"/>
            <w:shd w:val="clear" w:color="auto" w:fill="auto"/>
          </w:tcPr>
          <w:p w14:paraId="76C35D5B" w14:textId="77777777" w:rsidR="00C61078" w:rsidRPr="00051632" w:rsidRDefault="00C61078" w:rsidP="001665C0">
            <w:pPr>
              <w:jc w:val="both"/>
              <w:rPr>
                <w:rFonts w:cstheme="minorHAnsi"/>
                <w:sz w:val="24"/>
                <w:szCs w:val="24"/>
                <w:lang w:eastAsia="cs-CZ"/>
              </w:rPr>
            </w:pPr>
            <w:r w:rsidRPr="00051632">
              <w:rPr>
                <w:rFonts w:cstheme="minorHAnsi"/>
                <w:sz w:val="24"/>
                <w:szCs w:val="24"/>
              </w:rPr>
              <w:t>VŠPS</w:t>
            </w:r>
          </w:p>
        </w:tc>
        <w:tc>
          <w:tcPr>
            <w:tcW w:w="6090" w:type="dxa"/>
          </w:tcPr>
          <w:p w14:paraId="3FE15B7A" w14:textId="77777777" w:rsidR="00C61078" w:rsidRPr="00051632" w:rsidRDefault="00C61078" w:rsidP="00C25745">
            <w:pPr>
              <w:rPr>
                <w:rFonts w:cstheme="minorHAnsi"/>
                <w:sz w:val="24"/>
                <w:szCs w:val="24"/>
                <w:lang w:eastAsia="cs-CZ"/>
              </w:rPr>
            </w:pPr>
            <w:r w:rsidRPr="00051632">
              <w:rPr>
                <w:rFonts w:cstheme="minorHAnsi"/>
                <w:sz w:val="24"/>
                <w:szCs w:val="24"/>
              </w:rPr>
              <w:t xml:space="preserve">Výběrové šetření pracovních sil </w:t>
            </w:r>
          </w:p>
        </w:tc>
      </w:tr>
      <w:tr w:rsidR="00C61078" w:rsidRPr="00EB13C1" w14:paraId="225C83F3" w14:textId="77777777" w:rsidTr="006164D5">
        <w:tc>
          <w:tcPr>
            <w:tcW w:w="2972" w:type="dxa"/>
            <w:shd w:val="clear" w:color="auto" w:fill="auto"/>
          </w:tcPr>
          <w:p w14:paraId="02233CD8" w14:textId="77777777" w:rsidR="00C61078" w:rsidRPr="00051632" w:rsidRDefault="00C61078" w:rsidP="001665C0">
            <w:pPr>
              <w:jc w:val="both"/>
              <w:rPr>
                <w:rFonts w:cstheme="minorHAnsi"/>
                <w:sz w:val="24"/>
                <w:szCs w:val="24"/>
              </w:rPr>
            </w:pPr>
            <w:r w:rsidRPr="00051632">
              <w:rPr>
                <w:rFonts w:cstheme="minorHAnsi"/>
                <w:sz w:val="24"/>
                <w:szCs w:val="24"/>
              </w:rPr>
              <w:t>VZP</w:t>
            </w:r>
          </w:p>
        </w:tc>
        <w:tc>
          <w:tcPr>
            <w:tcW w:w="6090" w:type="dxa"/>
          </w:tcPr>
          <w:p w14:paraId="1CE1ED62" w14:textId="49CB62F8" w:rsidR="00C61078" w:rsidRPr="00051632" w:rsidRDefault="00C61078" w:rsidP="00C25745">
            <w:pPr>
              <w:rPr>
                <w:rFonts w:cstheme="minorHAnsi"/>
                <w:sz w:val="24"/>
                <w:szCs w:val="24"/>
              </w:rPr>
            </w:pPr>
            <w:r w:rsidRPr="00051632">
              <w:rPr>
                <w:rFonts w:cstheme="minorHAnsi"/>
                <w:sz w:val="24"/>
                <w:szCs w:val="24"/>
              </w:rPr>
              <w:t>Všeobecná zdravotní pojišťovna</w:t>
            </w:r>
            <w:r w:rsidR="00C104DD" w:rsidRPr="00051632">
              <w:rPr>
                <w:rFonts w:cstheme="minorHAnsi"/>
                <w:sz w:val="24"/>
                <w:szCs w:val="24"/>
              </w:rPr>
              <w:t xml:space="preserve"> České republiky</w:t>
            </w:r>
          </w:p>
        </w:tc>
      </w:tr>
      <w:tr w:rsidR="003C227F" w:rsidRPr="00EB13C1" w14:paraId="4F213FA2" w14:textId="77777777" w:rsidTr="006164D5">
        <w:tc>
          <w:tcPr>
            <w:tcW w:w="2972" w:type="dxa"/>
            <w:shd w:val="clear" w:color="auto" w:fill="auto"/>
          </w:tcPr>
          <w:p w14:paraId="0FAFB528" w14:textId="03C0A733" w:rsidR="003C227F" w:rsidRPr="00051632" w:rsidRDefault="003C227F" w:rsidP="001665C0">
            <w:pPr>
              <w:jc w:val="both"/>
              <w:rPr>
                <w:rFonts w:eastAsia="Times New Roman" w:cstheme="minorHAnsi"/>
                <w:sz w:val="24"/>
                <w:szCs w:val="24"/>
                <w:lang w:eastAsia="cs-CZ"/>
              </w:rPr>
            </w:pPr>
            <w:r w:rsidRPr="00051632">
              <w:rPr>
                <w:rFonts w:cstheme="minorHAnsi"/>
                <w:sz w:val="24"/>
                <w:szCs w:val="24"/>
                <w:lang w:eastAsia="cs-CZ"/>
              </w:rPr>
              <w:t>Zákonná pojistná</w:t>
            </w:r>
          </w:p>
        </w:tc>
        <w:tc>
          <w:tcPr>
            <w:tcW w:w="6090" w:type="dxa"/>
          </w:tcPr>
          <w:p w14:paraId="62C588E2" w14:textId="30792168" w:rsidR="003C227F" w:rsidRPr="00051632" w:rsidRDefault="00C104DD" w:rsidP="00C25745">
            <w:pPr>
              <w:rPr>
                <w:rFonts w:cstheme="minorHAnsi"/>
                <w:sz w:val="24"/>
                <w:szCs w:val="24"/>
                <w:lang w:eastAsia="cs-CZ"/>
              </w:rPr>
            </w:pPr>
            <w:r w:rsidRPr="00051632">
              <w:rPr>
                <w:rFonts w:cstheme="minorHAnsi"/>
                <w:sz w:val="24"/>
                <w:szCs w:val="24"/>
                <w:lang w:eastAsia="cs-CZ"/>
              </w:rPr>
              <w:t>P</w:t>
            </w:r>
            <w:r w:rsidR="003C227F" w:rsidRPr="00051632">
              <w:rPr>
                <w:rFonts w:cstheme="minorHAnsi"/>
                <w:sz w:val="24"/>
                <w:szCs w:val="24"/>
                <w:lang w:eastAsia="cs-CZ"/>
              </w:rPr>
              <w:t xml:space="preserve">ojistné na sociální zabezpečení </w:t>
            </w:r>
            <w:r w:rsidR="0098470B" w:rsidRPr="00051632">
              <w:rPr>
                <w:rFonts w:cstheme="minorHAnsi"/>
                <w:sz w:val="24"/>
                <w:szCs w:val="24"/>
                <w:lang w:eastAsia="cs-CZ"/>
              </w:rPr>
              <w:t xml:space="preserve">včetně penále a pojistné na </w:t>
            </w:r>
            <w:r w:rsidRPr="00051632">
              <w:rPr>
                <w:rFonts w:cstheme="minorHAnsi"/>
                <w:sz w:val="24"/>
                <w:szCs w:val="24"/>
                <w:lang w:eastAsia="cs-CZ"/>
              </w:rPr>
              <w:t>veřejné</w:t>
            </w:r>
            <w:r w:rsidR="0098470B" w:rsidRPr="00051632">
              <w:rPr>
                <w:rFonts w:cstheme="minorHAnsi"/>
                <w:sz w:val="24"/>
                <w:szCs w:val="24"/>
                <w:lang w:eastAsia="cs-CZ"/>
              </w:rPr>
              <w:t xml:space="preserve"> </w:t>
            </w:r>
            <w:r w:rsidR="003C227F" w:rsidRPr="00051632">
              <w:rPr>
                <w:rFonts w:cstheme="minorHAnsi"/>
                <w:sz w:val="24"/>
                <w:szCs w:val="24"/>
                <w:lang w:eastAsia="cs-CZ"/>
              </w:rPr>
              <w:t>zdravotní pojištění</w:t>
            </w:r>
            <w:r w:rsidR="00A423C2" w:rsidRPr="00051632">
              <w:rPr>
                <w:rFonts w:cstheme="minorHAnsi"/>
                <w:sz w:val="24"/>
                <w:szCs w:val="24"/>
                <w:lang w:eastAsia="cs-CZ"/>
              </w:rPr>
              <w:t xml:space="preserve"> včetně penále</w:t>
            </w:r>
            <w:r w:rsidR="003C227F" w:rsidRPr="00051632">
              <w:rPr>
                <w:rFonts w:cstheme="minorHAnsi"/>
                <w:sz w:val="24"/>
                <w:szCs w:val="24"/>
                <w:lang w:eastAsia="cs-CZ"/>
              </w:rPr>
              <w:t xml:space="preserve"> </w:t>
            </w:r>
          </w:p>
        </w:tc>
      </w:tr>
      <w:tr w:rsidR="00C61078" w:rsidRPr="00EB13C1" w14:paraId="102529B8" w14:textId="77777777" w:rsidTr="006164D5">
        <w:tc>
          <w:tcPr>
            <w:tcW w:w="2972" w:type="dxa"/>
            <w:shd w:val="clear" w:color="auto" w:fill="auto"/>
          </w:tcPr>
          <w:p w14:paraId="523EC65C" w14:textId="76C0DA7C" w:rsidR="00E448F5" w:rsidRPr="00051632" w:rsidRDefault="00C61078" w:rsidP="00927E4F">
            <w:pPr>
              <w:jc w:val="both"/>
              <w:rPr>
                <w:rFonts w:cstheme="minorHAnsi"/>
                <w:sz w:val="24"/>
                <w:szCs w:val="24"/>
                <w:lang w:eastAsia="cs-CZ"/>
              </w:rPr>
            </w:pPr>
            <w:r w:rsidRPr="00051632">
              <w:rPr>
                <w:rFonts w:eastAsia="Times New Roman" w:cstheme="minorHAnsi"/>
                <w:sz w:val="24"/>
                <w:szCs w:val="24"/>
                <w:lang w:eastAsia="cs-CZ"/>
              </w:rPr>
              <w:t>Zákon č. 187/2006 Sb.</w:t>
            </w:r>
          </w:p>
        </w:tc>
        <w:tc>
          <w:tcPr>
            <w:tcW w:w="6090" w:type="dxa"/>
          </w:tcPr>
          <w:p w14:paraId="4D4CA365" w14:textId="501D1AC4" w:rsidR="00E448F5" w:rsidRPr="00051632" w:rsidRDefault="00C61078" w:rsidP="00C25745">
            <w:pPr>
              <w:rPr>
                <w:rFonts w:cstheme="minorHAnsi"/>
                <w:sz w:val="24"/>
                <w:szCs w:val="24"/>
                <w:lang w:eastAsia="cs-CZ"/>
              </w:rPr>
            </w:pPr>
            <w:r w:rsidRPr="00051632">
              <w:rPr>
                <w:rFonts w:cstheme="minorHAnsi"/>
                <w:sz w:val="24"/>
                <w:szCs w:val="24"/>
                <w:lang w:eastAsia="cs-CZ"/>
              </w:rPr>
              <w:t>Zákon č. 187/2006 Sb., o nemocenském pojištění</w:t>
            </w:r>
          </w:p>
        </w:tc>
      </w:tr>
      <w:tr w:rsidR="00C25745" w:rsidRPr="00EB13C1" w14:paraId="13FC1C8D" w14:textId="77777777" w:rsidTr="006164D5">
        <w:tc>
          <w:tcPr>
            <w:tcW w:w="2972" w:type="dxa"/>
            <w:shd w:val="clear" w:color="auto" w:fill="auto"/>
          </w:tcPr>
          <w:p w14:paraId="568ECE1D" w14:textId="45502211" w:rsidR="00C25745" w:rsidRPr="00051632" w:rsidRDefault="00C25745" w:rsidP="001665C0">
            <w:pPr>
              <w:jc w:val="both"/>
              <w:rPr>
                <w:rFonts w:eastAsia="Times New Roman" w:cstheme="minorHAnsi"/>
                <w:sz w:val="24"/>
                <w:szCs w:val="24"/>
                <w:lang w:eastAsia="cs-CZ"/>
              </w:rPr>
            </w:pPr>
            <w:r w:rsidRPr="00051632">
              <w:rPr>
                <w:rFonts w:cstheme="minorHAnsi"/>
                <w:sz w:val="24"/>
                <w:szCs w:val="24"/>
                <w:lang w:eastAsia="cs-CZ"/>
              </w:rPr>
              <w:t>Zákon č. 262/2006 Sb.</w:t>
            </w:r>
          </w:p>
        </w:tc>
        <w:tc>
          <w:tcPr>
            <w:tcW w:w="6090" w:type="dxa"/>
          </w:tcPr>
          <w:p w14:paraId="3F860860" w14:textId="678ABA61" w:rsidR="00C25745" w:rsidRPr="00051632" w:rsidRDefault="00C25745" w:rsidP="00C25745">
            <w:pPr>
              <w:rPr>
                <w:rFonts w:cstheme="minorHAnsi"/>
                <w:sz w:val="24"/>
                <w:szCs w:val="24"/>
                <w:lang w:eastAsia="cs-CZ"/>
              </w:rPr>
            </w:pPr>
            <w:r w:rsidRPr="00051632">
              <w:rPr>
                <w:rFonts w:cstheme="minorHAnsi"/>
                <w:sz w:val="24"/>
                <w:szCs w:val="24"/>
                <w:lang w:eastAsia="cs-CZ"/>
              </w:rPr>
              <w:t>Zákon č. 262/2006 Sb., zákoník práce</w:t>
            </w:r>
          </w:p>
        </w:tc>
      </w:tr>
      <w:tr w:rsidR="00C61078" w:rsidRPr="00EB13C1" w14:paraId="603472D8" w14:textId="77777777" w:rsidTr="006164D5">
        <w:tc>
          <w:tcPr>
            <w:tcW w:w="2972" w:type="dxa"/>
            <w:shd w:val="clear" w:color="auto" w:fill="auto"/>
          </w:tcPr>
          <w:p w14:paraId="7CBE2B04"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Zákon č. 280/2009 Sb.</w:t>
            </w:r>
          </w:p>
        </w:tc>
        <w:tc>
          <w:tcPr>
            <w:tcW w:w="6090" w:type="dxa"/>
          </w:tcPr>
          <w:p w14:paraId="26853AFB"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Zákon č. 280/2009 Sb., daňový řád</w:t>
            </w:r>
          </w:p>
        </w:tc>
      </w:tr>
      <w:tr w:rsidR="00C61078" w:rsidRPr="00EB13C1" w14:paraId="29F5DCB3" w14:textId="77777777" w:rsidTr="006164D5">
        <w:tc>
          <w:tcPr>
            <w:tcW w:w="2972" w:type="dxa"/>
            <w:shd w:val="clear" w:color="auto" w:fill="auto"/>
          </w:tcPr>
          <w:p w14:paraId="5726A322"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Zákon č. 592/1992 Sb.</w:t>
            </w:r>
          </w:p>
        </w:tc>
        <w:tc>
          <w:tcPr>
            <w:tcW w:w="6090" w:type="dxa"/>
          </w:tcPr>
          <w:p w14:paraId="004D20F4" w14:textId="5113E020" w:rsidR="00C61078" w:rsidRPr="00051632" w:rsidRDefault="00C61078" w:rsidP="00C25745">
            <w:pPr>
              <w:rPr>
                <w:rFonts w:cstheme="minorHAnsi"/>
                <w:sz w:val="24"/>
                <w:szCs w:val="24"/>
                <w:lang w:eastAsia="cs-CZ"/>
              </w:rPr>
            </w:pPr>
            <w:r w:rsidRPr="00051632">
              <w:rPr>
                <w:rFonts w:cstheme="minorHAnsi"/>
                <w:sz w:val="24"/>
                <w:szCs w:val="24"/>
                <w:lang w:eastAsia="cs-CZ"/>
              </w:rPr>
              <w:t xml:space="preserve">Zákon </w:t>
            </w:r>
            <w:r w:rsidR="003C227F" w:rsidRPr="00051632">
              <w:rPr>
                <w:rFonts w:cstheme="minorHAnsi"/>
                <w:sz w:val="24"/>
                <w:szCs w:val="24"/>
                <w:lang w:eastAsia="cs-CZ"/>
              </w:rPr>
              <w:t xml:space="preserve">České národní rady </w:t>
            </w:r>
            <w:r w:rsidRPr="00051632">
              <w:rPr>
                <w:rFonts w:cstheme="minorHAnsi"/>
                <w:sz w:val="24"/>
                <w:szCs w:val="24"/>
                <w:lang w:eastAsia="cs-CZ"/>
              </w:rPr>
              <w:t xml:space="preserve">č. 592/1992 Sb., o pojistném na veřejné zdravotní pojištění </w:t>
            </w:r>
          </w:p>
        </w:tc>
      </w:tr>
      <w:tr w:rsidR="00C61078" w:rsidRPr="00EB13C1" w14:paraId="6A910348" w14:textId="77777777" w:rsidTr="006164D5">
        <w:tc>
          <w:tcPr>
            <w:tcW w:w="2972" w:type="dxa"/>
            <w:shd w:val="clear" w:color="auto" w:fill="auto"/>
          </w:tcPr>
          <w:p w14:paraId="58209160" w14:textId="77777777" w:rsidR="00C61078" w:rsidRPr="00051632" w:rsidRDefault="00C61078" w:rsidP="001665C0">
            <w:pPr>
              <w:jc w:val="both"/>
              <w:rPr>
                <w:rFonts w:cstheme="minorHAnsi"/>
                <w:sz w:val="24"/>
                <w:szCs w:val="24"/>
                <w:lang w:eastAsia="cs-CZ"/>
              </w:rPr>
            </w:pPr>
            <w:r w:rsidRPr="00051632">
              <w:rPr>
                <w:rFonts w:cstheme="minorHAnsi"/>
                <w:sz w:val="24"/>
                <w:szCs w:val="24"/>
                <w:lang w:eastAsia="cs-CZ"/>
              </w:rPr>
              <w:t>Zákon o zaměstnanosti</w:t>
            </w:r>
          </w:p>
        </w:tc>
        <w:tc>
          <w:tcPr>
            <w:tcW w:w="6090" w:type="dxa"/>
          </w:tcPr>
          <w:p w14:paraId="7475E9A3" w14:textId="77777777" w:rsidR="00C61078" w:rsidRPr="00051632" w:rsidRDefault="00C61078" w:rsidP="00C25745">
            <w:pPr>
              <w:rPr>
                <w:rFonts w:cstheme="minorHAnsi"/>
                <w:sz w:val="24"/>
                <w:szCs w:val="24"/>
                <w:lang w:eastAsia="cs-CZ"/>
              </w:rPr>
            </w:pPr>
            <w:r w:rsidRPr="00051632">
              <w:rPr>
                <w:rFonts w:cstheme="minorHAnsi"/>
                <w:sz w:val="24"/>
                <w:szCs w:val="24"/>
                <w:lang w:eastAsia="cs-CZ"/>
              </w:rPr>
              <w:t>Zákon č. 435/2004 Sb., o zaměstnanosti</w:t>
            </w:r>
          </w:p>
        </w:tc>
      </w:tr>
    </w:tbl>
    <w:p w14:paraId="5A3C9785" w14:textId="77777777" w:rsidR="001D5185" w:rsidRDefault="001D5185" w:rsidP="00FD3D4C">
      <w:pPr>
        <w:autoSpaceDE w:val="0"/>
        <w:autoSpaceDN w:val="0"/>
        <w:adjustRightInd w:val="0"/>
        <w:spacing w:after="0" w:line="240" w:lineRule="auto"/>
        <w:jc w:val="both"/>
        <w:rPr>
          <w:sz w:val="24"/>
          <w:szCs w:val="24"/>
          <w:lang w:eastAsia="cs-CZ"/>
        </w:rPr>
      </w:pPr>
    </w:p>
    <w:p w14:paraId="2EB7E1B5" w14:textId="77777777" w:rsidR="001D5185" w:rsidRDefault="001D5185" w:rsidP="00FD3D4C">
      <w:pPr>
        <w:autoSpaceDE w:val="0"/>
        <w:autoSpaceDN w:val="0"/>
        <w:adjustRightInd w:val="0"/>
        <w:spacing w:after="0" w:line="240" w:lineRule="auto"/>
        <w:jc w:val="both"/>
        <w:rPr>
          <w:sz w:val="24"/>
          <w:szCs w:val="24"/>
          <w:lang w:eastAsia="cs-CZ"/>
        </w:rPr>
      </w:pPr>
    </w:p>
    <w:p w14:paraId="79085312" w14:textId="6C525C9D" w:rsidR="00117044" w:rsidRPr="006164D5" w:rsidRDefault="00EC78A2" w:rsidP="006164D5">
      <w:pPr>
        <w:autoSpaceDE w:val="0"/>
        <w:autoSpaceDN w:val="0"/>
        <w:adjustRightInd w:val="0"/>
        <w:spacing w:after="0" w:line="240" w:lineRule="auto"/>
        <w:jc w:val="right"/>
        <w:rPr>
          <w:b/>
          <w:bCs/>
          <w:sz w:val="24"/>
          <w:szCs w:val="24"/>
          <w:lang w:eastAsia="cs-CZ"/>
        </w:rPr>
      </w:pPr>
      <w:r w:rsidRPr="006164D5">
        <w:rPr>
          <w:b/>
          <w:bCs/>
          <w:sz w:val="24"/>
          <w:szCs w:val="24"/>
          <w:lang w:eastAsia="cs-CZ"/>
        </w:rPr>
        <w:t>Příloha č. 1</w:t>
      </w:r>
    </w:p>
    <w:p w14:paraId="29C28ED4" w14:textId="77777777" w:rsidR="00FD3D4C" w:rsidRPr="00FD3D4C" w:rsidRDefault="00FD3D4C" w:rsidP="00FD3D4C">
      <w:pPr>
        <w:autoSpaceDE w:val="0"/>
        <w:autoSpaceDN w:val="0"/>
        <w:adjustRightInd w:val="0"/>
        <w:spacing w:after="0" w:line="240" w:lineRule="auto"/>
        <w:jc w:val="both"/>
        <w:rPr>
          <w:sz w:val="24"/>
          <w:szCs w:val="24"/>
          <w:lang w:eastAsia="cs-CZ"/>
        </w:rPr>
      </w:pPr>
    </w:p>
    <w:p w14:paraId="4BF97BE6" w14:textId="4A8318E1" w:rsidR="00EC78A2" w:rsidRPr="0052318D" w:rsidRDefault="004330F9" w:rsidP="006164D5">
      <w:pPr>
        <w:spacing w:after="40"/>
        <w:rPr>
          <w:rFonts w:cstheme="minorHAnsi"/>
          <w:b/>
          <w:sz w:val="24"/>
          <w:szCs w:val="24"/>
        </w:rPr>
      </w:pPr>
      <w:r>
        <w:rPr>
          <w:rFonts w:cstheme="minorHAnsi"/>
          <w:b/>
          <w:sz w:val="24"/>
          <w:szCs w:val="24"/>
        </w:rPr>
        <w:t>Přehled p</w:t>
      </w:r>
      <w:r w:rsidR="00476A5A">
        <w:rPr>
          <w:rFonts w:cstheme="minorHAnsi"/>
          <w:b/>
          <w:sz w:val="24"/>
          <w:szCs w:val="24"/>
        </w:rPr>
        <w:t>ravomocn</w:t>
      </w:r>
      <w:r>
        <w:rPr>
          <w:rFonts w:cstheme="minorHAnsi"/>
          <w:b/>
          <w:sz w:val="24"/>
          <w:szCs w:val="24"/>
        </w:rPr>
        <w:t>ých</w:t>
      </w:r>
      <w:r w:rsidR="00476A5A">
        <w:rPr>
          <w:rFonts w:cstheme="minorHAnsi"/>
          <w:b/>
          <w:sz w:val="24"/>
          <w:szCs w:val="24"/>
        </w:rPr>
        <w:t xml:space="preserve"> pokut </w:t>
      </w:r>
      <w:r w:rsidR="00476A5A">
        <w:rPr>
          <w:rFonts w:cstheme="minorHAnsi"/>
          <w:b/>
          <w:bCs/>
          <w:sz w:val="24"/>
          <w:szCs w:val="24"/>
        </w:rPr>
        <w:t>uložen</w:t>
      </w:r>
      <w:r>
        <w:rPr>
          <w:rFonts w:cstheme="minorHAnsi"/>
          <w:b/>
          <w:bCs/>
          <w:sz w:val="24"/>
          <w:szCs w:val="24"/>
        </w:rPr>
        <w:t>ých</w:t>
      </w:r>
      <w:r w:rsidR="00476A5A">
        <w:rPr>
          <w:rFonts w:cstheme="minorHAnsi"/>
          <w:b/>
          <w:bCs/>
          <w:sz w:val="24"/>
          <w:szCs w:val="24"/>
        </w:rPr>
        <w:t xml:space="preserve"> S</w:t>
      </w:r>
      <w:r>
        <w:rPr>
          <w:rFonts w:cstheme="minorHAnsi"/>
          <w:b/>
          <w:bCs/>
          <w:sz w:val="24"/>
          <w:szCs w:val="24"/>
        </w:rPr>
        <w:t>tátním úřadem inspekce práce v období let</w:t>
      </w:r>
      <w:r w:rsidR="00476A5A">
        <w:rPr>
          <w:rFonts w:cstheme="minorHAnsi"/>
          <w:b/>
          <w:bCs/>
          <w:sz w:val="24"/>
          <w:szCs w:val="24"/>
        </w:rPr>
        <w:t xml:space="preserve"> </w:t>
      </w:r>
      <w:r>
        <w:rPr>
          <w:rFonts w:cstheme="minorHAnsi"/>
          <w:b/>
          <w:bCs/>
          <w:sz w:val="24"/>
          <w:szCs w:val="24"/>
        </w:rPr>
        <w:br/>
      </w:r>
      <w:r w:rsidR="00476A5A" w:rsidRPr="00CE0842">
        <w:rPr>
          <w:rFonts w:cstheme="minorHAnsi"/>
          <w:b/>
          <w:sz w:val="24"/>
          <w:szCs w:val="24"/>
        </w:rPr>
        <w:t>2019</w:t>
      </w:r>
      <w:r w:rsidR="00476A5A">
        <w:rPr>
          <w:rFonts w:cstheme="minorHAnsi"/>
          <w:b/>
          <w:sz w:val="24"/>
          <w:szCs w:val="24"/>
        </w:rPr>
        <w:t>–2023</w:t>
      </w:r>
    </w:p>
    <w:tbl>
      <w:tblPr>
        <w:tblStyle w:val="Mkatabulky"/>
        <w:tblW w:w="9064" w:type="dxa"/>
        <w:tblLook w:val="04A0" w:firstRow="1" w:lastRow="0" w:firstColumn="1" w:lastColumn="0" w:noHBand="0" w:noVBand="1"/>
      </w:tblPr>
      <w:tblGrid>
        <w:gridCol w:w="1012"/>
        <w:gridCol w:w="1928"/>
        <w:gridCol w:w="1928"/>
        <w:gridCol w:w="1928"/>
        <w:gridCol w:w="2268"/>
      </w:tblGrid>
      <w:tr w:rsidR="004330F9" w:rsidRPr="003A3D56" w14:paraId="49670ADD" w14:textId="77777777" w:rsidTr="006164D5">
        <w:trPr>
          <w:trHeight w:val="283"/>
        </w:trPr>
        <w:tc>
          <w:tcPr>
            <w:tcW w:w="1012" w:type="dxa"/>
            <w:vMerge w:val="restart"/>
            <w:shd w:val="clear" w:color="auto" w:fill="E6E6E6"/>
            <w:vAlign w:val="center"/>
          </w:tcPr>
          <w:p w14:paraId="3D130843" w14:textId="77777777" w:rsidR="00EC78A2" w:rsidRPr="00A120B7" w:rsidRDefault="00EC78A2" w:rsidP="00640825">
            <w:pPr>
              <w:autoSpaceDE w:val="0"/>
              <w:autoSpaceDN w:val="0"/>
              <w:adjustRightInd w:val="0"/>
              <w:jc w:val="center"/>
              <w:rPr>
                <w:rFonts w:cstheme="minorHAnsi"/>
                <w:b/>
                <w:sz w:val="20"/>
                <w:szCs w:val="20"/>
              </w:rPr>
            </w:pPr>
            <w:r w:rsidRPr="00A120B7">
              <w:rPr>
                <w:rFonts w:cstheme="minorHAnsi"/>
                <w:b/>
                <w:sz w:val="20"/>
                <w:szCs w:val="20"/>
              </w:rPr>
              <w:t xml:space="preserve">Rok </w:t>
            </w:r>
          </w:p>
        </w:tc>
        <w:tc>
          <w:tcPr>
            <w:tcW w:w="3856" w:type="dxa"/>
            <w:gridSpan w:val="2"/>
            <w:shd w:val="clear" w:color="auto" w:fill="E6E6E6"/>
            <w:vAlign w:val="center"/>
          </w:tcPr>
          <w:p w14:paraId="1E30C6C9" w14:textId="77777777" w:rsidR="00EC78A2" w:rsidRPr="00A120B7" w:rsidRDefault="00EC78A2" w:rsidP="00640825">
            <w:pPr>
              <w:autoSpaceDE w:val="0"/>
              <w:autoSpaceDN w:val="0"/>
              <w:adjustRightInd w:val="0"/>
              <w:jc w:val="center"/>
              <w:rPr>
                <w:rFonts w:cstheme="minorHAnsi"/>
                <w:b/>
                <w:sz w:val="20"/>
                <w:szCs w:val="20"/>
              </w:rPr>
            </w:pPr>
            <w:r w:rsidRPr="00A120B7">
              <w:rPr>
                <w:rFonts w:cstheme="minorHAnsi"/>
                <w:b/>
                <w:sz w:val="20"/>
                <w:szCs w:val="20"/>
              </w:rPr>
              <w:t>Pravomocné pokuty celkem</w:t>
            </w:r>
          </w:p>
        </w:tc>
        <w:tc>
          <w:tcPr>
            <w:tcW w:w="4195" w:type="dxa"/>
            <w:gridSpan w:val="2"/>
            <w:shd w:val="clear" w:color="auto" w:fill="E6E6E6"/>
            <w:vAlign w:val="center"/>
          </w:tcPr>
          <w:p w14:paraId="5046DBB2" w14:textId="225E5E2F" w:rsidR="00EC78A2" w:rsidRPr="00A120B7" w:rsidRDefault="004330F9" w:rsidP="00640825">
            <w:pPr>
              <w:autoSpaceDE w:val="0"/>
              <w:autoSpaceDN w:val="0"/>
              <w:adjustRightInd w:val="0"/>
              <w:jc w:val="center"/>
              <w:rPr>
                <w:rFonts w:cstheme="minorHAnsi"/>
                <w:b/>
                <w:sz w:val="20"/>
                <w:szCs w:val="20"/>
              </w:rPr>
            </w:pPr>
            <w:r>
              <w:rPr>
                <w:rFonts w:cstheme="minorHAnsi"/>
                <w:b/>
                <w:sz w:val="20"/>
                <w:szCs w:val="20"/>
              </w:rPr>
              <w:t>– z toho p</w:t>
            </w:r>
            <w:r w:rsidR="00EC78A2" w:rsidRPr="00A120B7">
              <w:rPr>
                <w:rFonts w:cstheme="minorHAnsi"/>
                <w:b/>
                <w:sz w:val="20"/>
                <w:szCs w:val="20"/>
              </w:rPr>
              <w:t>ravomocné pokuty v oblasti NLZ</w:t>
            </w:r>
          </w:p>
        </w:tc>
      </w:tr>
      <w:tr w:rsidR="004330F9" w:rsidRPr="003A3D56" w14:paraId="276C2FB2" w14:textId="77777777" w:rsidTr="006164D5">
        <w:trPr>
          <w:trHeight w:val="283"/>
        </w:trPr>
        <w:tc>
          <w:tcPr>
            <w:tcW w:w="1012" w:type="dxa"/>
            <w:vMerge/>
            <w:shd w:val="clear" w:color="auto" w:fill="E6E6E6"/>
            <w:vAlign w:val="center"/>
          </w:tcPr>
          <w:p w14:paraId="111899E7" w14:textId="77777777" w:rsidR="00EC78A2" w:rsidRPr="00A120B7" w:rsidRDefault="00EC78A2" w:rsidP="00640825">
            <w:pPr>
              <w:autoSpaceDE w:val="0"/>
              <w:autoSpaceDN w:val="0"/>
              <w:adjustRightInd w:val="0"/>
              <w:jc w:val="center"/>
              <w:rPr>
                <w:rFonts w:cstheme="minorHAnsi"/>
                <w:b/>
                <w:sz w:val="20"/>
                <w:szCs w:val="20"/>
              </w:rPr>
            </w:pPr>
          </w:p>
        </w:tc>
        <w:tc>
          <w:tcPr>
            <w:tcW w:w="1928" w:type="dxa"/>
            <w:shd w:val="clear" w:color="auto" w:fill="E6E6E6"/>
            <w:vAlign w:val="center"/>
          </w:tcPr>
          <w:p w14:paraId="77D4EFAF" w14:textId="77777777" w:rsidR="00EC78A2" w:rsidRPr="00A120B7" w:rsidRDefault="00EC78A2" w:rsidP="00640825">
            <w:pPr>
              <w:autoSpaceDE w:val="0"/>
              <w:autoSpaceDN w:val="0"/>
              <w:adjustRightInd w:val="0"/>
              <w:jc w:val="center"/>
              <w:rPr>
                <w:rFonts w:cstheme="minorHAnsi"/>
                <w:b/>
                <w:sz w:val="20"/>
                <w:szCs w:val="20"/>
              </w:rPr>
            </w:pPr>
            <w:r w:rsidRPr="00A120B7">
              <w:rPr>
                <w:rFonts w:cstheme="minorHAnsi"/>
                <w:b/>
                <w:sz w:val="20"/>
                <w:szCs w:val="20"/>
              </w:rPr>
              <w:t>Počet pokut</w:t>
            </w:r>
          </w:p>
        </w:tc>
        <w:tc>
          <w:tcPr>
            <w:tcW w:w="1928" w:type="dxa"/>
            <w:shd w:val="clear" w:color="auto" w:fill="E6E6E6"/>
            <w:vAlign w:val="center"/>
          </w:tcPr>
          <w:p w14:paraId="3EFBF254" w14:textId="77777777" w:rsidR="00EC78A2" w:rsidRPr="00A120B7" w:rsidRDefault="00EC78A2" w:rsidP="00640825">
            <w:pPr>
              <w:autoSpaceDE w:val="0"/>
              <w:autoSpaceDN w:val="0"/>
              <w:adjustRightInd w:val="0"/>
              <w:jc w:val="center"/>
              <w:rPr>
                <w:rFonts w:cstheme="minorHAnsi"/>
                <w:b/>
                <w:sz w:val="20"/>
                <w:szCs w:val="20"/>
              </w:rPr>
            </w:pPr>
            <w:r w:rsidRPr="00A120B7">
              <w:rPr>
                <w:rFonts w:cstheme="minorHAnsi"/>
                <w:b/>
                <w:sz w:val="20"/>
                <w:szCs w:val="20"/>
              </w:rPr>
              <w:t>Výše pokut (v Kč)</w:t>
            </w:r>
          </w:p>
        </w:tc>
        <w:tc>
          <w:tcPr>
            <w:tcW w:w="1928" w:type="dxa"/>
            <w:shd w:val="clear" w:color="auto" w:fill="E6E6E6"/>
            <w:vAlign w:val="center"/>
          </w:tcPr>
          <w:p w14:paraId="628C4DC4" w14:textId="77777777" w:rsidR="00EC78A2" w:rsidRPr="00A120B7" w:rsidRDefault="00EC78A2" w:rsidP="00640825">
            <w:pPr>
              <w:autoSpaceDE w:val="0"/>
              <w:autoSpaceDN w:val="0"/>
              <w:adjustRightInd w:val="0"/>
              <w:jc w:val="center"/>
              <w:rPr>
                <w:rFonts w:cstheme="minorHAnsi"/>
                <w:b/>
                <w:sz w:val="20"/>
                <w:szCs w:val="20"/>
              </w:rPr>
            </w:pPr>
            <w:r w:rsidRPr="00A120B7">
              <w:rPr>
                <w:rFonts w:cstheme="minorHAnsi"/>
                <w:b/>
                <w:sz w:val="20"/>
                <w:szCs w:val="20"/>
              </w:rPr>
              <w:t>Počet pokut</w:t>
            </w:r>
          </w:p>
        </w:tc>
        <w:tc>
          <w:tcPr>
            <w:tcW w:w="2268" w:type="dxa"/>
            <w:shd w:val="clear" w:color="auto" w:fill="E6E6E6"/>
            <w:vAlign w:val="center"/>
          </w:tcPr>
          <w:p w14:paraId="3B903C75" w14:textId="77777777" w:rsidR="00EC78A2" w:rsidRPr="00A120B7" w:rsidRDefault="00EC78A2" w:rsidP="00640825">
            <w:pPr>
              <w:autoSpaceDE w:val="0"/>
              <w:autoSpaceDN w:val="0"/>
              <w:adjustRightInd w:val="0"/>
              <w:jc w:val="center"/>
              <w:rPr>
                <w:rFonts w:cstheme="minorHAnsi"/>
                <w:b/>
                <w:sz w:val="20"/>
                <w:szCs w:val="20"/>
              </w:rPr>
            </w:pPr>
            <w:r w:rsidRPr="00A120B7">
              <w:rPr>
                <w:rFonts w:cstheme="minorHAnsi"/>
                <w:b/>
                <w:sz w:val="20"/>
                <w:szCs w:val="20"/>
              </w:rPr>
              <w:t>Výše pokut (v Kč)</w:t>
            </w:r>
          </w:p>
        </w:tc>
      </w:tr>
      <w:tr w:rsidR="004330F9" w:rsidRPr="003A3D56" w14:paraId="4984E1D2" w14:textId="77777777" w:rsidTr="006164D5">
        <w:trPr>
          <w:trHeight w:val="283"/>
        </w:trPr>
        <w:tc>
          <w:tcPr>
            <w:tcW w:w="1012" w:type="dxa"/>
            <w:vAlign w:val="center"/>
          </w:tcPr>
          <w:p w14:paraId="7C6E754F" w14:textId="77777777" w:rsidR="00EC78A2" w:rsidRPr="00177360" w:rsidRDefault="00EC78A2" w:rsidP="00640825">
            <w:pPr>
              <w:autoSpaceDE w:val="0"/>
              <w:autoSpaceDN w:val="0"/>
              <w:adjustRightInd w:val="0"/>
              <w:jc w:val="center"/>
              <w:rPr>
                <w:rFonts w:cstheme="minorHAnsi"/>
                <w:b/>
                <w:sz w:val="20"/>
                <w:szCs w:val="20"/>
              </w:rPr>
            </w:pPr>
            <w:r w:rsidRPr="00177360">
              <w:rPr>
                <w:rFonts w:cstheme="minorHAnsi"/>
                <w:b/>
                <w:sz w:val="20"/>
                <w:szCs w:val="20"/>
              </w:rPr>
              <w:t>2019</w:t>
            </w:r>
          </w:p>
        </w:tc>
        <w:tc>
          <w:tcPr>
            <w:tcW w:w="1928" w:type="dxa"/>
            <w:vAlign w:val="center"/>
          </w:tcPr>
          <w:p w14:paraId="34975A00" w14:textId="1B65D59F"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3</w:t>
            </w:r>
            <w:r w:rsidR="004330F9">
              <w:rPr>
                <w:rFonts w:cstheme="minorHAnsi"/>
                <w:sz w:val="20"/>
                <w:szCs w:val="20"/>
              </w:rPr>
              <w:t xml:space="preserve"> </w:t>
            </w:r>
            <w:r>
              <w:rPr>
                <w:rFonts w:cstheme="minorHAnsi"/>
                <w:sz w:val="20"/>
                <w:szCs w:val="20"/>
              </w:rPr>
              <w:t>342</w:t>
            </w:r>
          </w:p>
        </w:tc>
        <w:tc>
          <w:tcPr>
            <w:tcW w:w="1928" w:type="dxa"/>
            <w:vAlign w:val="center"/>
          </w:tcPr>
          <w:p w14:paraId="2D64870C" w14:textId="77777777"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254 526 300</w:t>
            </w:r>
          </w:p>
        </w:tc>
        <w:tc>
          <w:tcPr>
            <w:tcW w:w="1928" w:type="dxa"/>
            <w:shd w:val="clear" w:color="auto" w:fill="auto"/>
            <w:vAlign w:val="center"/>
          </w:tcPr>
          <w:p w14:paraId="049D910F"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386</w:t>
            </w:r>
            <w:r>
              <w:rPr>
                <w:rFonts w:cstheme="minorHAnsi"/>
                <w:sz w:val="20"/>
                <w:szCs w:val="20"/>
              </w:rPr>
              <w:t xml:space="preserve"> (11,5 %)</w:t>
            </w:r>
          </w:p>
        </w:tc>
        <w:tc>
          <w:tcPr>
            <w:tcW w:w="2268" w:type="dxa"/>
            <w:shd w:val="clear" w:color="auto" w:fill="auto"/>
            <w:vAlign w:val="center"/>
          </w:tcPr>
          <w:p w14:paraId="2BD29AAE"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146 064</w:t>
            </w:r>
            <w:r>
              <w:rPr>
                <w:rFonts w:cstheme="minorHAnsi"/>
                <w:sz w:val="20"/>
                <w:szCs w:val="20"/>
              </w:rPr>
              <w:t> </w:t>
            </w:r>
            <w:r w:rsidRPr="00A120B7">
              <w:rPr>
                <w:rFonts w:cstheme="minorHAnsi"/>
                <w:sz w:val="20"/>
                <w:szCs w:val="20"/>
              </w:rPr>
              <w:t>500</w:t>
            </w:r>
            <w:r>
              <w:rPr>
                <w:rFonts w:cstheme="minorHAnsi"/>
                <w:sz w:val="20"/>
                <w:szCs w:val="20"/>
              </w:rPr>
              <w:t xml:space="preserve"> (57,4 %)</w:t>
            </w:r>
          </w:p>
        </w:tc>
      </w:tr>
      <w:tr w:rsidR="004330F9" w:rsidRPr="003A3D56" w14:paraId="56C83D3B" w14:textId="77777777" w:rsidTr="006164D5">
        <w:trPr>
          <w:trHeight w:val="283"/>
        </w:trPr>
        <w:tc>
          <w:tcPr>
            <w:tcW w:w="1012" w:type="dxa"/>
            <w:vAlign w:val="center"/>
          </w:tcPr>
          <w:p w14:paraId="09D8229D" w14:textId="77777777" w:rsidR="00EC78A2" w:rsidRPr="00177360" w:rsidRDefault="00EC78A2" w:rsidP="00640825">
            <w:pPr>
              <w:autoSpaceDE w:val="0"/>
              <w:autoSpaceDN w:val="0"/>
              <w:adjustRightInd w:val="0"/>
              <w:jc w:val="center"/>
              <w:rPr>
                <w:rFonts w:cstheme="minorHAnsi"/>
                <w:b/>
                <w:sz w:val="20"/>
                <w:szCs w:val="20"/>
              </w:rPr>
            </w:pPr>
            <w:r w:rsidRPr="00177360">
              <w:rPr>
                <w:rFonts w:cstheme="minorHAnsi"/>
                <w:b/>
                <w:sz w:val="20"/>
                <w:szCs w:val="20"/>
              </w:rPr>
              <w:t>2020</w:t>
            </w:r>
          </w:p>
        </w:tc>
        <w:tc>
          <w:tcPr>
            <w:tcW w:w="1928" w:type="dxa"/>
            <w:vAlign w:val="center"/>
          </w:tcPr>
          <w:p w14:paraId="43B49509" w14:textId="7DF437BF"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2</w:t>
            </w:r>
            <w:r w:rsidR="004330F9">
              <w:rPr>
                <w:rFonts w:cstheme="minorHAnsi"/>
                <w:sz w:val="20"/>
                <w:szCs w:val="20"/>
              </w:rPr>
              <w:t xml:space="preserve"> </w:t>
            </w:r>
            <w:r>
              <w:rPr>
                <w:rFonts w:cstheme="minorHAnsi"/>
                <w:sz w:val="20"/>
                <w:szCs w:val="20"/>
              </w:rPr>
              <w:t>819</w:t>
            </w:r>
          </w:p>
        </w:tc>
        <w:tc>
          <w:tcPr>
            <w:tcW w:w="1928" w:type="dxa"/>
            <w:vAlign w:val="center"/>
          </w:tcPr>
          <w:p w14:paraId="01C6565C" w14:textId="77777777"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226 109 100</w:t>
            </w:r>
          </w:p>
        </w:tc>
        <w:tc>
          <w:tcPr>
            <w:tcW w:w="1928" w:type="dxa"/>
            <w:shd w:val="clear" w:color="auto" w:fill="auto"/>
            <w:vAlign w:val="center"/>
          </w:tcPr>
          <w:p w14:paraId="30EBC3F7"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435</w:t>
            </w:r>
            <w:r>
              <w:rPr>
                <w:rFonts w:cstheme="minorHAnsi"/>
                <w:sz w:val="20"/>
                <w:szCs w:val="20"/>
              </w:rPr>
              <w:t xml:space="preserve"> (15,4 %)</w:t>
            </w:r>
          </w:p>
        </w:tc>
        <w:tc>
          <w:tcPr>
            <w:tcW w:w="2268" w:type="dxa"/>
            <w:shd w:val="clear" w:color="auto" w:fill="auto"/>
            <w:vAlign w:val="center"/>
          </w:tcPr>
          <w:p w14:paraId="5FC9AB94"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137 501</w:t>
            </w:r>
            <w:r>
              <w:rPr>
                <w:rFonts w:cstheme="minorHAnsi"/>
                <w:sz w:val="20"/>
                <w:szCs w:val="20"/>
              </w:rPr>
              <w:t> </w:t>
            </w:r>
            <w:r w:rsidRPr="00A120B7">
              <w:rPr>
                <w:rFonts w:cstheme="minorHAnsi"/>
                <w:sz w:val="20"/>
                <w:szCs w:val="20"/>
              </w:rPr>
              <w:t>000</w:t>
            </w:r>
            <w:r>
              <w:rPr>
                <w:rFonts w:cstheme="minorHAnsi"/>
                <w:sz w:val="20"/>
                <w:szCs w:val="20"/>
              </w:rPr>
              <w:t xml:space="preserve"> (60,8 %)</w:t>
            </w:r>
          </w:p>
        </w:tc>
      </w:tr>
      <w:tr w:rsidR="004330F9" w:rsidRPr="003A3D56" w14:paraId="09BE6C08" w14:textId="77777777" w:rsidTr="006164D5">
        <w:trPr>
          <w:trHeight w:val="283"/>
        </w:trPr>
        <w:tc>
          <w:tcPr>
            <w:tcW w:w="1012" w:type="dxa"/>
            <w:vAlign w:val="center"/>
          </w:tcPr>
          <w:p w14:paraId="5AE1F2EC" w14:textId="77777777" w:rsidR="00EC78A2" w:rsidRPr="00177360" w:rsidRDefault="00EC78A2" w:rsidP="00640825">
            <w:pPr>
              <w:autoSpaceDE w:val="0"/>
              <w:autoSpaceDN w:val="0"/>
              <w:adjustRightInd w:val="0"/>
              <w:jc w:val="center"/>
              <w:rPr>
                <w:rFonts w:cstheme="minorHAnsi"/>
                <w:b/>
                <w:sz w:val="20"/>
                <w:szCs w:val="20"/>
              </w:rPr>
            </w:pPr>
            <w:r w:rsidRPr="00177360">
              <w:rPr>
                <w:rFonts w:cstheme="minorHAnsi"/>
                <w:b/>
                <w:sz w:val="20"/>
                <w:szCs w:val="20"/>
              </w:rPr>
              <w:t>2021</w:t>
            </w:r>
          </w:p>
        </w:tc>
        <w:tc>
          <w:tcPr>
            <w:tcW w:w="1928" w:type="dxa"/>
            <w:vAlign w:val="center"/>
          </w:tcPr>
          <w:p w14:paraId="2931368E" w14:textId="63C39338"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3</w:t>
            </w:r>
            <w:r w:rsidR="004330F9">
              <w:rPr>
                <w:rFonts w:cstheme="minorHAnsi"/>
                <w:sz w:val="20"/>
                <w:szCs w:val="20"/>
              </w:rPr>
              <w:t xml:space="preserve"> </w:t>
            </w:r>
            <w:r>
              <w:rPr>
                <w:rFonts w:cstheme="minorHAnsi"/>
                <w:sz w:val="20"/>
                <w:szCs w:val="20"/>
              </w:rPr>
              <w:t>181</w:t>
            </w:r>
          </w:p>
        </w:tc>
        <w:tc>
          <w:tcPr>
            <w:tcW w:w="1928" w:type="dxa"/>
            <w:vAlign w:val="center"/>
          </w:tcPr>
          <w:p w14:paraId="6006B1DC" w14:textId="77777777"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298 724 100</w:t>
            </w:r>
          </w:p>
        </w:tc>
        <w:tc>
          <w:tcPr>
            <w:tcW w:w="1928" w:type="dxa"/>
            <w:shd w:val="clear" w:color="auto" w:fill="auto"/>
            <w:vAlign w:val="center"/>
          </w:tcPr>
          <w:p w14:paraId="7BE241AD"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547</w:t>
            </w:r>
            <w:r>
              <w:rPr>
                <w:rFonts w:cstheme="minorHAnsi"/>
                <w:sz w:val="20"/>
                <w:szCs w:val="20"/>
              </w:rPr>
              <w:t xml:space="preserve"> (17,2 %)</w:t>
            </w:r>
          </w:p>
        </w:tc>
        <w:tc>
          <w:tcPr>
            <w:tcW w:w="2268" w:type="dxa"/>
            <w:shd w:val="clear" w:color="auto" w:fill="auto"/>
            <w:vAlign w:val="center"/>
          </w:tcPr>
          <w:p w14:paraId="31FE743F"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160 007</w:t>
            </w:r>
            <w:r>
              <w:rPr>
                <w:rFonts w:cstheme="minorHAnsi"/>
                <w:sz w:val="20"/>
                <w:szCs w:val="20"/>
              </w:rPr>
              <w:t> </w:t>
            </w:r>
            <w:r w:rsidRPr="00A120B7">
              <w:rPr>
                <w:rFonts w:cstheme="minorHAnsi"/>
                <w:sz w:val="20"/>
                <w:szCs w:val="20"/>
              </w:rPr>
              <w:t>000</w:t>
            </w:r>
            <w:r>
              <w:rPr>
                <w:rFonts w:cstheme="minorHAnsi"/>
                <w:sz w:val="20"/>
                <w:szCs w:val="20"/>
              </w:rPr>
              <w:t xml:space="preserve"> (53,6 %)</w:t>
            </w:r>
          </w:p>
        </w:tc>
      </w:tr>
      <w:tr w:rsidR="004330F9" w:rsidRPr="003A3D56" w14:paraId="4919F2D9" w14:textId="77777777" w:rsidTr="006164D5">
        <w:trPr>
          <w:trHeight w:val="283"/>
        </w:trPr>
        <w:tc>
          <w:tcPr>
            <w:tcW w:w="1012" w:type="dxa"/>
            <w:vAlign w:val="center"/>
          </w:tcPr>
          <w:p w14:paraId="69432BE5" w14:textId="77777777" w:rsidR="00EC78A2" w:rsidRPr="00177360" w:rsidRDefault="00EC78A2" w:rsidP="00640825">
            <w:pPr>
              <w:autoSpaceDE w:val="0"/>
              <w:autoSpaceDN w:val="0"/>
              <w:adjustRightInd w:val="0"/>
              <w:jc w:val="center"/>
              <w:rPr>
                <w:rFonts w:cstheme="minorHAnsi"/>
                <w:b/>
                <w:sz w:val="20"/>
                <w:szCs w:val="20"/>
              </w:rPr>
            </w:pPr>
            <w:r w:rsidRPr="00177360">
              <w:rPr>
                <w:rFonts w:cstheme="minorHAnsi"/>
                <w:b/>
                <w:sz w:val="20"/>
                <w:szCs w:val="20"/>
              </w:rPr>
              <w:t>2022</w:t>
            </w:r>
          </w:p>
        </w:tc>
        <w:tc>
          <w:tcPr>
            <w:tcW w:w="1928" w:type="dxa"/>
            <w:vAlign w:val="center"/>
          </w:tcPr>
          <w:p w14:paraId="50F7EAD9" w14:textId="1C40CF14"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3</w:t>
            </w:r>
            <w:r w:rsidR="004330F9">
              <w:rPr>
                <w:rFonts w:cstheme="minorHAnsi"/>
                <w:sz w:val="20"/>
                <w:szCs w:val="20"/>
              </w:rPr>
              <w:t xml:space="preserve"> </w:t>
            </w:r>
            <w:r>
              <w:rPr>
                <w:rFonts w:cstheme="minorHAnsi"/>
                <w:sz w:val="20"/>
                <w:szCs w:val="20"/>
              </w:rPr>
              <w:t>175</w:t>
            </w:r>
          </w:p>
        </w:tc>
        <w:tc>
          <w:tcPr>
            <w:tcW w:w="1928" w:type="dxa"/>
            <w:vAlign w:val="center"/>
          </w:tcPr>
          <w:p w14:paraId="51F96DEF" w14:textId="77777777"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264 509 000</w:t>
            </w:r>
          </w:p>
        </w:tc>
        <w:tc>
          <w:tcPr>
            <w:tcW w:w="1928" w:type="dxa"/>
            <w:shd w:val="clear" w:color="auto" w:fill="auto"/>
            <w:vAlign w:val="center"/>
          </w:tcPr>
          <w:p w14:paraId="68FB4143"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59</w:t>
            </w:r>
            <w:r>
              <w:rPr>
                <w:rFonts w:cstheme="minorHAnsi"/>
                <w:sz w:val="20"/>
                <w:szCs w:val="20"/>
              </w:rPr>
              <w:t>4 (18,7 %)</w:t>
            </w:r>
          </w:p>
        </w:tc>
        <w:tc>
          <w:tcPr>
            <w:tcW w:w="2268" w:type="dxa"/>
            <w:shd w:val="clear" w:color="auto" w:fill="auto"/>
            <w:vAlign w:val="center"/>
          </w:tcPr>
          <w:p w14:paraId="0A03A692"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147 </w:t>
            </w:r>
            <w:r>
              <w:rPr>
                <w:rFonts w:cstheme="minorHAnsi"/>
                <w:sz w:val="20"/>
                <w:szCs w:val="20"/>
              </w:rPr>
              <w:t>892 </w:t>
            </w:r>
            <w:r w:rsidRPr="00A120B7">
              <w:rPr>
                <w:rFonts w:cstheme="minorHAnsi"/>
                <w:sz w:val="20"/>
                <w:szCs w:val="20"/>
              </w:rPr>
              <w:t>000</w:t>
            </w:r>
            <w:r>
              <w:rPr>
                <w:rFonts w:cstheme="minorHAnsi"/>
                <w:sz w:val="20"/>
                <w:szCs w:val="20"/>
              </w:rPr>
              <w:t xml:space="preserve"> (55,9 %)</w:t>
            </w:r>
          </w:p>
        </w:tc>
      </w:tr>
      <w:tr w:rsidR="004330F9" w:rsidRPr="003A3D56" w14:paraId="05A508D0" w14:textId="77777777" w:rsidTr="006164D5">
        <w:trPr>
          <w:trHeight w:val="283"/>
        </w:trPr>
        <w:tc>
          <w:tcPr>
            <w:tcW w:w="1012" w:type="dxa"/>
            <w:vAlign w:val="center"/>
          </w:tcPr>
          <w:p w14:paraId="03865770" w14:textId="77777777" w:rsidR="00EC78A2" w:rsidRPr="00177360" w:rsidRDefault="00EC78A2" w:rsidP="00640825">
            <w:pPr>
              <w:autoSpaceDE w:val="0"/>
              <w:autoSpaceDN w:val="0"/>
              <w:adjustRightInd w:val="0"/>
              <w:jc w:val="center"/>
              <w:rPr>
                <w:rFonts w:cstheme="minorHAnsi"/>
                <w:b/>
                <w:sz w:val="20"/>
                <w:szCs w:val="20"/>
              </w:rPr>
            </w:pPr>
            <w:r w:rsidRPr="00177360">
              <w:rPr>
                <w:rFonts w:cstheme="minorHAnsi"/>
                <w:b/>
                <w:sz w:val="20"/>
                <w:szCs w:val="20"/>
              </w:rPr>
              <w:t>2023</w:t>
            </w:r>
          </w:p>
        </w:tc>
        <w:tc>
          <w:tcPr>
            <w:tcW w:w="1928" w:type="dxa"/>
            <w:vAlign w:val="center"/>
          </w:tcPr>
          <w:p w14:paraId="53D506AE" w14:textId="2FB282FB"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3</w:t>
            </w:r>
            <w:r w:rsidR="004330F9">
              <w:rPr>
                <w:rFonts w:cstheme="minorHAnsi"/>
                <w:sz w:val="20"/>
                <w:szCs w:val="20"/>
              </w:rPr>
              <w:t xml:space="preserve"> </w:t>
            </w:r>
            <w:r>
              <w:rPr>
                <w:rFonts w:cstheme="minorHAnsi"/>
                <w:sz w:val="20"/>
                <w:szCs w:val="20"/>
              </w:rPr>
              <w:t>213</w:t>
            </w:r>
          </w:p>
        </w:tc>
        <w:tc>
          <w:tcPr>
            <w:tcW w:w="1928" w:type="dxa"/>
            <w:vAlign w:val="center"/>
          </w:tcPr>
          <w:p w14:paraId="2E6E1462" w14:textId="77777777" w:rsidR="00EC78A2" w:rsidRPr="00A120B7" w:rsidRDefault="00EC78A2" w:rsidP="006164D5">
            <w:pPr>
              <w:autoSpaceDE w:val="0"/>
              <w:autoSpaceDN w:val="0"/>
              <w:adjustRightInd w:val="0"/>
              <w:jc w:val="right"/>
              <w:rPr>
                <w:rFonts w:cstheme="minorHAnsi"/>
                <w:sz w:val="20"/>
                <w:szCs w:val="20"/>
              </w:rPr>
            </w:pPr>
            <w:r>
              <w:rPr>
                <w:rFonts w:cstheme="minorHAnsi"/>
                <w:sz w:val="20"/>
                <w:szCs w:val="20"/>
              </w:rPr>
              <w:t>256 951 500</w:t>
            </w:r>
          </w:p>
        </w:tc>
        <w:tc>
          <w:tcPr>
            <w:tcW w:w="1928" w:type="dxa"/>
            <w:shd w:val="clear" w:color="auto" w:fill="auto"/>
            <w:vAlign w:val="center"/>
          </w:tcPr>
          <w:p w14:paraId="5010BEE7"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4</w:t>
            </w:r>
            <w:r>
              <w:rPr>
                <w:rFonts w:cstheme="minorHAnsi"/>
                <w:sz w:val="20"/>
                <w:szCs w:val="20"/>
              </w:rPr>
              <w:t>88 (15,2 %)</w:t>
            </w:r>
          </w:p>
        </w:tc>
        <w:tc>
          <w:tcPr>
            <w:tcW w:w="2268" w:type="dxa"/>
            <w:shd w:val="clear" w:color="auto" w:fill="auto"/>
            <w:vAlign w:val="center"/>
          </w:tcPr>
          <w:p w14:paraId="2D7892D0" w14:textId="77777777" w:rsidR="00EC78A2" w:rsidRPr="00A120B7" w:rsidRDefault="00EC78A2" w:rsidP="006164D5">
            <w:pPr>
              <w:autoSpaceDE w:val="0"/>
              <w:autoSpaceDN w:val="0"/>
              <w:adjustRightInd w:val="0"/>
              <w:jc w:val="right"/>
              <w:rPr>
                <w:rFonts w:cstheme="minorHAnsi"/>
                <w:sz w:val="20"/>
                <w:szCs w:val="20"/>
              </w:rPr>
            </w:pPr>
            <w:r w:rsidRPr="00A120B7">
              <w:rPr>
                <w:rFonts w:cstheme="minorHAnsi"/>
                <w:sz w:val="20"/>
                <w:szCs w:val="20"/>
              </w:rPr>
              <w:t>147 </w:t>
            </w:r>
            <w:r>
              <w:rPr>
                <w:rFonts w:cstheme="minorHAnsi"/>
                <w:sz w:val="20"/>
                <w:szCs w:val="20"/>
              </w:rPr>
              <w:t>546 </w:t>
            </w:r>
            <w:r w:rsidRPr="00A120B7">
              <w:rPr>
                <w:rFonts w:cstheme="minorHAnsi"/>
                <w:sz w:val="20"/>
                <w:szCs w:val="20"/>
              </w:rPr>
              <w:t>000</w:t>
            </w:r>
            <w:r>
              <w:rPr>
                <w:rFonts w:cstheme="minorHAnsi"/>
                <w:sz w:val="20"/>
                <w:szCs w:val="20"/>
              </w:rPr>
              <w:t xml:space="preserve"> (57,4 %)</w:t>
            </w:r>
          </w:p>
        </w:tc>
      </w:tr>
      <w:tr w:rsidR="004330F9" w:rsidRPr="003A3D56" w14:paraId="1AD62BB7" w14:textId="77777777" w:rsidTr="006164D5">
        <w:trPr>
          <w:trHeight w:val="283"/>
        </w:trPr>
        <w:tc>
          <w:tcPr>
            <w:tcW w:w="1012" w:type="dxa"/>
            <w:vAlign w:val="center"/>
          </w:tcPr>
          <w:p w14:paraId="274FBF79" w14:textId="77777777" w:rsidR="00EC78A2" w:rsidRPr="00177360" w:rsidRDefault="00EC78A2" w:rsidP="00640825">
            <w:pPr>
              <w:autoSpaceDE w:val="0"/>
              <w:autoSpaceDN w:val="0"/>
              <w:adjustRightInd w:val="0"/>
              <w:jc w:val="center"/>
              <w:rPr>
                <w:rFonts w:cstheme="minorHAnsi"/>
                <w:b/>
                <w:sz w:val="20"/>
                <w:szCs w:val="20"/>
              </w:rPr>
            </w:pPr>
            <w:r w:rsidRPr="00177360">
              <w:rPr>
                <w:rFonts w:cstheme="minorHAnsi"/>
                <w:b/>
                <w:sz w:val="20"/>
                <w:szCs w:val="20"/>
              </w:rPr>
              <w:t xml:space="preserve">Celkem </w:t>
            </w:r>
          </w:p>
        </w:tc>
        <w:tc>
          <w:tcPr>
            <w:tcW w:w="1928" w:type="dxa"/>
            <w:vAlign w:val="center"/>
          </w:tcPr>
          <w:p w14:paraId="3971495E" w14:textId="77777777" w:rsidR="00EC78A2" w:rsidRPr="00177360" w:rsidRDefault="00EC78A2" w:rsidP="006164D5">
            <w:pPr>
              <w:autoSpaceDE w:val="0"/>
              <w:autoSpaceDN w:val="0"/>
              <w:adjustRightInd w:val="0"/>
              <w:jc w:val="right"/>
              <w:rPr>
                <w:rFonts w:cstheme="minorHAnsi"/>
                <w:b/>
                <w:sz w:val="20"/>
                <w:szCs w:val="20"/>
              </w:rPr>
            </w:pPr>
            <w:r w:rsidRPr="00177360">
              <w:rPr>
                <w:rFonts w:cstheme="minorHAnsi"/>
                <w:b/>
                <w:sz w:val="20"/>
                <w:szCs w:val="20"/>
              </w:rPr>
              <w:t xml:space="preserve">15 730 </w:t>
            </w:r>
          </w:p>
        </w:tc>
        <w:tc>
          <w:tcPr>
            <w:tcW w:w="1928" w:type="dxa"/>
            <w:vAlign w:val="center"/>
          </w:tcPr>
          <w:p w14:paraId="4A186EC5" w14:textId="77777777" w:rsidR="00EC78A2" w:rsidRPr="00177360" w:rsidRDefault="00EC78A2" w:rsidP="006164D5">
            <w:pPr>
              <w:autoSpaceDE w:val="0"/>
              <w:autoSpaceDN w:val="0"/>
              <w:adjustRightInd w:val="0"/>
              <w:jc w:val="right"/>
              <w:rPr>
                <w:rFonts w:cstheme="minorHAnsi"/>
                <w:b/>
                <w:sz w:val="20"/>
                <w:szCs w:val="20"/>
              </w:rPr>
            </w:pPr>
            <w:r w:rsidRPr="00177360">
              <w:rPr>
                <w:rFonts w:cstheme="minorHAnsi"/>
                <w:b/>
                <w:sz w:val="20"/>
                <w:szCs w:val="20"/>
              </w:rPr>
              <w:t>1 300 820 000</w:t>
            </w:r>
          </w:p>
        </w:tc>
        <w:tc>
          <w:tcPr>
            <w:tcW w:w="1928" w:type="dxa"/>
            <w:shd w:val="clear" w:color="auto" w:fill="auto"/>
            <w:vAlign w:val="center"/>
          </w:tcPr>
          <w:p w14:paraId="265E4A51" w14:textId="52BA81BD" w:rsidR="00EC78A2" w:rsidRPr="00177360" w:rsidRDefault="00EC78A2" w:rsidP="006164D5">
            <w:pPr>
              <w:autoSpaceDE w:val="0"/>
              <w:autoSpaceDN w:val="0"/>
              <w:adjustRightInd w:val="0"/>
              <w:jc w:val="right"/>
              <w:rPr>
                <w:rFonts w:cstheme="minorHAnsi"/>
                <w:b/>
                <w:sz w:val="20"/>
                <w:szCs w:val="20"/>
              </w:rPr>
            </w:pPr>
            <w:r w:rsidRPr="00177360">
              <w:rPr>
                <w:rFonts w:cstheme="minorHAnsi"/>
                <w:b/>
                <w:sz w:val="20"/>
                <w:szCs w:val="20"/>
              </w:rPr>
              <w:t xml:space="preserve">2 450 </w:t>
            </w:r>
            <w:r w:rsidR="00CF394D">
              <w:rPr>
                <w:rFonts w:cstheme="minorHAnsi"/>
                <w:b/>
                <w:sz w:val="20"/>
                <w:szCs w:val="20"/>
              </w:rPr>
              <w:t>(15,6 %)</w:t>
            </w:r>
          </w:p>
        </w:tc>
        <w:tc>
          <w:tcPr>
            <w:tcW w:w="2268" w:type="dxa"/>
            <w:shd w:val="clear" w:color="auto" w:fill="auto"/>
            <w:vAlign w:val="center"/>
          </w:tcPr>
          <w:p w14:paraId="0A55DB99" w14:textId="105B01C9" w:rsidR="00EC78A2" w:rsidRPr="00177360" w:rsidRDefault="00EC78A2" w:rsidP="006164D5">
            <w:pPr>
              <w:autoSpaceDE w:val="0"/>
              <w:autoSpaceDN w:val="0"/>
              <w:adjustRightInd w:val="0"/>
              <w:jc w:val="right"/>
              <w:rPr>
                <w:rFonts w:cstheme="minorHAnsi"/>
                <w:b/>
                <w:sz w:val="20"/>
                <w:szCs w:val="20"/>
              </w:rPr>
            </w:pPr>
            <w:r w:rsidRPr="00177360">
              <w:rPr>
                <w:rFonts w:cstheme="minorHAnsi"/>
                <w:b/>
                <w:sz w:val="20"/>
                <w:szCs w:val="20"/>
              </w:rPr>
              <w:t xml:space="preserve">739 010 500 </w:t>
            </w:r>
            <w:r w:rsidR="00CF394D">
              <w:rPr>
                <w:rFonts w:cstheme="minorHAnsi"/>
                <w:b/>
                <w:sz w:val="20"/>
                <w:szCs w:val="20"/>
              </w:rPr>
              <w:t>(</w:t>
            </w:r>
            <w:r w:rsidR="00DE3B01">
              <w:rPr>
                <w:rFonts w:cstheme="minorHAnsi"/>
                <w:b/>
                <w:sz w:val="20"/>
                <w:szCs w:val="20"/>
              </w:rPr>
              <w:t>56,8 %</w:t>
            </w:r>
            <w:r w:rsidR="00CF394D">
              <w:rPr>
                <w:rFonts w:cstheme="minorHAnsi"/>
                <w:b/>
                <w:sz w:val="20"/>
                <w:szCs w:val="20"/>
              </w:rPr>
              <w:t>)</w:t>
            </w:r>
          </w:p>
        </w:tc>
      </w:tr>
    </w:tbl>
    <w:p w14:paraId="2557C8A0" w14:textId="77777777" w:rsidR="00EC78A2" w:rsidRPr="006164D5" w:rsidRDefault="00EC78A2" w:rsidP="00EC78A2">
      <w:pPr>
        <w:autoSpaceDE w:val="0"/>
        <w:autoSpaceDN w:val="0"/>
        <w:adjustRightInd w:val="0"/>
        <w:ind w:left="426" w:hanging="426"/>
        <w:jc w:val="both"/>
        <w:rPr>
          <w:rFonts w:cstheme="minorHAnsi"/>
          <w:iCs/>
          <w:sz w:val="20"/>
          <w:szCs w:val="20"/>
        </w:rPr>
      </w:pPr>
      <w:r w:rsidRPr="006164D5">
        <w:rPr>
          <w:rFonts w:cstheme="minorHAnsi"/>
          <w:b/>
          <w:bCs/>
          <w:iCs/>
          <w:sz w:val="20"/>
          <w:szCs w:val="20"/>
        </w:rPr>
        <w:t>Zdroj:</w:t>
      </w:r>
      <w:r w:rsidRPr="006164D5">
        <w:rPr>
          <w:rFonts w:cstheme="minorHAnsi"/>
          <w:iCs/>
          <w:sz w:val="20"/>
          <w:szCs w:val="20"/>
        </w:rPr>
        <w:t xml:space="preserve"> SÚIP; vlastní zpracování NKÚ</w:t>
      </w:r>
      <w:r w:rsidR="000B7555" w:rsidRPr="006164D5">
        <w:rPr>
          <w:rFonts w:cstheme="minorHAnsi"/>
          <w:iCs/>
          <w:sz w:val="20"/>
          <w:szCs w:val="20"/>
        </w:rPr>
        <w:t>.</w:t>
      </w:r>
      <w:r w:rsidRPr="006164D5">
        <w:rPr>
          <w:rFonts w:cstheme="minorHAnsi"/>
          <w:iCs/>
          <w:sz w:val="20"/>
          <w:szCs w:val="20"/>
        </w:rPr>
        <w:t xml:space="preserve"> </w:t>
      </w:r>
    </w:p>
    <w:p w14:paraId="33B85DFE" w14:textId="77777777" w:rsidR="00EC78A2" w:rsidRPr="00FD6319" w:rsidRDefault="00EC78A2" w:rsidP="002D0FE7">
      <w:pPr>
        <w:autoSpaceDE w:val="0"/>
        <w:autoSpaceDN w:val="0"/>
        <w:adjustRightInd w:val="0"/>
        <w:spacing w:after="0" w:line="240" w:lineRule="auto"/>
        <w:jc w:val="both"/>
        <w:rPr>
          <w:sz w:val="24"/>
          <w:szCs w:val="24"/>
          <w:lang w:eastAsia="cs-CZ"/>
        </w:rPr>
      </w:pPr>
    </w:p>
    <w:sectPr w:rsidR="00EC78A2" w:rsidRPr="00FD6319" w:rsidSect="002D0FE7">
      <w:footerReference w:type="even" r:id="rId14"/>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BD67" w14:textId="77777777" w:rsidR="007D45B1" w:rsidRDefault="007D45B1">
      <w:pPr>
        <w:spacing w:after="0" w:line="240" w:lineRule="auto"/>
      </w:pPr>
      <w:r>
        <w:separator/>
      </w:r>
    </w:p>
    <w:p w14:paraId="6796E777" w14:textId="77777777" w:rsidR="007D45B1" w:rsidRDefault="007D45B1"/>
  </w:endnote>
  <w:endnote w:type="continuationSeparator" w:id="0">
    <w:p w14:paraId="1DD5EC71" w14:textId="77777777" w:rsidR="007D45B1" w:rsidRDefault="007D45B1">
      <w:pPr>
        <w:spacing w:after="0" w:line="240" w:lineRule="auto"/>
      </w:pPr>
      <w:r>
        <w:continuationSeparator/>
      </w:r>
    </w:p>
    <w:p w14:paraId="32DC69B1" w14:textId="77777777" w:rsidR="007D45B1" w:rsidRDefault="007D4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DC7F" w14:textId="6F4652F2" w:rsidR="00A368A7" w:rsidRDefault="00A368A7">
    <w:pPr>
      <w:pStyle w:val="Zpat"/>
    </w:pPr>
    <w:r>
      <w:rPr>
        <w:noProof/>
      </w:rPr>
      <mc:AlternateContent>
        <mc:Choice Requires="wps">
          <w:drawing>
            <wp:anchor distT="0" distB="0" distL="0" distR="0" simplePos="0" relativeHeight="251659264" behindDoc="0" locked="0" layoutInCell="1" allowOverlap="1" wp14:anchorId="77E91335" wp14:editId="71E76292">
              <wp:simplePos x="635" y="635"/>
              <wp:positionH relativeFrom="page">
                <wp:align>left</wp:align>
              </wp:positionH>
              <wp:positionV relativeFrom="page">
                <wp:align>bottom</wp:align>
              </wp:positionV>
              <wp:extent cx="902970" cy="391160"/>
              <wp:effectExtent l="0" t="0" r="11430" b="0"/>
              <wp:wrapNone/>
              <wp:docPr id="589634954" name="Textové pole 6"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91160"/>
                      </a:xfrm>
                      <a:prstGeom prst="rect">
                        <a:avLst/>
                      </a:prstGeom>
                      <a:noFill/>
                      <a:ln>
                        <a:noFill/>
                      </a:ln>
                    </wps:spPr>
                    <wps:txbx>
                      <w:txbxContent>
                        <w:p w14:paraId="1A0A89BD" w14:textId="2152D687" w:rsidR="00A368A7" w:rsidRPr="00A368A7" w:rsidRDefault="00A368A7" w:rsidP="00A368A7">
                          <w:pPr>
                            <w:spacing w:after="0"/>
                            <w:rPr>
                              <w:rFonts w:ascii="Calibri" w:eastAsia="Calibri" w:hAnsi="Calibri" w:cs="Calibri"/>
                              <w:noProof/>
                              <w:color w:val="828282"/>
                              <w:sz w:val="24"/>
                              <w:szCs w:val="24"/>
                            </w:rPr>
                          </w:pPr>
                          <w:r w:rsidRPr="00A368A7">
                            <w:rPr>
                              <w:rFonts w:ascii="Calibri" w:eastAsia="Calibri" w:hAnsi="Calibri" w:cs="Calibri"/>
                              <w:noProof/>
                              <w:color w:val="828282"/>
                              <w:sz w:val="24"/>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91335" id="_x0000_t202" coordsize="21600,21600" o:spt="202" path="m,l,21600r21600,l21600,xe">
              <v:stroke joinstyle="miter"/>
              <v:path gradientshapeok="t" o:connecttype="rect"/>
            </v:shapetype>
            <v:shape id="Textové pole 6" o:spid="_x0000_s1026" type="#_x0000_t202" alt="TLP:CLEAR" style="position:absolute;margin-left:0;margin-top:0;width:71.1pt;height:30.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" filled="f" stroked="f">
              <v:textbox style="mso-fit-shape-to-text:t" inset="20pt,0,0,15pt">
                <w:txbxContent>
                  <w:p w14:paraId="1A0A89BD" w14:textId="2152D687" w:rsidR="00A368A7" w:rsidRPr="00A368A7" w:rsidRDefault="00A368A7" w:rsidP="00A368A7">
                    <w:pPr>
                      <w:spacing w:after="0"/>
                      <w:rPr>
                        <w:rFonts w:ascii="Calibri" w:eastAsia="Calibri" w:hAnsi="Calibri" w:cs="Calibri"/>
                        <w:noProof/>
                        <w:color w:val="828282"/>
                        <w:sz w:val="24"/>
                        <w:szCs w:val="24"/>
                      </w:rPr>
                    </w:pPr>
                    <w:r w:rsidRPr="00A368A7">
                      <w:rPr>
                        <w:rFonts w:ascii="Calibri" w:eastAsia="Calibri" w:hAnsi="Calibri" w:cs="Calibri"/>
                        <w:noProof/>
                        <w:color w:val="828282"/>
                        <w:sz w:val="24"/>
                        <w:szCs w:val="24"/>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709D" w14:textId="04B7C511" w:rsidR="00C42FD1" w:rsidRPr="005F18B5" w:rsidRDefault="00A368A7" w:rsidP="006C35E2">
    <w:pPr>
      <w:pStyle w:val="Zpat"/>
      <w:jc w:val="center"/>
      <w:rPr>
        <w:rFonts w:ascii="Calibri" w:hAnsi="Calibri" w:cs="Calibri"/>
        <w:sz w:val="24"/>
      </w:rPr>
    </w:pPr>
    <w:r>
      <w:rPr>
        <w:noProof/>
      </w:rPr>
      <mc:AlternateContent>
        <mc:Choice Requires="wps">
          <w:drawing>
            <wp:anchor distT="0" distB="0" distL="0" distR="0" simplePos="0" relativeHeight="251660288" behindDoc="0" locked="0" layoutInCell="1" allowOverlap="1" wp14:anchorId="190FD12E" wp14:editId="7DBDD372">
              <wp:simplePos x="903767" y="10058400"/>
              <wp:positionH relativeFrom="page">
                <wp:align>left</wp:align>
              </wp:positionH>
              <wp:positionV relativeFrom="page">
                <wp:align>bottom</wp:align>
              </wp:positionV>
              <wp:extent cx="902970" cy="391160"/>
              <wp:effectExtent l="0" t="0" r="11430" b="0"/>
              <wp:wrapNone/>
              <wp:docPr id="2002145620" name="Textové pole 7"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91160"/>
                      </a:xfrm>
                      <a:prstGeom prst="rect">
                        <a:avLst/>
                      </a:prstGeom>
                      <a:noFill/>
                      <a:ln>
                        <a:noFill/>
                      </a:ln>
                    </wps:spPr>
                    <wps:txbx>
                      <w:txbxContent>
                        <w:p w14:paraId="1339F849" w14:textId="31F6BB9F" w:rsidR="00A368A7" w:rsidRPr="00A368A7" w:rsidRDefault="00A368A7" w:rsidP="00A368A7">
                          <w:pPr>
                            <w:spacing w:after="0"/>
                            <w:rPr>
                              <w:rFonts w:ascii="Calibri" w:eastAsia="Calibri" w:hAnsi="Calibri" w:cs="Calibri"/>
                              <w:noProof/>
                              <w:color w:val="828282"/>
                              <w:sz w:val="24"/>
                              <w:szCs w:val="24"/>
                            </w:rPr>
                          </w:pPr>
                          <w:r w:rsidRPr="00A368A7">
                            <w:rPr>
                              <w:rFonts w:ascii="Calibri" w:eastAsia="Calibri" w:hAnsi="Calibri" w:cs="Calibri"/>
                              <w:noProof/>
                              <w:color w:val="828282"/>
                              <w:sz w:val="24"/>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FD12E" id="_x0000_t202" coordsize="21600,21600" o:spt="202" path="m,l,21600r21600,l21600,xe">
              <v:stroke joinstyle="miter"/>
              <v:path gradientshapeok="t" o:connecttype="rect"/>
            </v:shapetype>
            <v:shape id="Textové pole 7" o:spid="_x0000_s1027" type="#_x0000_t202" alt="TLP:CLEAR" style="position:absolute;left:0;text-align:left;margin-left:0;margin-top:0;width:71.1pt;height:30.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" filled="f" stroked="f">
              <v:textbox style="mso-fit-shape-to-text:t" inset="20pt,0,0,15pt">
                <w:txbxContent>
                  <w:p w14:paraId="1339F849" w14:textId="31F6BB9F" w:rsidR="00A368A7" w:rsidRPr="00A368A7" w:rsidRDefault="00A368A7" w:rsidP="00A368A7">
                    <w:pPr>
                      <w:spacing w:after="0"/>
                      <w:rPr>
                        <w:rFonts w:ascii="Calibri" w:eastAsia="Calibri" w:hAnsi="Calibri" w:cs="Calibri"/>
                        <w:noProof/>
                        <w:color w:val="828282"/>
                        <w:sz w:val="24"/>
                        <w:szCs w:val="24"/>
                      </w:rPr>
                    </w:pPr>
                    <w:r w:rsidRPr="00A368A7">
                      <w:rPr>
                        <w:rFonts w:ascii="Calibri" w:eastAsia="Calibri" w:hAnsi="Calibri" w:cs="Calibri"/>
                        <w:noProof/>
                        <w:color w:val="828282"/>
                        <w:sz w:val="24"/>
                        <w:szCs w:val="24"/>
                      </w:rPr>
                      <w:t>TLP:CLEAR</w:t>
                    </w:r>
                  </w:p>
                </w:txbxContent>
              </v:textbox>
              <w10:wrap anchorx="page" anchory="page"/>
            </v:shape>
          </w:pict>
        </mc:Fallback>
      </mc:AlternateContent>
    </w:r>
    <w:sdt>
      <w:sdtPr>
        <w:id w:val="860325275"/>
        <w:docPartObj>
          <w:docPartGallery w:val="Page Numbers (Bottom of Page)"/>
          <w:docPartUnique/>
        </w:docPartObj>
      </w:sdtPr>
      <w:sdtEndPr>
        <w:rPr>
          <w:rFonts w:ascii="Calibri" w:hAnsi="Calibri" w:cs="Calibri"/>
          <w:sz w:val="24"/>
        </w:rPr>
      </w:sdtEndPr>
      <w:sdtContent>
        <w:r w:rsidR="00C42FD1" w:rsidRPr="005F18B5">
          <w:rPr>
            <w:rFonts w:ascii="Calibri" w:hAnsi="Calibri" w:cs="Calibri"/>
            <w:sz w:val="24"/>
          </w:rPr>
          <w:fldChar w:fldCharType="begin"/>
        </w:r>
        <w:r w:rsidR="00C42FD1" w:rsidRPr="005F18B5">
          <w:rPr>
            <w:rFonts w:ascii="Calibri" w:hAnsi="Calibri" w:cs="Calibri"/>
            <w:sz w:val="24"/>
          </w:rPr>
          <w:instrText>PAGE   \* MERGEFORMAT</w:instrText>
        </w:r>
        <w:r w:rsidR="00C42FD1" w:rsidRPr="005F18B5">
          <w:rPr>
            <w:rFonts w:ascii="Calibri" w:hAnsi="Calibri" w:cs="Calibri"/>
            <w:sz w:val="24"/>
          </w:rPr>
          <w:fldChar w:fldCharType="separate"/>
        </w:r>
        <w:r w:rsidR="00C42FD1" w:rsidRPr="005F18B5">
          <w:rPr>
            <w:rFonts w:ascii="Calibri" w:hAnsi="Calibri" w:cs="Calibri"/>
            <w:sz w:val="24"/>
          </w:rPr>
          <w:t>2</w:t>
        </w:r>
        <w:r w:rsidR="00C42FD1" w:rsidRPr="005F18B5">
          <w:rPr>
            <w:rFonts w:ascii="Calibri" w:hAnsi="Calibri" w:cs="Calibri"/>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362E" w14:textId="5A4154AD" w:rsidR="00A368A7" w:rsidRDefault="00A368A7">
    <w:pPr>
      <w:pStyle w:val="Zpat"/>
    </w:pPr>
    <w:r>
      <w:rPr>
        <w:noProof/>
      </w:rPr>
      <mc:AlternateContent>
        <mc:Choice Requires="wps">
          <w:drawing>
            <wp:anchor distT="0" distB="0" distL="0" distR="0" simplePos="0" relativeHeight="251658240" behindDoc="0" locked="0" layoutInCell="1" allowOverlap="1" wp14:anchorId="175A5CD2" wp14:editId="72A2CF83">
              <wp:simplePos x="903767" y="10069033"/>
              <wp:positionH relativeFrom="page">
                <wp:align>left</wp:align>
              </wp:positionH>
              <wp:positionV relativeFrom="page">
                <wp:align>bottom</wp:align>
              </wp:positionV>
              <wp:extent cx="902970" cy="391160"/>
              <wp:effectExtent l="0" t="0" r="11430" b="0"/>
              <wp:wrapNone/>
              <wp:docPr id="1269384860" name="Textové pole 5"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91160"/>
                      </a:xfrm>
                      <a:prstGeom prst="rect">
                        <a:avLst/>
                      </a:prstGeom>
                      <a:noFill/>
                      <a:ln>
                        <a:noFill/>
                      </a:ln>
                    </wps:spPr>
                    <wps:txbx>
                      <w:txbxContent>
                        <w:p w14:paraId="427E021C" w14:textId="7723BB25" w:rsidR="00A368A7" w:rsidRPr="00A368A7" w:rsidRDefault="00A368A7" w:rsidP="00A368A7">
                          <w:pPr>
                            <w:spacing w:after="0"/>
                            <w:rPr>
                              <w:rFonts w:ascii="Calibri" w:eastAsia="Calibri" w:hAnsi="Calibri" w:cs="Calibri"/>
                              <w:noProof/>
                              <w:color w:val="828282"/>
                              <w:sz w:val="24"/>
                              <w:szCs w:val="24"/>
                            </w:rPr>
                          </w:pPr>
                          <w:r w:rsidRPr="00A368A7">
                            <w:rPr>
                              <w:rFonts w:ascii="Calibri" w:eastAsia="Calibri" w:hAnsi="Calibri" w:cs="Calibri"/>
                              <w:noProof/>
                              <w:color w:val="828282"/>
                              <w:sz w:val="24"/>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5A5CD2" id="_x0000_t202" coordsize="21600,21600" o:spt="202" path="m,l,21600r21600,l21600,xe">
              <v:stroke joinstyle="miter"/>
              <v:path gradientshapeok="t" o:connecttype="rect"/>
            </v:shapetype>
            <v:shape id="Textové pole 5" o:spid="_x0000_s1028" type="#_x0000_t202" alt="TLP:CLEAR" style="position:absolute;margin-left:0;margin-top:0;width:71.1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" filled="f" stroked="f">
              <v:textbox style="mso-fit-shape-to-text:t" inset="20pt,0,0,15pt">
                <w:txbxContent>
                  <w:p w14:paraId="427E021C" w14:textId="7723BB25" w:rsidR="00A368A7" w:rsidRPr="00A368A7" w:rsidRDefault="00A368A7" w:rsidP="00A368A7">
                    <w:pPr>
                      <w:spacing w:after="0"/>
                      <w:rPr>
                        <w:rFonts w:ascii="Calibri" w:eastAsia="Calibri" w:hAnsi="Calibri" w:cs="Calibri"/>
                        <w:noProof/>
                        <w:color w:val="828282"/>
                        <w:sz w:val="24"/>
                        <w:szCs w:val="24"/>
                      </w:rPr>
                    </w:pPr>
                    <w:r w:rsidRPr="00A368A7">
                      <w:rPr>
                        <w:rFonts w:ascii="Calibri" w:eastAsia="Calibri" w:hAnsi="Calibri" w:cs="Calibri"/>
                        <w:noProof/>
                        <w:color w:val="828282"/>
                        <w:sz w:val="24"/>
                        <w:szCs w:val="24"/>
                      </w:rPr>
                      <w:t>TLP:CLEAR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9EF1" w14:textId="77777777" w:rsidR="007D45B1" w:rsidRDefault="007D45B1" w:rsidP="004058E2">
      <w:pPr>
        <w:spacing w:after="0" w:line="240" w:lineRule="auto"/>
      </w:pPr>
      <w:r>
        <w:separator/>
      </w:r>
    </w:p>
  </w:footnote>
  <w:footnote w:type="continuationSeparator" w:id="0">
    <w:p w14:paraId="70389B23" w14:textId="77777777" w:rsidR="007D45B1" w:rsidRDefault="007D45B1" w:rsidP="004058E2">
      <w:pPr>
        <w:spacing w:after="0" w:line="240" w:lineRule="auto"/>
      </w:pPr>
      <w:r>
        <w:continuationSeparator/>
      </w:r>
    </w:p>
    <w:p w14:paraId="46A477E3" w14:textId="77777777" w:rsidR="007D45B1" w:rsidRDefault="007D45B1"/>
  </w:footnote>
  <w:footnote w:id="1">
    <w:p w14:paraId="5DF1D3DC" w14:textId="754B2706" w:rsidR="00C42FD1" w:rsidRPr="00424B4A" w:rsidRDefault="00C42FD1" w:rsidP="002F5222">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Daň z příjmů fyzických osob (dále také „DPFO“).</w:t>
      </w:r>
    </w:p>
  </w:footnote>
  <w:footnote w:id="2">
    <w:p w14:paraId="5AA667A3" w14:textId="74E20BC9" w:rsidR="00360677" w:rsidRPr="00A423C2" w:rsidRDefault="00360677" w:rsidP="002F5222">
      <w:pPr>
        <w:pStyle w:val="Textpoznpodarou"/>
        <w:ind w:left="284" w:hanging="284"/>
        <w:jc w:val="both"/>
        <w:rPr>
          <w:rFonts w:asciiTheme="minorHAnsi" w:hAnsiTheme="minorHAnsi" w:cstheme="minorHAnsi"/>
        </w:rPr>
      </w:pPr>
      <w:r w:rsidRPr="00090DB2">
        <w:rPr>
          <w:rStyle w:val="Znakapoznpodarou"/>
          <w:rFonts w:asciiTheme="minorHAnsi" w:hAnsiTheme="minorHAnsi" w:cstheme="minorHAnsi"/>
        </w:rPr>
        <w:footnoteRef/>
      </w:r>
      <w:r w:rsidRPr="00090DB2">
        <w:rPr>
          <w:rFonts w:asciiTheme="minorHAnsi" w:hAnsiTheme="minorHAnsi" w:cstheme="minorHAnsi"/>
        </w:rPr>
        <w:t xml:space="preserve"> </w:t>
      </w:r>
      <w:r w:rsidR="00A40519">
        <w:rPr>
          <w:rFonts w:asciiTheme="minorHAnsi" w:hAnsiTheme="minorHAnsi" w:cstheme="minorHAnsi"/>
        </w:rPr>
        <w:tab/>
      </w:r>
      <w:r w:rsidRPr="006164D5">
        <w:rPr>
          <w:rFonts w:asciiTheme="minorHAnsi" w:hAnsiTheme="minorHAnsi" w:cstheme="minorHAnsi"/>
          <w:i/>
          <w:iCs/>
        </w:rPr>
        <w:t>Studie o účinnosti politik pro řešení nehlášené práce</w:t>
      </w:r>
      <w:r w:rsidRPr="00A423C2">
        <w:rPr>
          <w:rFonts w:asciiTheme="minorHAnsi" w:hAnsiTheme="minorHAnsi" w:cstheme="minorHAnsi"/>
        </w:rPr>
        <w:t xml:space="preserve"> (VT/2021/0380), Evropská komise, 25. července 2023; definice závislé práce je uvedena v </w:t>
      </w:r>
      <w:r w:rsidRPr="00A423C2">
        <w:rPr>
          <w:rFonts w:asciiTheme="minorHAnsi" w:hAnsiTheme="minorHAnsi" w:cstheme="minorHAnsi"/>
          <w:lang w:eastAsia="cs-CZ"/>
        </w:rPr>
        <w:t>ustanovení § 2</w:t>
      </w:r>
      <w:r w:rsidR="00853778">
        <w:rPr>
          <w:rFonts w:asciiTheme="minorHAnsi" w:hAnsiTheme="minorHAnsi" w:cstheme="minorHAnsi"/>
          <w:lang w:eastAsia="cs-CZ"/>
        </w:rPr>
        <w:t xml:space="preserve"> </w:t>
      </w:r>
      <w:r w:rsidRPr="00A423C2">
        <w:rPr>
          <w:rFonts w:asciiTheme="minorHAnsi" w:hAnsiTheme="minorHAnsi" w:cstheme="minorHAnsi"/>
          <w:lang w:eastAsia="cs-CZ"/>
        </w:rPr>
        <w:t>a § 3</w:t>
      </w:r>
      <w:r w:rsidR="00853778">
        <w:rPr>
          <w:rFonts w:asciiTheme="minorHAnsi" w:hAnsiTheme="minorHAnsi" w:cstheme="minorHAnsi"/>
          <w:lang w:eastAsia="cs-CZ"/>
        </w:rPr>
        <w:t xml:space="preserve"> </w:t>
      </w:r>
      <w:r w:rsidRPr="00A423C2">
        <w:rPr>
          <w:rFonts w:asciiTheme="minorHAnsi" w:hAnsiTheme="minorHAnsi" w:cstheme="minorHAnsi"/>
          <w:lang w:eastAsia="cs-CZ"/>
        </w:rPr>
        <w:t>zákona</w:t>
      </w:r>
      <w:r w:rsidR="00853778">
        <w:rPr>
          <w:rFonts w:asciiTheme="minorHAnsi" w:hAnsiTheme="minorHAnsi" w:cstheme="minorHAnsi"/>
          <w:lang w:eastAsia="cs-CZ"/>
        </w:rPr>
        <w:t xml:space="preserve"> </w:t>
      </w:r>
      <w:r w:rsidRPr="00A423C2">
        <w:rPr>
          <w:rFonts w:asciiTheme="minorHAnsi" w:hAnsiTheme="minorHAnsi" w:cstheme="minorHAnsi"/>
          <w:lang w:eastAsia="cs-CZ"/>
        </w:rPr>
        <w:t>č. 262/2006 Sb., zákoník práce.</w:t>
      </w:r>
    </w:p>
  </w:footnote>
  <w:footnote w:id="3">
    <w:p w14:paraId="27E5BE5C" w14:textId="3CD068DB" w:rsidR="00901DE4" w:rsidRDefault="00901DE4" w:rsidP="002F5222">
      <w:pPr>
        <w:pStyle w:val="Textpoznpodarou"/>
        <w:ind w:left="284" w:hanging="284"/>
        <w:jc w:val="both"/>
      </w:pPr>
      <w:r w:rsidRPr="002249BF">
        <w:rPr>
          <w:rStyle w:val="Znakapoznpodarou"/>
          <w:rFonts w:asciiTheme="minorHAnsi" w:hAnsiTheme="minorHAnsi" w:cstheme="minorHAnsi"/>
        </w:rPr>
        <w:footnoteRef/>
      </w:r>
      <w:r w:rsidRPr="002249BF">
        <w:rPr>
          <w:rFonts w:asciiTheme="minorHAnsi" w:hAnsiTheme="minorHAnsi" w:cstheme="minorHAnsi"/>
        </w:rPr>
        <w:t xml:space="preserve"> </w:t>
      </w:r>
      <w:r w:rsidR="00A40519">
        <w:rPr>
          <w:rFonts w:asciiTheme="minorHAnsi" w:hAnsiTheme="minorHAnsi" w:cstheme="minorHAnsi"/>
        </w:rPr>
        <w:tab/>
      </w:r>
      <w:r w:rsidRPr="002249BF">
        <w:rPr>
          <w:rFonts w:asciiTheme="minorHAnsi" w:hAnsiTheme="minorHAnsi" w:cstheme="minorHAnsi"/>
        </w:rPr>
        <w:t xml:space="preserve">Jedná se o pojistné na </w:t>
      </w:r>
      <w:r w:rsidRPr="00705ED0">
        <w:rPr>
          <w:rFonts w:asciiTheme="minorHAnsi" w:hAnsiTheme="minorHAnsi" w:cstheme="minorHAnsi"/>
        </w:rPr>
        <w:t xml:space="preserve">všeobecné </w:t>
      </w:r>
      <w:r w:rsidRPr="002249BF">
        <w:rPr>
          <w:rFonts w:asciiTheme="minorHAnsi" w:hAnsiTheme="minorHAnsi" w:cstheme="minorHAnsi"/>
        </w:rPr>
        <w:t>zdravotní pojištění včetně penále a pojistné na sociální zabezpečení včetně penále (dále také „zákonná pojistná“)</w:t>
      </w:r>
      <w:r w:rsidR="00A423C2" w:rsidRPr="002249BF">
        <w:rPr>
          <w:rFonts w:asciiTheme="minorHAnsi" w:hAnsiTheme="minorHAnsi" w:cstheme="minorHAnsi"/>
        </w:rPr>
        <w:t xml:space="preserve"> ve smyslu ustanovení </w:t>
      </w:r>
      <w:r w:rsidR="00853778">
        <w:rPr>
          <w:rFonts w:asciiTheme="minorHAnsi" w:hAnsiTheme="minorHAnsi" w:cstheme="minorHAnsi"/>
        </w:rPr>
        <w:t xml:space="preserve">§ </w:t>
      </w:r>
      <w:r w:rsidR="00A423C2" w:rsidRPr="002249BF">
        <w:rPr>
          <w:rFonts w:asciiTheme="minorHAnsi" w:hAnsiTheme="minorHAnsi" w:cstheme="minorHAnsi"/>
        </w:rPr>
        <w:t>141b odst. 1) písm. b) zákona č. 435/2004 Sb., o zaměstnanosti</w:t>
      </w:r>
      <w:r w:rsidR="00A423C2">
        <w:rPr>
          <w:rFonts w:asciiTheme="minorHAnsi" w:hAnsiTheme="minorHAnsi" w:cstheme="minorHAnsi"/>
        </w:rPr>
        <w:t xml:space="preserve"> </w:t>
      </w:r>
      <w:r w:rsidR="00A423C2" w:rsidRPr="00725AD4">
        <w:rPr>
          <w:rFonts w:asciiTheme="minorHAnsi" w:hAnsiTheme="minorHAnsi" w:cstheme="minorHAnsi"/>
        </w:rPr>
        <w:t>(dále také „zákon</w:t>
      </w:r>
      <w:r w:rsidR="00A423C2">
        <w:rPr>
          <w:rFonts w:asciiTheme="minorHAnsi" w:hAnsiTheme="minorHAnsi" w:cstheme="minorHAnsi"/>
        </w:rPr>
        <w:t xml:space="preserve"> o zaměstnanosti</w:t>
      </w:r>
      <w:r w:rsidR="00A423C2" w:rsidRPr="00725AD4">
        <w:rPr>
          <w:rFonts w:asciiTheme="minorHAnsi" w:hAnsiTheme="minorHAnsi" w:cstheme="minorHAnsi"/>
        </w:rPr>
        <w:t>“)</w:t>
      </w:r>
      <w:r w:rsidR="002249BF">
        <w:rPr>
          <w:rFonts w:asciiTheme="minorHAnsi" w:hAnsiTheme="minorHAnsi" w:cstheme="minorHAnsi"/>
        </w:rPr>
        <w:t>.</w:t>
      </w:r>
    </w:p>
  </w:footnote>
  <w:footnote w:id="4">
    <w:p w14:paraId="457A5EF9" w14:textId="4FA5F54B" w:rsidR="009A6695" w:rsidRPr="009A6695" w:rsidRDefault="009A6695" w:rsidP="00C25745">
      <w:pPr>
        <w:pStyle w:val="Textpoznpodarou"/>
        <w:ind w:left="284" w:hanging="284"/>
        <w:jc w:val="both"/>
        <w:rPr>
          <w:rFonts w:asciiTheme="minorHAnsi" w:hAnsiTheme="minorHAnsi" w:cstheme="minorHAnsi"/>
        </w:rPr>
      </w:pPr>
      <w:r w:rsidRPr="009A6695">
        <w:rPr>
          <w:rStyle w:val="Znakapoznpodarou"/>
          <w:rFonts w:asciiTheme="minorHAnsi" w:hAnsiTheme="minorHAnsi" w:cstheme="minorHAnsi"/>
        </w:rPr>
        <w:footnoteRef/>
      </w:r>
      <w:r w:rsidRPr="009A6695">
        <w:rPr>
          <w:rFonts w:asciiTheme="minorHAnsi" w:hAnsiTheme="minorHAnsi" w:cstheme="minorHAnsi"/>
        </w:rPr>
        <w:t xml:space="preserve"> </w:t>
      </w:r>
      <w:r w:rsidRPr="009A6695">
        <w:rPr>
          <w:rFonts w:asciiTheme="minorHAnsi" w:hAnsiTheme="minorHAnsi" w:cstheme="minorHAnsi"/>
        </w:rPr>
        <w:tab/>
        <w:t>Ustanovení § 5 písm. e) zákona o zaměstnanosti.</w:t>
      </w:r>
    </w:p>
  </w:footnote>
  <w:footnote w:id="5">
    <w:p w14:paraId="33468FBE" w14:textId="682EED61" w:rsidR="00C60385" w:rsidRPr="006A7417" w:rsidRDefault="00C60385"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Pr>
          <w:rFonts w:asciiTheme="minorHAnsi" w:hAnsiTheme="minorHAnsi" w:cstheme="minorHAnsi"/>
        </w:rPr>
        <w:t>V souvislosti s u</w:t>
      </w:r>
      <w:r w:rsidRPr="00424B4A">
        <w:rPr>
          <w:rFonts w:asciiTheme="minorHAnsi" w:hAnsiTheme="minorHAnsi" w:cstheme="minorHAnsi"/>
        </w:rPr>
        <w:t>stanovení</w:t>
      </w:r>
      <w:r>
        <w:rPr>
          <w:rFonts w:asciiTheme="minorHAnsi" w:hAnsiTheme="minorHAnsi" w:cstheme="minorHAnsi"/>
        </w:rPr>
        <w:t>m</w:t>
      </w:r>
      <w:r w:rsidRPr="00424B4A">
        <w:rPr>
          <w:rFonts w:asciiTheme="minorHAnsi" w:hAnsiTheme="minorHAnsi" w:cstheme="minorHAnsi"/>
        </w:rPr>
        <w:t xml:space="preserve"> § 141b odst. 1 písm. b) zákona o zaměstnanosti</w:t>
      </w:r>
      <w:r w:rsidRPr="006A7417">
        <w:rPr>
          <w:rFonts w:asciiTheme="minorHAnsi" w:hAnsiTheme="minorHAnsi" w:cstheme="minorHAnsi"/>
        </w:rPr>
        <w:t>.</w:t>
      </w:r>
    </w:p>
  </w:footnote>
  <w:footnote w:id="6">
    <w:p w14:paraId="66E683E0" w14:textId="07AEC951" w:rsidR="00C42FD1" w:rsidRPr="00424B4A" w:rsidRDefault="00C42FD1"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Přestupky podle ustanovení § 139 odst. 1 písm. f), resp. § 140 odst. 1 písm. e) zákona o zaměstnanosti.</w:t>
      </w:r>
    </w:p>
  </w:footnote>
  <w:footnote w:id="7">
    <w:p w14:paraId="7129A833" w14:textId="1DD24D81" w:rsidR="00197500" w:rsidRPr="006A7417" w:rsidRDefault="00197500"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Směrnice Evropského parlamentu a Rady 2009/52/ES ze dne 18. června 2009</w:t>
      </w:r>
      <w:r w:rsidR="00E81E05">
        <w:rPr>
          <w:rFonts w:asciiTheme="minorHAnsi" w:hAnsiTheme="minorHAnsi" w:cstheme="minorHAnsi"/>
        </w:rPr>
        <w:t>,</w:t>
      </w:r>
      <w:r w:rsidRPr="00424B4A">
        <w:rPr>
          <w:rFonts w:asciiTheme="minorHAnsi" w:hAnsiTheme="minorHAnsi" w:cstheme="minorHAnsi"/>
        </w:rPr>
        <w:t xml:space="preserve"> o minimálních n</w:t>
      </w:r>
      <w:r w:rsidRPr="006A7417">
        <w:rPr>
          <w:rFonts w:asciiTheme="minorHAnsi" w:hAnsiTheme="minorHAnsi" w:cstheme="minorHAnsi"/>
        </w:rPr>
        <w:t>ormách pro sankce a opatření vůči zaměstnavatelům neoprávněně pobývajících státních příslušníků třetích zemí (dále také „Sankční směrnice“).</w:t>
      </w:r>
    </w:p>
  </w:footnote>
  <w:footnote w:id="8">
    <w:p w14:paraId="4DA8BF08" w14:textId="267D85EE" w:rsidR="006E6739" w:rsidRPr="006E6739" w:rsidRDefault="006E6739" w:rsidP="00C25745">
      <w:pPr>
        <w:pStyle w:val="Textpoznpodarou"/>
        <w:ind w:left="284" w:hanging="284"/>
        <w:jc w:val="both"/>
        <w:rPr>
          <w:rFonts w:asciiTheme="minorHAnsi" w:hAnsiTheme="minorHAnsi" w:cstheme="minorHAnsi"/>
        </w:rPr>
      </w:pPr>
      <w:r w:rsidRPr="006E6739">
        <w:rPr>
          <w:rStyle w:val="Znakapoznpodarou"/>
          <w:rFonts w:asciiTheme="minorHAnsi" w:hAnsiTheme="minorHAnsi" w:cstheme="minorHAnsi"/>
        </w:rPr>
        <w:footnoteRef/>
      </w:r>
      <w:r w:rsidRPr="006E6739">
        <w:rPr>
          <w:rFonts w:asciiTheme="minorHAnsi" w:hAnsiTheme="minorHAnsi" w:cstheme="minorHAnsi"/>
        </w:rPr>
        <w:t xml:space="preserve"> </w:t>
      </w:r>
      <w:r w:rsidR="00A40519">
        <w:rPr>
          <w:rFonts w:asciiTheme="minorHAnsi" w:hAnsiTheme="minorHAnsi" w:cstheme="minorHAnsi"/>
        </w:rPr>
        <w:tab/>
      </w:r>
      <w:r w:rsidRPr="006E6739">
        <w:rPr>
          <w:rFonts w:asciiTheme="minorHAnsi" w:hAnsiTheme="minorHAnsi" w:cstheme="minorHAnsi"/>
        </w:rPr>
        <w:t>Zákon č. 280/2009 Sb., daňový řád</w:t>
      </w:r>
      <w:r w:rsidR="00E81E05">
        <w:rPr>
          <w:rFonts w:asciiTheme="minorHAnsi" w:hAnsiTheme="minorHAnsi" w:cstheme="minorHAnsi"/>
        </w:rPr>
        <w:t>.</w:t>
      </w:r>
    </w:p>
  </w:footnote>
  <w:footnote w:id="9">
    <w:p w14:paraId="094AFB25" w14:textId="5CB8F0CA" w:rsidR="00C42FD1" w:rsidRPr="001D294E" w:rsidRDefault="00C42FD1" w:rsidP="00A40519">
      <w:pPr>
        <w:pStyle w:val="Textpoznpodarou"/>
        <w:ind w:left="284" w:hanging="284"/>
        <w:jc w:val="both"/>
        <w:rPr>
          <w:rFonts w:asciiTheme="minorHAnsi" w:hAnsiTheme="minorHAnsi" w:cstheme="minorHAnsi"/>
        </w:rPr>
      </w:pPr>
      <w:r w:rsidRPr="001D294E">
        <w:rPr>
          <w:rStyle w:val="Znakapoznpodarou"/>
          <w:rFonts w:asciiTheme="minorHAnsi" w:hAnsiTheme="minorHAnsi" w:cstheme="minorHAnsi"/>
        </w:rPr>
        <w:footnoteRef/>
      </w:r>
      <w:r w:rsidRPr="001D294E">
        <w:rPr>
          <w:rFonts w:asciiTheme="minorHAnsi" w:hAnsiTheme="minorHAnsi" w:cstheme="minorHAnsi"/>
        </w:rPr>
        <w:t xml:space="preserve"> </w:t>
      </w:r>
      <w:r w:rsidR="00A40519">
        <w:rPr>
          <w:rFonts w:asciiTheme="minorHAnsi" w:hAnsiTheme="minorHAnsi" w:cstheme="minorHAnsi"/>
        </w:rPr>
        <w:tab/>
      </w:r>
      <w:r w:rsidRPr="001D294E">
        <w:rPr>
          <w:rFonts w:asciiTheme="minorHAnsi" w:hAnsiTheme="minorHAnsi" w:cstheme="minorHAnsi"/>
        </w:rPr>
        <w:t>Celkový počet ke dni 13. 8. 2024.</w:t>
      </w:r>
    </w:p>
  </w:footnote>
  <w:footnote w:id="10">
    <w:p w14:paraId="1C9164C7" w14:textId="29AB6CFC" w:rsidR="00C42FD1" w:rsidRPr="001D294E" w:rsidRDefault="00C42FD1" w:rsidP="00A40519">
      <w:pPr>
        <w:pStyle w:val="Textpoznpodarou"/>
        <w:ind w:left="284" w:hanging="284"/>
        <w:jc w:val="both"/>
        <w:rPr>
          <w:rFonts w:asciiTheme="minorHAnsi" w:hAnsiTheme="minorHAnsi" w:cstheme="minorHAnsi"/>
        </w:rPr>
      </w:pPr>
      <w:r w:rsidRPr="001D294E">
        <w:rPr>
          <w:rStyle w:val="Znakapoznpodarou"/>
          <w:rFonts w:asciiTheme="minorHAnsi" w:hAnsiTheme="minorHAnsi" w:cstheme="minorHAnsi"/>
        </w:rPr>
        <w:footnoteRef/>
      </w:r>
      <w:r w:rsidRPr="001D294E">
        <w:rPr>
          <w:rFonts w:asciiTheme="minorHAnsi" w:hAnsiTheme="minorHAnsi" w:cstheme="minorHAnsi"/>
        </w:rPr>
        <w:t xml:space="preserve"> </w:t>
      </w:r>
      <w:r w:rsidR="00A40519">
        <w:rPr>
          <w:rFonts w:asciiTheme="minorHAnsi" w:hAnsiTheme="minorHAnsi" w:cstheme="minorHAnsi"/>
        </w:rPr>
        <w:tab/>
      </w:r>
      <w:r w:rsidRPr="001D294E">
        <w:rPr>
          <w:rFonts w:asciiTheme="minorHAnsi" w:hAnsiTheme="minorHAnsi" w:cstheme="minorHAnsi"/>
        </w:rPr>
        <w:t>Do roku 2023 od Generálního ředitelství Úřadu práce</w:t>
      </w:r>
      <w:r w:rsidR="00825187">
        <w:rPr>
          <w:rFonts w:asciiTheme="minorHAnsi" w:hAnsiTheme="minorHAnsi" w:cstheme="minorHAnsi"/>
        </w:rPr>
        <w:t xml:space="preserve"> ČR</w:t>
      </w:r>
      <w:r w:rsidRPr="001D294E">
        <w:rPr>
          <w:rFonts w:asciiTheme="minorHAnsi" w:hAnsiTheme="minorHAnsi" w:cstheme="minorHAnsi"/>
        </w:rPr>
        <w:t>.</w:t>
      </w:r>
    </w:p>
  </w:footnote>
  <w:footnote w:id="11">
    <w:p w14:paraId="5C323B41" w14:textId="2DF8D8FD" w:rsidR="00C42FD1" w:rsidRPr="00E260D9" w:rsidRDefault="00C42FD1" w:rsidP="00A40519">
      <w:pPr>
        <w:pStyle w:val="Textpoznpodarou"/>
        <w:ind w:left="284" w:hanging="284"/>
        <w:jc w:val="both"/>
        <w:rPr>
          <w:rFonts w:asciiTheme="minorHAnsi" w:hAnsiTheme="minorHAnsi" w:cstheme="minorHAnsi"/>
        </w:rPr>
      </w:pPr>
      <w:r w:rsidRPr="00E260D9">
        <w:rPr>
          <w:rStyle w:val="Znakapoznpodarou"/>
          <w:rFonts w:asciiTheme="minorHAnsi" w:hAnsiTheme="minorHAnsi" w:cstheme="minorHAnsi"/>
        </w:rPr>
        <w:footnoteRef/>
      </w:r>
      <w:r w:rsidRPr="00E260D9">
        <w:rPr>
          <w:rFonts w:asciiTheme="minorHAnsi" w:hAnsiTheme="minorHAnsi" w:cstheme="minorHAnsi"/>
        </w:rPr>
        <w:t xml:space="preserve"> </w:t>
      </w:r>
      <w:r w:rsidR="00A40519">
        <w:rPr>
          <w:rFonts w:asciiTheme="minorHAnsi" w:hAnsiTheme="minorHAnsi" w:cstheme="minorHAnsi"/>
        </w:rPr>
        <w:tab/>
      </w:r>
      <w:r w:rsidRPr="001D294E">
        <w:rPr>
          <w:rFonts w:asciiTheme="minorHAnsi" w:hAnsiTheme="minorHAnsi" w:cstheme="minorHAnsi"/>
        </w:rPr>
        <w:t>Zákon České národní rady č. 592/1992 Sb., o pojistném na veřejné zdravotní pojištění.</w:t>
      </w:r>
    </w:p>
  </w:footnote>
  <w:footnote w:id="12">
    <w:p w14:paraId="606BEC13" w14:textId="194CA255" w:rsidR="001D294E" w:rsidRPr="000C1B16" w:rsidRDefault="001D294E" w:rsidP="00A40519">
      <w:pPr>
        <w:pStyle w:val="Textpoznpodarou"/>
        <w:ind w:left="284" w:hanging="284"/>
        <w:jc w:val="both"/>
        <w:rPr>
          <w:rFonts w:asciiTheme="minorHAnsi" w:hAnsiTheme="minorHAnsi" w:cstheme="minorHAnsi"/>
        </w:rPr>
      </w:pPr>
      <w:r w:rsidRPr="000C1B16">
        <w:rPr>
          <w:rStyle w:val="Znakapoznpodarou"/>
          <w:rFonts w:asciiTheme="minorHAnsi" w:hAnsiTheme="minorHAnsi" w:cstheme="minorHAnsi"/>
        </w:rPr>
        <w:footnoteRef/>
      </w:r>
      <w:r w:rsidRPr="000C1B16">
        <w:rPr>
          <w:rFonts w:asciiTheme="minorHAnsi" w:hAnsiTheme="minorHAnsi" w:cstheme="minorHAnsi"/>
        </w:rPr>
        <w:t xml:space="preserve"> </w:t>
      </w:r>
      <w:r w:rsidR="00A40519">
        <w:rPr>
          <w:rFonts w:asciiTheme="minorHAnsi" w:hAnsiTheme="minorHAnsi" w:cstheme="minorHAnsi"/>
        </w:rPr>
        <w:tab/>
      </w:r>
      <w:r w:rsidRPr="000C1B16">
        <w:rPr>
          <w:rFonts w:asciiTheme="minorHAnsi" w:hAnsiTheme="minorHAnsi" w:cstheme="minorHAnsi"/>
        </w:rPr>
        <w:t>Přestupky podle ustanovení § 139 odst. 1 písm. f), resp. § 140 odst. 1 písm. e) zákona o zaměstnanosti.</w:t>
      </w:r>
    </w:p>
  </w:footnote>
  <w:footnote w:id="13">
    <w:p w14:paraId="77E189ED" w14:textId="3EA93F92" w:rsidR="005C77FA" w:rsidRPr="00090DB2" w:rsidRDefault="005C77FA" w:rsidP="00A40519">
      <w:pPr>
        <w:pStyle w:val="Textpoznpodarou"/>
        <w:ind w:left="284" w:hanging="284"/>
        <w:jc w:val="both"/>
        <w:rPr>
          <w:rFonts w:asciiTheme="minorHAnsi" w:hAnsiTheme="minorHAnsi" w:cstheme="minorHAnsi"/>
        </w:rPr>
      </w:pPr>
      <w:r w:rsidRPr="001D294E">
        <w:rPr>
          <w:rStyle w:val="Znakapoznpodarou"/>
          <w:rFonts w:asciiTheme="minorHAnsi" w:hAnsiTheme="minorHAnsi" w:cstheme="minorHAnsi"/>
        </w:rPr>
        <w:footnoteRef/>
      </w:r>
      <w:r w:rsidRPr="001D294E">
        <w:rPr>
          <w:rFonts w:asciiTheme="minorHAnsi" w:hAnsiTheme="minorHAnsi" w:cstheme="minorHAnsi"/>
        </w:rPr>
        <w:t xml:space="preserve"> </w:t>
      </w:r>
      <w:r w:rsidR="00A40519">
        <w:rPr>
          <w:rFonts w:asciiTheme="minorHAnsi" w:hAnsiTheme="minorHAnsi" w:cstheme="minorHAnsi"/>
        </w:rPr>
        <w:tab/>
      </w:r>
      <w:r w:rsidRPr="001D294E">
        <w:rPr>
          <w:rFonts w:asciiTheme="minorHAnsi" w:hAnsiTheme="minorHAnsi" w:cstheme="minorHAnsi"/>
        </w:rPr>
        <w:t>K 31. 12. 2024 došlo z rozhodnutí zřizovatele (MPSV) ke zrušení této veřejné výzkumné instituce rozhodnutím o sloučení s Výzkumným ústavem bezpečnosti práce jako nástupnickou institucí, a to k 1. 1. 2025, a o změně názvu nástupnické instituce na Výzkumný institut práce a sociálních věcí, v. v. i.</w:t>
      </w:r>
    </w:p>
  </w:footnote>
  <w:footnote w:id="14">
    <w:p w14:paraId="0881F58A" w14:textId="0BFC115C" w:rsidR="00C42FD1" w:rsidRPr="001D294E" w:rsidRDefault="00C42FD1" w:rsidP="00A40519">
      <w:pPr>
        <w:pStyle w:val="Textpoznpodarou"/>
        <w:ind w:left="284" w:hanging="284"/>
        <w:jc w:val="both"/>
        <w:rPr>
          <w:rFonts w:asciiTheme="minorHAnsi" w:hAnsiTheme="minorHAnsi" w:cstheme="minorHAnsi"/>
        </w:rPr>
      </w:pPr>
      <w:r w:rsidRPr="001D294E">
        <w:rPr>
          <w:rStyle w:val="Znakapoznpodarou"/>
          <w:rFonts w:asciiTheme="minorHAnsi" w:hAnsiTheme="minorHAnsi" w:cstheme="minorHAnsi"/>
        </w:rPr>
        <w:footnoteRef/>
      </w:r>
      <w:r w:rsidRPr="001D294E">
        <w:rPr>
          <w:rFonts w:asciiTheme="minorHAnsi" w:hAnsiTheme="minorHAnsi" w:cstheme="minorHAnsi"/>
        </w:rPr>
        <w:t xml:space="preserve"> </w:t>
      </w:r>
      <w:r w:rsidR="00A40519">
        <w:rPr>
          <w:rFonts w:asciiTheme="minorHAnsi" w:hAnsiTheme="minorHAnsi" w:cstheme="minorHAnsi"/>
        </w:rPr>
        <w:tab/>
      </w:r>
      <w:r w:rsidR="006A7FE1" w:rsidRPr="001D294E">
        <w:rPr>
          <w:rFonts w:asciiTheme="minorHAnsi" w:hAnsiTheme="minorHAnsi" w:cstheme="minorHAnsi"/>
        </w:rPr>
        <w:t>Jedná se o průměr p</w:t>
      </w:r>
      <w:r w:rsidRPr="001D294E">
        <w:rPr>
          <w:rFonts w:asciiTheme="minorHAnsi" w:hAnsiTheme="minorHAnsi" w:cstheme="minorHAnsi"/>
        </w:rPr>
        <w:t xml:space="preserve">ři uvažování minimální </w:t>
      </w:r>
      <w:r w:rsidR="005C77FA">
        <w:rPr>
          <w:rFonts w:asciiTheme="minorHAnsi" w:hAnsiTheme="minorHAnsi" w:cstheme="minorHAnsi"/>
        </w:rPr>
        <w:t>a</w:t>
      </w:r>
      <w:r w:rsidR="005C77FA" w:rsidRPr="001D294E">
        <w:rPr>
          <w:rFonts w:asciiTheme="minorHAnsi" w:hAnsiTheme="minorHAnsi" w:cstheme="minorHAnsi"/>
        </w:rPr>
        <w:t xml:space="preserve"> </w:t>
      </w:r>
      <w:r w:rsidRPr="001D294E">
        <w:rPr>
          <w:rFonts w:asciiTheme="minorHAnsi" w:hAnsiTheme="minorHAnsi" w:cstheme="minorHAnsi"/>
        </w:rPr>
        <w:t>průměrné mzdy.</w:t>
      </w:r>
    </w:p>
  </w:footnote>
  <w:footnote w:id="15">
    <w:p w14:paraId="7CB568F9" w14:textId="6032A7B9" w:rsidR="00C42FD1" w:rsidRPr="001D294E" w:rsidRDefault="00C42FD1" w:rsidP="00A40519">
      <w:pPr>
        <w:pStyle w:val="Textpoznpodarou"/>
        <w:ind w:left="284" w:hanging="284"/>
        <w:jc w:val="both"/>
        <w:rPr>
          <w:rFonts w:asciiTheme="minorHAnsi" w:hAnsiTheme="minorHAnsi" w:cstheme="minorHAnsi"/>
        </w:rPr>
      </w:pPr>
      <w:r w:rsidRPr="001D294E">
        <w:rPr>
          <w:rStyle w:val="Znakapoznpodarou"/>
          <w:rFonts w:asciiTheme="minorHAnsi" w:hAnsiTheme="minorHAnsi" w:cstheme="minorHAnsi"/>
        </w:rPr>
        <w:footnoteRef/>
      </w:r>
      <w:r w:rsidRPr="001D294E">
        <w:rPr>
          <w:rFonts w:asciiTheme="minorHAnsi" w:hAnsiTheme="minorHAnsi" w:cstheme="minorHAnsi"/>
        </w:rPr>
        <w:t xml:space="preserve"> </w:t>
      </w:r>
      <w:r w:rsidR="00A40519">
        <w:rPr>
          <w:rFonts w:asciiTheme="minorHAnsi" w:hAnsiTheme="minorHAnsi" w:cstheme="minorHAnsi"/>
        </w:rPr>
        <w:tab/>
      </w:r>
      <w:r w:rsidRPr="001D294E">
        <w:rPr>
          <w:rFonts w:asciiTheme="minorHAnsi" w:hAnsiTheme="minorHAnsi" w:cstheme="minorHAnsi"/>
        </w:rPr>
        <w:t>Jedná se o odhad na základě dat Českého statistického úřadu</w:t>
      </w:r>
      <w:r w:rsidR="000C1B16">
        <w:rPr>
          <w:rFonts w:asciiTheme="minorHAnsi" w:hAnsiTheme="minorHAnsi" w:cstheme="minorHAnsi"/>
        </w:rPr>
        <w:t>.</w:t>
      </w:r>
      <w:r w:rsidRPr="001D294E">
        <w:rPr>
          <w:rFonts w:asciiTheme="minorHAnsi" w:hAnsiTheme="minorHAnsi" w:cstheme="minorHAnsi"/>
        </w:rPr>
        <w:t xml:space="preserve"> </w:t>
      </w:r>
    </w:p>
  </w:footnote>
  <w:footnote w:id="16">
    <w:p w14:paraId="1882E756" w14:textId="7DF89FD3" w:rsidR="006A7FE1" w:rsidRPr="00424B4A" w:rsidRDefault="006A7FE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6164D5">
        <w:rPr>
          <w:rFonts w:asciiTheme="minorHAnsi" w:hAnsiTheme="minorHAnsi" w:cstheme="minorHAnsi"/>
          <w:i/>
          <w:iCs/>
        </w:rPr>
        <w:t>Studie o účinnosti politik pro řešení nehlášené práce</w:t>
      </w:r>
      <w:r w:rsidRPr="00424B4A">
        <w:rPr>
          <w:rFonts w:asciiTheme="minorHAnsi" w:hAnsiTheme="minorHAnsi" w:cstheme="minorHAnsi"/>
        </w:rPr>
        <w:t xml:space="preserve"> (VT/2021/0380), Evropská komise, 25. července 2023.</w:t>
      </w:r>
    </w:p>
  </w:footnote>
  <w:footnote w:id="17">
    <w:p w14:paraId="4314F229" w14:textId="0777DD98" w:rsidR="009A6695" w:rsidRPr="009A6695" w:rsidRDefault="009A6695" w:rsidP="00C25745">
      <w:pPr>
        <w:pStyle w:val="Textpoznpodarou"/>
        <w:ind w:left="284" w:hanging="284"/>
        <w:jc w:val="both"/>
        <w:rPr>
          <w:rFonts w:asciiTheme="minorHAnsi" w:hAnsiTheme="minorHAnsi" w:cstheme="minorHAnsi"/>
        </w:rPr>
      </w:pPr>
      <w:r w:rsidRPr="009A6695">
        <w:rPr>
          <w:rStyle w:val="Znakapoznpodarou"/>
          <w:rFonts w:asciiTheme="minorHAnsi" w:hAnsiTheme="minorHAnsi" w:cstheme="minorHAnsi"/>
        </w:rPr>
        <w:footnoteRef/>
      </w:r>
      <w:r w:rsidRPr="009A6695">
        <w:rPr>
          <w:rFonts w:asciiTheme="minorHAnsi" w:hAnsiTheme="minorHAnsi" w:cstheme="minorHAnsi"/>
        </w:rPr>
        <w:t xml:space="preserve"> </w:t>
      </w:r>
      <w:r>
        <w:rPr>
          <w:rFonts w:asciiTheme="minorHAnsi" w:hAnsiTheme="minorHAnsi" w:cstheme="minorHAnsi"/>
        </w:rPr>
        <w:tab/>
      </w:r>
      <w:r w:rsidRPr="00424B4A">
        <w:rPr>
          <w:rFonts w:asciiTheme="minorHAnsi" w:hAnsiTheme="minorHAnsi" w:cstheme="minorHAnsi"/>
        </w:rPr>
        <w:t xml:space="preserve">V rámci EU se pracuje s širším pojmem </w:t>
      </w:r>
      <w:r w:rsidR="00757F5F">
        <w:rPr>
          <w:rFonts w:asciiTheme="minorHAnsi" w:hAnsiTheme="minorHAnsi" w:cstheme="minorHAnsi"/>
        </w:rPr>
        <w:t>„</w:t>
      </w:r>
      <w:r w:rsidRPr="00424B4A">
        <w:rPr>
          <w:rFonts w:asciiTheme="minorHAnsi" w:hAnsiTheme="minorHAnsi" w:cstheme="minorHAnsi"/>
        </w:rPr>
        <w:t>nedeklarovaná (nehlášená) práce</w:t>
      </w:r>
      <w:r w:rsidR="00757F5F">
        <w:rPr>
          <w:rFonts w:asciiTheme="minorHAnsi" w:hAnsiTheme="minorHAnsi" w:cstheme="minorHAnsi"/>
        </w:rPr>
        <w:t>“</w:t>
      </w:r>
      <w:r w:rsidRPr="00424B4A">
        <w:rPr>
          <w:rFonts w:asciiTheme="minorHAnsi" w:hAnsiTheme="minorHAnsi" w:cstheme="minorHAnsi"/>
        </w:rPr>
        <w:t xml:space="preserve">, </w:t>
      </w:r>
      <w:r w:rsidR="00757F5F">
        <w:rPr>
          <w:rFonts w:asciiTheme="minorHAnsi" w:hAnsiTheme="minorHAnsi" w:cstheme="minorHAnsi"/>
        </w:rPr>
        <w:t>který zahrnuje</w:t>
      </w:r>
      <w:r w:rsidRPr="00424B4A">
        <w:rPr>
          <w:rFonts w:asciiTheme="minorHAnsi" w:hAnsiTheme="minorHAnsi" w:cstheme="minorHAnsi"/>
        </w:rPr>
        <w:t xml:space="preserve"> jak</w:t>
      </w:r>
      <w:r w:rsidR="00757F5F">
        <w:rPr>
          <w:rFonts w:asciiTheme="minorHAnsi" w:hAnsiTheme="minorHAnsi" w:cstheme="minorHAnsi"/>
        </w:rPr>
        <w:t>ou</w:t>
      </w:r>
      <w:r w:rsidRPr="00424B4A">
        <w:rPr>
          <w:rFonts w:asciiTheme="minorHAnsi" w:hAnsiTheme="minorHAnsi" w:cstheme="minorHAnsi"/>
        </w:rPr>
        <w:t>koliv prác</w:t>
      </w:r>
      <w:r w:rsidR="00757F5F">
        <w:rPr>
          <w:rFonts w:asciiTheme="minorHAnsi" w:hAnsiTheme="minorHAnsi" w:cstheme="minorHAnsi"/>
        </w:rPr>
        <w:t>i</w:t>
      </w:r>
      <w:r w:rsidRPr="00424B4A">
        <w:rPr>
          <w:rFonts w:asciiTheme="minorHAnsi" w:hAnsiTheme="minorHAnsi" w:cstheme="minorHAnsi"/>
        </w:rPr>
        <w:t>, jež není řádně vykázána příslušným autoritám</w:t>
      </w:r>
      <w:r>
        <w:rPr>
          <w:rFonts w:asciiTheme="minorHAnsi" w:hAnsiTheme="minorHAnsi" w:cstheme="minorHAnsi"/>
        </w:rPr>
        <w:t>.</w:t>
      </w:r>
    </w:p>
  </w:footnote>
  <w:footnote w:id="18">
    <w:p w14:paraId="5689215A" w14:textId="71BBD9B5" w:rsidR="00C42FD1" w:rsidRPr="00090DB2" w:rsidRDefault="00C42FD1" w:rsidP="003D5D99">
      <w:pPr>
        <w:pStyle w:val="Textpoznpodarou"/>
        <w:ind w:left="284" w:hanging="284"/>
        <w:jc w:val="both"/>
        <w:rPr>
          <w:rFonts w:asciiTheme="minorHAnsi" w:hAnsiTheme="minorHAnsi" w:cstheme="minorHAnsi"/>
        </w:rPr>
      </w:pPr>
      <w:r w:rsidRPr="00090DB2">
        <w:rPr>
          <w:rStyle w:val="Znakapoznpodarou"/>
          <w:rFonts w:asciiTheme="minorHAnsi" w:hAnsiTheme="minorHAnsi" w:cstheme="minorHAnsi"/>
        </w:rPr>
        <w:footnoteRef/>
      </w:r>
      <w:r w:rsidRPr="00090DB2">
        <w:rPr>
          <w:rFonts w:asciiTheme="minorHAnsi" w:hAnsiTheme="minorHAnsi" w:cstheme="minorHAnsi"/>
        </w:rPr>
        <w:t xml:space="preserve"> </w:t>
      </w:r>
      <w:r w:rsidR="00A40519">
        <w:rPr>
          <w:rFonts w:asciiTheme="minorHAnsi" w:hAnsiTheme="minorHAnsi" w:cstheme="minorHAnsi"/>
        </w:rPr>
        <w:tab/>
      </w:r>
      <w:r w:rsidRPr="00090DB2">
        <w:rPr>
          <w:rFonts w:asciiTheme="minorHAnsi" w:hAnsiTheme="minorHAnsi" w:cstheme="minorHAnsi"/>
        </w:rPr>
        <w:t>Od 1. 1. 2024 do</w:t>
      </w:r>
      <w:r w:rsidR="00757F5F">
        <w:rPr>
          <w:rFonts w:asciiTheme="minorHAnsi" w:hAnsiTheme="minorHAnsi" w:cstheme="minorHAnsi"/>
        </w:rPr>
        <w:t>šlo</w:t>
      </w:r>
      <w:r w:rsidRPr="00090DB2">
        <w:rPr>
          <w:rFonts w:asciiTheme="minorHAnsi" w:hAnsiTheme="minorHAnsi" w:cstheme="minorHAnsi"/>
        </w:rPr>
        <w:t xml:space="preserve"> ke změně definice „nelegální práce“ – namísto slovního spojení „závisl</w:t>
      </w:r>
      <w:r w:rsidR="00370AB4">
        <w:rPr>
          <w:rFonts w:asciiTheme="minorHAnsi" w:hAnsiTheme="minorHAnsi" w:cstheme="minorHAnsi"/>
        </w:rPr>
        <w:t>á</w:t>
      </w:r>
      <w:r w:rsidRPr="00090DB2">
        <w:rPr>
          <w:rFonts w:asciiTheme="minorHAnsi" w:hAnsiTheme="minorHAnsi" w:cstheme="minorHAnsi"/>
        </w:rPr>
        <w:t xml:space="preserve"> práce“ je nově </w:t>
      </w:r>
      <w:r w:rsidR="00370AB4">
        <w:rPr>
          <w:rFonts w:asciiTheme="minorHAnsi" w:hAnsiTheme="minorHAnsi" w:cstheme="minorHAnsi"/>
        </w:rPr>
        <w:t xml:space="preserve">uveden </w:t>
      </w:r>
      <w:r w:rsidR="00825187">
        <w:rPr>
          <w:rFonts w:asciiTheme="minorHAnsi" w:hAnsiTheme="minorHAnsi" w:cstheme="minorHAnsi"/>
        </w:rPr>
        <w:t>text</w:t>
      </w:r>
      <w:r w:rsidR="00370AB4">
        <w:rPr>
          <w:rFonts w:asciiTheme="minorHAnsi" w:hAnsiTheme="minorHAnsi" w:cstheme="minorHAnsi"/>
        </w:rPr>
        <w:t xml:space="preserve"> </w:t>
      </w:r>
      <w:r w:rsidRPr="00090DB2">
        <w:rPr>
          <w:rFonts w:asciiTheme="minorHAnsi" w:hAnsiTheme="minorHAnsi" w:cstheme="minorHAnsi"/>
        </w:rPr>
        <w:t>„</w:t>
      </w:r>
      <w:r w:rsidRPr="006164D5">
        <w:rPr>
          <w:rFonts w:asciiTheme="minorHAnsi" w:hAnsiTheme="minorHAnsi" w:cstheme="minorHAnsi"/>
          <w:i/>
          <w:iCs/>
        </w:rPr>
        <w:t>práce, která má znaky závislé práce podle § 2 odst. 1 zákoníku práce</w:t>
      </w:r>
      <w:r w:rsidRPr="00090DB2">
        <w:rPr>
          <w:rFonts w:asciiTheme="minorHAnsi" w:hAnsiTheme="minorHAnsi" w:cstheme="minorHAnsi"/>
        </w:rPr>
        <w:t>“</w:t>
      </w:r>
      <w:r w:rsidR="00FB3DD9">
        <w:rPr>
          <w:rFonts w:asciiTheme="minorHAnsi" w:hAnsiTheme="minorHAnsi" w:cstheme="minorHAnsi"/>
        </w:rPr>
        <w:t>.</w:t>
      </w:r>
    </w:p>
  </w:footnote>
  <w:footnote w:id="19">
    <w:p w14:paraId="29AF89C1" w14:textId="66B8C8A1" w:rsidR="00C42FD1" w:rsidRPr="00090DB2" w:rsidRDefault="00C42FD1" w:rsidP="00C25745">
      <w:pPr>
        <w:pStyle w:val="Textpoznpodarou"/>
        <w:ind w:left="284" w:hanging="284"/>
        <w:jc w:val="both"/>
        <w:rPr>
          <w:rFonts w:asciiTheme="minorHAnsi" w:hAnsiTheme="minorHAnsi" w:cstheme="minorHAnsi"/>
          <w:noProof/>
        </w:rPr>
      </w:pPr>
      <w:r w:rsidRPr="00090DB2">
        <w:rPr>
          <w:rStyle w:val="Znakapoznpodarou"/>
          <w:rFonts w:asciiTheme="minorHAnsi" w:eastAsia="Calibri" w:hAnsiTheme="minorHAnsi" w:cstheme="minorHAnsi"/>
          <w:noProof/>
        </w:rPr>
        <w:footnoteRef/>
      </w:r>
      <w:r w:rsidRPr="00090DB2">
        <w:rPr>
          <w:rFonts w:asciiTheme="minorHAnsi" w:hAnsiTheme="minorHAnsi" w:cstheme="minorHAnsi"/>
          <w:noProof/>
        </w:rPr>
        <w:t xml:space="preserve"> </w:t>
      </w:r>
      <w:r w:rsidR="00A40519">
        <w:rPr>
          <w:rFonts w:asciiTheme="minorHAnsi" w:hAnsiTheme="minorHAnsi" w:cstheme="minorHAnsi"/>
          <w:noProof/>
        </w:rPr>
        <w:tab/>
      </w:r>
      <w:r w:rsidR="00F73B07">
        <w:rPr>
          <w:rFonts w:asciiTheme="minorHAnsi" w:hAnsiTheme="minorHAnsi" w:cstheme="minorHAnsi"/>
          <w:noProof/>
        </w:rPr>
        <w:t>U</w:t>
      </w:r>
      <w:r w:rsidR="006164D5" w:rsidRPr="00090DB2">
        <w:rPr>
          <w:rFonts w:asciiTheme="minorHAnsi" w:hAnsiTheme="minorHAnsi" w:cstheme="minorHAnsi"/>
          <w:noProof/>
        </w:rPr>
        <w:t>st</w:t>
      </w:r>
      <w:r w:rsidR="006164D5">
        <w:rPr>
          <w:rFonts w:asciiTheme="minorHAnsi" w:hAnsiTheme="minorHAnsi" w:cstheme="minorHAnsi"/>
          <w:noProof/>
        </w:rPr>
        <w:t>anovení</w:t>
      </w:r>
      <w:r w:rsidR="006164D5" w:rsidRPr="00090DB2">
        <w:rPr>
          <w:rFonts w:asciiTheme="minorHAnsi" w:hAnsiTheme="minorHAnsi" w:cstheme="minorHAnsi"/>
          <w:noProof/>
        </w:rPr>
        <w:t xml:space="preserve"> § 98</w:t>
      </w:r>
      <w:r w:rsidR="00705ED0">
        <w:rPr>
          <w:rFonts w:asciiTheme="minorHAnsi" w:hAnsiTheme="minorHAnsi" w:cstheme="minorHAnsi"/>
          <w:noProof/>
        </w:rPr>
        <w:t>,</w:t>
      </w:r>
      <w:r w:rsidR="006164D5" w:rsidRPr="00090DB2">
        <w:rPr>
          <w:rFonts w:asciiTheme="minorHAnsi" w:hAnsiTheme="minorHAnsi" w:cstheme="minorHAnsi"/>
          <w:noProof/>
        </w:rPr>
        <w:t xml:space="preserve"> § 98a zákona o zaměstnanosti</w:t>
      </w:r>
      <w:r w:rsidR="006164D5">
        <w:rPr>
          <w:rFonts w:asciiTheme="minorHAnsi" w:hAnsiTheme="minorHAnsi" w:cstheme="minorHAnsi"/>
          <w:noProof/>
        </w:rPr>
        <w:t xml:space="preserve"> upravuj</w:t>
      </w:r>
      <w:r w:rsidR="00E07635">
        <w:rPr>
          <w:rFonts w:asciiTheme="minorHAnsi" w:hAnsiTheme="minorHAnsi" w:cstheme="minorHAnsi"/>
          <w:noProof/>
        </w:rPr>
        <w:t>e</w:t>
      </w:r>
      <w:r w:rsidR="006164D5">
        <w:rPr>
          <w:rFonts w:asciiTheme="minorHAnsi" w:hAnsiTheme="minorHAnsi" w:cstheme="minorHAnsi"/>
          <w:noProof/>
        </w:rPr>
        <w:t>, kdy se povolení k zaměstnání cizince nevyžaduje.</w:t>
      </w:r>
    </w:p>
  </w:footnote>
  <w:footnote w:id="20">
    <w:p w14:paraId="6A1E3224" w14:textId="10BEF6F0" w:rsidR="00C42FD1" w:rsidRPr="00090DB2" w:rsidRDefault="00C42FD1" w:rsidP="00C25745">
      <w:pPr>
        <w:pStyle w:val="Textpoznpodarou"/>
        <w:ind w:left="284" w:hanging="284"/>
        <w:jc w:val="both"/>
        <w:rPr>
          <w:rFonts w:asciiTheme="minorHAnsi" w:hAnsiTheme="minorHAnsi" w:cstheme="minorHAnsi"/>
        </w:rPr>
      </w:pPr>
      <w:r w:rsidRPr="00090DB2">
        <w:rPr>
          <w:rStyle w:val="Znakapoznpodarou"/>
          <w:rFonts w:asciiTheme="minorHAnsi" w:hAnsiTheme="minorHAnsi" w:cstheme="minorHAnsi"/>
        </w:rPr>
        <w:footnoteRef/>
      </w:r>
      <w:r w:rsidRPr="00090DB2">
        <w:rPr>
          <w:rFonts w:asciiTheme="minorHAnsi" w:hAnsiTheme="minorHAnsi" w:cstheme="minorHAnsi"/>
        </w:rPr>
        <w:t xml:space="preserve"> </w:t>
      </w:r>
      <w:r w:rsidR="00A40519">
        <w:rPr>
          <w:rFonts w:asciiTheme="minorHAnsi" w:hAnsiTheme="minorHAnsi" w:cstheme="minorHAnsi"/>
        </w:rPr>
        <w:tab/>
      </w:r>
      <w:r w:rsidRPr="00090DB2">
        <w:rPr>
          <w:rFonts w:asciiTheme="minorHAnsi" w:hAnsiTheme="minorHAnsi" w:cstheme="minorHAnsi"/>
        </w:rPr>
        <w:t>V případě uložení pokuty za přestupky umožňující výkon nelegální práce lze osobě, která se přestupku dopustila, uložit zákaz činnosti, a to nejdéle na 2 roky.</w:t>
      </w:r>
    </w:p>
  </w:footnote>
  <w:footnote w:id="21">
    <w:p w14:paraId="78EE4E6F" w14:textId="6DE8753C" w:rsidR="009A6695" w:rsidRPr="009A6695" w:rsidRDefault="009A6695" w:rsidP="00C25745">
      <w:pPr>
        <w:pStyle w:val="Textpoznpodarou"/>
        <w:ind w:left="284" w:hanging="284"/>
        <w:jc w:val="both"/>
        <w:rPr>
          <w:rFonts w:asciiTheme="minorHAnsi" w:hAnsiTheme="minorHAnsi" w:cstheme="minorHAnsi"/>
        </w:rPr>
      </w:pPr>
      <w:r w:rsidRPr="009A6695">
        <w:rPr>
          <w:rStyle w:val="Znakapoznpodarou"/>
          <w:rFonts w:asciiTheme="minorHAnsi" w:hAnsiTheme="minorHAnsi" w:cstheme="minorHAnsi"/>
        </w:rPr>
        <w:footnoteRef/>
      </w:r>
      <w:r w:rsidRPr="009A6695">
        <w:rPr>
          <w:rFonts w:asciiTheme="minorHAnsi" w:hAnsiTheme="minorHAnsi" w:cstheme="minorHAnsi"/>
        </w:rPr>
        <w:t xml:space="preserve"> </w:t>
      </w:r>
      <w:r>
        <w:rPr>
          <w:rFonts w:asciiTheme="minorHAnsi" w:hAnsiTheme="minorHAnsi" w:cstheme="minorHAnsi"/>
        </w:rPr>
        <w:tab/>
      </w:r>
      <w:r w:rsidRPr="009A6695">
        <w:rPr>
          <w:rFonts w:asciiTheme="minorHAnsi" w:hAnsiTheme="minorHAnsi" w:cstheme="minorHAnsi"/>
        </w:rPr>
        <w:t>Ustanovení § 57 a následující zákona č. 280/2009 Sb</w:t>
      </w:r>
      <w:r>
        <w:rPr>
          <w:rFonts w:asciiTheme="minorHAnsi" w:hAnsiTheme="minorHAnsi" w:cstheme="minorHAnsi"/>
        </w:rPr>
        <w:t>.</w:t>
      </w:r>
    </w:p>
  </w:footnote>
  <w:footnote w:id="22">
    <w:p w14:paraId="2B0A0446" w14:textId="057C660D" w:rsidR="00C42FD1" w:rsidRPr="00090DB2" w:rsidRDefault="00C42FD1"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Ustanovení § 117 zákona č. 187/2006 Sb.</w:t>
      </w:r>
    </w:p>
  </w:footnote>
  <w:footnote w:id="23">
    <w:p w14:paraId="39F03E13" w14:textId="22224862" w:rsidR="009A6695" w:rsidRPr="009A6695" w:rsidRDefault="009A6695" w:rsidP="00C25745">
      <w:pPr>
        <w:pStyle w:val="Textpoznpodarou"/>
        <w:ind w:left="284" w:hanging="284"/>
        <w:jc w:val="both"/>
        <w:rPr>
          <w:rFonts w:asciiTheme="minorHAnsi" w:hAnsiTheme="minorHAnsi" w:cstheme="minorHAnsi"/>
        </w:rPr>
      </w:pPr>
      <w:r w:rsidRPr="009A6695">
        <w:rPr>
          <w:rStyle w:val="Znakapoznpodarou"/>
          <w:rFonts w:asciiTheme="minorHAnsi" w:hAnsiTheme="minorHAnsi" w:cstheme="minorHAnsi"/>
        </w:rPr>
        <w:footnoteRef/>
      </w:r>
      <w:r w:rsidRPr="009A6695">
        <w:rPr>
          <w:rFonts w:asciiTheme="minorHAnsi" w:hAnsiTheme="minorHAnsi" w:cstheme="minorHAnsi"/>
        </w:rPr>
        <w:t xml:space="preserve"> </w:t>
      </w:r>
      <w:r w:rsidRPr="009A6695">
        <w:rPr>
          <w:rFonts w:asciiTheme="minorHAnsi" w:hAnsiTheme="minorHAnsi" w:cstheme="minorHAnsi"/>
        </w:rPr>
        <w:tab/>
        <w:t>Od 1. 1. 2024 ustanovení § 117 odst. 6 písm. b) zák</w:t>
      </w:r>
      <w:r w:rsidR="00617D40">
        <w:rPr>
          <w:rFonts w:asciiTheme="minorHAnsi" w:hAnsiTheme="minorHAnsi" w:cstheme="minorHAnsi"/>
        </w:rPr>
        <w:t>ona</w:t>
      </w:r>
      <w:r w:rsidRPr="009A6695">
        <w:rPr>
          <w:rFonts w:asciiTheme="minorHAnsi" w:hAnsiTheme="minorHAnsi" w:cstheme="minorHAnsi"/>
        </w:rPr>
        <w:t xml:space="preserve"> č. 187/2006 Sb., o nemocenském pojištění.</w:t>
      </w:r>
    </w:p>
  </w:footnote>
  <w:footnote w:id="24">
    <w:p w14:paraId="06E5503E" w14:textId="22D1CB98" w:rsidR="009A6695" w:rsidRPr="009A6695" w:rsidRDefault="009A6695" w:rsidP="00C25745">
      <w:pPr>
        <w:pStyle w:val="Textpoznpodarou"/>
        <w:ind w:left="284" w:hanging="284"/>
        <w:jc w:val="both"/>
        <w:rPr>
          <w:rFonts w:asciiTheme="minorHAnsi" w:hAnsiTheme="minorHAnsi" w:cstheme="minorHAnsi"/>
        </w:rPr>
      </w:pPr>
      <w:r w:rsidRPr="009A6695">
        <w:rPr>
          <w:rStyle w:val="Znakapoznpodarou"/>
          <w:rFonts w:asciiTheme="minorHAnsi" w:hAnsiTheme="minorHAnsi" w:cstheme="minorHAnsi"/>
        </w:rPr>
        <w:footnoteRef/>
      </w:r>
      <w:r w:rsidRPr="009A6695">
        <w:rPr>
          <w:rFonts w:asciiTheme="minorHAnsi" w:hAnsiTheme="minorHAnsi" w:cstheme="minorHAnsi"/>
        </w:rPr>
        <w:t xml:space="preserve"> </w:t>
      </w:r>
      <w:r w:rsidRPr="009A6695">
        <w:rPr>
          <w:rFonts w:asciiTheme="minorHAnsi" w:hAnsiTheme="minorHAnsi" w:cstheme="minorHAnsi"/>
        </w:rPr>
        <w:tab/>
        <w:t xml:space="preserve">Článek 7 </w:t>
      </w:r>
      <w:r w:rsidRPr="006164D5">
        <w:rPr>
          <w:rFonts w:asciiTheme="minorHAnsi" w:hAnsiTheme="minorHAnsi" w:cstheme="minorHAnsi"/>
          <w:i/>
          <w:iCs/>
        </w:rPr>
        <w:t>Dohody o spolupráci S</w:t>
      </w:r>
      <w:r w:rsidR="009E5766" w:rsidRPr="006164D5">
        <w:rPr>
          <w:rFonts w:asciiTheme="minorHAnsi" w:hAnsiTheme="minorHAnsi" w:cstheme="minorHAnsi"/>
          <w:i/>
          <w:iCs/>
        </w:rPr>
        <w:t>tátního úřadu inspekce práce</w:t>
      </w:r>
      <w:r w:rsidRPr="006164D5">
        <w:rPr>
          <w:rFonts w:asciiTheme="minorHAnsi" w:hAnsiTheme="minorHAnsi" w:cstheme="minorHAnsi"/>
          <w:i/>
          <w:iCs/>
        </w:rPr>
        <w:t xml:space="preserve"> s</w:t>
      </w:r>
      <w:r w:rsidR="009E5766" w:rsidRPr="006164D5">
        <w:rPr>
          <w:rFonts w:asciiTheme="minorHAnsi" w:hAnsiTheme="minorHAnsi" w:cstheme="minorHAnsi"/>
          <w:i/>
          <w:iCs/>
        </w:rPr>
        <w:t> </w:t>
      </w:r>
      <w:r w:rsidRPr="006164D5">
        <w:rPr>
          <w:rFonts w:asciiTheme="minorHAnsi" w:hAnsiTheme="minorHAnsi" w:cstheme="minorHAnsi"/>
          <w:i/>
          <w:iCs/>
        </w:rPr>
        <w:t>G</w:t>
      </w:r>
      <w:r w:rsidR="009E5766" w:rsidRPr="006164D5">
        <w:rPr>
          <w:rFonts w:asciiTheme="minorHAnsi" w:hAnsiTheme="minorHAnsi" w:cstheme="minorHAnsi"/>
          <w:i/>
          <w:iCs/>
        </w:rPr>
        <w:t>enerálním ředitelstvím cel</w:t>
      </w:r>
      <w:r w:rsidRPr="006164D5">
        <w:rPr>
          <w:rFonts w:asciiTheme="minorHAnsi" w:hAnsiTheme="minorHAnsi" w:cstheme="minorHAnsi"/>
          <w:i/>
          <w:iCs/>
        </w:rPr>
        <w:t xml:space="preserve"> ze dne 24. 8. 2020</w:t>
      </w:r>
      <w:r w:rsidR="00C25745">
        <w:rPr>
          <w:rFonts w:asciiTheme="minorHAnsi" w:hAnsiTheme="minorHAnsi" w:cstheme="minorHAnsi"/>
        </w:rPr>
        <w:t>.</w:t>
      </w:r>
    </w:p>
  </w:footnote>
  <w:footnote w:id="25">
    <w:p w14:paraId="0406C91D" w14:textId="23422610" w:rsidR="00C25745" w:rsidRPr="00C25745" w:rsidRDefault="00C25745" w:rsidP="00C25745">
      <w:pPr>
        <w:pStyle w:val="Textpoznpodarou"/>
        <w:ind w:left="284" w:hanging="284"/>
        <w:jc w:val="both"/>
        <w:rPr>
          <w:rFonts w:asciiTheme="minorHAnsi" w:hAnsiTheme="minorHAnsi" w:cstheme="minorHAnsi"/>
        </w:rPr>
      </w:pPr>
      <w:r w:rsidRPr="00C25745">
        <w:rPr>
          <w:rStyle w:val="Znakapoznpodarou"/>
          <w:rFonts w:asciiTheme="minorHAnsi" w:hAnsiTheme="minorHAnsi" w:cstheme="minorHAnsi"/>
        </w:rPr>
        <w:footnoteRef/>
      </w:r>
      <w:r w:rsidRPr="00C25745">
        <w:rPr>
          <w:rFonts w:asciiTheme="minorHAnsi" w:hAnsiTheme="minorHAnsi" w:cstheme="minorHAnsi"/>
        </w:rPr>
        <w:t xml:space="preserve"> </w:t>
      </w:r>
      <w:r w:rsidRPr="00C25745">
        <w:rPr>
          <w:rFonts w:asciiTheme="minorHAnsi" w:hAnsiTheme="minorHAnsi" w:cstheme="minorHAnsi"/>
        </w:rPr>
        <w:tab/>
        <w:t xml:space="preserve">V roce 2019 se jednalo o </w:t>
      </w:r>
      <w:r w:rsidRPr="006164D5">
        <w:rPr>
          <w:rFonts w:asciiTheme="minorHAnsi" w:hAnsiTheme="minorHAnsi" w:cstheme="minorHAnsi"/>
          <w:i/>
          <w:iCs/>
        </w:rPr>
        <w:t>Souhrnnou informac</w:t>
      </w:r>
      <w:r w:rsidR="007925B1">
        <w:rPr>
          <w:rFonts w:asciiTheme="minorHAnsi" w:hAnsiTheme="minorHAnsi" w:cstheme="minorHAnsi"/>
          <w:i/>
          <w:iCs/>
        </w:rPr>
        <w:t>i</w:t>
      </w:r>
      <w:r w:rsidRPr="006164D5">
        <w:rPr>
          <w:rFonts w:asciiTheme="minorHAnsi" w:hAnsiTheme="minorHAnsi" w:cstheme="minorHAnsi"/>
          <w:i/>
          <w:iCs/>
        </w:rPr>
        <w:t xml:space="preserve"> o aktivitách realizovaných příslušnými resorty v oblasti potírání nelegálního zaměstnávání cizinců</w:t>
      </w:r>
      <w:r>
        <w:rPr>
          <w:rFonts w:asciiTheme="minorHAnsi" w:hAnsiTheme="minorHAnsi" w:cstheme="minorHAnsi"/>
        </w:rPr>
        <w:t>.</w:t>
      </w:r>
    </w:p>
  </w:footnote>
  <w:footnote w:id="26">
    <w:p w14:paraId="16E446E6" w14:textId="644CEA32" w:rsidR="00C42FD1" w:rsidRPr="00424B4A" w:rsidRDefault="00C42FD1"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Zákon č. 408/2023 Sb., kterým se mění zákon č. 435/2004 Sb., o zaměstnanosti, ve znění pozdějších předpisů, a další související zákony.</w:t>
      </w:r>
    </w:p>
  </w:footnote>
  <w:footnote w:id="27">
    <w:p w14:paraId="65F174A4" w14:textId="75C17340" w:rsidR="00C42FD1" w:rsidRPr="00424B4A" w:rsidRDefault="00C42FD1"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6164D5">
        <w:rPr>
          <w:rFonts w:asciiTheme="minorHAnsi" w:hAnsiTheme="minorHAnsi" w:cstheme="minorHAnsi"/>
          <w:i/>
          <w:iCs/>
        </w:rPr>
        <w:t>Automatizovaný daňový informační systém</w:t>
      </w:r>
      <w:r w:rsidR="00ED3BD8">
        <w:rPr>
          <w:rFonts w:asciiTheme="minorHAnsi" w:hAnsiTheme="minorHAnsi" w:cstheme="minorHAnsi"/>
        </w:rPr>
        <w:t>.</w:t>
      </w:r>
    </w:p>
  </w:footnote>
  <w:footnote w:id="28">
    <w:p w14:paraId="3F3026B5" w14:textId="5920128D" w:rsidR="00C42FD1" w:rsidRPr="00090DB2" w:rsidRDefault="00C42FD1" w:rsidP="00C25745">
      <w:pPr>
        <w:pStyle w:val="Textpoznpodarou"/>
        <w:ind w:left="284" w:hanging="284"/>
        <w:jc w:val="both"/>
        <w:rPr>
          <w:rFonts w:asciiTheme="minorHAnsi" w:hAnsiTheme="minorHAnsi" w:cstheme="minorHAnsi"/>
        </w:rPr>
      </w:pPr>
      <w:r w:rsidRPr="00090DB2">
        <w:rPr>
          <w:rStyle w:val="Znakapoznpodarou"/>
          <w:rFonts w:asciiTheme="minorHAnsi" w:hAnsiTheme="minorHAnsi" w:cstheme="minorHAnsi"/>
        </w:rPr>
        <w:footnoteRef/>
      </w:r>
      <w:r w:rsidRPr="00090DB2">
        <w:rPr>
          <w:rFonts w:asciiTheme="minorHAnsi" w:hAnsiTheme="minorHAnsi" w:cstheme="minorHAnsi"/>
        </w:rPr>
        <w:t xml:space="preserve"> </w:t>
      </w:r>
      <w:r w:rsidR="00A40519">
        <w:rPr>
          <w:rFonts w:asciiTheme="minorHAnsi" w:hAnsiTheme="minorHAnsi" w:cstheme="minorHAnsi"/>
        </w:rPr>
        <w:tab/>
      </w:r>
      <w:r w:rsidRPr="00090DB2">
        <w:rPr>
          <w:rFonts w:asciiTheme="minorHAnsi" w:hAnsiTheme="minorHAnsi" w:cstheme="minorHAnsi"/>
        </w:rPr>
        <w:t xml:space="preserve">Kontrolní úkon zahrnuje kontrolní postupy správce daně, které nejsou daňovou kontrolou, tedy zejména postup k odstranění pochybností ve smyslu § 89 zákona </w:t>
      </w:r>
      <w:r w:rsidR="00F30F5A">
        <w:rPr>
          <w:rFonts w:asciiTheme="minorHAnsi" w:hAnsiTheme="minorHAnsi" w:cstheme="minorHAnsi"/>
        </w:rPr>
        <w:t xml:space="preserve">č. </w:t>
      </w:r>
      <w:r w:rsidRPr="00090DB2">
        <w:rPr>
          <w:rFonts w:asciiTheme="minorHAnsi" w:hAnsiTheme="minorHAnsi" w:cstheme="minorHAnsi"/>
        </w:rPr>
        <w:t>280/2009 Sb.</w:t>
      </w:r>
    </w:p>
  </w:footnote>
  <w:footnote w:id="29">
    <w:p w14:paraId="4F1E4A83" w14:textId="3E74959F" w:rsidR="00C42FD1" w:rsidRPr="00090DB2" w:rsidRDefault="00C42FD1" w:rsidP="00C25745">
      <w:pPr>
        <w:pStyle w:val="Textpoznpodarou"/>
        <w:ind w:left="284" w:hanging="284"/>
        <w:jc w:val="both"/>
        <w:rPr>
          <w:rFonts w:asciiTheme="minorHAnsi" w:hAnsiTheme="minorHAnsi" w:cstheme="minorHAnsi"/>
        </w:rPr>
      </w:pPr>
      <w:r w:rsidRPr="00090DB2">
        <w:rPr>
          <w:rStyle w:val="Znakapoznpodarou"/>
          <w:rFonts w:asciiTheme="minorHAnsi" w:hAnsiTheme="minorHAnsi" w:cstheme="minorHAnsi"/>
        </w:rPr>
        <w:footnoteRef/>
      </w:r>
      <w:r w:rsidRPr="00090DB2">
        <w:rPr>
          <w:rFonts w:asciiTheme="minorHAnsi" w:hAnsiTheme="minorHAnsi" w:cstheme="minorHAnsi"/>
        </w:rPr>
        <w:t xml:space="preserve"> </w:t>
      </w:r>
      <w:r w:rsidR="00A40519">
        <w:rPr>
          <w:rFonts w:asciiTheme="minorHAnsi" w:hAnsiTheme="minorHAnsi" w:cstheme="minorHAnsi"/>
        </w:rPr>
        <w:tab/>
      </w:r>
      <w:r w:rsidRPr="00090DB2">
        <w:rPr>
          <w:rFonts w:asciiTheme="minorHAnsi" w:hAnsiTheme="minorHAnsi" w:cstheme="minorHAnsi"/>
        </w:rPr>
        <w:t>Daňová kontrola ve smyslu §</w:t>
      </w:r>
      <w:r w:rsidR="00F30F5A">
        <w:rPr>
          <w:rFonts w:asciiTheme="minorHAnsi" w:hAnsiTheme="minorHAnsi" w:cstheme="minorHAnsi"/>
        </w:rPr>
        <w:t> </w:t>
      </w:r>
      <w:r w:rsidRPr="00090DB2">
        <w:rPr>
          <w:rFonts w:asciiTheme="minorHAnsi" w:hAnsiTheme="minorHAnsi" w:cstheme="minorHAnsi"/>
        </w:rPr>
        <w:t xml:space="preserve">85 zákona </w:t>
      </w:r>
      <w:r w:rsidR="00F30F5A">
        <w:rPr>
          <w:rFonts w:asciiTheme="minorHAnsi" w:hAnsiTheme="minorHAnsi" w:cstheme="minorHAnsi"/>
        </w:rPr>
        <w:t xml:space="preserve">č. </w:t>
      </w:r>
      <w:r w:rsidRPr="00090DB2">
        <w:rPr>
          <w:rFonts w:asciiTheme="minorHAnsi" w:hAnsiTheme="minorHAnsi" w:cstheme="minorHAnsi"/>
        </w:rPr>
        <w:t>280/2009 Sb.</w:t>
      </w:r>
    </w:p>
  </w:footnote>
  <w:footnote w:id="30">
    <w:p w14:paraId="223D180C" w14:textId="199CCBE8" w:rsidR="00C42FD1" w:rsidRPr="00424B4A" w:rsidRDefault="00C42FD1"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 xml:space="preserve">Ustanovení § 12 </w:t>
      </w:r>
      <w:r w:rsidRPr="00090DB2">
        <w:rPr>
          <w:rFonts w:asciiTheme="minorHAnsi" w:eastAsia="Calibri" w:hAnsiTheme="minorHAnsi" w:cstheme="minorHAnsi"/>
        </w:rPr>
        <w:t xml:space="preserve">odst. </w:t>
      </w:r>
      <w:r w:rsidRPr="006164D5">
        <w:rPr>
          <w:rFonts w:asciiTheme="minorHAnsi" w:eastAsia="Calibri" w:hAnsiTheme="minorHAnsi" w:cstheme="minorHAnsi"/>
        </w:rPr>
        <w:t>1</w:t>
      </w:r>
      <w:r w:rsidRPr="00F30F5A">
        <w:rPr>
          <w:rFonts w:asciiTheme="minorHAnsi" w:eastAsia="Calibri" w:hAnsiTheme="minorHAnsi" w:cstheme="minorHAnsi"/>
        </w:rPr>
        <w:t xml:space="preserve"> </w:t>
      </w:r>
      <w:r w:rsidRPr="00424B4A">
        <w:rPr>
          <w:rFonts w:asciiTheme="minorHAnsi" w:hAnsiTheme="minorHAnsi" w:cstheme="minorHAnsi"/>
        </w:rPr>
        <w:t>zákona České národní rady č. 592/1992 Sb., o pojistném na veřejné zdravotní pojištění.</w:t>
      </w:r>
    </w:p>
  </w:footnote>
  <w:footnote w:id="31">
    <w:p w14:paraId="7856EE0A" w14:textId="0D88CE75" w:rsidR="00C42FD1" w:rsidRPr="00424B4A" w:rsidRDefault="00C42FD1" w:rsidP="00C25745">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Ustanovení § 7 odst. 1 zákona č. 48/1997 Sb., o veřejném zdravotním pojištění a o změně a doplnění některých souvisejících zákonů.</w:t>
      </w:r>
    </w:p>
  </w:footnote>
  <w:footnote w:id="32">
    <w:p w14:paraId="30C72812" w14:textId="398D9B01"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Ustanovení § 14 odst. 2 zákona č. 592/1992 Sb.</w:t>
      </w:r>
    </w:p>
  </w:footnote>
  <w:footnote w:id="33">
    <w:p w14:paraId="7D78F433" w14:textId="08803AC0"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Zákon č. 1/2012 Sb., kterým se mění zákon č. 435/2004 Sb., o zaměstnanosti, ve znění pozdějších předpisů, a</w:t>
      </w:r>
      <w:r w:rsidR="00CD2BAE">
        <w:rPr>
          <w:rFonts w:asciiTheme="minorHAnsi" w:hAnsiTheme="minorHAnsi" w:cstheme="minorHAnsi"/>
        </w:rPr>
        <w:t> </w:t>
      </w:r>
      <w:r w:rsidRPr="00424B4A">
        <w:rPr>
          <w:rFonts w:asciiTheme="minorHAnsi" w:hAnsiTheme="minorHAnsi" w:cstheme="minorHAnsi"/>
        </w:rPr>
        <w:t>další související zákony.</w:t>
      </w:r>
    </w:p>
  </w:footnote>
  <w:footnote w:id="34">
    <w:p w14:paraId="3E62BFA9" w14:textId="40BDF834" w:rsidR="00CD2BAE" w:rsidRPr="00A40519" w:rsidRDefault="00CD2BAE" w:rsidP="00A40519">
      <w:pPr>
        <w:pStyle w:val="Textpoznpodarou"/>
        <w:ind w:left="284" w:hanging="284"/>
        <w:jc w:val="both"/>
        <w:rPr>
          <w:rFonts w:asciiTheme="minorHAnsi" w:hAnsiTheme="minorHAnsi" w:cstheme="minorHAnsi"/>
        </w:rPr>
      </w:pPr>
      <w:r w:rsidRPr="00A40519">
        <w:rPr>
          <w:rStyle w:val="Znakapoznpodarou"/>
          <w:rFonts w:asciiTheme="minorHAnsi" w:hAnsiTheme="minorHAnsi" w:cstheme="minorHAnsi"/>
        </w:rPr>
        <w:footnoteRef/>
      </w:r>
      <w:r w:rsidRPr="00A40519">
        <w:rPr>
          <w:rFonts w:asciiTheme="minorHAnsi" w:hAnsiTheme="minorHAnsi" w:cstheme="minorHAnsi"/>
        </w:rPr>
        <w:t xml:space="preserve"> </w:t>
      </w:r>
      <w:r w:rsidR="00A40519">
        <w:rPr>
          <w:rFonts w:asciiTheme="minorHAnsi" w:hAnsiTheme="minorHAnsi" w:cstheme="minorHAnsi"/>
        </w:rPr>
        <w:tab/>
      </w:r>
      <w:r w:rsidRPr="00A40519">
        <w:rPr>
          <w:rFonts w:asciiTheme="minorHAnsi" w:hAnsiTheme="minorHAnsi" w:cstheme="minorHAnsi"/>
        </w:rPr>
        <w:t>V ustanovení § 141b odst. 1 písm. b) zákona o zaměstnanosti není uveden</w:t>
      </w:r>
      <w:r w:rsidR="0006042E" w:rsidRPr="00A40519">
        <w:rPr>
          <w:rFonts w:asciiTheme="minorHAnsi" w:hAnsiTheme="minorHAnsi" w:cstheme="minorHAnsi"/>
        </w:rPr>
        <w:t>a</w:t>
      </w:r>
      <w:r w:rsidRPr="00A40519">
        <w:rPr>
          <w:rFonts w:asciiTheme="minorHAnsi" w:hAnsiTheme="minorHAnsi" w:cstheme="minorHAnsi"/>
        </w:rPr>
        <w:t xml:space="preserve"> podnikající </w:t>
      </w:r>
      <w:bookmarkStart w:id="14" w:name="_Hlk198582482"/>
      <w:r w:rsidRPr="00A40519">
        <w:rPr>
          <w:rFonts w:asciiTheme="minorHAnsi" w:hAnsiTheme="minorHAnsi" w:cstheme="minorHAnsi"/>
        </w:rPr>
        <w:t>fyzick</w:t>
      </w:r>
      <w:r w:rsidR="00A541A8" w:rsidRPr="00A40519">
        <w:rPr>
          <w:rFonts w:asciiTheme="minorHAnsi" w:hAnsiTheme="minorHAnsi" w:cstheme="minorHAnsi"/>
        </w:rPr>
        <w:t>á</w:t>
      </w:r>
      <w:r w:rsidRPr="00A40519">
        <w:rPr>
          <w:rFonts w:asciiTheme="minorHAnsi" w:hAnsiTheme="minorHAnsi" w:cstheme="minorHAnsi"/>
        </w:rPr>
        <w:t xml:space="preserve"> osob</w:t>
      </w:r>
      <w:bookmarkEnd w:id="14"/>
      <w:r w:rsidR="00A541A8" w:rsidRPr="00A40519">
        <w:rPr>
          <w:rFonts w:asciiTheme="minorHAnsi" w:hAnsiTheme="minorHAnsi" w:cstheme="minorHAnsi"/>
        </w:rPr>
        <w:t>a</w:t>
      </w:r>
      <w:r w:rsidRPr="00A40519">
        <w:rPr>
          <w:rFonts w:asciiTheme="minorHAnsi" w:hAnsiTheme="minorHAnsi" w:cstheme="minorHAnsi"/>
        </w:rPr>
        <w:t xml:space="preserve">, </w:t>
      </w:r>
      <w:r w:rsidR="0006042E" w:rsidRPr="00A40519">
        <w:rPr>
          <w:rFonts w:asciiTheme="minorHAnsi" w:hAnsiTheme="minorHAnsi" w:cstheme="minorHAnsi"/>
        </w:rPr>
        <w:t>které byla uložena pokuta dle ustanovení § 140 odst. 1 písm. e) zákona o zaměstnanosti.</w:t>
      </w:r>
    </w:p>
  </w:footnote>
  <w:footnote w:id="35">
    <w:p w14:paraId="343B1F06" w14:textId="77777777" w:rsidR="00596B7E" w:rsidRPr="00A40519" w:rsidRDefault="00596B7E" w:rsidP="00596B7E">
      <w:pPr>
        <w:pStyle w:val="Textpoznpodarou"/>
        <w:ind w:left="284" w:hanging="284"/>
        <w:jc w:val="both"/>
        <w:rPr>
          <w:rFonts w:asciiTheme="minorHAnsi" w:hAnsiTheme="minorHAnsi" w:cstheme="minorHAnsi"/>
        </w:rPr>
      </w:pPr>
      <w:r w:rsidRPr="00A40519">
        <w:rPr>
          <w:rStyle w:val="Znakapoznpodarou"/>
          <w:rFonts w:asciiTheme="minorHAnsi" w:hAnsiTheme="minorHAnsi" w:cstheme="minorHAnsi"/>
        </w:rPr>
        <w:footnoteRef/>
      </w:r>
      <w:r w:rsidRPr="00A40519">
        <w:rPr>
          <w:rFonts w:asciiTheme="minorHAnsi" w:hAnsiTheme="minorHAnsi" w:cstheme="minorHAnsi"/>
        </w:rPr>
        <w:t xml:space="preserve"> </w:t>
      </w:r>
      <w:r>
        <w:rPr>
          <w:rFonts w:asciiTheme="minorHAnsi" w:hAnsiTheme="minorHAnsi" w:cstheme="minorHAnsi"/>
        </w:rPr>
        <w:tab/>
      </w:r>
      <w:r w:rsidRPr="00A40519">
        <w:rPr>
          <w:rFonts w:asciiTheme="minorHAnsi" w:hAnsiTheme="minorHAnsi" w:cstheme="minorHAnsi"/>
        </w:rPr>
        <w:t>Ustanovení § 141b odst. 1 písm. b) zákona o zaměstnanosti neobsahuje příspěvek na státní politiku zaměstnanosti.</w:t>
      </w:r>
    </w:p>
  </w:footnote>
  <w:footnote w:id="36">
    <w:p w14:paraId="22C577C6" w14:textId="11F7C149" w:rsidR="002B73DA" w:rsidRPr="00A40519" w:rsidRDefault="002B73DA" w:rsidP="00A40519">
      <w:pPr>
        <w:pStyle w:val="Textpoznpodarou"/>
        <w:ind w:left="284" w:hanging="284"/>
        <w:jc w:val="both"/>
        <w:rPr>
          <w:rFonts w:asciiTheme="minorHAnsi" w:hAnsiTheme="minorHAnsi" w:cstheme="minorHAnsi"/>
        </w:rPr>
      </w:pPr>
      <w:r w:rsidRPr="00A40519">
        <w:rPr>
          <w:rStyle w:val="Znakapoznpodarou"/>
          <w:rFonts w:asciiTheme="minorHAnsi" w:hAnsiTheme="minorHAnsi" w:cstheme="minorHAnsi"/>
        </w:rPr>
        <w:footnoteRef/>
      </w:r>
      <w:r w:rsidRPr="00A40519">
        <w:rPr>
          <w:rFonts w:asciiTheme="minorHAnsi" w:hAnsiTheme="minorHAnsi" w:cstheme="minorHAnsi"/>
        </w:rPr>
        <w:t xml:space="preserve"> </w:t>
      </w:r>
      <w:r w:rsidR="00A40519">
        <w:rPr>
          <w:rFonts w:asciiTheme="minorHAnsi" w:hAnsiTheme="minorHAnsi" w:cstheme="minorHAnsi"/>
        </w:rPr>
        <w:tab/>
      </w:r>
      <w:r w:rsidRPr="00A40519">
        <w:rPr>
          <w:rFonts w:asciiTheme="minorHAnsi" w:hAnsiTheme="minorHAnsi" w:cstheme="minorHAnsi"/>
        </w:rPr>
        <w:t xml:space="preserve">Ustanovení § 141b odst. 1 písm. b) </w:t>
      </w:r>
      <w:r w:rsidR="005E283D" w:rsidRPr="00A40519">
        <w:rPr>
          <w:rFonts w:asciiTheme="minorHAnsi" w:hAnsiTheme="minorHAnsi" w:cstheme="minorHAnsi"/>
        </w:rPr>
        <w:t xml:space="preserve">zákona o zaměstnanosti </w:t>
      </w:r>
      <w:r w:rsidRPr="00A40519">
        <w:rPr>
          <w:rFonts w:asciiTheme="minorHAnsi" w:hAnsiTheme="minorHAnsi" w:cstheme="minorHAnsi"/>
        </w:rPr>
        <w:t>používá ve vztahu ke zdravotnímu pojištění označení „všeobecné</w:t>
      </w:r>
      <w:r w:rsidR="0006042E" w:rsidRPr="00A40519">
        <w:rPr>
          <w:rFonts w:asciiTheme="minorHAnsi" w:hAnsiTheme="minorHAnsi" w:cstheme="minorHAnsi"/>
        </w:rPr>
        <w:t xml:space="preserve"> zdravotní pojištění</w:t>
      </w:r>
      <w:r w:rsidRPr="00A40519">
        <w:rPr>
          <w:rFonts w:asciiTheme="minorHAnsi" w:hAnsiTheme="minorHAnsi" w:cstheme="minorHAnsi"/>
        </w:rPr>
        <w:t>“.</w:t>
      </w:r>
    </w:p>
  </w:footnote>
  <w:footnote w:id="37">
    <w:p w14:paraId="243D552B" w14:textId="73085B2F"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NKÚ přijal předpoklad, že počet pravomocných rozhodnutí o pokutě týkající se umožnění výkonu nelegální práce dle § 5 písm. e) bod 3 zákona o zaměstnanosti odpovídá minimálnímu počtu osob, za které měla být plněna odvodová povinnost. Těmto osobám byla přisouzena minimální mzda po dobu tří měsíců.</w:t>
      </w:r>
    </w:p>
  </w:footnote>
  <w:footnote w:id="38">
    <w:p w14:paraId="5FF92A36" w14:textId="43494694"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Ustanovení § 5 písm. e) bod 3 zákona č. 435/2004 Sb., o zaměstnanosti.</w:t>
      </w:r>
    </w:p>
  </w:footnote>
  <w:footnote w:id="39">
    <w:p w14:paraId="74D5406A" w14:textId="1C178136" w:rsidR="00C42FD1" w:rsidRPr="00AC30C4"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6164D5">
        <w:rPr>
          <w:rFonts w:asciiTheme="minorHAnsi" w:hAnsiTheme="minorHAnsi" w:cstheme="minorHAnsi"/>
        </w:rPr>
        <w:t>Český statistický úřad.</w:t>
      </w:r>
      <w:r w:rsidR="00AC30C4">
        <w:rPr>
          <w:rFonts w:asciiTheme="minorHAnsi" w:hAnsiTheme="minorHAnsi" w:cstheme="minorHAnsi"/>
          <w:i/>
          <w:iCs/>
        </w:rPr>
        <w:t xml:space="preserve"> </w:t>
      </w:r>
      <w:r w:rsidRPr="00090DB2">
        <w:rPr>
          <w:rFonts w:asciiTheme="minorHAnsi" w:hAnsiTheme="minorHAnsi" w:cstheme="minorHAnsi"/>
          <w:i/>
          <w:iCs/>
        </w:rPr>
        <w:t>Zaměstnanost a nezaměstnanost (VŠPS</w:t>
      </w:r>
      <w:r w:rsidRPr="006164D5">
        <w:rPr>
          <w:rFonts w:asciiTheme="minorHAnsi" w:hAnsiTheme="minorHAnsi" w:cstheme="minorHAnsi"/>
        </w:rPr>
        <w:t>)</w:t>
      </w:r>
      <w:r w:rsidR="00AC30C4" w:rsidRPr="006164D5">
        <w:rPr>
          <w:rFonts w:asciiTheme="minorHAnsi" w:hAnsiTheme="minorHAnsi" w:cstheme="minorHAnsi"/>
        </w:rPr>
        <w:t xml:space="preserve"> [</w:t>
      </w:r>
      <w:r w:rsidRPr="006164D5">
        <w:rPr>
          <w:rFonts w:asciiTheme="minorHAnsi" w:hAnsiTheme="minorHAnsi" w:cstheme="minorHAnsi"/>
        </w:rPr>
        <w:t>Online</w:t>
      </w:r>
      <w:r w:rsidR="00AC30C4" w:rsidRPr="006164D5">
        <w:rPr>
          <w:rFonts w:asciiTheme="minorHAnsi" w:hAnsiTheme="minorHAnsi" w:cstheme="minorHAnsi"/>
        </w:rPr>
        <w:t>]</w:t>
      </w:r>
      <w:r w:rsidRPr="006164D5">
        <w:rPr>
          <w:rFonts w:asciiTheme="minorHAnsi" w:hAnsiTheme="minorHAnsi" w:cstheme="minorHAnsi"/>
        </w:rPr>
        <w:t>. Dostupné z</w:t>
      </w:r>
      <w:r w:rsidR="00A809DB">
        <w:rPr>
          <w:rFonts w:asciiTheme="minorHAnsi" w:hAnsiTheme="minorHAnsi" w:cstheme="minorHAnsi"/>
        </w:rPr>
        <w:t xml:space="preserve"> adresy</w:t>
      </w:r>
      <w:r w:rsidRPr="006164D5">
        <w:rPr>
          <w:rFonts w:asciiTheme="minorHAnsi" w:hAnsiTheme="minorHAnsi" w:cstheme="minorHAnsi"/>
        </w:rPr>
        <w:t>: https://csu.gov.cz/zamestnanost-a-nezamestnanost-vsps. [cit</w:t>
      </w:r>
      <w:r w:rsidR="00AC30C4">
        <w:rPr>
          <w:rFonts w:asciiTheme="minorHAnsi" w:hAnsiTheme="minorHAnsi" w:cstheme="minorHAnsi"/>
        </w:rPr>
        <w:t>.</w:t>
      </w:r>
      <w:r w:rsidRPr="006164D5">
        <w:rPr>
          <w:rFonts w:asciiTheme="minorHAnsi" w:hAnsiTheme="minorHAnsi" w:cstheme="minorHAnsi"/>
        </w:rPr>
        <w:t xml:space="preserve"> 2025-4-30]</w:t>
      </w:r>
      <w:r w:rsidRPr="00AC30C4">
        <w:rPr>
          <w:rFonts w:asciiTheme="minorHAnsi" w:hAnsiTheme="minorHAnsi" w:cstheme="minorHAnsi"/>
        </w:rPr>
        <w:t>.</w:t>
      </w:r>
    </w:p>
  </w:footnote>
  <w:footnote w:id="40">
    <w:p w14:paraId="34152ACE" w14:textId="6E2327C6" w:rsidR="00C42FD1" w:rsidRPr="00424B4A" w:rsidRDefault="00C42FD1" w:rsidP="00A40519">
      <w:pPr>
        <w:pStyle w:val="Textpoznpodarou"/>
        <w:ind w:left="284" w:hanging="284"/>
        <w:jc w:val="both"/>
        <w:rPr>
          <w:rFonts w:asciiTheme="minorHAnsi" w:hAnsiTheme="minorHAnsi" w:cstheme="minorHAnsi"/>
        </w:rPr>
      </w:pPr>
      <w:r w:rsidRPr="00AC30C4">
        <w:rPr>
          <w:rStyle w:val="Znakapoznpodarou"/>
          <w:rFonts w:asciiTheme="minorHAnsi" w:hAnsiTheme="minorHAnsi" w:cstheme="minorHAnsi"/>
        </w:rPr>
        <w:footnoteRef/>
      </w:r>
      <w:r w:rsidRPr="00AC30C4">
        <w:rPr>
          <w:rFonts w:asciiTheme="minorHAnsi" w:hAnsiTheme="minorHAnsi" w:cstheme="minorHAnsi"/>
        </w:rPr>
        <w:t xml:space="preserve"> </w:t>
      </w:r>
      <w:r w:rsidR="00A40519" w:rsidRPr="00AC30C4">
        <w:rPr>
          <w:rFonts w:asciiTheme="minorHAnsi" w:hAnsiTheme="minorHAnsi" w:cstheme="minorHAnsi"/>
        </w:rPr>
        <w:tab/>
      </w:r>
      <w:r w:rsidRPr="006164D5">
        <w:rPr>
          <w:rFonts w:asciiTheme="minorHAnsi" w:hAnsiTheme="minorHAnsi" w:cstheme="minorHAnsi"/>
        </w:rPr>
        <w:t>Český statistický úřad.</w:t>
      </w:r>
      <w:r w:rsidR="00AC30C4">
        <w:rPr>
          <w:rFonts w:asciiTheme="minorHAnsi" w:hAnsiTheme="minorHAnsi" w:cstheme="minorHAnsi"/>
        </w:rPr>
        <w:t xml:space="preserve"> </w:t>
      </w:r>
      <w:r w:rsidRPr="00090DB2">
        <w:rPr>
          <w:rFonts w:asciiTheme="minorHAnsi" w:hAnsiTheme="minorHAnsi" w:cstheme="minorHAnsi"/>
          <w:i/>
          <w:iCs/>
        </w:rPr>
        <w:t>Mzdy a náklady práce</w:t>
      </w:r>
      <w:r w:rsidR="00AC30C4">
        <w:rPr>
          <w:rFonts w:asciiTheme="minorHAnsi" w:hAnsiTheme="minorHAnsi" w:cstheme="minorHAnsi"/>
          <w:i/>
          <w:iCs/>
        </w:rPr>
        <w:t xml:space="preserve"> </w:t>
      </w:r>
      <w:r w:rsidR="00AC30C4" w:rsidRPr="006164D5">
        <w:rPr>
          <w:rFonts w:asciiTheme="minorHAnsi" w:hAnsiTheme="minorHAnsi" w:cstheme="minorHAnsi"/>
        </w:rPr>
        <w:t>[</w:t>
      </w:r>
      <w:r w:rsidRPr="006164D5">
        <w:rPr>
          <w:rFonts w:asciiTheme="minorHAnsi" w:hAnsiTheme="minorHAnsi" w:cstheme="minorHAnsi"/>
        </w:rPr>
        <w:t>Online</w:t>
      </w:r>
      <w:r w:rsidR="00AC30C4" w:rsidRPr="006164D5">
        <w:rPr>
          <w:rFonts w:asciiTheme="minorHAnsi" w:hAnsiTheme="minorHAnsi" w:cstheme="minorHAnsi"/>
        </w:rPr>
        <w:t>]</w:t>
      </w:r>
      <w:r w:rsidRPr="006164D5">
        <w:rPr>
          <w:rFonts w:asciiTheme="minorHAnsi" w:hAnsiTheme="minorHAnsi" w:cstheme="minorHAnsi"/>
        </w:rPr>
        <w:t>. Dostupné z: https://csu.gov.cz/zamestnanost-a-nezamestnanost-vsps. [cit</w:t>
      </w:r>
      <w:r w:rsidR="00AC30C4">
        <w:rPr>
          <w:rFonts w:asciiTheme="minorHAnsi" w:hAnsiTheme="minorHAnsi" w:cstheme="minorHAnsi"/>
        </w:rPr>
        <w:t>.</w:t>
      </w:r>
      <w:r w:rsidRPr="006164D5">
        <w:rPr>
          <w:rFonts w:asciiTheme="minorHAnsi" w:hAnsiTheme="minorHAnsi" w:cstheme="minorHAnsi"/>
        </w:rPr>
        <w:t xml:space="preserve"> 2025-4-30]</w:t>
      </w:r>
      <w:r w:rsidRPr="00AC30C4">
        <w:rPr>
          <w:rFonts w:asciiTheme="minorHAnsi" w:hAnsiTheme="minorHAnsi" w:cstheme="minorHAnsi"/>
        </w:rPr>
        <w:t>; ve v</w:t>
      </w:r>
      <w:r w:rsidRPr="00424B4A">
        <w:rPr>
          <w:rFonts w:asciiTheme="minorHAnsi" w:hAnsiTheme="minorHAnsi" w:cstheme="minorHAnsi"/>
        </w:rPr>
        <w:t xml:space="preserve">ýpočtu jsou využity údaje o průměrném evidenčním počtu zaměstnanců ve fyzických osobách, </w:t>
      </w:r>
      <w:r w:rsidR="00AC30C4">
        <w:rPr>
          <w:rFonts w:asciiTheme="minorHAnsi" w:hAnsiTheme="minorHAnsi" w:cstheme="minorHAnsi"/>
        </w:rPr>
        <w:t>tyto údaje</w:t>
      </w:r>
      <w:r w:rsidRPr="00424B4A">
        <w:rPr>
          <w:rFonts w:asciiTheme="minorHAnsi" w:hAnsiTheme="minorHAnsi" w:cstheme="minorHAnsi"/>
        </w:rPr>
        <w:t xml:space="preserve"> jsou aritmetickým průměrem z měsíčních počtů zaměstnanců, a to bez ohledu na délku jejich pracovního úvazku.</w:t>
      </w:r>
    </w:p>
  </w:footnote>
  <w:footnote w:id="41">
    <w:p w14:paraId="2B17E3E6" w14:textId="55B9B962"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 xml:space="preserve">Česká legislativa vztahuje nelegální práci pouze k závislé </w:t>
      </w:r>
      <w:r w:rsidR="00961D28">
        <w:rPr>
          <w:rFonts w:asciiTheme="minorHAnsi" w:hAnsiTheme="minorHAnsi" w:cstheme="minorHAnsi"/>
        </w:rPr>
        <w:t>činnosti</w:t>
      </w:r>
      <w:r w:rsidRPr="00424B4A">
        <w:rPr>
          <w:rFonts w:asciiTheme="minorHAnsi" w:hAnsiTheme="minorHAnsi" w:cstheme="minorHAnsi"/>
        </w:rPr>
        <w:t>.</w:t>
      </w:r>
    </w:p>
  </w:footnote>
  <w:footnote w:id="42">
    <w:p w14:paraId="4E8EB7D6" w14:textId="4635837D" w:rsidR="00C42FD1" w:rsidRPr="004B15A8"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Při od</w:t>
      </w:r>
      <w:r w:rsidR="00961D28">
        <w:rPr>
          <w:rFonts w:asciiTheme="minorHAnsi" w:hAnsiTheme="minorHAnsi" w:cstheme="minorHAnsi"/>
        </w:rPr>
        <w:t>hadování</w:t>
      </w:r>
      <w:r w:rsidRPr="00424B4A">
        <w:rPr>
          <w:rFonts w:asciiTheme="minorHAnsi" w:hAnsiTheme="minorHAnsi" w:cstheme="minorHAnsi"/>
        </w:rPr>
        <w:t xml:space="preserve"> počtu nelegálních zaměstnanců </w:t>
      </w:r>
      <w:r w:rsidR="00961D28">
        <w:rPr>
          <w:rFonts w:asciiTheme="minorHAnsi" w:hAnsiTheme="minorHAnsi" w:cstheme="minorHAnsi"/>
        </w:rPr>
        <w:t>na základě</w:t>
      </w:r>
      <w:r w:rsidRPr="00424B4A">
        <w:rPr>
          <w:rFonts w:asciiTheme="minorHAnsi" w:hAnsiTheme="minorHAnsi" w:cstheme="minorHAnsi"/>
        </w:rPr>
        <w:t xml:space="preserve"> zmíněn</w:t>
      </w:r>
      <w:r w:rsidR="00961D28">
        <w:rPr>
          <w:rFonts w:asciiTheme="minorHAnsi" w:hAnsiTheme="minorHAnsi" w:cstheme="minorHAnsi"/>
        </w:rPr>
        <w:t>ých</w:t>
      </w:r>
      <w:r w:rsidRPr="00424B4A">
        <w:rPr>
          <w:rFonts w:asciiTheme="minorHAnsi" w:hAnsiTheme="minorHAnsi" w:cstheme="minorHAnsi"/>
        </w:rPr>
        <w:t xml:space="preserve"> statistik práce se </w:t>
      </w:r>
      <w:r w:rsidR="003A1850">
        <w:rPr>
          <w:rFonts w:asciiTheme="minorHAnsi" w:hAnsiTheme="minorHAnsi" w:cstheme="minorHAnsi"/>
        </w:rPr>
        <w:t xml:space="preserve">pochopitelně </w:t>
      </w:r>
      <w:r w:rsidRPr="00424B4A">
        <w:rPr>
          <w:rFonts w:asciiTheme="minorHAnsi" w:hAnsiTheme="minorHAnsi" w:cstheme="minorHAnsi"/>
        </w:rPr>
        <w:t xml:space="preserve">dopouštíme </w:t>
      </w:r>
      <w:r w:rsidR="003A1850">
        <w:rPr>
          <w:rFonts w:asciiTheme="minorHAnsi" w:hAnsiTheme="minorHAnsi" w:cstheme="minorHAnsi"/>
        </w:rPr>
        <w:t>zjednodušení (vzhledem k odlišným metodickým východiskům těchto statistik)</w:t>
      </w:r>
      <w:r w:rsidRPr="00424B4A">
        <w:rPr>
          <w:rFonts w:asciiTheme="minorHAnsi" w:hAnsiTheme="minorHAnsi" w:cstheme="minorHAnsi"/>
        </w:rPr>
        <w:t>. Např. nezohledňujeme skutečnost, že zatímco ve statistice VŠPS je každý zaměstnaný uveden pouze jednou</w:t>
      </w:r>
      <w:r w:rsidRPr="004B15A8">
        <w:rPr>
          <w:rFonts w:asciiTheme="minorHAnsi" w:hAnsiTheme="minorHAnsi" w:cstheme="minorHAnsi"/>
        </w:rPr>
        <w:t xml:space="preserve"> bez ohledu na počet souběžných úvazků, v</w:t>
      </w:r>
      <w:r w:rsidR="00C25745">
        <w:rPr>
          <w:rFonts w:asciiTheme="minorHAnsi" w:hAnsiTheme="minorHAnsi" w:cstheme="minorHAnsi"/>
        </w:rPr>
        <w:t> </w:t>
      </w:r>
      <w:r w:rsidRPr="004B15A8">
        <w:rPr>
          <w:rFonts w:asciiTheme="minorHAnsi" w:hAnsiTheme="minorHAnsi" w:cstheme="minorHAnsi"/>
        </w:rPr>
        <w:t>podnikové statistice se může jedna osoba v případě více úvazků u</w:t>
      </w:r>
      <w:r w:rsidR="003A1850">
        <w:rPr>
          <w:rFonts w:asciiTheme="minorHAnsi" w:hAnsiTheme="minorHAnsi" w:cstheme="minorHAnsi"/>
        </w:rPr>
        <w:t> </w:t>
      </w:r>
      <w:r w:rsidRPr="004B15A8">
        <w:rPr>
          <w:rFonts w:asciiTheme="minorHAnsi" w:hAnsiTheme="minorHAnsi" w:cstheme="minorHAnsi"/>
        </w:rPr>
        <w:t>různých zaměstnavatelů vyskytovat vícekrát.</w:t>
      </w:r>
    </w:p>
  </w:footnote>
  <w:footnote w:id="43">
    <w:p w14:paraId="542F58F1" w14:textId="709D4B7E" w:rsidR="00C42FD1" w:rsidRPr="00090DB2"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 xml:space="preserve">Tento předpoklad vychází z právní domněnky v ustanovení § 141b odst. 2 zákona o zaměstnanosti, </w:t>
      </w:r>
      <w:r w:rsidR="000011BE">
        <w:rPr>
          <w:rFonts w:asciiTheme="minorHAnsi" w:hAnsiTheme="minorHAnsi" w:cstheme="minorHAnsi"/>
        </w:rPr>
        <w:t xml:space="preserve">kde se pro </w:t>
      </w:r>
      <w:r w:rsidRPr="00424B4A">
        <w:rPr>
          <w:rFonts w:asciiTheme="minorHAnsi" w:hAnsiTheme="minorHAnsi" w:cstheme="minorHAnsi"/>
        </w:rPr>
        <w:t>případ</w:t>
      </w:r>
      <w:r w:rsidR="000011BE">
        <w:rPr>
          <w:rFonts w:asciiTheme="minorHAnsi" w:hAnsiTheme="minorHAnsi" w:cstheme="minorHAnsi"/>
        </w:rPr>
        <w:t>y</w:t>
      </w:r>
      <w:r w:rsidRPr="00424B4A">
        <w:rPr>
          <w:rFonts w:asciiTheme="minorHAnsi" w:hAnsiTheme="minorHAnsi" w:cstheme="minorHAnsi"/>
        </w:rPr>
        <w:t xml:space="preserve"> nelegální práce cizinců bez povolení k pobytu stanovuje délk</w:t>
      </w:r>
      <w:r w:rsidR="000011BE">
        <w:rPr>
          <w:rFonts w:asciiTheme="minorHAnsi" w:hAnsiTheme="minorHAnsi" w:cstheme="minorHAnsi"/>
        </w:rPr>
        <w:t>a</w:t>
      </w:r>
      <w:r w:rsidRPr="00424B4A">
        <w:rPr>
          <w:rFonts w:asciiTheme="minorHAnsi" w:hAnsiTheme="minorHAnsi" w:cstheme="minorHAnsi"/>
        </w:rPr>
        <w:t xml:space="preserve"> trvání práce právě na dobu tří měsíců z důvodu obtížného doložení v praxi.</w:t>
      </w:r>
      <w:r w:rsidRPr="004B15A8">
        <w:rPr>
          <w:rFonts w:asciiTheme="minorHAnsi" w:hAnsiTheme="minorHAnsi" w:cstheme="minorHAnsi"/>
        </w:rPr>
        <w:t xml:space="preserve"> NKÚ si </w:t>
      </w:r>
      <w:r w:rsidR="00AD2E5C">
        <w:rPr>
          <w:rFonts w:asciiTheme="minorHAnsi" w:hAnsiTheme="minorHAnsi" w:cstheme="minorHAnsi"/>
        </w:rPr>
        <w:t>je</w:t>
      </w:r>
      <w:r w:rsidR="00AD2E5C" w:rsidRPr="004B15A8">
        <w:rPr>
          <w:rFonts w:asciiTheme="minorHAnsi" w:hAnsiTheme="minorHAnsi" w:cstheme="minorHAnsi"/>
        </w:rPr>
        <w:t xml:space="preserve"> </w:t>
      </w:r>
      <w:r w:rsidRPr="004B15A8">
        <w:rPr>
          <w:rFonts w:asciiTheme="minorHAnsi" w:hAnsiTheme="minorHAnsi" w:cstheme="minorHAnsi"/>
        </w:rPr>
        <w:t>vědom skutečnosti, že zmíněné ustanoven</w:t>
      </w:r>
      <w:r w:rsidR="000011BE">
        <w:rPr>
          <w:rFonts w:asciiTheme="minorHAnsi" w:hAnsiTheme="minorHAnsi" w:cstheme="minorHAnsi"/>
        </w:rPr>
        <w:t>í</w:t>
      </w:r>
      <w:r w:rsidRPr="004B15A8">
        <w:rPr>
          <w:rFonts w:asciiTheme="minorHAnsi" w:hAnsiTheme="minorHAnsi" w:cstheme="minorHAnsi"/>
        </w:rPr>
        <w:t xml:space="preserve"> § 141b se vztahuje</w:t>
      </w:r>
      <w:r w:rsidRPr="00B82106">
        <w:rPr>
          <w:rFonts w:asciiTheme="minorHAnsi" w:hAnsiTheme="minorHAnsi" w:cstheme="minorHAnsi"/>
        </w:rPr>
        <w:t xml:space="preserve"> pouze na nelegální práci cizinců bez povolení k pobytu. Cílem výpočtu nicméně není replikovat postup pro u</w:t>
      </w:r>
      <w:r w:rsidR="000011BE">
        <w:rPr>
          <w:rFonts w:asciiTheme="minorHAnsi" w:hAnsiTheme="minorHAnsi" w:cstheme="minorHAnsi"/>
        </w:rPr>
        <w:t>ložení</w:t>
      </w:r>
      <w:r w:rsidRPr="00B82106">
        <w:rPr>
          <w:rFonts w:asciiTheme="minorHAnsi" w:hAnsiTheme="minorHAnsi" w:cstheme="minorHAnsi"/>
        </w:rPr>
        <w:t xml:space="preserve"> sankce dle </w:t>
      </w:r>
      <w:r w:rsidR="000011BE">
        <w:rPr>
          <w:rFonts w:asciiTheme="minorHAnsi" w:hAnsiTheme="minorHAnsi" w:cstheme="minorHAnsi"/>
        </w:rPr>
        <w:t>S</w:t>
      </w:r>
      <w:r w:rsidRPr="00B82106">
        <w:rPr>
          <w:rFonts w:asciiTheme="minorHAnsi" w:hAnsiTheme="minorHAnsi" w:cstheme="minorHAnsi"/>
        </w:rPr>
        <w:t xml:space="preserve">ankční směrnice transponované do českého právního řádu, cílem je vymezit možný rozsah </w:t>
      </w:r>
      <w:r w:rsidR="000011BE">
        <w:rPr>
          <w:rFonts w:asciiTheme="minorHAnsi" w:hAnsiTheme="minorHAnsi" w:cstheme="minorHAnsi"/>
        </w:rPr>
        <w:t>příjmových ztrát</w:t>
      </w:r>
      <w:r w:rsidRPr="00B82106">
        <w:rPr>
          <w:rFonts w:asciiTheme="minorHAnsi" w:hAnsiTheme="minorHAnsi" w:cstheme="minorHAnsi"/>
        </w:rPr>
        <w:t>, kter</w:t>
      </w:r>
      <w:r w:rsidR="000011BE">
        <w:rPr>
          <w:rFonts w:asciiTheme="minorHAnsi" w:hAnsiTheme="minorHAnsi" w:cstheme="minorHAnsi"/>
        </w:rPr>
        <w:t>é</w:t>
      </w:r>
      <w:r w:rsidRPr="00B82106">
        <w:rPr>
          <w:rFonts w:asciiTheme="minorHAnsi" w:hAnsiTheme="minorHAnsi" w:cstheme="minorHAnsi"/>
        </w:rPr>
        <w:t xml:space="preserve"> </w:t>
      </w:r>
      <w:r w:rsidR="000011BE">
        <w:rPr>
          <w:rFonts w:asciiTheme="minorHAnsi" w:hAnsiTheme="minorHAnsi" w:cstheme="minorHAnsi"/>
        </w:rPr>
        <w:t>mohou</w:t>
      </w:r>
      <w:r w:rsidRPr="00B82106">
        <w:rPr>
          <w:rFonts w:asciiTheme="minorHAnsi" w:hAnsiTheme="minorHAnsi" w:cstheme="minorHAnsi"/>
        </w:rPr>
        <w:t xml:space="preserve"> být s nelegáln</w:t>
      </w:r>
      <w:r w:rsidRPr="00250E2A">
        <w:rPr>
          <w:rFonts w:asciiTheme="minorHAnsi" w:hAnsiTheme="minorHAnsi" w:cstheme="minorHAnsi"/>
        </w:rPr>
        <w:t>í prací spojen</w:t>
      </w:r>
      <w:r w:rsidR="000011BE">
        <w:rPr>
          <w:rFonts w:asciiTheme="minorHAnsi" w:hAnsiTheme="minorHAnsi" w:cstheme="minorHAnsi"/>
        </w:rPr>
        <w:t>y,</w:t>
      </w:r>
      <w:r w:rsidRPr="00250E2A">
        <w:rPr>
          <w:rFonts w:asciiTheme="minorHAnsi" w:hAnsiTheme="minorHAnsi" w:cstheme="minorHAnsi"/>
        </w:rPr>
        <w:t xml:space="preserve"> a ustanovení § 141b je v tomto případě inspirací, jak lze při výpočtu </w:t>
      </w:r>
      <w:r w:rsidR="000011BE">
        <w:rPr>
          <w:rFonts w:asciiTheme="minorHAnsi" w:hAnsiTheme="minorHAnsi" w:cstheme="minorHAnsi"/>
        </w:rPr>
        <w:t xml:space="preserve">příjmových </w:t>
      </w:r>
      <w:r w:rsidRPr="00250E2A">
        <w:rPr>
          <w:rFonts w:asciiTheme="minorHAnsi" w:hAnsiTheme="minorHAnsi" w:cstheme="minorHAnsi"/>
        </w:rPr>
        <w:t>výpadk</w:t>
      </w:r>
      <w:r w:rsidR="000011BE">
        <w:rPr>
          <w:rFonts w:asciiTheme="minorHAnsi" w:hAnsiTheme="minorHAnsi" w:cstheme="minorHAnsi"/>
        </w:rPr>
        <w:t>ů</w:t>
      </w:r>
      <w:r w:rsidRPr="00250E2A">
        <w:rPr>
          <w:rFonts w:asciiTheme="minorHAnsi" w:hAnsiTheme="minorHAnsi" w:cstheme="minorHAnsi"/>
        </w:rPr>
        <w:t xml:space="preserve"> spojených s nelegální prací cizinců </w:t>
      </w:r>
      <w:r w:rsidR="000011BE">
        <w:rPr>
          <w:rFonts w:asciiTheme="minorHAnsi" w:hAnsiTheme="minorHAnsi" w:cstheme="minorHAnsi"/>
        </w:rPr>
        <w:t>postupovat</w:t>
      </w:r>
      <w:r w:rsidRPr="00250E2A">
        <w:rPr>
          <w:rFonts w:asciiTheme="minorHAnsi" w:hAnsiTheme="minorHAnsi" w:cstheme="minorHAnsi"/>
        </w:rPr>
        <w:t xml:space="preserve"> v případě stanovení délky trvání nelegální práce.</w:t>
      </w:r>
    </w:p>
  </w:footnote>
  <w:footnote w:id="44">
    <w:p w14:paraId="37740B57" w14:textId="14717B1B"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00C25745">
        <w:rPr>
          <w:rFonts w:asciiTheme="minorHAnsi" w:hAnsiTheme="minorHAnsi" w:cstheme="minorHAnsi"/>
        </w:rPr>
        <w:t>H</w:t>
      </w:r>
      <w:r w:rsidRPr="00424B4A">
        <w:rPr>
          <w:rFonts w:asciiTheme="minorHAnsi" w:hAnsiTheme="minorHAnsi" w:cstheme="minorHAnsi"/>
        </w:rPr>
        <w:t xml:space="preserve">rubá mzda zvýšená o odvody zaměstnavatele na </w:t>
      </w:r>
      <w:r w:rsidR="000011BE">
        <w:rPr>
          <w:rFonts w:asciiTheme="minorHAnsi" w:hAnsiTheme="minorHAnsi" w:cstheme="minorHAnsi"/>
        </w:rPr>
        <w:t>SZP</w:t>
      </w:r>
      <w:r w:rsidR="00722D60">
        <w:rPr>
          <w:rFonts w:asciiTheme="minorHAnsi" w:hAnsiTheme="minorHAnsi" w:cstheme="minorHAnsi"/>
        </w:rPr>
        <w:t>.</w:t>
      </w:r>
    </w:p>
  </w:footnote>
  <w:footnote w:id="45">
    <w:p w14:paraId="79E3D0C2" w14:textId="04AB1FAE"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6164D5">
        <w:rPr>
          <w:rFonts w:asciiTheme="minorHAnsi" w:hAnsiTheme="minorHAnsi" w:cstheme="minorHAnsi"/>
          <w:i/>
          <w:iCs/>
        </w:rPr>
        <w:t>Problematika nelegální práce a nehlášené práce a odhad jejich dopadu na veřejné rozpočty</w:t>
      </w:r>
      <w:r w:rsidR="00E13B40">
        <w:rPr>
          <w:rFonts w:asciiTheme="minorHAnsi" w:hAnsiTheme="minorHAnsi" w:cstheme="minorHAnsi"/>
        </w:rPr>
        <w:t>.</w:t>
      </w:r>
      <w:r w:rsidRPr="00424B4A">
        <w:rPr>
          <w:rFonts w:asciiTheme="minorHAnsi" w:hAnsiTheme="minorHAnsi" w:cstheme="minorHAnsi"/>
        </w:rPr>
        <w:t xml:space="preserve"> Výzkumný ústav práce a sociálních věcí, v.</w:t>
      </w:r>
      <w:r w:rsidR="008A0596">
        <w:rPr>
          <w:rFonts w:asciiTheme="minorHAnsi" w:hAnsiTheme="minorHAnsi" w:cstheme="minorHAnsi"/>
        </w:rPr>
        <w:t xml:space="preserve"> </w:t>
      </w:r>
      <w:r w:rsidRPr="00424B4A">
        <w:rPr>
          <w:rFonts w:asciiTheme="minorHAnsi" w:hAnsiTheme="minorHAnsi" w:cstheme="minorHAnsi"/>
        </w:rPr>
        <w:t>v.</w:t>
      </w:r>
      <w:r w:rsidR="008A0596">
        <w:rPr>
          <w:rFonts w:asciiTheme="minorHAnsi" w:hAnsiTheme="minorHAnsi" w:cstheme="minorHAnsi"/>
        </w:rPr>
        <w:t xml:space="preserve"> </w:t>
      </w:r>
      <w:r w:rsidRPr="00424B4A">
        <w:rPr>
          <w:rFonts w:asciiTheme="minorHAnsi" w:hAnsiTheme="minorHAnsi" w:cstheme="minorHAnsi"/>
        </w:rPr>
        <w:t>i</w:t>
      </w:r>
      <w:r w:rsidR="008A0596">
        <w:rPr>
          <w:rFonts w:asciiTheme="minorHAnsi" w:hAnsiTheme="minorHAnsi" w:cstheme="minorHAnsi"/>
        </w:rPr>
        <w:t>.</w:t>
      </w:r>
      <w:r w:rsidRPr="00424B4A">
        <w:rPr>
          <w:rFonts w:asciiTheme="minorHAnsi" w:hAnsiTheme="minorHAnsi" w:cstheme="minorHAnsi"/>
        </w:rPr>
        <w:t>, 2014</w:t>
      </w:r>
      <w:r w:rsidR="008A0596">
        <w:rPr>
          <w:rFonts w:asciiTheme="minorHAnsi" w:hAnsiTheme="minorHAnsi" w:cstheme="minorHAnsi"/>
        </w:rPr>
        <w:t>.</w:t>
      </w:r>
    </w:p>
  </w:footnote>
  <w:footnote w:id="46">
    <w:p w14:paraId="33CC9F9C" w14:textId="33EB00B2" w:rsidR="00C42FD1" w:rsidRPr="00424B4A" w:rsidRDefault="00C42FD1"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6164D5">
        <w:rPr>
          <w:rFonts w:asciiTheme="minorHAnsi" w:hAnsiTheme="minorHAnsi" w:cstheme="minorHAnsi"/>
          <w:i/>
          <w:iCs/>
        </w:rPr>
        <w:t>Studie o účinnosti politik pro řešení nehlášené práce</w:t>
      </w:r>
      <w:r w:rsidRPr="00424B4A">
        <w:rPr>
          <w:rFonts w:asciiTheme="minorHAnsi" w:hAnsiTheme="minorHAnsi" w:cstheme="minorHAnsi"/>
        </w:rPr>
        <w:t xml:space="preserve"> (VT/2021/0380), Evropská komise, 25. července 2023</w:t>
      </w:r>
      <w:r w:rsidR="00E13B40">
        <w:rPr>
          <w:rFonts w:asciiTheme="minorHAnsi" w:hAnsiTheme="minorHAnsi" w:cstheme="minorHAnsi"/>
        </w:rPr>
        <w:t>.</w:t>
      </w:r>
      <w:r w:rsidRPr="00424B4A">
        <w:rPr>
          <w:rFonts w:asciiTheme="minorHAnsi" w:hAnsiTheme="minorHAnsi" w:cstheme="minorHAnsi"/>
        </w:rPr>
        <w:t xml:space="preserve"> </w:t>
      </w:r>
    </w:p>
  </w:footnote>
  <w:footnote w:id="47">
    <w:p w14:paraId="5AFE0F0C" w14:textId="18D4752F" w:rsidR="00316A26" w:rsidRPr="00424B4A" w:rsidRDefault="00316A26" w:rsidP="00A40519">
      <w:pPr>
        <w:pStyle w:val="Textpoznpodarou"/>
        <w:ind w:left="284" w:hanging="284"/>
        <w:jc w:val="both"/>
        <w:rPr>
          <w:rFonts w:asciiTheme="minorHAnsi" w:hAnsiTheme="minorHAnsi" w:cstheme="minorHAnsi"/>
        </w:rPr>
      </w:pPr>
      <w:r w:rsidRPr="00424B4A">
        <w:rPr>
          <w:rStyle w:val="Znakapoznpodarou"/>
          <w:rFonts w:asciiTheme="minorHAnsi" w:hAnsiTheme="minorHAnsi" w:cstheme="minorHAnsi"/>
        </w:rPr>
        <w:footnoteRef/>
      </w:r>
      <w:r w:rsidRPr="00424B4A">
        <w:rPr>
          <w:rFonts w:asciiTheme="minorHAnsi" w:hAnsiTheme="minorHAnsi" w:cstheme="minorHAnsi"/>
        </w:rPr>
        <w:t xml:space="preserve"> </w:t>
      </w:r>
      <w:r w:rsidR="00A40519">
        <w:rPr>
          <w:rFonts w:asciiTheme="minorHAnsi" w:hAnsiTheme="minorHAnsi" w:cstheme="minorHAnsi"/>
        </w:rPr>
        <w:tab/>
      </w:r>
      <w:r w:rsidRPr="00424B4A">
        <w:rPr>
          <w:rFonts w:asciiTheme="minorHAnsi" w:hAnsiTheme="minorHAnsi" w:cstheme="minorHAnsi"/>
        </w:rPr>
        <w:t>P</w:t>
      </w:r>
      <w:r w:rsidR="00414407">
        <w:rPr>
          <w:rFonts w:asciiTheme="minorHAnsi" w:hAnsiTheme="minorHAnsi" w:cstheme="minorHAnsi"/>
        </w:rPr>
        <w:t>okuty</w:t>
      </w:r>
      <w:r w:rsidRPr="00424B4A">
        <w:rPr>
          <w:rFonts w:asciiTheme="minorHAnsi" w:hAnsiTheme="minorHAnsi" w:cstheme="minorHAnsi"/>
        </w:rPr>
        <w:t xml:space="preserve"> na místě </w:t>
      </w:r>
      <w:r w:rsidR="00414407">
        <w:rPr>
          <w:rFonts w:asciiTheme="minorHAnsi" w:hAnsiTheme="minorHAnsi" w:cstheme="minorHAnsi"/>
        </w:rPr>
        <w:t>udělované</w:t>
      </w:r>
      <w:r w:rsidRPr="00424B4A">
        <w:rPr>
          <w:rFonts w:asciiTheme="minorHAnsi" w:hAnsiTheme="minorHAnsi" w:cstheme="minorHAnsi"/>
        </w:rPr>
        <w:t xml:space="preserve"> orgány inspekce práce nejsou zahrnuty, protože nejsou ukládány za přestupky </w:t>
      </w:r>
      <w:r w:rsidR="00414407">
        <w:rPr>
          <w:rFonts w:asciiTheme="minorHAnsi" w:hAnsiTheme="minorHAnsi" w:cstheme="minorHAnsi"/>
        </w:rPr>
        <w:t xml:space="preserve">v oblasti </w:t>
      </w:r>
      <w:r w:rsidRPr="00424B4A">
        <w:rPr>
          <w:rFonts w:asciiTheme="minorHAnsi" w:hAnsiTheme="minorHAnsi" w:cstheme="minorHAnsi"/>
        </w:rPr>
        <w:t xml:space="preserve">NLZ. </w:t>
      </w:r>
    </w:p>
    <w:p w14:paraId="5F942077" w14:textId="77777777" w:rsidR="00316A26" w:rsidRPr="00A40519" w:rsidRDefault="00316A26" w:rsidP="00316A26">
      <w:pPr>
        <w:pStyle w:val="Textpoznpodarou"/>
        <w:ind w:left="142" w:hanging="142"/>
        <w:jc w:val="both"/>
        <w:rPr>
          <w:rFonts w:asciiTheme="minorHAnsi" w:hAnsiTheme="minorHAnsi" w:cstheme="minorHAnsi"/>
          <w:strik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3B1E"/>
    <w:multiLevelType w:val="multilevel"/>
    <w:tmpl w:val="76041D7C"/>
    <w:lvl w:ilvl="0">
      <w:start w:val="1"/>
      <w:numFmt w:val="decimal"/>
      <w:pStyle w:val="Nadpis2"/>
      <w:lvlText w:val="%1."/>
      <w:lvlJc w:val="left"/>
      <w:pPr>
        <w:ind w:left="720" w:hanging="360"/>
      </w:pPr>
      <w:rPr>
        <w:rFonts w:hint="default"/>
      </w:rPr>
    </w:lvl>
    <w:lvl w:ilvl="1">
      <w:start w:val="1"/>
      <w:numFmt w:val="decimal"/>
      <w:pStyle w:val="Nadpis3"/>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FD7FE0"/>
    <w:multiLevelType w:val="hybridMultilevel"/>
    <w:tmpl w:val="FA926434"/>
    <w:lvl w:ilvl="0" w:tplc="04050001">
      <w:start w:val="1"/>
      <w:numFmt w:val="bullet"/>
      <w:lvlText w:val=""/>
      <w:lvlJc w:val="left"/>
      <w:pPr>
        <w:ind w:left="2278" w:hanging="360"/>
      </w:pPr>
      <w:rPr>
        <w:rFonts w:ascii="Symbol" w:hAnsi="Symbol" w:hint="default"/>
      </w:rPr>
    </w:lvl>
    <w:lvl w:ilvl="1" w:tplc="04050003" w:tentative="1">
      <w:start w:val="1"/>
      <w:numFmt w:val="bullet"/>
      <w:lvlText w:val="o"/>
      <w:lvlJc w:val="left"/>
      <w:pPr>
        <w:ind w:left="2998" w:hanging="360"/>
      </w:pPr>
      <w:rPr>
        <w:rFonts w:ascii="Courier New" w:hAnsi="Courier New" w:cs="Courier New" w:hint="default"/>
      </w:rPr>
    </w:lvl>
    <w:lvl w:ilvl="2" w:tplc="04050005" w:tentative="1">
      <w:start w:val="1"/>
      <w:numFmt w:val="bullet"/>
      <w:lvlText w:val=""/>
      <w:lvlJc w:val="left"/>
      <w:pPr>
        <w:ind w:left="3718" w:hanging="360"/>
      </w:pPr>
      <w:rPr>
        <w:rFonts w:ascii="Wingdings" w:hAnsi="Wingdings" w:hint="default"/>
      </w:rPr>
    </w:lvl>
    <w:lvl w:ilvl="3" w:tplc="04050001" w:tentative="1">
      <w:start w:val="1"/>
      <w:numFmt w:val="bullet"/>
      <w:lvlText w:val=""/>
      <w:lvlJc w:val="left"/>
      <w:pPr>
        <w:ind w:left="4438" w:hanging="360"/>
      </w:pPr>
      <w:rPr>
        <w:rFonts w:ascii="Symbol" w:hAnsi="Symbol" w:hint="default"/>
      </w:rPr>
    </w:lvl>
    <w:lvl w:ilvl="4" w:tplc="04050003" w:tentative="1">
      <w:start w:val="1"/>
      <w:numFmt w:val="bullet"/>
      <w:lvlText w:val="o"/>
      <w:lvlJc w:val="left"/>
      <w:pPr>
        <w:ind w:left="5158" w:hanging="360"/>
      </w:pPr>
      <w:rPr>
        <w:rFonts w:ascii="Courier New" w:hAnsi="Courier New" w:cs="Courier New" w:hint="default"/>
      </w:rPr>
    </w:lvl>
    <w:lvl w:ilvl="5" w:tplc="04050005" w:tentative="1">
      <w:start w:val="1"/>
      <w:numFmt w:val="bullet"/>
      <w:lvlText w:val=""/>
      <w:lvlJc w:val="left"/>
      <w:pPr>
        <w:ind w:left="5878" w:hanging="360"/>
      </w:pPr>
      <w:rPr>
        <w:rFonts w:ascii="Wingdings" w:hAnsi="Wingdings" w:hint="default"/>
      </w:rPr>
    </w:lvl>
    <w:lvl w:ilvl="6" w:tplc="04050001" w:tentative="1">
      <w:start w:val="1"/>
      <w:numFmt w:val="bullet"/>
      <w:lvlText w:val=""/>
      <w:lvlJc w:val="left"/>
      <w:pPr>
        <w:ind w:left="6598" w:hanging="360"/>
      </w:pPr>
      <w:rPr>
        <w:rFonts w:ascii="Symbol" w:hAnsi="Symbol" w:hint="default"/>
      </w:rPr>
    </w:lvl>
    <w:lvl w:ilvl="7" w:tplc="04050003" w:tentative="1">
      <w:start w:val="1"/>
      <w:numFmt w:val="bullet"/>
      <w:lvlText w:val="o"/>
      <w:lvlJc w:val="left"/>
      <w:pPr>
        <w:ind w:left="7318" w:hanging="360"/>
      </w:pPr>
      <w:rPr>
        <w:rFonts w:ascii="Courier New" w:hAnsi="Courier New" w:cs="Courier New" w:hint="default"/>
      </w:rPr>
    </w:lvl>
    <w:lvl w:ilvl="8" w:tplc="04050005" w:tentative="1">
      <w:start w:val="1"/>
      <w:numFmt w:val="bullet"/>
      <w:lvlText w:val=""/>
      <w:lvlJc w:val="left"/>
      <w:pPr>
        <w:ind w:left="8038" w:hanging="360"/>
      </w:pPr>
      <w:rPr>
        <w:rFonts w:ascii="Wingdings" w:hAnsi="Wingdings" w:hint="default"/>
      </w:rPr>
    </w:lvl>
  </w:abstractNum>
  <w:abstractNum w:abstractNumId="2" w15:restartNumberingAfterBreak="0">
    <w:nsid w:val="1E457E93"/>
    <w:multiLevelType w:val="hybridMultilevel"/>
    <w:tmpl w:val="6CBCDCE4"/>
    <w:lvl w:ilvl="0" w:tplc="11A8C8BC">
      <w:start w:val="5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101763"/>
    <w:multiLevelType w:val="hybridMultilevel"/>
    <w:tmpl w:val="CBD08F1C"/>
    <w:lvl w:ilvl="0" w:tplc="04050001">
      <w:start w:val="1"/>
      <w:numFmt w:val="bullet"/>
      <w:lvlText w:val=""/>
      <w:lvlJc w:val="left"/>
      <w:pPr>
        <w:ind w:left="549" w:hanging="360"/>
      </w:pPr>
      <w:rPr>
        <w:rFonts w:ascii="Symbol" w:hAnsi="Symbol" w:hint="default"/>
      </w:rPr>
    </w:lvl>
    <w:lvl w:ilvl="1" w:tplc="04050003" w:tentative="1">
      <w:start w:val="1"/>
      <w:numFmt w:val="bullet"/>
      <w:lvlText w:val="o"/>
      <w:lvlJc w:val="left"/>
      <w:pPr>
        <w:ind w:left="1269" w:hanging="360"/>
      </w:pPr>
      <w:rPr>
        <w:rFonts w:ascii="Courier New" w:hAnsi="Courier New" w:cs="Courier New" w:hint="default"/>
      </w:rPr>
    </w:lvl>
    <w:lvl w:ilvl="2" w:tplc="04050005" w:tentative="1">
      <w:start w:val="1"/>
      <w:numFmt w:val="bullet"/>
      <w:lvlText w:val=""/>
      <w:lvlJc w:val="left"/>
      <w:pPr>
        <w:ind w:left="1989" w:hanging="360"/>
      </w:pPr>
      <w:rPr>
        <w:rFonts w:ascii="Wingdings" w:hAnsi="Wingdings" w:hint="default"/>
      </w:rPr>
    </w:lvl>
    <w:lvl w:ilvl="3" w:tplc="04050001" w:tentative="1">
      <w:start w:val="1"/>
      <w:numFmt w:val="bullet"/>
      <w:lvlText w:val=""/>
      <w:lvlJc w:val="left"/>
      <w:pPr>
        <w:ind w:left="2709" w:hanging="360"/>
      </w:pPr>
      <w:rPr>
        <w:rFonts w:ascii="Symbol" w:hAnsi="Symbol" w:hint="default"/>
      </w:rPr>
    </w:lvl>
    <w:lvl w:ilvl="4" w:tplc="04050003" w:tentative="1">
      <w:start w:val="1"/>
      <w:numFmt w:val="bullet"/>
      <w:lvlText w:val="o"/>
      <w:lvlJc w:val="left"/>
      <w:pPr>
        <w:ind w:left="3429" w:hanging="360"/>
      </w:pPr>
      <w:rPr>
        <w:rFonts w:ascii="Courier New" w:hAnsi="Courier New" w:cs="Courier New" w:hint="default"/>
      </w:rPr>
    </w:lvl>
    <w:lvl w:ilvl="5" w:tplc="04050005" w:tentative="1">
      <w:start w:val="1"/>
      <w:numFmt w:val="bullet"/>
      <w:lvlText w:val=""/>
      <w:lvlJc w:val="left"/>
      <w:pPr>
        <w:ind w:left="4149" w:hanging="360"/>
      </w:pPr>
      <w:rPr>
        <w:rFonts w:ascii="Wingdings" w:hAnsi="Wingdings" w:hint="default"/>
      </w:rPr>
    </w:lvl>
    <w:lvl w:ilvl="6" w:tplc="04050001" w:tentative="1">
      <w:start w:val="1"/>
      <w:numFmt w:val="bullet"/>
      <w:lvlText w:val=""/>
      <w:lvlJc w:val="left"/>
      <w:pPr>
        <w:ind w:left="4869" w:hanging="360"/>
      </w:pPr>
      <w:rPr>
        <w:rFonts w:ascii="Symbol" w:hAnsi="Symbol" w:hint="default"/>
      </w:rPr>
    </w:lvl>
    <w:lvl w:ilvl="7" w:tplc="04050003" w:tentative="1">
      <w:start w:val="1"/>
      <w:numFmt w:val="bullet"/>
      <w:lvlText w:val="o"/>
      <w:lvlJc w:val="left"/>
      <w:pPr>
        <w:ind w:left="5589" w:hanging="360"/>
      </w:pPr>
      <w:rPr>
        <w:rFonts w:ascii="Courier New" w:hAnsi="Courier New" w:cs="Courier New" w:hint="default"/>
      </w:rPr>
    </w:lvl>
    <w:lvl w:ilvl="8" w:tplc="04050005" w:tentative="1">
      <w:start w:val="1"/>
      <w:numFmt w:val="bullet"/>
      <w:lvlText w:val=""/>
      <w:lvlJc w:val="left"/>
      <w:pPr>
        <w:ind w:left="6309" w:hanging="360"/>
      </w:pPr>
      <w:rPr>
        <w:rFonts w:ascii="Wingdings" w:hAnsi="Wingdings" w:hint="default"/>
      </w:rPr>
    </w:lvl>
  </w:abstractNum>
  <w:abstractNum w:abstractNumId="4" w15:restartNumberingAfterBreak="0">
    <w:nsid w:val="2C847E65"/>
    <w:multiLevelType w:val="hybridMultilevel"/>
    <w:tmpl w:val="989AB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3343B"/>
    <w:multiLevelType w:val="hybridMultilevel"/>
    <w:tmpl w:val="4526545A"/>
    <w:lvl w:ilvl="0" w:tplc="AD5E8A70">
      <w:start w:val="21"/>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3108E5"/>
    <w:multiLevelType w:val="hybridMultilevel"/>
    <w:tmpl w:val="BBA0A022"/>
    <w:lvl w:ilvl="0" w:tplc="CB0E6CB2">
      <w:start w:val="1"/>
      <w:numFmt w:val="decimal"/>
      <w:pStyle w:val="Podnadpis"/>
      <w:lvlText w:val="Tab. %1 - "/>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9315F0"/>
    <w:multiLevelType w:val="hybridMultilevel"/>
    <w:tmpl w:val="9C005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650044"/>
    <w:multiLevelType w:val="hybridMultilevel"/>
    <w:tmpl w:val="A64ADF72"/>
    <w:lvl w:ilvl="0" w:tplc="BBF2C416">
      <w:start w:val="1"/>
      <w:numFmt w:val="bullet"/>
      <w:pStyle w:val="Odrka1"/>
      <w:lvlText w:val=""/>
      <w:lvlJc w:val="left"/>
      <w:pPr>
        <w:ind w:left="720" w:hanging="360"/>
      </w:pPr>
      <w:rPr>
        <w:rFonts w:ascii="Symbol" w:hAnsi="Symbol" w:hint="default"/>
      </w:rPr>
    </w:lvl>
    <w:lvl w:ilvl="1" w:tplc="21540E84" w:tentative="1">
      <w:start w:val="1"/>
      <w:numFmt w:val="bullet"/>
      <w:lvlText w:val="o"/>
      <w:lvlJc w:val="left"/>
      <w:pPr>
        <w:ind w:left="1440" w:hanging="360"/>
      </w:pPr>
      <w:rPr>
        <w:rFonts w:ascii="Courier New" w:hAnsi="Courier New" w:cs="Courier New" w:hint="default"/>
      </w:rPr>
    </w:lvl>
    <w:lvl w:ilvl="2" w:tplc="5184BBCC">
      <w:start w:val="1"/>
      <w:numFmt w:val="bullet"/>
      <w:lvlText w:val=""/>
      <w:lvlJc w:val="left"/>
      <w:pPr>
        <w:ind w:left="2160" w:hanging="360"/>
      </w:pPr>
      <w:rPr>
        <w:rFonts w:ascii="Wingdings" w:hAnsi="Wingdings" w:hint="default"/>
      </w:rPr>
    </w:lvl>
    <w:lvl w:ilvl="3" w:tplc="FB962F3A" w:tentative="1">
      <w:start w:val="1"/>
      <w:numFmt w:val="bullet"/>
      <w:lvlText w:val=""/>
      <w:lvlJc w:val="left"/>
      <w:pPr>
        <w:ind w:left="2880" w:hanging="360"/>
      </w:pPr>
      <w:rPr>
        <w:rFonts w:ascii="Symbol" w:hAnsi="Symbol" w:hint="default"/>
      </w:rPr>
    </w:lvl>
    <w:lvl w:ilvl="4" w:tplc="5332FB18" w:tentative="1">
      <w:start w:val="1"/>
      <w:numFmt w:val="bullet"/>
      <w:lvlText w:val="o"/>
      <w:lvlJc w:val="left"/>
      <w:pPr>
        <w:ind w:left="3600" w:hanging="360"/>
      </w:pPr>
      <w:rPr>
        <w:rFonts w:ascii="Courier New" w:hAnsi="Courier New" w:cs="Courier New" w:hint="default"/>
      </w:rPr>
    </w:lvl>
    <w:lvl w:ilvl="5" w:tplc="585C1D96" w:tentative="1">
      <w:start w:val="1"/>
      <w:numFmt w:val="bullet"/>
      <w:lvlText w:val=""/>
      <w:lvlJc w:val="left"/>
      <w:pPr>
        <w:ind w:left="4320" w:hanging="360"/>
      </w:pPr>
      <w:rPr>
        <w:rFonts w:ascii="Wingdings" w:hAnsi="Wingdings" w:hint="default"/>
      </w:rPr>
    </w:lvl>
    <w:lvl w:ilvl="6" w:tplc="824061D0" w:tentative="1">
      <w:start w:val="1"/>
      <w:numFmt w:val="bullet"/>
      <w:lvlText w:val=""/>
      <w:lvlJc w:val="left"/>
      <w:pPr>
        <w:ind w:left="5040" w:hanging="360"/>
      </w:pPr>
      <w:rPr>
        <w:rFonts w:ascii="Symbol" w:hAnsi="Symbol" w:hint="default"/>
      </w:rPr>
    </w:lvl>
    <w:lvl w:ilvl="7" w:tplc="D416DB58" w:tentative="1">
      <w:start w:val="1"/>
      <w:numFmt w:val="bullet"/>
      <w:lvlText w:val="o"/>
      <w:lvlJc w:val="left"/>
      <w:pPr>
        <w:ind w:left="5760" w:hanging="360"/>
      </w:pPr>
      <w:rPr>
        <w:rFonts w:ascii="Courier New" w:hAnsi="Courier New" w:cs="Courier New" w:hint="default"/>
      </w:rPr>
    </w:lvl>
    <w:lvl w:ilvl="8" w:tplc="3F087CF6" w:tentative="1">
      <w:start w:val="1"/>
      <w:numFmt w:val="bullet"/>
      <w:lvlText w:val=""/>
      <w:lvlJc w:val="left"/>
      <w:pPr>
        <w:ind w:left="6480" w:hanging="360"/>
      </w:pPr>
      <w:rPr>
        <w:rFonts w:ascii="Wingdings" w:hAnsi="Wingdings" w:hint="default"/>
      </w:rPr>
    </w:lvl>
  </w:abstractNum>
  <w:abstractNum w:abstractNumId="9"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A9F4C26"/>
    <w:multiLevelType w:val="hybridMultilevel"/>
    <w:tmpl w:val="3B325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72049B"/>
    <w:multiLevelType w:val="multilevel"/>
    <w:tmpl w:val="A080BE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F11D07"/>
    <w:multiLevelType w:val="hybridMultilevel"/>
    <w:tmpl w:val="87149B4A"/>
    <w:lvl w:ilvl="0" w:tplc="3E8ABD4E">
      <w:start w:val="2"/>
      <w:numFmt w:val="bullet"/>
      <w:lvlText w:val="-"/>
      <w:lvlJc w:val="left"/>
      <w:pPr>
        <w:ind w:left="720" w:hanging="360"/>
      </w:pPr>
      <w:rPr>
        <w:rFonts w:ascii="Calibri" w:eastAsiaTheme="minorHAnsi" w:hAnsi="Calibri" w:cs="Calibri" w:hint="default"/>
      </w:rPr>
    </w:lvl>
    <w:lvl w:ilvl="1" w:tplc="CCD47E92" w:tentative="1">
      <w:start w:val="1"/>
      <w:numFmt w:val="bullet"/>
      <w:lvlText w:val="o"/>
      <w:lvlJc w:val="left"/>
      <w:pPr>
        <w:ind w:left="1440" w:hanging="360"/>
      </w:pPr>
      <w:rPr>
        <w:rFonts w:ascii="Courier New" w:hAnsi="Courier New" w:cs="Courier New" w:hint="default"/>
      </w:rPr>
    </w:lvl>
    <w:lvl w:ilvl="2" w:tplc="3678EA6A" w:tentative="1">
      <w:start w:val="1"/>
      <w:numFmt w:val="bullet"/>
      <w:lvlText w:val=""/>
      <w:lvlJc w:val="left"/>
      <w:pPr>
        <w:ind w:left="2160" w:hanging="360"/>
      </w:pPr>
      <w:rPr>
        <w:rFonts w:ascii="Wingdings" w:hAnsi="Wingdings" w:hint="default"/>
      </w:rPr>
    </w:lvl>
    <w:lvl w:ilvl="3" w:tplc="8C3EBEA2" w:tentative="1">
      <w:start w:val="1"/>
      <w:numFmt w:val="bullet"/>
      <w:lvlText w:val=""/>
      <w:lvlJc w:val="left"/>
      <w:pPr>
        <w:ind w:left="2880" w:hanging="360"/>
      </w:pPr>
      <w:rPr>
        <w:rFonts w:ascii="Symbol" w:hAnsi="Symbol" w:hint="default"/>
      </w:rPr>
    </w:lvl>
    <w:lvl w:ilvl="4" w:tplc="D4008152" w:tentative="1">
      <w:start w:val="1"/>
      <w:numFmt w:val="bullet"/>
      <w:lvlText w:val="o"/>
      <w:lvlJc w:val="left"/>
      <w:pPr>
        <w:ind w:left="3600" w:hanging="360"/>
      </w:pPr>
      <w:rPr>
        <w:rFonts w:ascii="Courier New" w:hAnsi="Courier New" w:cs="Courier New" w:hint="default"/>
      </w:rPr>
    </w:lvl>
    <w:lvl w:ilvl="5" w:tplc="A2B80BF2" w:tentative="1">
      <w:start w:val="1"/>
      <w:numFmt w:val="bullet"/>
      <w:lvlText w:val=""/>
      <w:lvlJc w:val="left"/>
      <w:pPr>
        <w:ind w:left="4320" w:hanging="360"/>
      </w:pPr>
      <w:rPr>
        <w:rFonts w:ascii="Wingdings" w:hAnsi="Wingdings" w:hint="default"/>
      </w:rPr>
    </w:lvl>
    <w:lvl w:ilvl="6" w:tplc="99FA7B04" w:tentative="1">
      <w:start w:val="1"/>
      <w:numFmt w:val="bullet"/>
      <w:lvlText w:val=""/>
      <w:lvlJc w:val="left"/>
      <w:pPr>
        <w:ind w:left="5040" w:hanging="360"/>
      </w:pPr>
      <w:rPr>
        <w:rFonts w:ascii="Symbol" w:hAnsi="Symbol" w:hint="default"/>
      </w:rPr>
    </w:lvl>
    <w:lvl w:ilvl="7" w:tplc="DCDA13B4" w:tentative="1">
      <w:start w:val="1"/>
      <w:numFmt w:val="bullet"/>
      <w:lvlText w:val="o"/>
      <w:lvlJc w:val="left"/>
      <w:pPr>
        <w:ind w:left="5760" w:hanging="360"/>
      </w:pPr>
      <w:rPr>
        <w:rFonts w:ascii="Courier New" w:hAnsi="Courier New" w:cs="Courier New" w:hint="default"/>
      </w:rPr>
    </w:lvl>
    <w:lvl w:ilvl="8" w:tplc="5ACE1FAA" w:tentative="1">
      <w:start w:val="1"/>
      <w:numFmt w:val="bullet"/>
      <w:lvlText w:val=""/>
      <w:lvlJc w:val="left"/>
      <w:pPr>
        <w:ind w:left="6480" w:hanging="360"/>
      </w:pPr>
      <w:rPr>
        <w:rFonts w:ascii="Wingdings" w:hAnsi="Wingdings" w:hint="default"/>
      </w:rPr>
    </w:lvl>
  </w:abstractNum>
  <w:abstractNum w:abstractNumId="13" w15:restartNumberingAfterBreak="0">
    <w:nsid w:val="6E6F7417"/>
    <w:multiLevelType w:val="hybridMultilevel"/>
    <w:tmpl w:val="C8701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7C2702"/>
    <w:multiLevelType w:val="multilevel"/>
    <w:tmpl w:val="46884224"/>
    <w:lvl w:ilvl="0">
      <w:start w:val="1"/>
      <w:numFmt w:val="decimal"/>
      <w:pStyle w:val="NadpisKZ"/>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4F13E7"/>
    <w:multiLevelType w:val="hybridMultilevel"/>
    <w:tmpl w:val="90ACB6F0"/>
    <w:lvl w:ilvl="0" w:tplc="82989C24">
      <w:start w:val="53"/>
      <w:numFmt w:val="bullet"/>
      <w:lvlText w:val="-"/>
      <w:lvlJc w:val="left"/>
      <w:pPr>
        <w:ind w:left="720" w:hanging="360"/>
      </w:pPr>
      <w:rPr>
        <w:rFonts w:ascii="Calibri" w:eastAsiaTheme="minorHAnsi" w:hAnsi="Calibri" w:cs="Calibr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F306F7"/>
    <w:multiLevelType w:val="hybridMultilevel"/>
    <w:tmpl w:val="5F2EDE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164778076">
    <w:abstractNumId w:val="9"/>
  </w:num>
  <w:num w:numId="2" w16cid:durableId="1327435568">
    <w:abstractNumId w:val="8"/>
  </w:num>
  <w:num w:numId="3" w16cid:durableId="35735994">
    <w:abstractNumId w:val="0"/>
  </w:num>
  <w:num w:numId="4" w16cid:durableId="659038746">
    <w:abstractNumId w:val="14"/>
  </w:num>
  <w:num w:numId="5" w16cid:durableId="1628707331">
    <w:abstractNumId w:val="12"/>
  </w:num>
  <w:num w:numId="6" w16cid:durableId="18510498">
    <w:abstractNumId w:val="5"/>
  </w:num>
  <w:num w:numId="7" w16cid:durableId="1383405641">
    <w:abstractNumId w:val="4"/>
  </w:num>
  <w:num w:numId="8" w16cid:durableId="437870538">
    <w:abstractNumId w:val="3"/>
  </w:num>
  <w:num w:numId="9" w16cid:durableId="706687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837045">
    <w:abstractNumId w:val="6"/>
  </w:num>
  <w:num w:numId="11" w16cid:durableId="777993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865489">
    <w:abstractNumId w:val="14"/>
  </w:num>
  <w:num w:numId="13" w16cid:durableId="886181585">
    <w:abstractNumId w:val="14"/>
  </w:num>
  <w:num w:numId="14" w16cid:durableId="2147356495">
    <w:abstractNumId w:val="14"/>
  </w:num>
  <w:num w:numId="15" w16cid:durableId="1949969230">
    <w:abstractNumId w:val="10"/>
  </w:num>
  <w:num w:numId="16" w16cid:durableId="716395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306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7220707">
    <w:abstractNumId w:val="11"/>
  </w:num>
  <w:num w:numId="19" w16cid:durableId="309019427">
    <w:abstractNumId w:val="2"/>
  </w:num>
  <w:num w:numId="20" w16cid:durableId="89937637">
    <w:abstractNumId w:val="15"/>
  </w:num>
  <w:num w:numId="21" w16cid:durableId="1592934009">
    <w:abstractNumId w:val="14"/>
  </w:num>
  <w:num w:numId="22" w16cid:durableId="2081823407">
    <w:abstractNumId w:val="14"/>
  </w:num>
  <w:num w:numId="23" w16cid:durableId="790637575">
    <w:abstractNumId w:val="16"/>
  </w:num>
  <w:num w:numId="24" w16cid:durableId="1185709429">
    <w:abstractNumId w:val="0"/>
  </w:num>
  <w:num w:numId="25" w16cid:durableId="1865631486">
    <w:abstractNumId w:val="0"/>
  </w:num>
  <w:num w:numId="26" w16cid:durableId="354188589">
    <w:abstractNumId w:val="0"/>
  </w:num>
  <w:num w:numId="27" w16cid:durableId="1250189517">
    <w:abstractNumId w:val="14"/>
  </w:num>
  <w:num w:numId="28" w16cid:durableId="1702897438">
    <w:abstractNumId w:val="14"/>
  </w:num>
  <w:num w:numId="29" w16cid:durableId="51078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3972572">
    <w:abstractNumId w:val="1"/>
  </w:num>
  <w:num w:numId="31" w16cid:durableId="865024449">
    <w:abstractNumId w:val="13"/>
  </w:num>
  <w:num w:numId="32" w16cid:durableId="1108695320">
    <w:abstractNumId w:val="7"/>
  </w:num>
  <w:num w:numId="33" w16cid:durableId="73789807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4096" w:nlCheck="1" w:checkStyle="0"/>
  <w:activeWritingStyle w:appName="MSWord" w:lang="cs-CZ" w:vendorID="64" w:dllVersion="0" w:nlCheck="1" w:checkStyle="0"/>
  <w:proofState w:spelling="clean" w:grammar="clean"/>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5"/>
    <w:rsid w:val="0000046E"/>
    <w:rsid w:val="000008B5"/>
    <w:rsid w:val="000011BE"/>
    <w:rsid w:val="000013DE"/>
    <w:rsid w:val="00001D8B"/>
    <w:rsid w:val="00002BE8"/>
    <w:rsid w:val="00003D0B"/>
    <w:rsid w:val="00003D30"/>
    <w:rsid w:val="000045B6"/>
    <w:rsid w:val="00004B7E"/>
    <w:rsid w:val="00006969"/>
    <w:rsid w:val="00007101"/>
    <w:rsid w:val="00007360"/>
    <w:rsid w:val="00011101"/>
    <w:rsid w:val="0001190A"/>
    <w:rsid w:val="00011FC5"/>
    <w:rsid w:val="000132C1"/>
    <w:rsid w:val="00013497"/>
    <w:rsid w:val="0001415E"/>
    <w:rsid w:val="000145B4"/>
    <w:rsid w:val="000145EB"/>
    <w:rsid w:val="00014752"/>
    <w:rsid w:val="00014A0E"/>
    <w:rsid w:val="00015524"/>
    <w:rsid w:val="000166C5"/>
    <w:rsid w:val="00016E91"/>
    <w:rsid w:val="00016EC5"/>
    <w:rsid w:val="00017BC7"/>
    <w:rsid w:val="0002049B"/>
    <w:rsid w:val="000205BA"/>
    <w:rsid w:val="00020B1D"/>
    <w:rsid w:val="000210EA"/>
    <w:rsid w:val="00022004"/>
    <w:rsid w:val="0002237A"/>
    <w:rsid w:val="00022D6F"/>
    <w:rsid w:val="00022DB7"/>
    <w:rsid w:val="00023C30"/>
    <w:rsid w:val="00024D96"/>
    <w:rsid w:val="000256EB"/>
    <w:rsid w:val="00025DA9"/>
    <w:rsid w:val="000260A7"/>
    <w:rsid w:val="00026667"/>
    <w:rsid w:val="000274E3"/>
    <w:rsid w:val="000309AC"/>
    <w:rsid w:val="00030B17"/>
    <w:rsid w:val="00030B76"/>
    <w:rsid w:val="00030BCD"/>
    <w:rsid w:val="0003108A"/>
    <w:rsid w:val="000310E2"/>
    <w:rsid w:val="0003142D"/>
    <w:rsid w:val="00032055"/>
    <w:rsid w:val="00032F17"/>
    <w:rsid w:val="00032FF5"/>
    <w:rsid w:val="0003315B"/>
    <w:rsid w:val="00033F53"/>
    <w:rsid w:val="00034028"/>
    <w:rsid w:val="0003545A"/>
    <w:rsid w:val="000355C1"/>
    <w:rsid w:val="00035758"/>
    <w:rsid w:val="00035AFD"/>
    <w:rsid w:val="00035C3B"/>
    <w:rsid w:val="00036514"/>
    <w:rsid w:val="0003660E"/>
    <w:rsid w:val="0003749E"/>
    <w:rsid w:val="00037528"/>
    <w:rsid w:val="000378E6"/>
    <w:rsid w:val="00040D2F"/>
    <w:rsid w:val="00040E1E"/>
    <w:rsid w:val="000411A4"/>
    <w:rsid w:val="00041444"/>
    <w:rsid w:val="00041497"/>
    <w:rsid w:val="00041514"/>
    <w:rsid w:val="0004172D"/>
    <w:rsid w:val="00041825"/>
    <w:rsid w:val="000421DB"/>
    <w:rsid w:val="0004260A"/>
    <w:rsid w:val="00042A64"/>
    <w:rsid w:val="000438FA"/>
    <w:rsid w:val="000439CA"/>
    <w:rsid w:val="00043A92"/>
    <w:rsid w:val="00043C2F"/>
    <w:rsid w:val="000441E2"/>
    <w:rsid w:val="00044615"/>
    <w:rsid w:val="00044720"/>
    <w:rsid w:val="0004549D"/>
    <w:rsid w:val="000459B0"/>
    <w:rsid w:val="0004671A"/>
    <w:rsid w:val="0004671C"/>
    <w:rsid w:val="00046AC2"/>
    <w:rsid w:val="00046D81"/>
    <w:rsid w:val="000470B6"/>
    <w:rsid w:val="000478D8"/>
    <w:rsid w:val="000503AF"/>
    <w:rsid w:val="00051632"/>
    <w:rsid w:val="00051A6B"/>
    <w:rsid w:val="00052145"/>
    <w:rsid w:val="00052BA5"/>
    <w:rsid w:val="00052D7D"/>
    <w:rsid w:val="00053277"/>
    <w:rsid w:val="0005354F"/>
    <w:rsid w:val="00054B3F"/>
    <w:rsid w:val="0005618D"/>
    <w:rsid w:val="000561D8"/>
    <w:rsid w:val="0005650C"/>
    <w:rsid w:val="00056C9F"/>
    <w:rsid w:val="00057D01"/>
    <w:rsid w:val="0006042E"/>
    <w:rsid w:val="00060431"/>
    <w:rsid w:val="000604E1"/>
    <w:rsid w:val="00060D02"/>
    <w:rsid w:val="00060E98"/>
    <w:rsid w:val="00061F8B"/>
    <w:rsid w:val="00061FFD"/>
    <w:rsid w:val="00062435"/>
    <w:rsid w:val="00062464"/>
    <w:rsid w:val="000631A8"/>
    <w:rsid w:val="00063220"/>
    <w:rsid w:val="000632A4"/>
    <w:rsid w:val="000639B6"/>
    <w:rsid w:val="000644A7"/>
    <w:rsid w:val="00064672"/>
    <w:rsid w:val="00064E4D"/>
    <w:rsid w:val="000659ED"/>
    <w:rsid w:val="00066868"/>
    <w:rsid w:val="0006691C"/>
    <w:rsid w:val="00066C20"/>
    <w:rsid w:val="0007113C"/>
    <w:rsid w:val="000711FA"/>
    <w:rsid w:val="0007120C"/>
    <w:rsid w:val="00071504"/>
    <w:rsid w:val="00071930"/>
    <w:rsid w:val="0007206E"/>
    <w:rsid w:val="00072175"/>
    <w:rsid w:val="00072F4C"/>
    <w:rsid w:val="00073DA5"/>
    <w:rsid w:val="000743E6"/>
    <w:rsid w:val="00074DD4"/>
    <w:rsid w:val="00074E9F"/>
    <w:rsid w:val="00075D43"/>
    <w:rsid w:val="00075E5B"/>
    <w:rsid w:val="00075ED3"/>
    <w:rsid w:val="00076446"/>
    <w:rsid w:val="00076AF4"/>
    <w:rsid w:val="00076D9D"/>
    <w:rsid w:val="00077C57"/>
    <w:rsid w:val="0008055A"/>
    <w:rsid w:val="00080B26"/>
    <w:rsid w:val="000817A0"/>
    <w:rsid w:val="00081C9D"/>
    <w:rsid w:val="00081D37"/>
    <w:rsid w:val="0008202B"/>
    <w:rsid w:val="000825EE"/>
    <w:rsid w:val="00082A5F"/>
    <w:rsid w:val="00082C0A"/>
    <w:rsid w:val="00083B08"/>
    <w:rsid w:val="00084767"/>
    <w:rsid w:val="00084FB0"/>
    <w:rsid w:val="00085677"/>
    <w:rsid w:val="00085A74"/>
    <w:rsid w:val="000866FA"/>
    <w:rsid w:val="00086F0E"/>
    <w:rsid w:val="00086F5E"/>
    <w:rsid w:val="000905DD"/>
    <w:rsid w:val="00090DB2"/>
    <w:rsid w:val="000916D1"/>
    <w:rsid w:val="000918BA"/>
    <w:rsid w:val="00091A5D"/>
    <w:rsid w:val="00091B0F"/>
    <w:rsid w:val="00091FB9"/>
    <w:rsid w:val="00092241"/>
    <w:rsid w:val="00092B29"/>
    <w:rsid w:val="00093D9B"/>
    <w:rsid w:val="00093E86"/>
    <w:rsid w:val="000945CD"/>
    <w:rsid w:val="000955F7"/>
    <w:rsid w:val="0009647B"/>
    <w:rsid w:val="0009687B"/>
    <w:rsid w:val="000968BD"/>
    <w:rsid w:val="00096FD2"/>
    <w:rsid w:val="0009795F"/>
    <w:rsid w:val="000A06A0"/>
    <w:rsid w:val="000A0710"/>
    <w:rsid w:val="000A0800"/>
    <w:rsid w:val="000A090D"/>
    <w:rsid w:val="000A0D9B"/>
    <w:rsid w:val="000A3A6E"/>
    <w:rsid w:val="000A3B12"/>
    <w:rsid w:val="000A3C2C"/>
    <w:rsid w:val="000A4A27"/>
    <w:rsid w:val="000A4AB6"/>
    <w:rsid w:val="000A6005"/>
    <w:rsid w:val="000A609A"/>
    <w:rsid w:val="000A6300"/>
    <w:rsid w:val="000A6CD3"/>
    <w:rsid w:val="000A76F1"/>
    <w:rsid w:val="000A7F55"/>
    <w:rsid w:val="000B11D4"/>
    <w:rsid w:val="000B1E69"/>
    <w:rsid w:val="000B2108"/>
    <w:rsid w:val="000B33EA"/>
    <w:rsid w:val="000B3FD4"/>
    <w:rsid w:val="000B462A"/>
    <w:rsid w:val="000B4653"/>
    <w:rsid w:val="000B498B"/>
    <w:rsid w:val="000B505A"/>
    <w:rsid w:val="000B5436"/>
    <w:rsid w:val="000B5714"/>
    <w:rsid w:val="000B5B5C"/>
    <w:rsid w:val="000B5BC7"/>
    <w:rsid w:val="000B641A"/>
    <w:rsid w:val="000B6583"/>
    <w:rsid w:val="000B74E2"/>
    <w:rsid w:val="000B7538"/>
    <w:rsid w:val="000B7555"/>
    <w:rsid w:val="000C0FFF"/>
    <w:rsid w:val="000C1493"/>
    <w:rsid w:val="000C1B16"/>
    <w:rsid w:val="000C1C8E"/>
    <w:rsid w:val="000C2FC0"/>
    <w:rsid w:val="000C40DE"/>
    <w:rsid w:val="000C49A3"/>
    <w:rsid w:val="000C4A46"/>
    <w:rsid w:val="000C4F02"/>
    <w:rsid w:val="000C561B"/>
    <w:rsid w:val="000C59BB"/>
    <w:rsid w:val="000C5C0B"/>
    <w:rsid w:val="000C6290"/>
    <w:rsid w:val="000C62F7"/>
    <w:rsid w:val="000C675F"/>
    <w:rsid w:val="000C6CBF"/>
    <w:rsid w:val="000C7473"/>
    <w:rsid w:val="000C7C18"/>
    <w:rsid w:val="000D0B85"/>
    <w:rsid w:val="000D0E07"/>
    <w:rsid w:val="000D0F73"/>
    <w:rsid w:val="000D1110"/>
    <w:rsid w:val="000D1F18"/>
    <w:rsid w:val="000D1FD5"/>
    <w:rsid w:val="000D2400"/>
    <w:rsid w:val="000D2A24"/>
    <w:rsid w:val="000D2F2C"/>
    <w:rsid w:val="000D308B"/>
    <w:rsid w:val="000D3F6F"/>
    <w:rsid w:val="000D4DAA"/>
    <w:rsid w:val="000D6767"/>
    <w:rsid w:val="000D6BA7"/>
    <w:rsid w:val="000D7340"/>
    <w:rsid w:val="000D7B3B"/>
    <w:rsid w:val="000D7BE0"/>
    <w:rsid w:val="000E0008"/>
    <w:rsid w:val="000E09C5"/>
    <w:rsid w:val="000E0E48"/>
    <w:rsid w:val="000E1175"/>
    <w:rsid w:val="000E1713"/>
    <w:rsid w:val="000E17C0"/>
    <w:rsid w:val="000E3326"/>
    <w:rsid w:val="000E3DE8"/>
    <w:rsid w:val="000E41C3"/>
    <w:rsid w:val="000E42F9"/>
    <w:rsid w:val="000E47A6"/>
    <w:rsid w:val="000E527B"/>
    <w:rsid w:val="000E5727"/>
    <w:rsid w:val="000E5A36"/>
    <w:rsid w:val="000E5A51"/>
    <w:rsid w:val="000E619C"/>
    <w:rsid w:val="000E66F8"/>
    <w:rsid w:val="000E75FD"/>
    <w:rsid w:val="000F029A"/>
    <w:rsid w:val="000F0317"/>
    <w:rsid w:val="000F0447"/>
    <w:rsid w:val="000F0C06"/>
    <w:rsid w:val="000F0CAB"/>
    <w:rsid w:val="000F103A"/>
    <w:rsid w:val="000F1F6C"/>
    <w:rsid w:val="000F24B9"/>
    <w:rsid w:val="000F281A"/>
    <w:rsid w:val="000F307F"/>
    <w:rsid w:val="000F3A51"/>
    <w:rsid w:val="000F4490"/>
    <w:rsid w:val="000F4718"/>
    <w:rsid w:val="000F52BB"/>
    <w:rsid w:val="000F5340"/>
    <w:rsid w:val="000F56DC"/>
    <w:rsid w:val="000F584C"/>
    <w:rsid w:val="000F59CB"/>
    <w:rsid w:val="000F60B7"/>
    <w:rsid w:val="000F6304"/>
    <w:rsid w:val="000F6B9E"/>
    <w:rsid w:val="000F702E"/>
    <w:rsid w:val="000F7765"/>
    <w:rsid w:val="000F7A70"/>
    <w:rsid w:val="0010046C"/>
    <w:rsid w:val="00100676"/>
    <w:rsid w:val="00100AEE"/>
    <w:rsid w:val="00100C77"/>
    <w:rsid w:val="0010115A"/>
    <w:rsid w:val="00101D4E"/>
    <w:rsid w:val="00102858"/>
    <w:rsid w:val="00103295"/>
    <w:rsid w:val="001034A3"/>
    <w:rsid w:val="001035E6"/>
    <w:rsid w:val="001037A2"/>
    <w:rsid w:val="00103A79"/>
    <w:rsid w:val="0010423B"/>
    <w:rsid w:val="00104294"/>
    <w:rsid w:val="00104386"/>
    <w:rsid w:val="001044BD"/>
    <w:rsid w:val="00104A9A"/>
    <w:rsid w:val="00104B63"/>
    <w:rsid w:val="001051AE"/>
    <w:rsid w:val="00106364"/>
    <w:rsid w:val="00106985"/>
    <w:rsid w:val="00107AD4"/>
    <w:rsid w:val="00107DAB"/>
    <w:rsid w:val="001101D4"/>
    <w:rsid w:val="00110DE1"/>
    <w:rsid w:val="001119E3"/>
    <w:rsid w:val="00112698"/>
    <w:rsid w:val="001126F3"/>
    <w:rsid w:val="001129F8"/>
    <w:rsid w:val="00112A11"/>
    <w:rsid w:val="00112CB0"/>
    <w:rsid w:val="0011373A"/>
    <w:rsid w:val="00114425"/>
    <w:rsid w:val="001147EF"/>
    <w:rsid w:val="001148FE"/>
    <w:rsid w:val="00114E71"/>
    <w:rsid w:val="0011536F"/>
    <w:rsid w:val="00115967"/>
    <w:rsid w:val="00115EFB"/>
    <w:rsid w:val="00116CF9"/>
    <w:rsid w:val="00117044"/>
    <w:rsid w:val="0012192F"/>
    <w:rsid w:val="00121FE5"/>
    <w:rsid w:val="00123225"/>
    <w:rsid w:val="00123676"/>
    <w:rsid w:val="00123DCB"/>
    <w:rsid w:val="00125872"/>
    <w:rsid w:val="00126B88"/>
    <w:rsid w:val="00127048"/>
    <w:rsid w:val="00127548"/>
    <w:rsid w:val="001276F4"/>
    <w:rsid w:val="00127B8C"/>
    <w:rsid w:val="00127DD1"/>
    <w:rsid w:val="00127F3C"/>
    <w:rsid w:val="0013016F"/>
    <w:rsid w:val="00130725"/>
    <w:rsid w:val="0013111A"/>
    <w:rsid w:val="00131491"/>
    <w:rsid w:val="00131614"/>
    <w:rsid w:val="00131A9D"/>
    <w:rsid w:val="00131FAA"/>
    <w:rsid w:val="0013274D"/>
    <w:rsid w:val="00133339"/>
    <w:rsid w:val="00133F3E"/>
    <w:rsid w:val="00133FF1"/>
    <w:rsid w:val="00134260"/>
    <w:rsid w:val="00135FD2"/>
    <w:rsid w:val="00137072"/>
    <w:rsid w:val="001375D7"/>
    <w:rsid w:val="00137654"/>
    <w:rsid w:val="00140B5C"/>
    <w:rsid w:val="00140BBF"/>
    <w:rsid w:val="00141804"/>
    <w:rsid w:val="0014184C"/>
    <w:rsid w:val="00142973"/>
    <w:rsid w:val="0014297A"/>
    <w:rsid w:val="00142BD2"/>
    <w:rsid w:val="0014309A"/>
    <w:rsid w:val="00143141"/>
    <w:rsid w:val="00143462"/>
    <w:rsid w:val="001436F9"/>
    <w:rsid w:val="00144B22"/>
    <w:rsid w:val="00144C39"/>
    <w:rsid w:val="00144CC0"/>
    <w:rsid w:val="001452E4"/>
    <w:rsid w:val="00145B82"/>
    <w:rsid w:val="00146393"/>
    <w:rsid w:val="0014665A"/>
    <w:rsid w:val="00147A66"/>
    <w:rsid w:val="00147C2B"/>
    <w:rsid w:val="00150094"/>
    <w:rsid w:val="00150764"/>
    <w:rsid w:val="00150937"/>
    <w:rsid w:val="00150AE6"/>
    <w:rsid w:val="001510A6"/>
    <w:rsid w:val="001510C9"/>
    <w:rsid w:val="00151145"/>
    <w:rsid w:val="00151785"/>
    <w:rsid w:val="00151EDA"/>
    <w:rsid w:val="00151FD0"/>
    <w:rsid w:val="001524DD"/>
    <w:rsid w:val="00152695"/>
    <w:rsid w:val="001534A9"/>
    <w:rsid w:val="00154052"/>
    <w:rsid w:val="00154403"/>
    <w:rsid w:val="001548E5"/>
    <w:rsid w:val="00154B05"/>
    <w:rsid w:val="00155588"/>
    <w:rsid w:val="00155659"/>
    <w:rsid w:val="00155E0D"/>
    <w:rsid w:val="00155E4C"/>
    <w:rsid w:val="00155E9B"/>
    <w:rsid w:val="00156016"/>
    <w:rsid w:val="00156E10"/>
    <w:rsid w:val="0015725D"/>
    <w:rsid w:val="001577D7"/>
    <w:rsid w:val="00160289"/>
    <w:rsid w:val="00160496"/>
    <w:rsid w:val="0016071C"/>
    <w:rsid w:val="0016076F"/>
    <w:rsid w:val="00160A63"/>
    <w:rsid w:val="00160ABC"/>
    <w:rsid w:val="00161FEA"/>
    <w:rsid w:val="00162277"/>
    <w:rsid w:val="00163480"/>
    <w:rsid w:val="00163911"/>
    <w:rsid w:val="00163A54"/>
    <w:rsid w:val="00163B72"/>
    <w:rsid w:val="0016439B"/>
    <w:rsid w:val="00165489"/>
    <w:rsid w:val="001664C8"/>
    <w:rsid w:val="001665C0"/>
    <w:rsid w:val="0016791F"/>
    <w:rsid w:val="00167D00"/>
    <w:rsid w:val="00167E21"/>
    <w:rsid w:val="00167FE4"/>
    <w:rsid w:val="001711E2"/>
    <w:rsid w:val="001713F3"/>
    <w:rsid w:val="0017146B"/>
    <w:rsid w:val="00171A6A"/>
    <w:rsid w:val="00171EC0"/>
    <w:rsid w:val="00171FDE"/>
    <w:rsid w:val="0017253A"/>
    <w:rsid w:val="00172B02"/>
    <w:rsid w:val="0017337F"/>
    <w:rsid w:val="0017414E"/>
    <w:rsid w:val="00174E78"/>
    <w:rsid w:val="00176A1E"/>
    <w:rsid w:val="00176A9B"/>
    <w:rsid w:val="00176B8A"/>
    <w:rsid w:val="00177ECE"/>
    <w:rsid w:val="00180D25"/>
    <w:rsid w:val="00180D78"/>
    <w:rsid w:val="0018283F"/>
    <w:rsid w:val="00182A8A"/>
    <w:rsid w:val="00182B1C"/>
    <w:rsid w:val="00182D7A"/>
    <w:rsid w:val="001836FE"/>
    <w:rsid w:val="0018374E"/>
    <w:rsid w:val="00183BA4"/>
    <w:rsid w:val="001840F8"/>
    <w:rsid w:val="0018428D"/>
    <w:rsid w:val="0018496C"/>
    <w:rsid w:val="00185E99"/>
    <w:rsid w:val="001862E7"/>
    <w:rsid w:val="0018658E"/>
    <w:rsid w:val="00186780"/>
    <w:rsid w:val="00186980"/>
    <w:rsid w:val="001873AB"/>
    <w:rsid w:val="0018771D"/>
    <w:rsid w:val="00187EA8"/>
    <w:rsid w:val="00187F60"/>
    <w:rsid w:val="00190481"/>
    <w:rsid w:val="0019069E"/>
    <w:rsid w:val="00190AB8"/>
    <w:rsid w:val="00190FF1"/>
    <w:rsid w:val="001919CE"/>
    <w:rsid w:val="00191BB4"/>
    <w:rsid w:val="00191FFD"/>
    <w:rsid w:val="0019221D"/>
    <w:rsid w:val="001929E4"/>
    <w:rsid w:val="001930FD"/>
    <w:rsid w:val="0019339A"/>
    <w:rsid w:val="001940C5"/>
    <w:rsid w:val="001943B9"/>
    <w:rsid w:val="001944DD"/>
    <w:rsid w:val="001947B7"/>
    <w:rsid w:val="001954B3"/>
    <w:rsid w:val="001955F2"/>
    <w:rsid w:val="001958FE"/>
    <w:rsid w:val="001961E8"/>
    <w:rsid w:val="00196DC6"/>
    <w:rsid w:val="001974B0"/>
    <w:rsid w:val="00197500"/>
    <w:rsid w:val="001979CF"/>
    <w:rsid w:val="001A0364"/>
    <w:rsid w:val="001A0796"/>
    <w:rsid w:val="001A09FB"/>
    <w:rsid w:val="001A0D86"/>
    <w:rsid w:val="001A11C6"/>
    <w:rsid w:val="001A1EE4"/>
    <w:rsid w:val="001A290C"/>
    <w:rsid w:val="001A2BB4"/>
    <w:rsid w:val="001A311B"/>
    <w:rsid w:val="001A36DF"/>
    <w:rsid w:val="001A4BF2"/>
    <w:rsid w:val="001A515E"/>
    <w:rsid w:val="001A5E7C"/>
    <w:rsid w:val="001A60E4"/>
    <w:rsid w:val="001A6858"/>
    <w:rsid w:val="001A6903"/>
    <w:rsid w:val="001B0179"/>
    <w:rsid w:val="001B07BB"/>
    <w:rsid w:val="001B099C"/>
    <w:rsid w:val="001B1B35"/>
    <w:rsid w:val="001B3145"/>
    <w:rsid w:val="001B3516"/>
    <w:rsid w:val="001B3938"/>
    <w:rsid w:val="001B3E03"/>
    <w:rsid w:val="001B4471"/>
    <w:rsid w:val="001B45FC"/>
    <w:rsid w:val="001B4930"/>
    <w:rsid w:val="001B5318"/>
    <w:rsid w:val="001B5396"/>
    <w:rsid w:val="001B5B52"/>
    <w:rsid w:val="001B64DD"/>
    <w:rsid w:val="001B6D7F"/>
    <w:rsid w:val="001B6F41"/>
    <w:rsid w:val="001C015D"/>
    <w:rsid w:val="001C0436"/>
    <w:rsid w:val="001C0A9C"/>
    <w:rsid w:val="001C109F"/>
    <w:rsid w:val="001C12BD"/>
    <w:rsid w:val="001C1A9A"/>
    <w:rsid w:val="001C3058"/>
    <w:rsid w:val="001C42B3"/>
    <w:rsid w:val="001C43CE"/>
    <w:rsid w:val="001C441D"/>
    <w:rsid w:val="001C472D"/>
    <w:rsid w:val="001C4C39"/>
    <w:rsid w:val="001C567C"/>
    <w:rsid w:val="001C57A7"/>
    <w:rsid w:val="001C5FC1"/>
    <w:rsid w:val="001C6407"/>
    <w:rsid w:val="001C654F"/>
    <w:rsid w:val="001C6D52"/>
    <w:rsid w:val="001D02EE"/>
    <w:rsid w:val="001D037A"/>
    <w:rsid w:val="001D08C9"/>
    <w:rsid w:val="001D0C03"/>
    <w:rsid w:val="001D0DF0"/>
    <w:rsid w:val="001D15E4"/>
    <w:rsid w:val="001D17C5"/>
    <w:rsid w:val="001D1A8C"/>
    <w:rsid w:val="001D24DC"/>
    <w:rsid w:val="001D294E"/>
    <w:rsid w:val="001D49B1"/>
    <w:rsid w:val="001D4C99"/>
    <w:rsid w:val="001D4D1A"/>
    <w:rsid w:val="001D5185"/>
    <w:rsid w:val="001D5513"/>
    <w:rsid w:val="001D59D9"/>
    <w:rsid w:val="001D5BFB"/>
    <w:rsid w:val="001D5D4E"/>
    <w:rsid w:val="001D6334"/>
    <w:rsid w:val="001D7100"/>
    <w:rsid w:val="001D7A61"/>
    <w:rsid w:val="001D7D7B"/>
    <w:rsid w:val="001E00E3"/>
    <w:rsid w:val="001E03AD"/>
    <w:rsid w:val="001E0D04"/>
    <w:rsid w:val="001E14EE"/>
    <w:rsid w:val="001E2278"/>
    <w:rsid w:val="001E269B"/>
    <w:rsid w:val="001E3036"/>
    <w:rsid w:val="001E36CA"/>
    <w:rsid w:val="001E3CCA"/>
    <w:rsid w:val="001E3DAB"/>
    <w:rsid w:val="001E4553"/>
    <w:rsid w:val="001E4B81"/>
    <w:rsid w:val="001E4C28"/>
    <w:rsid w:val="001E4CAD"/>
    <w:rsid w:val="001E5A57"/>
    <w:rsid w:val="001E5B3D"/>
    <w:rsid w:val="001E5BDA"/>
    <w:rsid w:val="001E6499"/>
    <w:rsid w:val="001E6998"/>
    <w:rsid w:val="001E699B"/>
    <w:rsid w:val="001E6A85"/>
    <w:rsid w:val="001E6D92"/>
    <w:rsid w:val="001E707E"/>
    <w:rsid w:val="001E7A9C"/>
    <w:rsid w:val="001F0338"/>
    <w:rsid w:val="001F0B94"/>
    <w:rsid w:val="001F1CFE"/>
    <w:rsid w:val="001F251D"/>
    <w:rsid w:val="001F27D5"/>
    <w:rsid w:val="001F2821"/>
    <w:rsid w:val="001F2A8F"/>
    <w:rsid w:val="001F2E4B"/>
    <w:rsid w:val="001F3719"/>
    <w:rsid w:val="001F3F79"/>
    <w:rsid w:val="001F41C6"/>
    <w:rsid w:val="001F4956"/>
    <w:rsid w:val="001F4A45"/>
    <w:rsid w:val="001F4AED"/>
    <w:rsid w:val="001F4D16"/>
    <w:rsid w:val="001F5221"/>
    <w:rsid w:val="001F5677"/>
    <w:rsid w:val="001F5B42"/>
    <w:rsid w:val="001F5D92"/>
    <w:rsid w:val="001F675D"/>
    <w:rsid w:val="001F6854"/>
    <w:rsid w:val="001F79C4"/>
    <w:rsid w:val="001F7CF7"/>
    <w:rsid w:val="00201B7C"/>
    <w:rsid w:val="0020293F"/>
    <w:rsid w:val="00202F71"/>
    <w:rsid w:val="00202FFA"/>
    <w:rsid w:val="002039DD"/>
    <w:rsid w:val="00204061"/>
    <w:rsid w:val="00204858"/>
    <w:rsid w:val="00204E39"/>
    <w:rsid w:val="00205408"/>
    <w:rsid w:val="00205B61"/>
    <w:rsid w:val="00205DA5"/>
    <w:rsid w:val="00206115"/>
    <w:rsid w:val="002067F9"/>
    <w:rsid w:val="00206C3C"/>
    <w:rsid w:val="00207035"/>
    <w:rsid w:val="002102BE"/>
    <w:rsid w:val="00210408"/>
    <w:rsid w:val="002106E1"/>
    <w:rsid w:val="00210AB3"/>
    <w:rsid w:val="00211A62"/>
    <w:rsid w:val="00211B14"/>
    <w:rsid w:val="00211EEF"/>
    <w:rsid w:val="00212109"/>
    <w:rsid w:val="00212F14"/>
    <w:rsid w:val="00213721"/>
    <w:rsid w:val="002138E8"/>
    <w:rsid w:val="00214023"/>
    <w:rsid w:val="0021479B"/>
    <w:rsid w:val="00214856"/>
    <w:rsid w:val="0021588B"/>
    <w:rsid w:val="00215D61"/>
    <w:rsid w:val="0021618E"/>
    <w:rsid w:val="0021619F"/>
    <w:rsid w:val="0021622E"/>
    <w:rsid w:val="0021670F"/>
    <w:rsid w:val="00216969"/>
    <w:rsid w:val="00216B64"/>
    <w:rsid w:val="00216E1C"/>
    <w:rsid w:val="00217482"/>
    <w:rsid w:val="0021750C"/>
    <w:rsid w:val="00217BB5"/>
    <w:rsid w:val="00217CD2"/>
    <w:rsid w:val="00220287"/>
    <w:rsid w:val="002202BE"/>
    <w:rsid w:val="00221373"/>
    <w:rsid w:val="0022298C"/>
    <w:rsid w:val="0022338C"/>
    <w:rsid w:val="00223DA9"/>
    <w:rsid w:val="002249BF"/>
    <w:rsid w:val="00224B17"/>
    <w:rsid w:val="002252E7"/>
    <w:rsid w:val="00225B12"/>
    <w:rsid w:val="0022670F"/>
    <w:rsid w:val="00226747"/>
    <w:rsid w:val="00227A6B"/>
    <w:rsid w:val="002302A4"/>
    <w:rsid w:val="00230AEA"/>
    <w:rsid w:val="00230B22"/>
    <w:rsid w:val="00230B7D"/>
    <w:rsid w:val="00230F9F"/>
    <w:rsid w:val="002312DE"/>
    <w:rsid w:val="002317E6"/>
    <w:rsid w:val="0023198A"/>
    <w:rsid w:val="00232670"/>
    <w:rsid w:val="00232C1D"/>
    <w:rsid w:val="00232E03"/>
    <w:rsid w:val="002333ED"/>
    <w:rsid w:val="00234FAB"/>
    <w:rsid w:val="00235626"/>
    <w:rsid w:val="00236720"/>
    <w:rsid w:val="00236993"/>
    <w:rsid w:val="002372CB"/>
    <w:rsid w:val="00237A56"/>
    <w:rsid w:val="00237CC5"/>
    <w:rsid w:val="00237E97"/>
    <w:rsid w:val="00237F67"/>
    <w:rsid w:val="002402FE"/>
    <w:rsid w:val="002406F5"/>
    <w:rsid w:val="002416D5"/>
    <w:rsid w:val="00241AD4"/>
    <w:rsid w:val="00241C15"/>
    <w:rsid w:val="00241D96"/>
    <w:rsid w:val="002425BD"/>
    <w:rsid w:val="002425E0"/>
    <w:rsid w:val="002429DB"/>
    <w:rsid w:val="00243368"/>
    <w:rsid w:val="00244E35"/>
    <w:rsid w:val="002452C7"/>
    <w:rsid w:val="00245419"/>
    <w:rsid w:val="00245E89"/>
    <w:rsid w:val="00245F94"/>
    <w:rsid w:val="0024646C"/>
    <w:rsid w:val="0024688D"/>
    <w:rsid w:val="002468CE"/>
    <w:rsid w:val="00247E8E"/>
    <w:rsid w:val="00250C8C"/>
    <w:rsid w:val="00250E2A"/>
    <w:rsid w:val="00251218"/>
    <w:rsid w:val="00252968"/>
    <w:rsid w:val="00253742"/>
    <w:rsid w:val="00253BEF"/>
    <w:rsid w:val="002560AB"/>
    <w:rsid w:val="002563DD"/>
    <w:rsid w:val="00256773"/>
    <w:rsid w:val="00256F1D"/>
    <w:rsid w:val="002573E7"/>
    <w:rsid w:val="002578A9"/>
    <w:rsid w:val="00257BF5"/>
    <w:rsid w:val="0026004F"/>
    <w:rsid w:val="002608B7"/>
    <w:rsid w:val="00260C58"/>
    <w:rsid w:val="00261816"/>
    <w:rsid w:val="0026185E"/>
    <w:rsid w:val="00261C7C"/>
    <w:rsid w:val="002627DB"/>
    <w:rsid w:val="00262A8D"/>
    <w:rsid w:val="00262ACE"/>
    <w:rsid w:val="00262DC9"/>
    <w:rsid w:val="00263945"/>
    <w:rsid w:val="00263A1E"/>
    <w:rsid w:val="00263EA8"/>
    <w:rsid w:val="0026423A"/>
    <w:rsid w:val="0026435E"/>
    <w:rsid w:val="00264734"/>
    <w:rsid w:val="00264977"/>
    <w:rsid w:val="00265093"/>
    <w:rsid w:val="00265A1A"/>
    <w:rsid w:val="00265A29"/>
    <w:rsid w:val="00265B74"/>
    <w:rsid w:val="002660E1"/>
    <w:rsid w:val="0026667F"/>
    <w:rsid w:val="00266DE2"/>
    <w:rsid w:val="00267852"/>
    <w:rsid w:val="00267DBC"/>
    <w:rsid w:val="00270DB2"/>
    <w:rsid w:val="002716BE"/>
    <w:rsid w:val="002717F2"/>
    <w:rsid w:val="00271EA2"/>
    <w:rsid w:val="002722B0"/>
    <w:rsid w:val="00272785"/>
    <w:rsid w:val="00272AED"/>
    <w:rsid w:val="00272B9B"/>
    <w:rsid w:val="00272DB5"/>
    <w:rsid w:val="002734B6"/>
    <w:rsid w:val="002742B7"/>
    <w:rsid w:val="00274FAE"/>
    <w:rsid w:val="0027522C"/>
    <w:rsid w:val="0027557B"/>
    <w:rsid w:val="00275665"/>
    <w:rsid w:val="00275DF9"/>
    <w:rsid w:val="002770E8"/>
    <w:rsid w:val="00277739"/>
    <w:rsid w:val="00277C87"/>
    <w:rsid w:val="00277F3D"/>
    <w:rsid w:val="00280259"/>
    <w:rsid w:val="00280EC1"/>
    <w:rsid w:val="002812CC"/>
    <w:rsid w:val="00281615"/>
    <w:rsid w:val="002829BD"/>
    <w:rsid w:val="00282E59"/>
    <w:rsid w:val="002838EE"/>
    <w:rsid w:val="00283BD0"/>
    <w:rsid w:val="00283E11"/>
    <w:rsid w:val="00284758"/>
    <w:rsid w:val="00284DB9"/>
    <w:rsid w:val="00285734"/>
    <w:rsid w:val="002859E0"/>
    <w:rsid w:val="00285D19"/>
    <w:rsid w:val="00285E97"/>
    <w:rsid w:val="00286A02"/>
    <w:rsid w:val="002870BD"/>
    <w:rsid w:val="002873C5"/>
    <w:rsid w:val="0028744A"/>
    <w:rsid w:val="002874A8"/>
    <w:rsid w:val="00290AD3"/>
    <w:rsid w:val="00291339"/>
    <w:rsid w:val="002919E8"/>
    <w:rsid w:val="00291EA0"/>
    <w:rsid w:val="00291EBD"/>
    <w:rsid w:val="00292726"/>
    <w:rsid w:val="00292D17"/>
    <w:rsid w:val="0029369A"/>
    <w:rsid w:val="002937B6"/>
    <w:rsid w:val="00293FF9"/>
    <w:rsid w:val="00294423"/>
    <w:rsid w:val="002945FF"/>
    <w:rsid w:val="002960E4"/>
    <w:rsid w:val="002964C1"/>
    <w:rsid w:val="002964F4"/>
    <w:rsid w:val="00296ACF"/>
    <w:rsid w:val="00296E25"/>
    <w:rsid w:val="00297020"/>
    <w:rsid w:val="002970FB"/>
    <w:rsid w:val="00297491"/>
    <w:rsid w:val="002975DA"/>
    <w:rsid w:val="00297B61"/>
    <w:rsid w:val="002A0C8F"/>
    <w:rsid w:val="002A0CB1"/>
    <w:rsid w:val="002A13BC"/>
    <w:rsid w:val="002A1F3F"/>
    <w:rsid w:val="002A2F69"/>
    <w:rsid w:val="002A3449"/>
    <w:rsid w:val="002A3517"/>
    <w:rsid w:val="002A3570"/>
    <w:rsid w:val="002A38F9"/>
    <w:rsid w:val="002A46E7"/>
    <w:rsid w:val="002A4C74"/>
    <w:rsid w:val="002A53E1"/>
    <w:rsid w:val="002A562A"/>
    <w:rsid w:val="002A6084"/>
    <w:rsid w:val="002B1C56"/>
    <w:rsid w:val="002B22A4"/>
    <w:rsid w:val="002B2966"/>
    <w:rsid w:val="002B3DFF"/>
    <w:rsid w:val="002B404D"/>
    <w:rsid w:val="002B493D"/>
    <w:rsid w:val="002B507D"/>
    <w:rsid w:val="002B50F2"/>
    <w:rsid w:val="002B5365"/>
    <w:rsid w:val="002B54A8"/>
    <w:rsid w:val="002B6460"/>
    <w:rsid w:val="002B6562"/>
    <w:rsid w:val="002B6AE7"/>
    <w:rsid w:val="002B73DA"/>
    <w:rsid w:val="002B7594"/>
    <w:rsid w:val="002B7614"/>
    <w:rsid w:val="002B79A6"/>
    <w:rsid w:val="002B7CD7"/>
    <w:rsid w:val="002B7DBF"/>
    <w:rsid w:val="002C00AC"/>
    <w:rsid w:val="002C2077"/>
    <w:rsid w:val="002C20A4"/>
    <w:rsid w:val="002C2558"/>
    <w:rsid w:val="002C2ABD"/>
    <w:rsid w:val="002C2E6B"/>
    <w:rsid w:val="002C2F43"/>
    <w:rsid w:val="002C3589"/>
    <w:rsid w:val="002C5477"/>
    <w:rsid w:val="002C549A"/>
    <w:rsid w:val="002C5932"/>
    <w:rsid w:val="002C6A96"/>
    <w:rsid w:val="002C6AAE"/>
    <w:rsid w:val="002C7480"/>
    <w:rsid w:val="002C74A3"/>
    <w:rsid w:val="002C7EC7"/>
    <w:rsid w:val="002C7F8B"/>
    <w:rsid w:val="002D0FE7"/>
    <w:rsid w:val="002D21AC"/>
    <w:rsid w:val="002D313C"/>
    <w:rsid w:val="002D3C07"/>
    <w:rsid w:val="002D3CD1"/>
    <w:rsid w:val="002D48A4"/>
    <w:rsid w:val="002D4F45"/>
    <w:rsid w:val="002D5308"/>
    <w:rsid w:val="002D62E5"/>
    <w:rsid w:val="002D680C"/>
    <w:rsid w:val="002D6AA8"/>
    <w:rsid w:val="002D71B3"/>
    <w:rsid w:val="002D79E3"/>
    <w:rsid w:val="002D7E84"/>
    <w:rsid w:val="002E2CC4"/>
    <w:rsid w:val="002E2E2C"/>
    <w:rsid w:val="002E32D7"/>
    <w:rsid w:val="002E330D"/>
    <w:rsid w:val="002E3688"/>
    <w:rsid w:val="002E36A0"/>
    <w:rsid w:val="002E36E8"/>
    <w:rsid w:val="002E376B"/>
    <w:rsid w:val="002E41B3"/>
    <w:rsid w:val="002E472A"/>
    <w:rsid w:val="002E4D67"/>
    <w:rsid w:val="002E4DF2"/>
    <w:rsid w:val="002E4FB2"/>
    <w:rsid w:val="002E5486"/>
    <w:rsid w:val="002E6503"/>
    <w:rsid w:val="002E6E3F"/>
    <w:rsid w:val="002F0260"/>
    <w:rsid w:val="002F1316"/>
    <w:rsid w:val="002F2DF6"/>
    <w:rsid w:val="002F30FC"/>
    <w:rsid w:val="002F3550"/>
    <w:rsid w:val="002F35C1"/>
    <w:rsid w:val="002F3B3E"/>
    <w:rsid w:val="002F5222"/>
    <w:rsid w:val="002F53B4"/>
    <w:rsid w:val="002F555C"/>
    <w:rsid w:val="002F55A4"/>
    <w:rsid w:val="002F6D8F"/>
    <w:rsid w:val="002F74F3"/>
    <w:rsid w:val="002F760E"/>
    <w:rsid w:val="002F7C82"/>
    <w:rsid w:val="00300385"/>
    <w:rsid w:val="00300C0C"/>
    <w:rsid w:val="00301C5D"/>
    <w:rsid w:val="003029C4"/>
    <w:rsid w:val="00303186"/>
    <w:rsid w:val="00303640"/>
    <w:rsid w:val="003038B7"/>
    <w:rsid w:val="00304098"/>
    <w:rsid w:val="003046EB"/>
    <w:rsid w:val="00304F2F"/>
    <w:rsid w:val="003052EB"/>
    <w:rsid w:val="00305483"/>
    <w:rsid w:val="0030571D"/>
    <w:rsid w:val="00307980"/>
    <w:rsid w:val="00307F6A"/>
    <w:rsid w:val="00307FED"/>
    <w:rsid w:val="00311081"/>
    <w:rsid w:val="00311348"/>
    <w:rsid w:val="0031212D"/>
    <w:rsid w:val="00312293"/>
    <w:rsid w:val="00312343"/>
    <w:rsid w:val="0031277F"/>
    <w:rsid w:val="00312FDE"/>
    <w:rsid w:val="00313B2C"/>
    <w:rsid w:val="00314579"/>
    <w:rsid w:val="00314757"/>
    <w:rsid w:val="00314AEB"/>
    <w:rsid w:val="00314FF1"/>
    <w:rsid w:val="003156D7"/>
    <w:rsid w:val="00315D4C"/>
    <w:rsid w:val="003162ED"/>
    <w:rsid w:val="0031640D"/>
    <w:rsid w:val="003164E7"/>
    <w:rsid w:val="00316752"/>
    <w:rsid w:val="00316A26"/>
    <w:rsid w:val="0032032F"/>
    <w:rsid w:val="003211DC"/>
    <w:rsid w:val="00321255"/>
    <w:rsid w:val="00322458"/>
    <w:rsid w:val="003224C1"/>
    <w:rsid w:val="003225DC"/>
    <w:rsid w:val="00323327"/>
    <w:rsid w:val="00323614"/>
    <w:rsid w:val="00323999"/>
    <w:rsid w:val="00323E15"/>
    <w:rsid w:val="00324017"/>
    <w:rsid w:val="003240D3"/>
    <w:rsid w:val="0032421E"/>
    <w:rsid w:val="0032548F"/>
    <w:rsid w:val="0032644B"/>
    <w:rsid w:val="00326A66"/>
    <w:rsid w:val="00326FBD"/>
    <w:rsid w:val="003273D4"/>
    <w:rsid w:val="00327C9A"/>
    <w:rsid w:val="00327EC5"/>
    <w:rsid w:val="00330937"/>
    <w:rsid w:val="00330D74"/>
    <w:rsid w:val="00330E40"/>
    <w:rsid w:val="00330FCE"/>
    <w:rsid w:val="00332511"/>
    <w:rsid w:val="00332B8E"/>
    <w:rsid w:val="00332F36"/>
    <w:rsid w:val="00332FA5"/>
    <w:rsid w:val="00333BBB"/>
    <w:rsid w:val="00334A25"/>
    <w:rsid w:val="00334E2D"/>
    <w:rsid w:val="00335D44"/>
    <w:rsid w:val="00336170"/>
    <w:rsid w:val="00336B43"/>
    <w:rsid w:val="003370CC"/>
    <w:rsid w:val="00337256"/>
    <w:rsid w:val="003378CF"/>
    <w:rsid w:val="00337994"/>
    <w:rsid w:val="00340158"/>
    <w:rsid w:val="00340BB8"/>
    <w:rsid w:val="003410B3"/>
    <w:rsid w:val="0034156B"/>
    <w:rsid w:val="00341C2F"/>
    <w:rsid w:val="00342576"/>
    <w:rsid w:val="00342B57"/>
    <w:rsid w:val="00343B25"/>
    <w:rsid w:val="00344DA8"/>
    <w:rsid w:val="00345995"/>
    <w:rsid w:val="003459E7"/>
    <w:rsid w:val="00345C50"/>
    <w:rsid w:val="00345D48"/>
    <w:rsid w:val="0034630B"/>
    <w:rsid w:val="0034673D"/>
    <w:rsid w:val="00347567"/>
    <w:rsid w:val="00347870"/>
    <w:rsid w:val="00350220"/>
    <w:rsid w:val="0035051F"/>
    <w:rsid w:val="003511FD"/>
    <w:rsid w:val="00351349"/>
    <w:rsid w:val="003516FE"/>
    <w:rsid w:val="00351744"/>
    <w:rsid w:val="00351C12"/>
    <w:rsid w:val="00351E68"/>
    <w:rsid w:val="00351F88"/>
    <w:rsid w:val="00351F9B"/>
    <w:rsid w:val="0035259E"/>
    <w:rsid w:val="003530E8"/>
    <w:rsid w:val="0035338E"/>
    <w:rsid w:val="00353425"/>
    <w:rsid w:val="0035392E"/>
    <w:rsid w:val="00353FD6"/>
    <w:rsid w:val="0035609C"/>
    <w:rsid w:val="003566D8"/>
    <w:rsid w:val="00356A69"/>
    <w:rsid w:val="003600C0"/>
    <w:rsid w:val="003604F3"/>
    <w:rsid w:val="00360677"/>
    <w:rsid w:val="00361543"/>
    <w:rsid w:val="00362A79"/>
    <w:rsid w:val="00362C1D"/>
    <w:rsid w:val="00363562"/>
    <w:rsid w:val="003637E3"/>
    <w:rsid w:val="00363A43"/>
    <w:rsid w:val="003640EF"/>
    <w:rsid w:val="00365783"/>
    <w:rsid w:val="003657C9"/>
    <w:rsid w:val="00365C77"/>
    <w:rsid w:val="003663B3"/>
    <w:rsid w:val="00366867"/>
    <w:rsid w:val="00366A0D"/>
    <w:rsid w:val="003677C2"/>
    <w:rsid w:val="00367863"/>
    <w:rsid w:val="0037010B"/>
    <w:rsid w:val="00370121"/>
    <w:rsid w:val="003701E5"/>
    <w:rsid w:val="0037056E"/>
    <w:rsid w:val="003707B6"/>
    <w:rsid w:val="00370AB4"/>
    <w:rsid w:val="00370AC1"/>
    <w:rsid w:val="00370CC1"/>
    <w:rsid w:val="00371596"/>
    <w:rsid w:val="00371789"/>
    <w:rsid w:val="00371A41"/>
    <w:rsid w:val="00371C3A"/>
    <w:rsid w:val="00372263"/>
    <w:rsid w:val="003725AC"/>
    <w:rsid w:val="0037278C"/>
    <w:rsid w:val="00372871"/>
    <w:rsid w:val="00372FC6"/>
    <w:rsid w:val="00374294"/>
    <w:rsid w:val="003749A2"/>
    <w:rsid w:val="00375565"/>
    <w:rsid w:val="003760CA"/>
    <w:rsid w:val="00376197"/>
    <w:rsid w:val="00377330"/>
    <w:rsid w:val="00377C3E"/>
    <w:rsid w:val="0038159A"/>
    <w:rsid w:val="00381EC1"/>
    <w:rsid w:val="00382886"/>
    <w:rsid w:val="0038334A"/>
    <w:rsid w:val="0038383D"/>
    <w:rsid w:val="00383873"/>
    <w:rsid w:val="003838AC"/>
    <w:rsid w:val="00384052"/>
    <w:rsid w:val="0038408C"/>
    <w:rsid w:val="003847F6"/>
    <w:rsid w:val="00384CA2"/>
    <w:rsid w:val="00384EE3"/>
    <w:rsid w:val="00385708"/>
    <w:rsid w:val="0038575F"/>
    <w:rsid w:val="00385901"/>
    <w:rsid w:val="00385F0E"/>
    <w:rsid w:val="00385FD8"/>
    <w:rsid w:val="003865EA"/>
    <w:rsid w:val="00386D95"/>
    <w:rsid w:val="00387CBD"/>
    <w:rsid w:val="00391A9D"/>
    <w:rsid w:val="00392596"/>
    <w:rsid w:val="00392A9C"/>
    <w:rsid w:val="003932D7"/>
    <w:rsid w:val="003934BD"/>
    <w:rsid w:val="00393AFA"/>
    <w:rsid w:val="00393C44"/>
    <w:rsid w:val="0039477A"/>
    <w:rsid w:val="00394DB2"/>
    <w:rsid w:val="00396516"/>
    <w:rsid w:val="00396526"/>
    <w:rsid w:val="00396A92"/>
    <w:rsid w:val="00397B05"/>
    <w:rsid w:val="003A0119"/>
    <w:rsid w:val="003A08C1"/>
    <w:rsid w:val="003A133A"/>
    <w:rsid w:val="003A14B8"/>
    <w:rsid w:val="003A1850"/>
    <w:rsid w:val="003A2160"/>
    <w:rsid w:val="003A32C8"/>
    <w:rsid w:val="003A38A3"/>
    <w:rsid w:val="003A3A9B"/>
    <w:rsid w:val="003A3F1A"/>
    <w:rsid w:val="003A448E"/>
    <w:rsid w:val="003A4984"/>
    <w:rsid w:val="003A4BF5"/>
    <w:rsid w:val="003A4CFD"/>
    <w:rsid w:val="003A5E79"/>
    <w:rsid w:val="003A702B"/>
    <w:rsid w:val="003A7627"/>
    <w:rsid w:val="003A7F76"/>
    <w:rsid w:val="003B051D"/>
    <w:rsid w:val="003B0558"/>
    <w:rsid w:val="003B1183"/>
    <w:rsid w:val="003B1A78"/>
    <w:rsid w:val="003B1B52"/>
    <w:rsid w:val="003B1CB3"/>
    <w:rsid w:val="003B1CD5"/>
    <w:rsid w:val="003B1DF5"/>
    <w:rsid w:val="003B200F"/>
    <w:rsid w:val="003B2102"/>
    <w:rsid w:val="003B2434"/>
    <w:rsid w:val="003B25D8"/>
    <w:rsid w:val="003B2EE7"/>
    <w:rsid w:val="003B31B9"/>
    <w:rsid w:val="003B338B"/>
    <w:rsid w:val="003B3E35"/>
    <w:rsid w:val="003B40EA"/>
    <w:rsid w:val="003B41E8"/>
    <w:rsid w:val="003B4307"/>
    <w:rsid w:val="003B5BC0"/>
    <w:rsid w:val="003B6256"/>
    <w:rsid w:val="003B63DC"/>
    <w:rsid w:val="003B6879"/>
    <w:rsid w:val="003B6AFA"/>
    <w:rsid w:val="003B73C7"/>
    <w:rsid w:val="003B79B4"/>
    <w:rsid w:val="003C045A"/>
    <w:rsid w:val="003C06FD"/>
    <w:rsid w:val="003C0D9E"/>
    <w:rsid w:val="003C227F"/>
    <w:rsid w:val="003C2514"/>
    <w:rsid w:val="003C27AF"/>
    <w:rsid w:val="003C4B8C"/>
    <w:rsid w:val="003C5528"/>
    <w:rsid w:val="003C6E92"/>
    <w:rsid w:val="003C728F"/>
    <w:rsid w:val="003C743E"/>
    <w:rsid w:val="003C74F6"/>
    <w:rsid w:val="003C761F"/>
    <w:rsid w:val="003C7777"/>
    <w:rsid w:val="003C7A19"/>
    <w:rsid w:val="003C7A55"/>
    <w:rsid w:val="003D0053"/>
    <w:rsid w:val="003D19FB"/>
    <w:rsid w:val="003D21AD"/>
    <w:rsid w:val="003D286B"/>
    <w:rsid w:val="003D28D0"/>
    <w:rsid w:val="003D2960"/>
    <w:rsid w:val="003D301C"/>
    <w:rsid w:val="003D36C0"/>
    <w:rsid w:val="003D37B7"/>
    <w:rsid w:val="003D3EFA"/>
    <w:rsid w:val="003D58A1"/>
    <w:rsid w:val="003D5B7D"/>
    <w:rsid w:val="003D5D99"/>
    <w:rsid w:val="003D5E47"/>
    <w:rsid w:val="003D62D4"/>
    <w:rsid w:val="003D63BB"/>
    <w:rsid w:val="003D69F6"/>
    <w:rsid w:val="003D6F76"/>
    <w:rsid w:val="003D75C0"/>
    <w:rsid w:val="003D7FB0"/>
    <w:rsid w:val="003E1178"/>
    <w:rsid w:val="003E2207"/>
    <w:rsid w:val="003E2882"/>
    <w:rsid w:val="003E29E9"/>
    <w:rsid w:val="003E2AE3"/>
    <w:rsid w:val="003E2E49"/>
    <w:rsid w:val="003E39DA"/>
    <w:rsid w:val="003E4F48"/>
    <w:rsid w:val="003E5237"/>
    <w:rsid w:val="003E615E"/>
    <w:rsid w:val="003E6238"/>
    <w:rsid w:val="003E68B0"/>
    <w:rsid w:val="003E6A5F"/>
    <w:rsid w:val="003E71CF"/>
    <w:rsid w:val="003F0C56"/>
    <w:rsid w:val="003F0DBF"/>
    <w:rsid w:val="003F0F17"/>
    <w:rsid w:val="003F1246"/>
    <w:rsid w:val="003F1436"/>
    <w:rsid w:val="003F167F"/>
    <w:rsid w:val="003F239C"/>
    <w:rsid w:val="003F26AE"/>
    <w:rsid w:val="003F2B79"/>
    <w:rsid w:val="003F2CA0"/>
    <w:rsid w:val="003F3FA5"/>
    <w:rsid w:val="003F46ED"/>
    <w:rsid w:val="003F4951"/>
    <w:rsid w:val="003F4B80"/>
    <w:rsid w:val="003F5AB5"/>
    <w:rsid w:val="003F5D77"/>
    <w:rsid w:val="003F61DA"/>
    <w:rsid w:val="003F6CE1"/>
    <w:rsid w:val="003F7420"/>
    <w:rsid w:val="003F7E92"/>
    <w:rsid w:val="00400186"/>
    <w:rsid w:val="00400FCD"/>
    <w:rsid w:val="00401457"/>
    <w:rsid w:val="0040176C"/>
    <w:rsid w:val="004020AE"/>
    <w:rsid w:val="00402A9A"/>
    <w:rsid w:val="00402FA2"/>
    <w:rsid w:val="004031A7"/>
    <w:rsid w:val="0040519D"/>
    <w:rsid w:val="0040548F"/>
    <w:rsid w:val="004058E2"/>
    <w:rsid w:val="00405F2E"/>
    <w:rsid w:val="00406048"/>
    <w:rsid w:val="004071D2"/>
    <w:rsid w:val="00407C5B"/>
    <w:rsid w:val="00407D08"/>
    <w:rsid w:val="004108C0"/>
    <w:rsid w:val="00410C55"/>
    <w:rsid w:val="004118D8"/>
    <w:rsid w:val="00411B7F"/>
    <w:rsid w:val="0041299F"/>
    <w:rsid w:val="00414407"/>
    <w:rsid w:val="00414EC9"/>
    <w:rsid w:val="0041534F"/>
    <w:rsid w:val="00415C4F"/>
    <w:rsid w:val="00416D9C"/>
    <w:rsid w:val="00417529"/>
    <w:rsid w:val="004203FC"/>
    <w:rsid w:val="004209F3"/>
    <w:rsid w:val="00422A86"/>
    <w:rsid w:val="00422B37"/>
    <w:rsid w:val="00422CE4"/>
    <w:rsid w:val="00423C34"/>
    <w:rsid w:val="00424027"/>
    <w:rsid w:val="00424B4A"/>
    <w:rsid w:val="00424B78"/>
    <w:rsid w:val="00424ED3"/>
    <w:rsid w:val="0042512C"/>
    <w:rsid w:val="0042673D"/>
    <w:rsid w:val="00426806"/>
    <w:rsid w:val="0042691B"/>
    <w:rsid w:val="004272CC"/>
    <w:rsid w:val="004276D4"/>
    <w:rsid w:val="0042774B"/>
    <w:rsid w:val="00427757"/>
    <w:rsid w:val="004305C8"/>
    <w:rsid w:val="00430653"/>
    <w:rsid w:val="00430762"/>
    <w:rsid w:val="00430B10"/>
    <w:rsid w:val="00431FFA"/>
    <w:rsid w:val="004326A7"/>
    <w:rsid w:val="00432A96"/>
    <w:rsid w:val="004330F9"/>
    <w:rsid w:val="00433461"/>
    <w:rsid w:val="00435640"/>
    <w:rsid w:val="00435E5A"/>
    <w:rsid w:val="00436C65"/>
    <w:rsid w:val="00436D4C"/>
    <w:rsid w:val="004371E0"/>
    <w:rsid w:val="004374C4"/>
    <w:rsid w:val="00437A11"/>
    <w:rsid w:val="00437C21"/>
    <w:rsid w:val="00440BD0"/>
    <w:rsid w:val="00441234"/>
    <w:rsid w:val="004414DE"/>
    <w:rsid w:val="0044183D"/>
    <w:rsid w:val="00442EDF"/>
    <w:rsid w:val="00443ADA"/>
    <w:rsid w:val="00443ED6"/>
    <w:rsid w:val="00444A81"/>
    <w:rsid w:val="00445206"/>
    <w:rsid w:val="0044553F"/>
    <w:rsid w:val="004456A2"/>
    <w:rsid w:val="0044590C"/>
    <w:rsid w:val="0044620C"/>
    <w:rsid w:val="00446D67"/>
    <w:rsid w:val="00447A44"/>
    <w:rsid w:val="00447B51"/>
    <w:rsid w:val="004503E4"/>
    <w:rsid w:val="00450FFF"/>
    <w:rsid w:val="00451412"/>
    <w:rsid w:val="00451FA0"/>
    <w:rsid w:val="004523E5"/>
    <w:rsid w:val="00453382"/>
    <w:rsid w:val="0045375D"/>
    <w:rsid w:val="00455A3F"/>
    <w:rsid w:val="00455C2D"/>
    <w:rsid w:val="00455CA1"/>
    <w:rsid w:val="004561EE"/>
    <w:rsid w:val="00456C9F"/>
    <w:rsid w:val="00457B5C"/>
    <w:rsid w:val="00460513"/>
    <w:rsid w:val="00460987"/>
    <w:rsid w:val="004629F4"/>
    <w:rsid w:val="00462CE7"/>
    <w:rsid w:val="00464B38"/>
    <w:rsid w:val="00465D76"/>
    <w:rsid w:val="00466C89"/>
    <w:rsid w:val="00466CDC"/>
    <w:rsid w:val="004671CB"/>
    <w:rsid w:val="0046734B"/>
    <w:rsid w:val="00467611"/>
    <w:rsid w:val="00467AAD"/>
    <w:rsid w:val="00467E84"/>
    <w:rsid w:val="00470173"/>
    <w:rsid w:val="00470AF6"/>
    <w:rsid w:val="00471B73"/>
    <w:rsid w:val="00472601"/>
    <w:rsid w:val="0047312B"/>
    <w:rsid w:val="0047339C"/>
    <w:rsid w:val="00473A33"/>
    <w:rsid w:val="004745EC"/>
    <w:rsid w:val="004751A3"/>
    <w:rsid w:val="004754AA"/>
    <w:rsid w:val="004760C6"/>
    <w:rsid w:val="00476A5A"/>
    <w:rsid w:val="0047733D"/>
    <w:rsid w:val="00480067"/>
    <w:rsid w:val="004800F8"/>
    <w:rsid w:val="0048092B"/>
    <w:rsid w:val="00481117"/>
    <w:rsid w:val="00482FE7"/>
    <w:rsid w:val="00483CB7"/>
    <w:rsid w:val="004841D1"/>
    <w:rsid w:val="004849A0"/>
    <w:rsid w:val="00485175"/>
    <w:rsid w:val="00485E7D"/>
    <w:rsid w:val="00485FF0"/>
    <w:rsid w:val="00486380"/>
    <w:rsid w:val="00486DED"/>
    <w:rsid w:val="00487683"/>
    <w:rsid w:val="004879BA"/>
    <w:rsid w:val="00490C8B"/>
    <w:rsid w:val="00490D9B"/>
    <w:rsid w:val="00490EEE"/>
    <w:rsid w:val="00491EFB"/>
    <w:rsid w:val="00492212"/>
    <w:rsid w:val="00492BD3"/>
    <w:rsid w:val="00492DF3"/>
    <w:rsid w:val="00493217"/>
    <w:rsid w:val="004947BE"/>
    <w:rsid w:val="0049682F"/>
    <w:rsid w:val="00496935"/>
    <w:rsid w:val="00497985"/>
    <w:rsid w:val="00497DC8"/>
    <w:rsid w:val="004A01B1"/>
    <w:rsid w:val="004A04AF"/>
    <w:rsid w:val="004A0937"/>
    <w:rsid w:val="004A106A"/>
    <w:rsid w:val="004A12EC"/>
    <w:rsid w:val="004A2B7F"/>
    <w:rsid w:val="004A2D72"/>
    <w:rsid w:val="004A2ECB"/>
    <w:rsid w:val="004A33B8"/>
    <w:rsid w:val="004A3633"/>
    <w:rsid w:val="004A398A"/>
    <w:rsid w:val="004A3B53"/>
    <w:rsid w:val="004A3D49"/>
    <w:rsid w:val="004A4CA2"/>
    <w:rsid w:val="004A7A0C"/>
    <w:rsid w:val="004B0078"/>
    <w:rsid w:val="004B01C2"/>
    <w:rsid w:val="004B035F"/>
    <w:rsid w:val="004B0AC6"/>
    <w:rsid w:val="004B0CE5"/>
    <w:rsid w:val="004B15A8"/>
    <w:rsid w:val="004B1D77"/>
    <w:rsid w:val="004B20FA"/>
    <w:rsid w:val="004B3337"/>
    <w:rsid w:val="004B476C"/>
    <w:rsid w:val="004B4A8C"/>
    <w:rsid w:val="004B4B06"/>
    <w:rsid w:val="004B4CC4"/>
    <w:rsid w:val="004B5479"/>
    <w:rsid w:val="004B5A05"/>
    <w:rsid w:val="004B5B03"/>
    <w:rsid w:val="004B5F54"/>
    <w:rsid w:val="004B6215"/>
    <w:rsid w:val="004B661E"/>
    <w:rsid w:val="004B6FAC"/>
    <w:rsid w:val="004B77FA"/>
    <w:rsid w:val="004B7969"/>
    <w:rsid w:val="004B7B00"/>
    <w:rsid w:val="004C0600"/>
    <w:rsid w:val="004C094D"/>
    <w:rsid w:val="004C0A66"/>
    <w:rsid w:val="004C1775"/>
    <w:rsid w:val="004C178B"/>
    <w:rsid w:val="004C18D5"/>
    <w:rsid w:val="004C245B"/>
    <w:rsid w:val="004C266A"/>
    <w:rsid w:val="004C2C02"/>
    <w:rsid w:val="004C4231"/>
    <w:rsid w:val="004C4689"/>
    <w:rsid w:val="004C4BE9"/>
    <w:rsid w:val="004C517A"/>
    <w:rsid w:val="004C5DE9"/>
    <w:rsid w:val="004C5F55"/>
    <w:rsid w:val="004C61D2"/>
    <w:rsid w:val="004C63A6"/>
    <w:rsid w:val="004C6528"/>
    <w:rsid w:val="004C65C9"/>
    <w:rsid w:val="004C68F7"/>
    <w:rsid w:val="004C698D"/>
    <w:rsid w:val="004C72C3"/>
    <w:rsid w:val="004C7E4D"/>
    <w:rsid w:val="004D0350"/>
    <w:rsid w:val="004D06C1"/>
    <w:rsid w:val="004D0AF3"/>
    <w:rsid w:val="004D1308"/>
    <w:rsid w:val="004D13A7"/>
    <w:rsid w:val="004D14AD"/>
    <w:rsid w:val="004D1642"/>
    <w:rsid w:val="004D2035"/>
    <w:rsid w:val="004D24EB"/>
    <w:rsid w:val="004D375E"/>
    <w:rsid w:val="004D5555"/>
    <w:rsid w:val="004D5E6E"/>
    <w:rsid w:val="004E02EE"/>
    <w:rsid w:val="004E1278"/>
    <w:rsid w:val="004E13DD"/>
    <w:rsid w:val="004E1CBC"/>
    <w:rsid w:val="004E20D7"/>
    <w:rsid w:val="004E2CA5"/>
    <w:rsid w:val="004E33F6"/>
    <w:rsid w:val="004E3742"/>
    <w:rsid w:val="004E38E8"/>
    <w:rsid w:val="004E396A"/>
    <w:rsid w:val="004E3B29"/>
    <w:rsid w:val="004E47E4"/>
    <w:rsid w:val="004E4857"/>
    <w:rsid w:val="004E4AF4"/>
    <w:rsid w:val="004E539C"/>
    <w:rsid w:val="004E5549"/>
    <w:rsid w:val="004E5679"/>
    <w:rsid w:val="004E57B6"/>
    <w:rsid w:val="004E5B4D"/>
    <w:rsid w:val="004E5F3B"/>
    <w:rsid w:val="004E6124"/>
    <w:rsid w:val="004E6552"/>
    <w:rsid w:val="004E6ACD"/>
    <w:rsid w:val="004E7073"/>
    <w:rsid w:val="004E730C"/>
    <w:rsid w:val="004E7FDC"/>
    <w:rsid w:val="004F02CF"/>
    <w:rsid w:val="004F03C1"/>
    <w:rsid w:val="004F05D1"/>
    <w:rsid w:val="004F0821"/>
    <w:rsid w:val="004F196B"/>
    <w:rsid w:val="004F1B46"/>
    <w:rsid w:val="004F26C8"/>
    <w:rsid w:val="004F2792"/>
    <w:rsid w:val="004F2850"/>
    <w:rsid w:val="004F2A05"/>
    <w:rsid w:val="004F2A83"/>
    <w:rsid w:val="004F2B3C"/>
    <w:rsid w:val="004F2FD4"/>
    <w:rsid w:val="004F4038"/>
    <w:rsid w:val="004F4AD4"/>
    <w:rsid w:val="004F4F47"/>
    <w:rsid w:val="004F6382"/>
    <w:rsid w:val="004F7A0B"/>
    <w:rsid w:val="00500791"/>
    <w:rsid w:val="005009D8"/>
    <w:rsid w:val="00501894"/>
    <w:rsid w:val="00501F66"/>
    <w:rsid w:val="005040E2"/>
    <w:rsid w:val="0050423B"/>
    <w:rsid w:val="0050470F"/>
    <w:rsid w:val="005047C6"/>
    <w:rsid w:val="00504863"/>
    <w:rsid w:val="005049C4"/>
    <w:rsid w:val="005049FF"/>
    <w:rsid w:val="00504D3F"/>
    <w:rsid w:val="00504EA5"/>
    <w:rsid w:val="00504F09"/>
    <w:rsid w:val="00505659"/>
    <w:rsid w:val="00505A9D"/>
    <w:rsid w:val="00506860"/>
    <w:rsid w:val="00506944"/>
    <w:rsid w:val="005070AC"/>
    <w:rsid w:val="00507EF8"/>
    <w:rsid w:val="00510078"/>
    <w:rsid w:val="00510BB6"/>
    <w:rsid w:val="00510ECD"/>
    <w:rsid w:val="00510F69"/>
    <w:rsid w:val="00511272"/>
    <w:rsid w:val="0051181D"/>
    <w:rsid w:val="00511A98"/>
    <w:rsid w:val="00511CFA"/>
    <w:rsid w:val="005120DE"/>
    <w:rsid w:val="00512201"/>
    <w:rsid w:val="005128BC"/>
    <w:rsid w:val="00513ACD"/>
    <w:rsid w:val="00514400"/>
    <w:rsid w:val="00515B7D"/>
    <w:rsid w:val="0051714C"/>
    <w:rsid w:val="0051724E"/>
    <w:rsid w:val="00517C51"/>
    <w:rsid w:val="00521A40"/>
    <w:rsid w:val="0052249D"/>
    <w:rsid w:val="0052318D"/>
    <w:rsid w:val="00523277"/>
    <w:rsid w:val="0052372E"/>
    <w:rsid w:val="00523C16"/>
    <w:rsid w:val="00523C86"/>
    <w:rsid w:val="005241FD"/>
    <w:rsid w:val="005249A6"/>
    <w:rsid w:val="00524A04"/>
    <w:rsid w:val="00524CE5"/>
    <w:rsid w:val="00524FC7"/>
    <w:rsid w:val="00525A43"/>
    <w:rsid w:val="00525C95"/>
    <w:rsid w:val="0052616F"/>
    <w:rsid w:val="00526597"/>
    <w:rsid w:val="005265B0"/>
    <w:rsid w:val="005266A8"/>
    <w:rsid w:val="00526A92"/>
    <w:rsid w:val="00526C59"/>
    <w:rsid w:val="0052712D"/>
    <w:rsid w:val="005277D8"/>
    <w:rsid w:val="005277FF"/>
    <w:rsid w:val="00527928"/>
    <w:rsid w:val="00527D65"/>
    <w:rsid w:val="00527D9A"/>
    <w:rsid w:val="00527E21"/>
    <w:rsid w:val="005309B6"/>
    <w:rsid w:val="0053125A"/>
    <w:rsid w:val="0053158B"/>
    <w:rsid w:val="00532435"/>
    <w:rsid w:val="005327BD"/>
    <w:rsid w:val="00533517"/>
    <w:rsid w:val="0053422F"/>
    <w:rsid w:val="0053552C"/>
    <w:rsid w:val="00535DA9"/>
    <w:rsid w:val="0053647A"/>
    <w:rsid w:val="0053651F"/>
    <w:rsid w:val="00536554"/>
    <w:rsid w:val="005365D5"/>
    <w:rsid w:val="00540464"/>
    <w:rsid w:val="0054051E"/>
    <w:rsid w:val="005405D8"/>
    <w:rsid w:val="005410B3"/>
    <w:rsid w:val="00541BD5"/>
    <w:rsid w:val="0054245D"/>
    <w:rsid w:val="00542A4C"/>
    <w:rsid w:val="00543070"/>
    <w:rsid w:val="00543546"/>
    <w:rsid w:val="00543BAD"/>
    <w:rsid w:val="00544312"/>
    <w:rsid w:val="00544B75"/>
    <w:rsid w:val="00544FF1"/>
    <w:rsid w:val="0054517B"/>
    <w:rsid w:val="0054583C"/>
    <w:rsid w:val="005468C4"/>
    <w:rsid w:val="005469B1"/>
    <w:rsid w:val="00546B7A"/>
    <w:rsid w:val="005476B6"/>
    <w:rsid w:val="00547BD4"/>
    <w:rsid w:val="00547D9D"/>
    <w:rsid w:val="00550915"/>
    <w:rsid w:val="00551818"/>
    <w:rsid w:val="00552151"/>
    <w:rsid w:val="00552972"/>
    <w:rsid w:val="00552CB8"/>
    <w:rsid w:val="00552E79"/>
    <w:rsid w:val="00552F7D"/>
    <w:rsid w:val="00553172"/>
    <w:rsid w:val="00553F5E"/>
    <w:rsid w:val="005543BE"/>
    <w:rsid w:val="005546D6"/>
    <w:rsid w:val="00554DAE"/>
    <w:rsid w:val="00555224"/>
    <w:rsid w:val="00555B21"/>
    <w:rsid w:val="00555DB7"/>
    <w:rsid w:val="005565FC"/>
    <w:rsid w:val="00556EEB"/>
    <w:rsid w:val="005571ED"/>
    <w:rsid w:val="0055731A"/>
    <w:rsid w:val="00557B42"/>
    <w:rsid w:val="005613B3"/>
    <w:rsid w:val="00561DB0"/>
    <w:rsid w:val="00562358"/>
    <w:rsid w:val="005624BD"/>
    <w:rsid w:val="00562DA8"/>
    <w:rsid w:val="0056342A"/>
    <w:rsid w:val="0056342D"/>
    <w:rsid w:val="0056381F"/>
    <w:rsid w:val="00563B1B"/>
    <w:rsid w:val="005645EA"/>
    <w:rsid w:val="0056461B"/>
    <w:rsid w:val="00564A0B"/>
    <w:rsid w:val="00564A96"/>
    <w:rsid w:val="005652FC"/>
    <w:rsid w:val="00565BE5"/>
    <w:rsid w:val="0056632D"/>
    <w:rsid w:val="00566572"/>
    <w:rsid w:val="00566751"/>
    <w:rsid w:val="00566A54"/>
    <w:rsid w:val="00566B67"/>
    <w:rsid w:val="00567352"/>
    <w:rsid w:val="00567793"/>
    <w:rsid w:val="005706D2"/>
    <w:rsid w:val="0057089C"/>
    <w:rsid w:val="00571AEB"/>
    <w:rsid w:val="00571B03"/>
    <w:rsid w:val="00571BA3"/>
    <w:rsid w:val="00571D10"/>
    <w:rsid w:val="005721EF"/>
    <w:rsid w:val="00572AB6"/>
    <w:rsid w:val="0057362F"/>
    <w:rsid w:val="00573E85"/>
    <w:rsid w:val="0057447F"/>
    <w:rsid w:val="00576050"/>
    <w:rsid w:val="00576B26"/>
    <w:rsid w:val="00576BEB"/>
    <w:rsid w:val="00577B05"/>
    <w:rsid w:val="00577C15"/>
    <w:rsid w:val="00577D1B"/>
    <w:rsid w:val="00580883"/>
    <w:rsid w:val="00580CD1"/>
    <w:rsid w:val="00581A00"/>
    <w:rsid w:val="00581B82"/>
    <w:rsid w:val="00581DCB"/>
    <w:rsid w:val="00581F03"/>
    <w:rsid w:val="005826BA"/>
    <w:rsid w:val="00582BC2"/>
    <w:rsid w:val="00582BC4"/>
    <w:rsid w:val="00582FBF"/>
    <w:rsid w:val="00583C0A"/>
    <w:rsid w:val="00583C8C"/>
    <w:rsid w:val="00583ED4"/>
    <w:rsid w:val="00583FE2"/>
    <w:rsid w:val="0058406D"/>
    <w:rsid w:val="005840BD"/>
    <w:rsid w:val="005840D8"/>
    <w:rsid w:val="00584A88"/>
    <w:rsid w:val="00584E44"/>
    <w:rsid w:val="00584F64"/>
    <w:rsid w:val="00586917"/>
    <w:rsid w:val="00586BF4"/>
    <w:rsid w:val="00587278"/>
    <w:rsid w:val="00587453"/>
    <w:rsid w:val="00587710"/>
    <w:rsid w:val="00587BA5"/>
    <w:rsid w:val="00587DA0"/>
    <w:rsid w:val="00587DE5"/>
    <w:rsid w:val="005902C1"/>
    <w:rsid w:val="00590A90"/>
    <w:rsid w:val="00590C80"/>
    <w:rsid w:val="005917B4"/>
    <w:rsid w:val="005919ED"/>
    <w:rsid w:val="005931DE"/>
    <w:rsid w:val="00594203"/>
    <w:rsid w:val="005942A4"/>
    <w:rsid w:val="00594F1F"/>
    <w:rsid w:val="0059536E"/>
    <w:rsid w:val="005962E4"/>
    <w:rsid w:val="00596B7E"/>
    <w:rsid w:val="005A0E3B"/>
    <w:rsid w:val="005A1019"/>
    <w:rsid w:val="005A17CC"/>
    <w:rsid w:val="005A1961"/>
    <w:rsid w:val="005A228F"/>
    <w:rsid w:val="005A278A"/>
    <w:rsid w:val="005A27BB"/>
    <w:rsid w:val="005A3102"/>
    <w:rsid w:val="005A40DF"/>
    <w:rsid w:val="005A543F"/>
    <w:rsid w:val="005A60C6"/>
    <w:rsid w:val="005A6479"/>
    <w:rsid w:val="005A7415"/>
    <w:rsid w:val="005B0824"/>
    <w:rsid w:val="005B0A57"/>
    <w:rsid w:val="005B0C61"/>
    <w:rsid w:val="005B15AE"/>
    <w:rsid w:val="005B1D64"/>
    <w:rsid w:val="005B2379"/>
    <w:rsid w:val="005B2391"/>
    <w:rsid w:val="005B2DD7"/>
    <w:rsid w:val="005B2F9C"/>
    <w:rsid w:val="005B31E8"/>
    <w:rsid w:val="005B368F"/>
    <w:rsid w:val="005B3E22"/>
    <w:rsid w:val="005B3F3C"/>
    <w:rsid w:val="005B40F0"/>
    <w:rsid w:val="005B4149"/>
    <w:rsid w:val="005B46A4"/>
    <w:rsid w:val="005B46EB"/>
    <w:rsid w:val="005B58B8"/>
    <w:rsid w:val="005B6237"/>
    <w:rsid w:val="005B64DD"/>
    <w:rsid w:val="005B6FE8"/>
    <w:rsid w:val="005C00FD"/>
    <w:rsid w:val="005C10CB"/>
    <w:rsid w:val="005C1750"/>
    <w:rsid w:val="005C1AF1"/>
    <w:rsid w:val="005C2469"/>
    <w:rsid w:val="005C4229"/>
    <w:rsid w:val="005C56DA"/>
    <w:rsid w:val="005C60F2"/>
    <w:rsid w:val="005C6293"/>
    <w:rsid w:val="005C6457"/>
    <w:rsid w:val="005C6468"/>
    <w:rsid w:val="005C65B0"/>
    <w:rsid w:val="005C6824"/>
    <w:rsid w:val="005C728A"/>
    <w:rsid w:val="005C77FA"/>
    <w:rsid w:val="005D020E"/>
    <w:rsid w:val="005D023F"/>
    <w:rsid w:val="005D0959"/>
    <w:rsid w:val="005D1690"/>
    <w:rsid w:val="005D177C"/>
    <w:rsid w:val="005D2334"/>
    <w:rsid w:val="005D287E"/>
    <w:rsid w:val="005D3071"/>
    <w:rsid w:val="005D3CFD"/>
    <w:rsid w:val="005D3E5C"/>
    <w:rsid w:val="005D3F27"/>
    <w:rsid w:val="005D515E"/>
    <w:rsid w:val="005D6034"/>
    <w:rsid w:val="005D750A"/>
    <w:rsid w:val="005D77DD"/>
    <w:rsid w:val="005D7971"/>
    <w:rsid w:val="005E10A8"/>
    <w:rsid w:val="005E1446"/>
    <w:rsid w:val="005E1BF8"/>
    <w:rsid w:val="005E21EE"/>
    <w:rsid w:val="005E283D"/>
    <w:rsid w:val="005E4496"/>
    <w:rsid w:val="005E56D3"/>
    <w:rsid w:val="005E574F"/>
    <w:rsid w:val="005E5FD9"/>
    <w:rsid w:val="005E63C8"/>
    <w:rsid w:val="005E6AE9"/>
    <w:rsid w:val="005E6E8D"/>
    <w:rsid w:val="005E76F5"/>
    <w:rsid w:val="005E775E"/>
    <w:rsid w:val="005E7D20"/>
    <w:rsid w:val="005E7FB2"/>
    <w:rsid w:val="005F0144"/>
    <w:rsid w:val="005F05DF"/>
    <w:rsid w:val="005F11D2"/>
    <w:rsid w:val="005F1372"/>
    <w:rsid w:val="005F18B5"/>
    <w:rsid w:val="005F2830"/>
    <w:rsid w:val="005F2C7E"/>
    <w:rsid w:val="005F2CA7"/>
    <w:rsid w:val="005F39C0"/>
    <w:rsid w:val="005F3A67"/>
    <w:rsid w:val="005F444E"/>
    <w:rsid w:val="005F45AF"/>
    <w:rsid w:val="005F4B3A"/>
    <w:rsid w:val="005F4B7A"/>
    <w:rsid w:val="005F50D9"/>
    <w:rsid w:val="005F533A"/>
    <w:rsid w:val="005F5393"/>
    <w:rsid w:val="005F6678"/>
    <w:rsid w:val="005F7C43"/>
    <w:rsid w:val="0060047E"/>
    <w:rsid w:val="00601564"/>
    <w:rsid w:val="0060181F"/>
    <w:rsid w:val="00602484"/>
    <w:rsid w:val="00602FDE"/>
    <w:rsid w:val="006030EB"/>
    <w:rsid w:val="00603464"/>
    <w:rsid w:val="00604DB6"/>
    <w:rsid w:val="00605E3C"/>
    <w:rsid w:val="00605EAF"/>
    <w:rsid w:val="0060636D"/>
    <w:rsid w:val="0060637E"/>
    <w:rsid w:val="006069C6"/>
    <w:rsid w:val="00606B5A"/>
    <w:rsid w:val="00607915"/>
    <w:rsid w:val="006104F0"/>
    <w:rsid w:val="00610E10"/>
    <w:rsid w:val="00610F51"/>
    <w:rsid w:val="00611A9A"/>
    <w:rsid w:val="00611E0D"/>
    <w:rsid w:val="00612094"/>
    <w:rsid w:val="00612166"/>
    <w:rsid w:val="006127EC"/>
    <w:rsid w:val="00612BCC"/>
    <w:rsid w:val="00612F4D"/>
    <w:rsid w:val="0061328C"/>
    <w:rsid w:val="006140C9"/>
    <w:rsid w:val="0061561A"/>
    <w:rsid w:val="006157A9"/>
    <w:rsid w:val="0061606B"/>
    <w:rsid w:val="006164CE"/>
    <w:rsid w:val="006164D5"/>
    <w:rsid w:val="00616F13"/>
    <w:rsid w:val="00617D40"/>
    <w:rsid w:val="0062049E"/>
    <w:rsid w:val="00620F31"/>
    <w:rsid w:val="0062127B"/>
    <w:rsid w:val="00621424"/>
    <w:rsid w:val="006215FF"/>
    <w:rsid w:val="00621C90"/>
    <w:rsid w:val="00621FC5"/>
    <w:rsid w:val="00622267"/>
    <w:rsid w:val="00622403"/>
    <w:rsid w:val="00623C40"/>
    <w:rsid w:val="00624083"/>
    <w:rsid w:val="006245A8"/>
    <w:rsid w:val="00624761"/>
    <w:rsid w:val="00625085"/>
    <w:rsid w:val="00625613"/>
    <w:rsid w:val="006260ED"/>
    <w:rsid w:val="00626748"/>
    <w:rsid w:val="00626B57"/>
    <w:rsid w:val="00627B99"/>
    <w:rsid w:val="006305FE"/>
    <w:rsid w:val="0063106A"/>
    <w:rsid w:val="006317BA"/>
    <w:rsid w:val="00631AC7"/>
    <w:rsid w:val="00632C3E"/>
    <w:rsid w:val="0063361A"/>
    <w:rsid w:val="006342AF"/>
    <w:rsid w:val="00634C48"/>
    <w:rsid w:val="00635610"/>
    <w:rsid w:val="00635DF3"/>
    <w:rsid w:val="00635EEE"/>
    <w:rsid w:val="00636153"/>
    <w:rsid w:val="0063619E"/>
    <w:rsid w:val="00636861"/>
    <w:rsid w:val="00636E67"/>
    <w:rsid w:val="00637189"/>
    <w:rsid w:val="006378B5"/>
    <w:rsid w:val="00637BC1"/>
    <w:rsid w:val="00640262"/>
    <w:rsid w:val="00640791"/>
    <w:rsid w:val="00640825"/>
    <w:rsid w:val="00640AB3"/>
    <w:rsid w:val="00640D77"/>
    <w:rsid w:val="006411BA"/>
    <w:rsid w:val="00641428"/>
    <w:rsid w:val="00642298"/>
    <w:rsid w:val="0064296F"/>
    <w:rsid w:val="00642A1C"/>
    <w:rsid w:val="00642E30"/>
    <w:rsid w:val="006438A5"/>
    <w:rsid w:val="0064585B"/>
    <w:rsid w:val="00646218"/>
    <w:rsid w:val="006462E9"/>
    <w:rsid w:val="00646353"/>
    <w:rsid w:val="006464DF"/>
    <w:rsid w:val="00647128"/>
    <w:rsid w:val="00647470"/>
    <w:rsid w:val="00647802"/>
    <w:rsid w:val="00647F0F"/>
    <w:rsid w:val="00647F54"/>
    <w:rsid w:val="0065022C"/>
    <w:rsid w:val="00650DFC"/>
    <w:rsid w:val="00651277"/>
    <w:rsid w:val="00651501"/>
    <w:rsid w:val="00651EFF"/>
    <w:rsid w:val="0065205A"/>
    <w:rsid w:val="00652AAE"/>
    <w:rsid w:val="00653AA0"/>
    <w:rsid w:val="0065419F"/>
    <w:rsid w:val="0065436F"/>
    <w:rsid w:val="00654E77"/>
    <w:rsid w:val="0065569A"/>
    <w:rsid w:val="0065593A"/>
    <w:rsid w:val="00655ACD"/>
    <w:rsid w:val="00655C41"/>
    <w:rsid w:val="00655EB3"/>
    <w:rsid w:val="0065696D"/>
    <w:rsid w:val="00657884"/>
    <w:rsid w:val="00657AC8"/>
    <w:rsid w:val="00657E1E"/>
    <w:rsid w:val="006600D7"/>
    <w:rsid w:val="006602D5"/>
    <w:rsid w:val="0066042A"/>
    <w:rsid w:val="006607BC"/>
    <w:rsid w:val="006613C9"/>
    <w:rsid w:val="00662358"/>
    <w:rsid w:val="00662BF9"/>
    <w:rsid w:val="006632CD"/>
    <w:rsid w:val="00663C2C"/>
    <w:rsid w:val="00663CB3"/>
    <w:rsid w:val="00663CC6"/>
    <w:rsid w:val="006643BA"/>
    <w:rsid w:val="00664425"/>
    <w:rsid w:val="00664AC2"/>
    <w:rsid w:val="0066564F"/>
    <w:rsid w:val="00665949"/>
    <w:rsid w:val="0066686E"/>
    <w:rsid w:val="00666CBF"/>
    <w:rsid w:val="00667F6B"/>
    <w:rsid w:val="006708F1"/>
    <w:rsid w:val="00670C0F"/>
    <w:rsid w:val="0067120F"/>
    <w:rsid w:val="00671A61"/>
    <w:rsid w:val="0067220F"/>
    <w:rsid w:val="00672269"/>
    <w:rsid w:val="006722FF"/>
    <w:rsid w:val="00672322"/>
    <w:rsid w:val="00672509"/>
    <w:rsid w:val="00672D1A"/>
    <w:rsid w:val="00672FEB"/>
    <w:rsid w:val="00672FF3"/>
    <w:rsid w:val="00673C2E"/>
    <w:rsid w:val="006755CA"/>
    <w:rsid w:val="006755DE"/>
    <w:rsid w:val="006764A9"/>
    <w:rsid w:val="006769D4"/>
    <w:rsid w:val="00677215"/>
    <w:rsid w:val="006775C9"/>
    <w:rsid w:val="00677A9C"/>
    <w:rsid w:val="00677BB6"/>
    <w:rsid w:val="006804B4"/>
    <w:rsid w:val="00680610"/>
    <w:rsid w:val="006812AB"/>
    <w:rsid w:val="006814F6"/>
    <w:rsid w:val="006819F2"/>
    <w:rsid w:val="00682016"/>
    <w:rsid w:val="006822B1"/>
    <w:rsid w:val="006823BF"/>
    <w:rsid w:val="00682A6F"/>
    <w:rsid w:val="006839DB"/>
    <w:rsid w:val="00684CE7"/>
    <w:rsid w:val="0068591E"/>
    <w:rsid w:val="0068625E"/>
    <w:rsid w:val="006867E4"/>
    <w:rsid w:val="006869B1"/>
    <w:rsid w:val="00686F9F"/>
    <w:rsid w:val="00687744"/>
    <w:rsid w:val="006878EA"/>
    <w:rsid w:val="0068797C"/>
    <w:rsid w:val="00690439"/>
    <w:rsid w:val="00690902"/>
    <w:rsid w:val="00691E47"/>
    <w:rsid w:val="006921C7"/>
    <w:rsid w:val="006931C6"/>
    <w:rsid w:val="00693C2D"/>
    <w:rsid w:val="0069414F"/>
    <w:rsid w:val="00694454"/>
    <w:rsid w:val="006945B3"/>
    <w:rsid w:val="00694F56"/>
    <w:rsid w:val="006952EB"/>
    <w:rsid w:val="00696BE7"/>
    <w:rsid w:val="00697EAE"/>
    <w:rsid w:val="006A1E57"/>
    <w:rsid w:val="006A23C1"/>
    <w:rsid w:val="006A2B32"/>
    <w:rsid w:val="006A307D"/>
    <w:rsid w:val="006A363D"/>
    <w:rsid w:val="006A3921"/>
    <w:rsid w:val="006A3A7C"/>
    <w:rsid w:val="006A40FA"/>
    <w:rsid w:val="006A4EC2"/>
    <w:rsid w:val="006A57EB"/>
    <w:rsid w:val="006A59E4"/>
    <w:rsid w:val="006A5A48"/>
    <w:rsid w:val="006A5C3A"/>
    <w:rsid w:val="006A5E0E"/>
    <w:rsid w:val="006A5F90"/>
    <w:rsid w:val="006A6099"/>
    <w:rsid w:val="006A6504"/>
    <w:rsid w:val="006A6ADD"/>
    <w:rsid w:val="006A6E8C"/>
    <w:rsid w:val="006A72E7"/>
    <w:rsid w:val="006A7417"/>
    <w:rsid w:val="006A7EB8"/>
    <w:rsid w:val="006A7FE1"/>
    <w:rsid w:val="006B03A6"/>
    <w:rsid w:val="006B0671"/>
    <w:rsid w:val="006B0B1E"/>
    <w:rsid w:val="006B151A"/>
    <w:rsid w:val="006B1900"/>
    <w:rsid w:val="006B202D"/>
    <w:rsid w:val="006B22C1"/>
    <w:rsid w:val="006B2309"/>
    <w:rsid w:val="006B2C47"/>
    <w:rsid w:val="006B3639"/>
    <w:rsid w:val="006B364E"/>
    <w:rsid w:val="006B3859"/>
    <w:rsid w:val="006B3994"/>
    <w:rsid w:val="006B3AB4"/>
    <w:rsid w:val="006B3D8B"/>
    <w:rsid w:val="006B3F9C"/>
    <w:rsid w:val="006B41BC"/>
    <w:rsid w:val="006B42B2"/>
    <w:rsid w:val="006B4C4C"/>
    <w:rsid w:val="006B500A"/>
    <w:rsid w:val="006B5A1D"/>
    <w:rsid w:val="006B5EF8"/>
    <w:rsid w:val="006B66A9"/>
    <w:rsid w:val="006B6836"/>
    <w:rsid w:val="006B785F"/>
    <w:rsid w:val="006B7BE5"/>
    <w:rsid w:val="006C0122"/>
    <w:rsid w:val="006C0182"/>
    <w:rsid w:val="006C1283"/>
    <w:rsid w:val="006C1786"/>
    <w:rsid w:val="006C1F7F"/>
    <w:rsid w:val="006C218B"/>
    <w:rsid w:val="006C22A3"/>
    <w:rsid w:val="006C231B"/>
    <w:rsid w:val="006C245E"/>
    <w:rsid w:val="006C24A8"/>
    <w:rsid w:val="006C2862"/>
    <w:rsid w:val="006C34E8"/>
    <w:rsid w:val="006C35E2"/>
    <w:rsid w:val="006C3663"/>
    <w:rsid w:val="006C3C43"/>
    <w:rsid w:val="006C3F06"/>
    <w:rsid w:val="006C4A65"/>
    <w:rsid w:val="006C4E39"/>
    <w:rsid w:val="006C4EA3"/>
    <w:rsid w:val="006C50D9"/>
    <w:rsid w:val="006C51FB"/>
    <w:rsid w:val="006C5BEF"/>
    <w:rsid w:val="006C5DA2"/>
    <w:rsid w:val="006C5DCE"/>
    <w:rsid w:val="006C5E82"/>
    <w:rsid w:val="006C63B3"/>
    <w:rsid w:val="006C6E7A"/>
    <w:rsid w:val="006C745F"/>
    <w:rsid w:val="006C7729"/>
    <w:rsid w:val="006C79F4"/>
    <w:rsid w:val="006D00EF"/>
    <w:rsid w:val="006D0DA0"/>
    <w:rsid w:val="006D1899"/>
    <w:rsid w:val="006D21B4"/>
    <w:rsid w:val="006D3453"/>
    <w:rsid w:val="006D351C"/>
    <w:rsid w:val="006D4054"/>
    <w:rsid w:val="006D4504"/>
    <w:rsid w:val="006D48C7"/>
    <w:rsid w:val="006D4AC1"/>
    <w:rsid w:val="006D4EE8"/>
    <w:rsid w:val="006D5332"/>
    <w:rsid w:val="006D5807"/>
    <w:rsid w:val="006D5B20"/>
    <w:rsid w:val="006D649D"/>
    <w:rsid w:val="006D76C0"/>
    <w:rsid w:val="006D7778"/>
    <w:rsid w:val="006D7FAE"/>
    <w:rsid w:val="006E0225"/>
    <w:rsid w:val="006E0788"/>
    <w:rsid w:val="006E1958"/>
    <w:rsid w:val="006E1CE3"/>
    <w:rsid w:val="006E22C8"/>
    <w:rsid w:val="006E2ADF"/>
    <w:rsid w:val="006E2DC8"/>
    <w:rsid w:val="006E340E"/>
    <w:rsid w:val="006E37C6"/>
    <w:rsid w:val="006E3E96"/>
    <w:rsid w:val="006E43BB"/>
    <w:rsid w:val="006E480A"/>
    <w:rsid w:val="006E4CBA"/>
    <w:rsid w:val="006E4E76"/>
    <w:rsid w:val="006E55D4"/>
    <w:rsid w:val="006E6649"/>
    <w:rsid w:val="006E6739"/>
    <w:rsid w:val="006E6BCB"/>
    <w:rsid w:val="006E6E4D"/>
    <w:rsid w:val="006E6FE4"/>
    <w:rsid w:val="006E701E"/>
    <w:rsid w:val="006E77E9"/>
    <w:rsid w:val="006E7A82"/>
    <w:rsid w:val="006F0826"/>
    <w:rsid w:val="006F0D1A"/>
    <w:rsid w:val="006F136A"/>
    <w:rsid w:val="006F1789"/>
    <w:rsid w:val="006F3000"/>
    <w:rsid w:val="006F31C6"/>
    <w:rsid w:val="006F3A57"/>
    <w:rsid w:val="006F4601"/>
    <w:rsid w:val="006F4B36"/>
    <w:rsid w:val="006F6683"/>
    <w:rsid w:val="006F68DB"/>
    <w:rsid w:val="006F6DB5"/>
    <w:rsid w:val="006F6EFC"/>
    <w:rsid w:val="006F762A"/>
    <w:rsid w:val="0070074D"/>
    <w:rsid w:val="00700C64"/>
    <w:rsid w:val="00701F4A"/>
    <w:rsid w:val="00701FA4"/>
    <w:rsid w:val="0070240F"/>
    <w:rsid w:val="00702562"/>
    <w:rsid w:val="00702A24"/>
    <w:rsid w:val="007031FE"/>
    <w:rsid w:val="00704009"/>
    <w:rsid w:val="00705ED0"/>
    <w:rsid w:val="00706009"/>
    <w:rsid w:val="00706452"/>
    <w:rsid w:val="00706840"/>
    <w:rsid w:val="007070CC"/>
    <w:rsid w:val="00707D25"/>
    <w:rsid w:val="0071269F"/>
    <w:rsid w:val="00712977"/>
    <w:rsid w:val="00712D43"/>
    <w:rsid w:val="007130A2"/>
    <w:rsid w:val="007136F9"/>
    <w:rsid w:val="007137A4"/>
    <w:rsid w:val="00713D59"/>
    <w:rsid w:val="00713F8F"/>
    <w:rsid w:val="00714CC2"/>
    <w:rsid w:val="00714F5E"/>
    <w:rsid w:val="0071557C"/>
    <w:rsid w:val="007160FD"/>
    <w:rsid w:val="00716290"/>
    <w:rsid w:val="0071636D"/>
    <w:rsid w:val="00716528"/>
    <w:rsid w:val="007167BB"/>
    <w:rsid w:val="007169DF"/>
    <w:rsid w:val="007173F0"/>
    <w:rsid w:val="007177D5"/>
    <w:rsid w:val="007200E7"/>
    <w:rsid w:val="0072026A"/>
    <w:rsid w:val="0072184F"/>
    <w:rsid w:val="00721F81"/>
    <w:rsid w:val="0072295E"/>
    <w:rsid w:val="00722A90"/>
    <w:rsid w:val="00722B99"/>
    <w:rsid w:val="00722D60"/>
    <w:rsid w:val="007239AB"/>
    <w:rsid w:val="007239BD"/>
    <w:rsid w:val="00723ABC"/>
    <w:rsid w:val="00724359"/>
    <w:rsid w:val="007249AA"/>
    <w:rsid w:val="0072503D"/>
    <w:rsid w:val="0072542A"/>
    <w:rsid w:val="00725A5D"/>
    <w:rsid w:val="0072607D"/>
    <w:rsid w:val="00726203"/>
    <w:rsid w:val="007306F9"/>
    <w:rsid w:val="007308B0"/>
    <w:rsid w:val="00731195"/>
    <w:rsid w:val="00731250"/>
    <w:rsid w:val="00731EBA"/>
    <w:rsid w:val="0073340E"/>
    <w:rsid w:val="0073354A"/>
    <w:rsid w:val="00733A89"/>
    <w:rsid w:val="00733D53"/>
    <w:rsid w:val="007340BD"/>
    <w:rsid w:val="007344FD"/>
    <w:rsid w:val="00734FBD"/>
    <w:rsid w:val="00735660"/>
    <w:rsid w:val="0073594D"/>
    <w:rsid w:val="0073612A"/>
    <w:rsid w:val="0073645A"/>
    <w:rsid w:val="00736EE4"/>
    <w:rsid w:val="0073724D"/>
    <w:rsid w:val="00737588"/>
    <w:rsid w:val="0074022E"/>
    <w:rsid w:val="007415E8"/>
    <w:rsid w:val="00741C89"/>
    <w:rsid w:val="00741DDC"/>
    <w:rsid w:val="007420D1"/>
    <w:rsid w:val="00742485"/>
    <w:rsid w:val="007427A7"/>
    <w:rsid w:val="00742BC1"/>
    <w:rsid w:val="00743A2C"/>
    <w:rsid w:val="00743BAD"/>
    <w:rsid w:val="007444ED"/>
    <w:rsid w:val="00744D88"/>
    <w:rsid w:val="00745D31"/>
    <w:rsid w:val="00745EEF"/>
    <w:rsid w:val="00747922"/>
    <w:rsid w:val="007506B2"/>
    <w:rsid w:val="00751219"/>
    <w:rsid w:val="00751434"/>
    <w:rsid w:val="00751C43"/>
    <w:rsid w:val="00752B74"/>
    <w:rsid w:val="00752C89"/>
    <w:rsid w:val="00752CD1"/>
    <w:rsid w:val="0075395A"/>
    <w:rsid w:val="0075405D"/>
    <w:rsid w:val="00754300"/>
    <w:rsid w:val="00754707"/>
    <w:rsid w:val="007549F0"/>
    <w:rsid w:val="00754F05"/>
    <w:rsid w:val="0075501F"/>
    <w:rsid w:val="00755069"/>
    <w:rsid w:val="00755A19"/>
    <w:rsid w:val="00755FBD"/>
    <w:rsid w:val="00756101"/>
    <w:rsid w:val="00756C38"/>
    <w:rsid w:val="00757C10"/>
    <w:rsid w:val="00757F5F"/>
    <w:rsid w:val="007610C0"/>
    <w:rsid w:val="007620A7"/>
    <w:rsid w:val="00762441"/>
    <w:rsid w:val="0076260E"/>
    <w:rsid w:val="0076271E"/>
    <w:rsid w:val="007627F5"/>
    <w:rsid w:val="007631F3"/>
    <w:rsid w:val="00763425"/>
    <w:rsid w:val="007634E8"/>
    <w:rsid w:val="007635DE"/>
    <w:rsid w:val="00763922"/>
    <w:rsid w:val="0076436C"/>
    <w:rsid w:val="00764873"/>
    <w:rsid w:val="00764C4F"/>
    <w:rsid w:val="00765050"/>
    <w:rsid w:val="00766001"/>
    <w:rsid w:val="00766214"/>
    <w:rsid w:val="00766F5D"/>
    <w:rsid w:val="007671E7"/>
    <w:rsid w:val="007675B8"/>
    <w:rsid w:val="00767EBB"/>
    <w:rsid w:val="0077000E"/>
    <w:rsid w:val="007702BC"/>
    <w:rsid w:val="00770343"/>
    <w:rsid w:val="0077121A"/>
    <w:rsid w:val="0077249C"/>
    <w:rsid w:val="00774299"/>
    <w:rsid w:val="007747BE"/>
    <w:rsid w:val="007748A1"/>
    <w:rsid w:val="00775AD3"/>
    <w:rsid w:val="007771FA"/>
    <w:rsid w:val="007775F3"/>
    <w:rsid w:val="00780481"/>
    <w:rsid w:val="00780843"/>
    <w:rsid w:val="0078182F"/>
    <w:rsid w:val="00781A8B"/>
    <w:rsid w:val="00782C73"/>
    <w:rsid w:val="00782F72"/>
    <w:rsid w:val="00783368"/>
    <w:rsid w:val="00783938"/>
    <w:rsid w:val="00784821"/>
    <w:rsid w:val="00785037"/>
    <w:rsid w:val="007851C4"/>
    <w:rsid w:val="00785B8F"/>
    <w:rsid w:val="00785CD6"/>
    <w:rsid w:val="00786875"/>
    <w:rsid w:val="00786F43"/>
    <w:rsid w:val="007875BE"/>
    <w:rsid w:val="00787E3B"/>
    <w:rsid w:val="007907F6"/>
    <w:rsid w:val="00790A01"/>
    <w:rsid w:val="00791122"/>
    <w:rsid w:val="00791527"/>
    <w:rsid w:val="00791564"/>
    <w:rsid w:val="00791978"/>
    <w:rsid w:val="0079227E"/>
    <w:rsid w:val="007922EE"/>
    <w:rsid w:val="007925B1"/>
    <w:rsid w:val="00792686"/>
    <w:rsid w:val="00792ADD"/>
    <w:rsid w:val="00792AF1"/>
    <w:rsid w:val="00792C28"/>
    <w:rsid w:val="00792FCC"/>
    <w:rsid w:val="007931A4"/>
    <w:rsid w:val="00793854"/>
    <w:rsid w:val="00793981"/>
    <w:rsid w:val="00794CE2"/>
    <w:rsid w:val="00794DCC"/>
    <w:rsid w:val="007951EE"/>
    <w:rsid w:val="00795882"/>
    <w:rsid w:val="00796B78"/>
    <w:rsid w:val="00796E02"/>
    <w:rsid w:val="00797E99"/>
    <w:rsid w:val="007A0170"/>
    <w:rsid w:val="007A0B7B"/>
    <w:rsid w:val="007A0F1A"/>
    <w:rsid w:val="007A1AB7"/>
    <w:rsid w:val="007A1E05"/>
    <w:rsid w:val="007A30D5"/>
    <w:rsid w:val="007A3BAB"/>
    <w:rsid w:val="007A3D4B"/>
    <w:rsid w:val="007A458B"/>
    <w:rsid w:val="007A4E7D"/>
    <w:rsid w:val="007A5AAC"/>
    <w:rsid w:val="007A5B62"/>
    <w:rsid w:val="007A5EA4"/>
    <w:rsid w:val="007A6793"/>
    <w:rsid w:val="007A6888"/>
    <w:rsid w:val="007A6A9C"/>
    <w:rsid w:val="007A6F21"/>
    <w:rsid w:val="007A76CE"/>
    <w:rsid w:val="007A7DC4"/>
    <w:rsid w:val="007B01FB"/>
    <w:rsid w:val="007B026E"/>
    <w:rsid w:val="007B02FC"/>
    <w:rsid w:val="007B0402"/>
    <w:rsid w:val="007B0825"/>
    <w:rsid w:val="007B0933"/>
    <w:rsid w:val="007B0A86"/>
    <w:rsid w:val="007B0F5B"/>
    <w:rsid w:val="007B0FEA"/>
    <w:rsid w:val="007B127E"/>
    <w:rsid w:val="007B197A"/>
    <w:rsid w:val="007B1B2E"/>
    <w:rsid w:val="007B1F26"/>
    <w:rsid w:val="007B29CE"/>
    <w:rsid w:val="007B2CF6"/>
    <w:rsid w:val="007B3069"/>
    <w:rsid w:val="007B323D"/>
    <w:rsid w:val="007B38A7"/>
    <w:rsid w:val="007B3BCE"/>
    <w:rsid w:val="007B413F"/>
    <w:rsid w:val="007B4D40"/>
    <w:rsid w:val="007B4DCF"/>
    <w:rsid w:val="007B579F"/>
    <w:rsid w:val="007B6111"/>
    <w:rsid w:val="007B626B"/>
    <w:rsid w:val="007B68BA"/>
    <w:rsid w:val="007B6BBB"/>
    <w:rsid w:val="007B7C33"/>
    <w:rsid w:val="007C0520"/>
    <w:rsid w:val="007C1053"/>
    <w:rsid w:val="007C30BE"/>
    <w:rsid w:val="007C4502"/>
    <w:rsid w:val="007C58C1"/>
    <w:rsid w:val="007C599B"/>
    <w:rsid w:val="007C60EA"/>
    <w:rsid w:val="007C633B"/>
    <w:rsid w:val="007C65A7"/>
    <w:rsid w:val="007C728E"/>
    <w:rsid w:val="007C741D"/>
    <w:rsid w:val="007C7870"/>
    <w:rsid w:val="007C7A83"/>
    <w:rsid w:val="007C7BE2"/>
    <w:rsid w:val="007D01CE"/>
    <w:rsid w:val="007D0250"/>
    <w:rsid w:val="007D1133"/>
    <w:rsid w:val="007D17C7"/>
    <w:rsid w:val="007D20CA"/>
    <w:rsid w:val="007D2D54"/>
    <w:rsid w:val="007D2F8F"/>
    <w:rsid w:val="007D33EB"/>
    <w:rsid w:val="007D35B0"/>
    <w:rsid w:val="007D387B"/>
    <w:rsid w:val="007D45B1"/>
    <w:rsid w:val="007D498C"/>
    <w:rsid w:val="007D4BA2"/>
    <w:rsid w:val="007D4FD8"/>
    <w:rsid w:val="007D53F2"/>
    <w:rsid w:val="007D5B52"/>
    <w:rsid w:val="007D62D6"/>
    <w:rsid w:val="007D637A"/>
    <w:rsid w:val="007D7706"/>
    <w:rsid w:val="007E045A"/>
    <w:rsid w:val="007E0812"/>
    <w:rsid w:val="007E0D59"/>
    <w:rsid w:val="007E132E"/>
    <w:rsid w:val="007E1AED"/>
    <w:rsid w:val="007E2475"/>
    <w:rsid w:val="007E2F33"/>
    <w:rsid w:val="007E3017"/>
    <w:rsid w:val="007E3139"/>
    <w:rsid w:val="007E3BC9"/>
    <w:rsid w:val="007E415C"/>
    <w:rsid w:val="007E4433"/>
    <w:rsid w:val="007E4806"/>
    <w:rsid w:val="007E49ED"/>
    <w:rsid w:val="007E554F"/>
    <w:rsid w:val="007E56A0"/>
    <w:rsid w:val="007E59DA"/>
    <w:rsid w:val="007E5E1E"/>
    <w:rsid w:val="007E7760"/>
    <w:rsid w:val="007E7C6B"/>
    <w:rsid w:val="007F02D7"/>
    <w:rsid w:val="007F0BC6"/>
    <w:rsid w:val="007F13A5"/>
    <w:rsid w:val="007F1938"/>
    <w:rsid w:val="007F1A68"/>
    <w:rsid w:val="007F1D4C"/>
    <w:rsid w:val="007F343D"/>
    <w:rsid w:val="007F3770"/>
    <w:rsid w:val="007F38EF"/>
    <w:rsid w:val="007F4126"/>
    <w:rsid w:val="007F43D3"/>
    <w:rsid w:val="007F43E1"/>
    <w:rsid w:val="007F4C84"/>
    <w:rsid w:val="007F55EE"/>
    <w:rsid w:val="007F619C"/>
    <w:rsid w:val="007F670A"/>
    <w:rsid w:val="007F68CA"/>
    <w:rsid w:val="007F6C92"/>
    <w:rsid w:val="007F7BBE"/>
    <w:rsid w:val="00800413"/>
    <w:rsid w:val="00800B80"/>
    <w:rsid w:val="00800CC3"/>
    <w:rsid w:val="00803430"/>
    <w:rsid w:val="008042A0"/>
    <w:rsid w:val="00804316"/>
    <w:rsid w:val="008044AE"/>
    <w:rsid w:val="00804FA8"/>
    <w:rsid w:val="00805A90"/>
    <w:rsid w:val="00806188"/>
    <w:rsid w:val="00806EF3"/>
    <w:rsid w:val="00807206"/>
    <w:rsid w:val="00810E3B"/>
    <w:rsid w:val="00810EDB"/>
    <w:rsid w:val="00810F63"/>
    <w:rsid w:val="00811111"/>
    <w:rsid w:val="00811143"/>
    <w:rsid w:val="00811199"/>
    <w:rsid w:val="008111D9"/>
    <w:rsid w:val="008116EE"/>
    <w:rsid w:val="00811ACF"/>
    <w:rsid w:val="00811C8A"/>
    <w:rsid w:val="00811EDC"/>
    <w:rsid w:val="00812056"/>
    <w:rsid w:val="008133F7"/>
    <w:rsid w:val="00814A00"/>
    <w:rsid w:val="00814AA7"/>
    <w:rsid w:val="00814EB6"/>
    <w:rsid w:val="0081533A"/>
    <w:rsid w:val="00815569"/>
    <w:rsid w:val="00820AA0"/>
    <w:rsid w:val="00820D2B"/>
    <w:rsid w:val="0082124F"/>
    <w:rsid w:val="0082250E"/>
    <w:rsid w:val="008226E6"/>
    <w:rsid w:val="00822FBA"/>
    <w:rsid w:val="00823367"/>
    <w:rsid w:val="00823DEB"/>
    <w:rsid w:val="0082491B"/>
    <w:rsid w:val="00825187"/>
    <w:rsid w:val="0082565C"/>
    <w:rsid w:val="008257C9"/>
    <w:rsid w:val="008259B8"/>
    <w:rsid w:val="00825BF1"/>
    <w:rsid w:val="00825D9C"/>
    <w:rsid w:val="00825F0F"/>
    <w:rsid w:val="00826C26"/>
    <w:rsid w:val="00826D23"/>
    <w:rsid w:val="00826E4F"/>
    <w:rsid w:val="00826FE6"/>
    <w:rsid w:val="00827B25"/>
    <w:rsid w:val="00827B8A"/>
    <w:rsid w:val="00830103"/>
    <w:rsid w:val="00830B05"/>
    <w:rsid w:val="00831B7A"/>
    <w:rsid w:val="008323B8"/>
    <w:rsid w:val="008326DD"/>
    <w:rsid w:val="0083276F"/>
    <w:rsid w:val="008329D5"/>
    <w:rsid w:val="00832A13"/>
    <w:rsid w:val="008331C4"/>
    <w:rsid w:val="00833758"/>
    <w:rsid w:val="0083427C"/>
    <w:rsid w:val="008346C3"/>
    <w:rsid w:val="00836564"/>
    <w:rsid w:val="00836714"/>
    <w:rsid w:val="00836D94"/>
    <w:rsid w:val="00837753"/>
    <w:rsid w:val="00837E2A"/>
    <w:rsid w:val="008411A6"/>
    <w:rsid w:val="00841DB2"/>
    <w:rsid w:val="00842611"/>
    <w:rsid w:val="00842EFB"/>
    <w:rsid w:val="00843083"/>
    <w:rsid w:val="008432AB"/>
    <w:rsid w:val="00843BA5"/>
    <w:rsid w:val="00844531"/>
    <w:rsid w:val="00845017"/>
    <w:rsid w:val="00845873"/>
    <w:rsid w:val="0084615C"/>
    <w:rsid w:val="00846601"/>
    <w:rsid w:val="00846B2F"/>
    <w:rsid w:val="00847074"/>
    <w:rsid w:val="008476AD"/>
    <w:rsid w:val="00850A20"/>
    <w:rsid w:val="00850B7E"/>
    <w:rsid w:val="008511AD"/>
    <w:rsid w:val="008514D2"/>
    <w:rsid w:val="0085161F"/>
    <w:rsid w:val="008520F1"/>
    <w:rsid w:val="008522CA"/>
    <w:rsid w:val="00853778"/>
    <w:rsid w:val="00853838"/>
    <w:rsid w:val="0085416F"/>
    <w:rsid w:val="0085428B"/>
    <w:rsid w:val="00854402"/>
    <w:rsid w:val="00855FF3"/>
    <w:rsid w:val="008564A4"/>
    <w:rsid w:val="00856767"/>
    <w:rsid w:val="0085682D"/>
    <w:rsid w:val="00857829"/>
    <w:rsid w:val="00857AEE"/>
    <w:rsid w:val="00857C66"/>
    <w:rsid w:val="008600FC"/>
    <w:rsid w:val="00860813"/>
    <w:rsid w:val="008609BB"/>
    <w:rsid w:val="0086177E"/>
    <w:rsid w:val="00861801"/>
    <w:rsid w:val="00861E9F"/>
    <w:rsid w:val="00864026"/>
    <w:rsid w:val="008648D1"/>
    <w:rsid w:val="00864A6E"/>
    <w:rsid w:val="00864D62"/>
    <w:rsid w:val="00864F92"/>
    <w:rsid w:val="0086524E"/>
    <w:rsid w:val="0086533E"/>
    <w:rsid w:val="00865609"/>
    <w:rsid w:val="0086595E"/>
    <w:rsid w:val="00866ACE"/>
    <w:rsid w:val="00867254"/>
    <w:rsid w:val="008679D1"/>
    <w:rsid w:val="00867AB5"/>
    <w:rsid w:val="008700D6"/>
    <w:rsid w:val="008707D0"/>
    <w:rsid w:val="00870950"/>
    <w:rsid w:val="00871672"/>
    <w:rsid w:val="008717E2"/>
    <w:rsid w:val="00871AF1"/>
    <w:rsid w:val="00871C4A"/>
    <w:rsid w:val="00871DFC"/>
    <w:rsid w:val="00872058"/>
    <w:rsid w:val="008720BB"/>
    <w:rsid w:val="0087298D"/>
    <w:rsid w:val="00873F35"/>
    <w:rsid w:val="008745B8"/>
    <w:rsid w:val="0087552D"/>
    <w:rsid w:val="00875E3F"/>
    <w:rsid w:val="008769AE"/>
    <w:rsid w:val="0087715A"/>
    <w:rsid w:val="00880070"/>
    <w:rsid w:val="00880442"/>
    <w:rsid w:val="0088146F"/>
    <w:rsid w:val="00881FA3"/>
    <w:rsid w:val="0088232D"/>
    <w:rsid w:val="00882D3A"/>
    <w:rsid w:val="008836CC"/>
    <w:rsid w:val="00883E57"/>
    <w:rsid w:val="008846BA"/>
    <w:rsid w:val="00884D0E"/>
    <w:rsid w:val="008857B7"/>
    <w:rsid w:val="0088580B"/>
    <w:rsid w:val="00887295"/>
    <w:rsid w:val="008902DF"/>
    <w:rsid w:val="00890859"/>
    <w:rsid w:val="008911C8"/>
    <w:rsid w:val="00891950"/>
    <w:rsid w:val="0089286B"/>
    <w:rsid w:val="00892F31"/>
    <w:rsid w:val="008934A8"/>
    <w:rsid w:val="00893D8C"/>
    <w:rsid w:val="008942DC"/>
    <w:rsid w:val="008961DB"/>
    <w:rsid w:val="008962E4"/>
    <w:rsid w:val="00896689"/>
    <w:rsid w:val="0089750D"/>
    <w:rsid w:val="0089754F"/>
    <w:rsid w:val="00897EA3"/>
    <w:rsid w:val="008A02CE"/>
    <w:rsid w:val="008A039D"/>
    <w:rsid w:val="008A0596"/>
    <w:rsid w:val="008A094D"/>
    <w:rsid w:val="008A0FC7"/>
    <w:rsid w:val="008A1125"/>
    <w:rsid w:val="008A1481"/>
    <w:rsid w:val="008A1E39"/>
    <w:rsid w:val="008A1FA3"/>
    <w:rsid w:val="008A2A07"/>
    <w:rsid w:val="008A3252"/>
    <w:rsid w:val="008A36DA"/>
    <w:rsid w:val="008A4E20"/>
    <w:rsid w:val="008A4F72"/>
    <w:rsid w:val="008A5408"/>
    <w:rsid w:val="008A5DC6"/>
    <w:rsid w:val="008A6168"/>
    <w:rsid w:val="008A6B13"/>
    <w:rsid w:val="008A6C54"/>
    <w:rsid w:val="008A71E8"/>
    <w:rsid w:val="008A7368"/>
    <w:rsid w:val="008A79C7"/>
    <w:rsid w:val="008A7AFF"/>
    <w:rsid w:val="008A7F1C"/>
    <w:rsid w:val="008B0272"/>
    <w:rsid w:val="008B0C89"/>
    <w:rsid w:val="008B0D0B"/>
    <w:rsid w:val="008B1549"/>
    <w:rsid w:val="008B2587"/>
    <w:rsid w:val="008B290F"/>
    <w:rsid w:val="008B2F19"/>
    <w:rsid w:val="008B3150"/>
    <w:rsid w:val="008B3613"/>
    <w:rsid w:val="008B3783"/>
    <w:rsid w:val="008B5396"/>
    <w:rsid w:val="008B57DA"/>
    <w:rsid w:val="008B5A37"/>
    <w:rsid w:val="008B5BFE"/>
    <w:rsid w:val="008B6909"/>
    <w:rsid w:val="008B6951"/>
    <w:rsid w:val="008B6BAA"/>
    <w:rsid w:val="008B770A"/>
    <w:rsid w:val="008B7976"/>
    <w:rsid w:val="008B79EB"/>
    <w:rsid w:val="008C0486"/>
    <w:rsid w:val="008C0F1F"/>
    <w:rsid w:val="008C10ED"/>
    <w:rsid w:val="008C114B"/>
    <w:rsid w:val="008C16FF"/>
    <w:rsid w:val="008C2294"/>
    <w:rsid w:val="008C2306"/>
    <w:rsid w:val="008C2427"/>
    <w:rsid w:val="008C2788"/>
    <w:rsid w:val="008C316E"/>
    <w:rsid w:val="008C3C7F"/>
    <w:rsid w:val="008C3D6F"/>
    <w:rsid w:val="008C461E"/>
    <w:rsid w:val="008C4D1C"/>
    <w:rsid w:val="008C566D"/>
    <w:rsid w:val="008C66D2"/>
    <w:rsid w:val="008C7444"/>
    <w:rsid w:val="008D00F2"/>
    <w:rsid w:val="008D0862"/>
    <w:rsid w:val="008D0F23"/>
    <w:rsid w:val="008D11D9"/>
    <w:rsid w:val="008D2353"/>
    <w:rsid w:val="008D273E"/>
    <w:rsid w:val="008D2F8C"/>
    <w:rsid w:val="008D4732"/>
    <w:rsid w:val="008D5302"/>
    <w:rsid w:val="008D59DF"/>
    <w:rsid w:val="008D5AF6"/>
    <w:rsid w:val="008D5E48"/>
    <w:rsid w:val="008D66B5"/>
    <w:rsid w:val="008D674E"/>
    <w:rsid w:val="008D75A8"/>
    <w:rsid w:val="008D7D76"/>
    <w:rsid w:val="008E015A"/>
    <w:rsid w:val="008E0483"/>
    <w:rsid w:val="008E0711"/>
    <w:rsid w:val="008E096F"/>
    <w:rsid w:val="008E098F"/>
    <w:rsid w:val="008E1830"/>
    <w:rsid w:val="008E204F"/>
    <w:rsid w:val="008E20BD"/>
    <w:rsid w:val="008E2B74"/>
    <w:rsid w:val="008E3B15"/>
    <w:rsid w:val="008E3D60"/>
    <w:rsid w:val="008E4039"/>
    <w:rsid w:val="008E4917"/>
    <w:rsid w:val="008E4DB7"/>
    <w:rsid w:val="008E51BC"/>
    <w:rsid w:val="008E7833"/>
    <w:rsid w:val="008F2000"/>
    <w:rsid w:val="008F2365"/>
    <w:rsid w:val="008F2975"/>
    <w:rsid w:val="008F29F7"/>
    <w:rsid w:val="008F2B06"/>
    <w:rsid w:val="008F3344"/>
    <w:rsid w:val="008F49B6"/>
    <w:rsid w:val="008F4DD7"/>
    <w:rsid w:val="008F56D7"/>
    <w:rsid w:val="008F583F"/>
    <w:rsid w:val="008F59C6"/>
    <w:rsid w:val="008F70F2"/>
    <w:rsid w:val="008F7623"/>
    <w:rsid w:val="0090063E"/>
    <w:rsid w:val="009008B2"/>
    <w:rsid w:val="00901220"/>
    <w:rsid w:val="00901DE4"/>
    <w:rsid w:val="009020D6"/>
    <w:rsid w:val="00902406"/>
    <w:rsid w:val="00902B62"/>
    <w:rsid w:val="009033D8"/>
    <w:rsid w:val="009041AF"/>
    <w:rsid w:val="00904328"/>
    <w:rsid w:val="00904761"/>
    <w:rsid w:val="0090493B"/>
    <w:rsid w:val="009053C8"/>
    <w:rsid w:val="009057B3"/>
    <w:rsid w:val="00906B35"/>
    <w:rsid w:val="0090759A"/>
    <w:rsid w:val="00907DAC"/>
    <w:rsid w:val="00910258"/>
    <w:rsid w:val="0091052B"/>
    <w:rsid w:val="009109DB"/>
    <w:rsid w:val="00911445"/>
    <w:rsid w:val="0091203E"/>
    <w:rsid w:val="009134B3"/>
    <w:rsid w:val="009138EB"/>
    <w:rsid w:val="009138F8"/>
    <w:rsid w:val="00913A98"/>
    <w:rsid w:val="009150E4"/>
    <w:rsid w:val="00915885"/>
    <w:rsid w:val="009170FD"/>
    <w:rsid w:val="00917124"/>
    <w:rsid w:val="00917699"/>
    <w:rsid w:val="009201E8"/>
    <w:rsid w:val="0092034F"/>
    <w:rsid w:val="0092053C"/>
    <w:rsid w:val="00920870"/>
    <w:rsid w:val="00920D07"/>
    <w:rsid w:val="009210A8"/>
    <w:rsid w:val="009214BC"/>
    <w:rsid w:val="00921B8B"/>
    <w:rsid w:val="00921E32"/>
    <w:rsid w:val="00921E84"/>
    <w:rsid w:val="00922712"/>
    <w:rsid w:val="009237C7"/>
    <w:rsid w:val="00923C9D"/>
    <w:rsid w:val="00923F3C"/>
    <w:rsid w:val="00925446"/>
    <w:rsid w:val="00926D8D"/>
    <w:rsid w:val="00926DD5"/>
    <w:rsid w:val="00927709"/>
    <w:rsid w:val="00927CE7"/>
    <w:rsid w:val="00927E4F"/>
    <w:rsid w:val="009308B1"/>
    <w:rsid w:val="009311A5"/>
    <w:rsid w:val="009320E6"/>
    <w:rsid w:val="0093232C"/>
    <w:rsid w:val="009323B7"/>
    <w:rsid w:val="00932D56"/>
    <w:rsid w:val="009330A1"/>
    <w:rsid w:val="009340B4"/>
    <w:rsid w:val="009347D6"/>
    <w:rsid w:val="009349AA"/>
    <w:rsid w:val="00934C16"/>
    <w:rsid w:val="00935697"/>
    <w:rsid w:val="00935E07"/>
    <w:rsid w:val="009369B9"/>
    <w:rsid w:val="00936C2C"/>
    <w:rsid w:val="00936E09"/>
    <w:rsid w:val="00937477"/>
    <w:rsid w:val="0093751E"/>
    <w:rsid w:val="009376BF"/>
    <w:rsid w:val="00937F31"/>
    <w:rsid w:val="00937F52"/>
    <w:rsid w:val="00940A7B"/>
    <w:rsid w:val="00940CBE"/>
    <w:rsid w:val="00941014"/>
    <w:rsid w:val="00941DBF"/>
    <w:rsid w:val="00941FE8"/>
    <w:rsid w:val="00942058"/>
    <w:rsid w:val="00942BA4"/>
    <w:rsid w:val="0094301E"/>
    <w:rsid w:val="00943645"/>
    <w:rsid w:val="009438B9"/>
    <w:rsid w:val="0094391C"/>
    <w:rsid w:val="00944400"/>
    <w:rsid w:val="0094446A"/>
    <w:rsid w:val="009444B7"/>
    <w:rsid w:val="00944A77"/>
    <w:rsid w:val="00945139"/>
    <w:rsid w:val="009452A1"/>
    <w:rsid w:val="009461C3"/>
    <w:rsid w:val="0094686B"/>
    <w:rsid w:val="00946BEC"/>
    <w:rsid w:val="0094717A"/>
    <w:rsid w:val="0094780E"/>
    <w:rsid w:val="00950DED"/>
    <w:rsid w:val="00951784"/>
    <w:rsid w:val="009524D6"/>
    <w:rsid w:val="00952FC7"/>
    <w:rsid w:val="00953355"/>
    <w:rsid w:val="0095384E"/>
    <w:rsid w:val="00954B7E"/>
    <w:rsid w:val="00954D09"/>
    <w:rsid w:val="00955021"/>
    <w:rsid w:val="00955100"/>
    <w:rsid w:val="00955ECB"/>
    <w:rsid w:val="00956733"/>
    <w:rsid w:val="00956968"/>
    <w:rsid w:val="00956C76"/>
    <w:rsid w:val="00956E85"/>
    <w:rsid w:val="009572D9"/>
    <w:rsid w:val="009575A2"/>
    <w:rsid w:val="00960A27"/>
    <w:rsid w:val="00960F45"/>
    <w:rsid w:val="00961085"/>
    <w:rsid w:val="009614EC"/>
    <w:rsid w:val="00961D28"/>
    <w:rsid w:val="009626C4"/>
    <w:rsid w:val="00962EB2"/>
    <w:rsid w:val="00962FD5"/>
    <w:rsid w:val="00963066"/>
    <w:rsid w:val="0096319F"/>
    <w:rsid w:val="00963592"/>
    <w:rsid w:val="00963970"/>
    <w:rsid w:val="00963C1C"/>
    <w:rsid w:val="00964456"/>
    <w:rsid w:val="009656C5"/>
    <w:rsid w:val="00965B2A"/>
    <w:rsid w:val="00965ECF"/>
    <w:rsid w:val="00965F1F"/>
    <w:rsid w:val="0096681E"/>
    <w:rsid w:val="009672B4"/>
    <w:rsid w:val="0097002E"/>
    <w:rsid w:val="009704CC"/>
    <w:rsid w:val="009707FD"/>
    <w:rsid w:val="00971A7C"/>
    <w:rsid w:val="00972F9B"/>
    <w:rsid w:val="009736D9"/>
    <w:rsid w:val="009742C5"/>
    <w:rsid w:val="0097480C"/>
    <w:rsid w:val="00974944"/>
    <w:rsid w:val="00974C2B"/>
    <w:rsid w:val="00975E47"/>
    <w:rsid w:val="00975F9C"/>
    <w:rsid w:val="00976978"/>
    <w:rsid w:val="00976BD8"/>
    <w:rsid w:val="00976C35"/>
    <w:rsid w:val="0097702A"/>
    <w:rsid w:val="00977137"/>
    <w:rsid w:val="009774BA"/>
    <w:rsid w:val="009777AD"/>
    <w:rsid w:val="009779AC"/>
    <w:rsid w:val="009821D1"/>
    <w:rsid w:val="00982E71"/>
    <w:rsid w:val="0098470B"/>
    <w:rsid w:val="00985B30"/>
    <w:rsid w:val="00985E4F"/>
    <w:rsid w:val="009861DA"/>
    <w:rsid w:val="0098621D"/>
    <w:rsid w:val="0098629F"/>
    <w:rsid w:val="009865F1"/>
    <w:rsid w:val="00986ADD"/>
    <w:rsid w:val="0098723B"/>
    <w:rsid w:val="00987248"/>
    <w:rsid w:val="00987460"/>
    <w:rsid w:val="00987E98"/>
    <w:rsid w:val="00990492"/>
    <w:rsid w:val="0099070D"/>
    <w:rsid w:val="0099078E"/>
    <w:rsid w:val="0099085A"/>
    <w:rsid w:val="00990890"/>
    <w:rsid w:val="00990D78"/>
    <w:rsid w:val="00991A87"/>
    <w:rsid w:val="0099355B"/>
    <w:rsid w:val="009943E7"/>
    <w:rsid w:val="009947AC"/>
    <w:rsid w:val="00995C0C"/>
    <w:rsid w:val="00995F1C"/>
    <w:rsid w:val="009963F2"/>
    <w:rsid w:val="00997524"/>
    <w:rsid w:val="009977A2"/>
    <w:rsid w:val="00997E01"/>
    <w:rsid w:val="00997FC8"/>
    <w:rsid w:val="009A0482"/>
    <w:rsid w:val="009A0D25"/>
    <w:rsid w:val="009A0FA3"/>
    <w:rsid w:val="009A195E"/>
    <w:rsid w:val="009A218C"/>
    <w:rsid w:val="009A2908"/>
    <w:rsid w:val="009A31EA"/>
    <w:rsid w:val="009A3459"/>
    <w:rsid w:val="009A3F28"/>
    <w:rsid w:val="009A4903"/>
    <w:rsid w:val="009A56AB"/>
    <w:rsid w:val="009A5B8E"/>
    <w:rsid w:val="009A5FE7"/>
    <w:rsid w:val="009A634A"/>
    <w:rsid w:val="009A6695"/>
    <w:rsid w:val="009A677E"/>
    <w:rsid w:val="009A6A38"/>
    <w:rsid w:val="009A6A98"/>
    <w:rsid w:val="009A6E50"/>
    <w:rsid w:val="009B031A"/>
    <w:rsid w:val="009B0701"/>
    <w:rsid w:val="009B0835"/>
    <w:rsid w:val="009B0FFD"/>
    <w:rsid w:val="009B1AC3"/>
    <w:rsid w:val="009B1F04"/>
    <w:rsid w:val="009B207A"/>
    <w:rsid w:val="009B2465"/>
    <w:rsid w:val="009B382F"/>
    <w:rsid w:val="009B45DF"/>
    <w:rsid w:val="009B49A1"/>
    <w:rsid w:val="009B52F5"/>
    <w:rsid w:val="009B53E5"/>
    <w:rsid w:val="009B5B1A"/>
    <w:rsid w:val="009B6105"/>
    <w:rsid w:val="009B6214"/>
    <w:rsid w:val="009B7374"/>
    <w:rsid w:val="009B7429"/>
    <w:rsid w:val="009B7710"/>
    <w:rsid w:val="009B7CF7"/>
    <w:rsid w:val="009B7D9C"/>
    <w:rsid w:val="009C0003"/>
    <w:rsid w:val="009C027F"/>
    <w:rsid w:val="009C2942"/>
    <w:rsid w:val="009C34FD"/>
    <w:rsid w:val="009C358A"/>
    <w:rsid w:val="009C395D"/>
    <w:rsid w:val="009C42AD"/>
    <w:rsid w:val="009C4B4E"/>
    <w:rsid w:val="009C57FD"/>
    <w:rsid w:val="009C582E"/>
    <w:rsid w:val="009C5E87"/>
    <w:rsid w:val="009C708A"/>
    <w:rsid w:val="009C70B9"/>
    <w:rsid w:val="009C70D2"/>
    <w:rsid w:val="009C7456"/>
    <w:rsid w:val="009C77B4"/>
    <w:rsid w:val="009C786A"/>
    <w:rsid w:val="009C7E88"/>
    <w:rsid w:val="009C7ECE"/>
    <w:rsid w:val="009D00B1"/>
    <w:rsid w:val="009D0830"/>
    <w:rsid w:val="009D09FE"/>
    <w:rsid w:val="009D1238"/>
    <w:rsid w:val="009D17C3"/>
    <w:rsid w:val="009D1F90"/>
    <w:rsid w:val="009D1F9D"/>
    <w:rsid w:val="009D238A"/>
    <w:rsid w:val="009D2AD0"/>
    <w:rsid w:val="009D3A82"/>
    <w:rsid w:val="009D6790"/>
    <w:rsid w:val="009E0E49"/>
    <w:rsid w:val="009E18B7"/>
    <w:rsid w:val="009E39CC"/>
    <w:rsid w:val="009E45E7"/>
    <w:rsid w:val="009E47C5"/>
    <w:rsid w:val="009E4934"/>
    <w:rsid w:val="009E4E59"/>
    <w:rsid w:val="009E548D"/>
    <w:rsid w:val="009E55CE"/>
    <w:rsid w:val="009E5766"/>
    <w:rsid w:val="009E6281"/>
    <w:rsid w:val="009E63CB"/>
    <w:rsid w:val="009E6B14"/>
    <w:rsid w:val="009E6D9E"/>
    <w:rsid w:val="009E71D2"/>
    <w:rsid w:val="009E71E9"/>
    <w:rsid w:val="009E7395"/>
    <w:rsid w:val="009E790E"/>
    <w:rsid w:val="009E7A5E"/>
    <w:rsid w:val="009E7B0D"/>
    <w:rsid w:val="009F0211"/>
    <w:rsid w:val="009F02C4"/>
    <w:rsid w:val="009F2BD5"/>
    <w:rsid w:val="009F2C3E"/>
    <w:rsid w:val="009F3E0A"/>
    <w:rsid w:val="009F44A2"/>
    <w:rsid w:val="009F53E8"/>
    <w:rsid w:val="009F62CC"/>
    <w:rsid w:val="009F6D60"/>
    <w:rsid w:val="009F74E7"/>
    <w:rsid w:val="00A00444"/>
    <w:rsid w:val="00A00ABB"/>
    <w:rsid w:val="00A0201A"/>
    <w:rsid w:val="00A028D6"/>
    <w:rsid w:val="00A037BC"/>
    <w:rsid w:val="00A03F2E"/>
    <w:rsid w:val="00A05D3F"/>
    <w:rsid w:val="00A06516"/>
    <w:rsid w:val="00A068BE"/>
    <w:rsid w:val="00A06AC4"/>
    <w:rsid w:val="00A06ECD"/>
    <w:rsid w:val="00A07249"/>
    <w:rsid w:val="00A07EE2"/>
    <w:rsid w:val="00A10609"/>
    <w:rsid w:val="00A10D32"/>
    <w:rsid w:val="00A111FB"/>
    <w:rsid w:val="00A11B5C"/>
    <w:rsid w:val="00A129FD"/>
    <w:rsid w:val="00A13525"/>
    <w:rsid w:val="00A13DCB"/>
    <w:rsid w:val="00A14331"/>
    <w:rsid w:val="00A149B1"/>
    <w:rsid w:val="00A15129"/>
    <w:rsid w:val="00A15EFF"/>
    <w:rsid w:val="00A1758E"/>
    <w:rsid w:val="00A20BCA"/>
    <w:rsid w:val="00A20C32"/>
    <w:rsid w:val="00A218A9"/>
    <w:rsid w:val="00A21B74"/>
    <w:rsid w:val="00A22524"/>
    <w:rsid w:val="00A229CD"/>
    <w:rsid w:val="00A229DF"/>
    <w:rsid w:val="00A22F78"/>
    <w:rsid w:val="00A232DC"/>
    <w:rsid w:val="00A240B8"/>
    <w:rsid w:val="00A24AF4"/>
    <w:rsid w:val="00A24CEA"/>
    <w:rsid w:val="00A256F1"/>
    <w:rsid w:val="00A31654"/>
    <w:rsid w:val="00A31942"/>
    <w:rsid w:val="00A319B3"/>
    <w:rsid w:val="00A31A44"/>
    <w:rsid w:val="00A31F84"/>
    <w:rsid w:val="00A321BA"/>
    <w:rsid w:val="00A327C0"/>
    <w:rsid w:val="00A32E77"/>
    <w:rsid w:val="00A341EE"/>
    <w:rsid w:val="00A34AAA"/>
    <w:rsid w:val="00A34B29"/>
    <w:rsid w:val="00A34DAD"/>
    <w:rsid w:val="00A34DC6"/>
    <w:rsid w:val="00A34FC1"/>
    <w:rsid w:val="00A361C4"/>
    <w:rsid w:val="00A366D2"/>
    <w:rsid w:val="00A36779"/>
    <w:rsid w:val="00A368A7"/>
    <w:rsid w:val="00A36D3B"/>
    <w:rsid w:val="00A374F5"/>
    <w:rsid w:val="00A375CE"/>
    <w:rsid w:val="00A3797B"/>
    <w:rsid w:val="00A379C0"/>
    <w:rsid w:val="00A40519"/>
    <w:rsid w:val="00A40C6C"/>
    <w:rsid w:val="00A4172F"/>
    <w:rsid w:val="00A417EE"/>
    <w:rsid w:val="00A420D7"/>
    <w:rsid w:val="00A420F3"/>
    <w:rsid w:val="00A423C2"/>
    <w:rsid w:val="00A427D0"/>
    <w:rsid w:val="00A42A3A"/>
    <w:rsid w:val="00A42B39"/>
    <w:rsid w:val="00A4310B"/>
    <w:rsid w:val="00A4323C"/>
    <w:rsid w:val="00A43BA7"/>
    <w:rsid w:val="00A44069"/>
    <w:rsid w:val="00A45F34"/>
    <w:rsid w:val="00A472CF"/>
    <w:rsid w:val="00A478FF"/>
    <w:rsid w:val="00A5043C"/>
    <w:rsid w:val="00A523A8"/>
    <w:rsid w:val="00A528CF"/>
    <w:rsid w:val="00A52EA5"/>
    <w:rsid w:val="00A54002"/>
    <w:rsid w:val="00A541A8"/>
    <w:rsid w:val="00A54483"/>
    <w:rsid w:val="00A54A8B"/>
    <w:rsid w:val="00A554EF"/>
    <w:rsid w:val="00A55918"/>
    <w:rsid w:val="00A56379"/>
    <w:rsid w:val="00A57A1E"/>
    <w:rsid w:val="00A605A3"/>
    <w:rsid w:val="00A61109"/>
    <w:rsid w:val="00A61448"/>
    <w:rsid w:val="00A6292A"/>
    <w:rsid w:val="00A630EE"/>
    <w:rsid w:val="00A63F0C"/>
    <w:rsid w:val="00A64171"/>
    <w:rsid w:val="00A65632"/>
    <w:rsid w:val="00A65A10"/>
    <w:rsid w:val="00A65B07"/>
    <w:rsid w:val="00A65C58"/>
    <w:rsid w:val="00A65CE3"/>
    <w:rsid w:val="00A65D26"/>
    <w:rsid w:val="00A65D9C"/>
    <w:rsid w:val="00A66289"/>
    <w:rsid w:val="00A6649D"/>
    <w:rsid w:val="00A66EA8"/>
    <w:rsid w:val="00A6781A"/>
    <w:rsid w:val="00A67FCE"/>
    <w:rsid w:val="00A71582"/>
    <w:rsid w:val="00A71BFB"/>
    <w:rsid w:val="00A723F9"/>
    <w:rsid w:val="00A72689"/>
    <w:rsid w:val="00A72835"/>
    <w:rsid w:val="00A7398C"/>
    <w:rsid w:val="00A74345"/>
    <w:rsid w:val="00A74FB5"/>
    <w:rsid w:val="00A753D8"/>
    <w:rsid w:val="00A75BD4"/>
    <w:rsid w:val="00A76E78"/>
    <w:rsid w:val="00A77462"/>
    <w:rsid w:val="00A805DE"/>
    <w:rsid w:val="00A809DB"/>
    <w:rsid w:val="00A80CC8"/>
    <w:rsid w:val="00A812E5"/>
    <w:rsid w:val="00A81476"/>
    <w:rsid w:val="00A819AB"/>
    <w:rsid w:val="00A81C73"/>
    <w:rsid w:val="00A81DC9"/>
    <w:rsid w:val="00A82075"/>
    <w:rsid w:val="00A8256C"/>
    <w:rsid w:val="00A826CA"/>
    <w:rsid w:val="00A82D99"/>
    <w:rsid w:val="00A838E1"/>
    <w:rsid w:val="00A83B4E"/>
    <w:rsid w:val="00A85E07"/>
    <w:rsid w:val="00A86737"/>
    <w:rsid w:val="00A86DCE"/>
    <w:rsid w:val="00A86F87"/>
    <w:rsid w:val="00A87BB1"/>
    <w:rsid w:val="00A9146A"/>
    <w:rsid w:val="00A918F2"/>
    <w:rsid w:val="00A91E69"/>
    <w:rsid w:val="00A92D09"/>
    <w:rsid w:val="00A92DF0"/>
    <w:rsid w:val="00A93286"/>
    <w:rsid w:val="00A93C69"/>
    <w:rsid w:val="00A944DB"/>
    <w:rsid w:val="00A949A4"/>
    <w:rsid w:val="00A94DF9"/>
    <w:rsid w:val="00A957E0"/>
    <w:rsid w:val="00A95A48"/>
    <w:rsid w:val="00A96375"/>
    <w:rsid w:val="00A96B21"/>
    <w:rsid w:val="00A973DA"/>
    <w:rsid w:val="00A9779D"/>
    <w:rsid w:val="00A977AC"/>
    <w:rsid w:val="00AA0A49"/>
    <w:rsid w:val="00AA115C"/>
    <w:rsid w:val="00AA1C90"/>
    <w:rsid w:val="00AA2078"/>
    <w:rsid w:val="00AA29F5"/>
    <w:rsid w:val="00AA2FC9"/>
    <w:rsid w:val="00AA357C"/>
    <w:rsid w:val="00AA3DBA"/>
    <w:rsid w:val="00AA42AB"/>
    <w:rsid w:val="00AA4543"/>
    <w:rsid w:val="00AA464F"/>
    <w:rsid w:val="00AA4861"/>
    <w:rsid w:val="00AA54A7"/>
    <w:rsid w:val="00AA5976"/>
    <w:rsid w:val="00AA5E7E"/>
    <w:rsid w:val="00AA639A"/>
    <w:rsid w:val="00AA6BF4"/>
    <w:rsid w:val="00AA715C"/>
    <w:rsid w:val="00AA74AB"/>
    <w:rsid w:val="00AA7BDF"/>
    <w:rsid w:val="00AB0C87"/>
    <w:rsid w:val="00AB1645"/>
    <w:rsid w:val="00AB16DA"/>
    <w:rsid w:val="00AB20CF"/>
    <w:rsid w:val="00AB3151"/>
    <w:rsid w:val="00AB378F"/>
    <w:rsid w:val="00AB4EAE"/>
    <w:rsid w:val="00AB4FFE"/>
    <w:rsid w:val="00AB5784"/>
    <w:rsid w:val="00AB5CF6"/>
    <w:rsid w:val="00AB6CD5"/>
    <w:rsid w:val="00AC031C"/>
    <w:rsid w:val="00AC049F"/>
    <w:rsid w:val="00AC0FB0"/>
    <w:rsid w:val="00AC1071"/>
    <w:rsid w:val="00AC11C4"/>
    <w:rsid w:val="00AC11EC"/>
    <w:rsid w:val="00AC133D"/>
    <w:rsid w:val="00AC1FEA"/>
    <w:rsid w:val="00AC30C4"/>
    <w:rsid w:val="00AC3721"/>
    <w:rsid w:val="00AC4282"/>
    <w:rsid w:val="00AC43D3"/>
    <w:rsid w:val="00AC4FE9"/>
    <w:rsid w:val="00AC5024"/>
    <w:rsid w:val="00AC53FC"/>
    <w:rsid w:val="00AC5B29"/>
    <w:rsid w:val="00AC739C"/>
    <w:rsid w:val="00AC750F"/>
    <w:rsid w:val="00AD01CA"/>
    <w:rsid w:val="00AD0444"/>
    <w:rsid w:val="00AD0D21"/>
    <w:rsid w:val="00AD184B"/>
    <w:rsid w:val="00AD2A03"/>
    <w:rsid w:val="00AD2AF7"/>
    <w:rsid w:val="00AD2E5C"/>
    <w:rsid w:val="00AD302A"/>
    <w:rsid w:val="00AD316E"/>
    <w:rsid w:val="00AD3750"/>
    <w:rsid w:val="00AD4857"/>
    <w:rsid w:val="00AD48A0"/>
    <w:rsid w:val="00AD4A0A"/>
    <w:rsid w:val="00AD584F"/>
    <w:rsid w:val="00AD686B"/>
    <w:rsid w:val="00AD6F89"/>
    <w:rsid w:val="00AD769A"/>
    <w:rsid w:val="00AE0727"/>
    <w:rsid w:val="00AE0ECE"/>
    <w:rsid w:val="00AE10D2"/>
    <w:rsid w:val="00AE16DB"/>
    <w:rsid w:val="00AE3F06"/>
    <w:rsid w:val="00AE527B"/>
    <w:rsid w:val="00AE6223"/>
    <w:rsid w:val="00AE7DC4"/>
    <w:rsid w:val="00AF104C"/>
    <w:rsid w:val="00AF1B64"/>
    <w:rsid w:val="00AF21A0"/>
    <w:rsid w:val="00AF2699"/>
    <w:rsid w:val="00AF2CA1"/>
    <w:rsid w:val="00AF32C1"/>
    <w:rsid w:val="00AF3801"/>
    <w:rsid w:val="00AF4494"/>
    <w:rsid w:val="00AF4606"/>
    <w:rsid w:val="00AF4FED"/>
    <w:rsid w:val="00AF4FFE"/>
    <w:rsid w:val="00AF599C"/>
    <w:rsid w:val="00AF5D44"/>
    <w:rsid w:val="00AF6335"/>
    <w:rsid w:val="00B00493"/>
    <w:rsid w:val="00B00759"/>
    <w:rsid w:val="00B00C3C"/>
    <w:rsid w:val="00B00D43"/>
    <w:rsid w:val="00B010D0"/>
    <w:rsid w:val="00B01611"/>
    <w:rsid w:val="00B016C5"/>
    <w:rsid w:val="00B01807"/>
    <w:rsid w:val="00B01CE8"/>
    <w:rsid w:val="00B023CA"/>
    <w:rsid w:val="00B03BD3"/>
    <w:rsid w:val="00B04089"/>
    <w:rsid w:val="00B05F3E"/>
    <w:rsid w:val="00B06AEE"/>
    <w:rsid w:val="00B07123"/>
    <w:rsid w:val="00B079C1"/>
    <w:rsid w:val="00B07FA0"/>
    <w:rsid w:val="00B10A38"/>
    <w:rsid w:val="00B115DE"/>
    <w:rsid w:val="00B116A6"/>
    <w:rsid w:val="00B11C22"/>
    <w:rsid w:val="00B11EFE"/>
    <w:rsid w:val="00B12030"/>
    <w:rsid w:val="00B12573"/>
    <w:rsid w:val="00B129CA"/>
    <w:rsid w:val="00B12E22"/>
    <w:rsid w:val="00B12E95"/>
    <w:rsid w:val="00B13474"/>
    <w:rsid w:val="00B1374E"/>
    <w:rsid w:val="00B1437D"/>
    <w:rsid w:val="00B143E0"/>
    <w:rsid w:val="00B1517F"/>
    <w:rsid w:val="00B155A1"/>
    <w:rsid w:val="00B1569D"/>
    <w:rsid w:val="00B164C9"/>
    <w:rsid w:val="00B16613"/>
    <w:rsid w:val="00B16DEE"/>
    <w:rsid w:val="00B17478"/>
    <w:rsid w:val="00B174B0"/>
    <w:rsid w:val="00B17B4B"/>
    <w:rsid w:val="00B20837"/>
    <w:rsid w:val="00B2091E"/>
    <w:rsid w:val="00B20C56"/>
    <w:rsid w:val="00B20FC6"/>
    <w:rsid w:val="00B2167F"/>
    <w:rsid w:val="00B216DF"/>
    <w:rsid w:val="00B21B57"/>
    <w:rsid w:val="00B22DAA"/>
    <w:rsid w:val="00B251C0"/>
    <w:rsid w:val="00B253E8"/>
    <w:rsid w:val="00B2557D"/>
    <w:rsid w:val="00B25704"/>
    <w:rsid w:val="00B25E30"/>
    <w:rsid w:val="00B26855"/>
    <w:rsid w:val="00B2686B"/>
    <w:rsid w:val="00B26BD6"/>
    <w:rsid w:val="00B26E8D"/>
    <w:rsid w:val="00B26FAF"/>
    <w:rsid w:val="00B26FEF"/>
    <w:rsid w:val="00B27712"/>
    <w:rsid w:val="00B3003E"/>
    <w:rsid w:val="00B3031C"/>
    <w:rsid w:val="00B304D1"/>
    <w:rsid w:val="00B30802"/>
    <w:rsid w:val="00B3090E"/>
    <w:rsid w:val="00B3091D"/>
    <w:rsid w:val="00B30CF5"/>
    <w:rsid w:val="00B30D11"/>
    <w:rsid w:val="00B30F7C"/>
    <w:rsid w:val="00B3260E"/>
    <w:rsid w:val="00B32A27"/>
    <w:rsid w:val="00B32FEA"/>
    <w:rsid w:val="00B33750"/>
    <w:rsid w:val="00B33CF9"/>
    <w:rsid w:val="00B33E36"/>
    <w:rsid w:val="00B34659"/>
    <w:rsid w:val="00B34E9A"/>
    <w:rsid w:val="00B34F95"/>
    <w:rsid w:val="00B351DB"/>
    <w:rsid w:val="00B351DC"/>
    <w:rsid w:val="00B35521"/>
    <w:rsid w:val="00B3558A"/>
    <w:rsid w:val="00B358F6"/>
    <w:rsid w:val="00B36B29"/>
    <w:rsid w:val="00B371BB"/>
    <w:rsid w:val="00B3762B"/>
    <w:rsid w:val="00B40223"/>
    <w:rsid w:val="00B4068A"/>
    <w:rsid w:val="00B41778"/>
    <w:rsid w:val="00B41C1D"/>
    <w:rsid w:val="00B41D33"/>
    <w:rsid w:val="00B42A09"/>
    <w:rsid w:val="00B42DCF"/>
    <w:rsid w:val="00B42F5E"/>
    <w:rsid w:val="00B43088"/>
    <w:rsid w:val="00B4389C"/>
    <w:rsid w:val="00B444DB"/>
    <w:rsid w:val="00B44CC7"/>
    <w:rsid w:val="00B455CD"/>
    <w:rsid w:val="00B4567F"/>
    <w:rsid w:val="00B4570B"/>
    <w:rsid w:val="00B457CF"/>
    <w:rsid w:val="00B46899"/>
    <w:rsid w:val="00B46FCE"/>
    <w:rsid w:val="00B4703E"/>
    <w:rsid w:val="00B477B0"/>
    <w:rsid w:val="00B47E8B"/>
    <w:rsid w:val="00B5092E"/>
    <w:rsid w:val="00B518E5"/>
    <w:rsid w:val="00B52100"/>
    <w:rsid w:val="00B52B8D"/>
    <w:rsid w:val="00B530D3"/>
    <w:rsid w:val="00B53124"/>
    <w:rsid w:val="00B533C4"/>
    <w:rsid w:val="00B53558"/>
    <w:rsid w:val="00B538F5"/>
    <w:rsid w:val="00B53E8F"/>
    <w:rsid w:val="00B5425C"/>
    <w:rsid w:val="00B55131"/>
    <w:rsid w:val="00B5518A"/>
    <w:rsid w:val="00B55425"/>
    <w:rsid w:val="00B554D1"/>
    <w:rsid w:val="00B5611E"/>
    <w:rsid w:val="00B566E1"/>
    <w:rsid w:val="00B56EF2"/>
    <w:rsid w:val="00B56EFC"/>
    <w:rsid w:val="00B576DE"/>
    <w:rsid w:val="00B57E79"/>
    <w:rsid w:val="00B57E89"/>
    <w:rsid w:val="00B57F35"/>
    <w:rsid w:val="00B604B8"/>
    <w:rsid w:val="00B60624"/>
    <w:rsid w:val="00B61370"/>
    <w:rsid w:val="00B6140D"/>
    <w:rsid w:val="00B616DC"/>
    <w:rsid w:val="00B619C6"/>
    <w:rsid w:val="00B6354B"/>
    <w:rsid w:val="00B6391F"/>
    <w:rsid w:val="00B63A69"/>
    <w:rsid w:val="00B63F10"/>
    <w:rsid w:val="00B641E4"/>
    <w:rsid w:val="00B64E27"/>
    <w:rsid w:val="00B655FA"/>
    <w:rsid w:val="00B65E99"/>
    <w:rsid w:val="00B67704"/>
    <w:rsid w:val="00B67F9E"/>
    <w:rsid w:val="00B704D4"/>
    <w:rsid w:val="00B70A82"/>
    <w:rsid w:val="00B70D43"/>
    <w:rsid w:val="00B71809"/>
    <w:rsid w:val="00B71A53"/>
    <w:rsid w:val="00B720C9"/>
    <w:rsid w:val="00B72235"/>
    <w:rsid w:val="00B73EF9"/>
    <w:rsid w:val="00B74640"/>
    <w:rsid w:val="00B74D10"/>
    <w:rsid w:val="00B757F7"/>
    <w:rsid w:val="00B76339"/>
    <w:rsid w:val="00B7654A"/>
    <w:rsid w:val="00B76C4C"/>
    <w:rsid w:val="00B77332"/>
    <w:rsid w:val="00B77E01"/>
    <w:rsid w:val="00B80E0F"/>
    <w:rsid w:val="00B814AF"/>
    <w:rsid w:val="00B81791"/>
    <w:rsid w:val="00B82106"/>
    <w:rsid w:val="00B82B05"/>
    <w:rsid w:val="00B831B5"/>
    <w:rsid w:val="00B831E2"/>
    <w:rsid w:val="00B83D98"/>
    <w:rsid w:val="00B84336"/>
    <w:rsid w:val="00B843E8"/>
    <w:rsid w:val="00B84C03"/>
    <w:rsid w:val="00B8535F"/>
    <w:rsid w:val="00B866F9"/>
    <w:rsid w:val="00B86B7B"/>
    <w:rsid w:val="00B8787D"/>
    <w:rsid w:val="00B90BD4"/>
    <w:rsid w:val="00B91148"/>
    <w:rsid w:val="00B91992"/>
    <w:rsid w:val="00B9241E"/>
    <w:rsid w:val="00B92B92"/>
    <w:rsid w:val="00B92F81"/>
    <w:rsid w:val="00B930B9"/>
    <w:rsid w:val="00B93380"/>
    <w:rsid w:val="00B934AA"/>
    <w:rsid w:val="00B93C0A"/>
    <w:rsid w:val="00B94299"/>
    <w:rsid w:val="00B9441C"/>
    <w:rsid w:val="00B94ABA"/>
    <w:rsid w:val="00B95237"/>
    <w:rsid w:val="00B953A1"/>
    <w:rsid w:val="00B9556C"/>
    <w:rsid w:val="00B95638"/>
    <w:rsid w:val="00B95D7A"/>
    <w:rsid w:val="00B96084"/>
    <w:rsid w:val="00B963FE"/>
    <w:rsid w:val="00B96786"/>
    <w:rsid w:val="00B97D1A"/>
    <w:rsid w:val="00B97FBB"/>
    <w:rsid w:val="00BA07C8"/>
    <w:rsid w:val="00BA14D1"/>
    <w:rsid w:val="00BA1F9F"/>
    <w:rsid w:val="00BA2133"/>
    <w:rsid w:val="00BA2191"/>
    <w:rsid w:val="00BA281D"/>
    <w:rsid w:val="00BA4851"/>
    <w:rsid w:val="00BA5323"/>
    <w:rsid w:val="00BA549F"/>
    <w:rsid w:val="00BA5D66"/>
    <w:rsid w:val="00BB1144"/>
    <w:rsid w:val="00BB1380"/>
    <w:rsid w:val="00BB1486"/>
    <w:rsid w:val="00BB1807"/>
    <w:rsid w:val="00BB367B"/>
    <w:rsid w:val="00BB3748"/>
    <w:rsid w:val="00BB3970"/>
    <w:rsid w:val="00BB411D"/>
    <w:rsid w:val="00BB4DFF"/>
    <w:rsid w:val="00BB56E4"/>
    <w:rsid w:val="00BB5DC1"/>
    <w:rsid w:val="00BB5DFA"/>
    <w:rsid w:val="00BB7997"/>
    <w:rsid w:val="00BB7BAE"/>
    <w:rsid w:val="00BB7BC6"/>
    <w:rsid w:val="00BC08CE"/>
    <w:rsid w:val="00BC0EBB"/>
    <w:rsid w:val="00BC1A6D"/>
    <w:rsid w:val="00BC1B58"/>
    <w:rsid w:val="00BC1D34"/>
    <w:rsid w:val="00BC23E9"/>
    <w:rsid w:val="00BC2CE9"/>
    <w:rsid w:val="00BC2D1C"/>
    <w:rsid w:val="00BC340E"/>
    <w:rsid w:val="00BC3D9B"/>
    <w:rsid w:val="00BC4A61"/>
    <w:rsid w:val="00BC4B7B"/>
    <w:rsid w:val="00BC5293"/>
    <w:rsid w:val="00BC52DC"/>
    <w:rsid w:val="00BC54CD"/>
    <w:rsid w:val="00BC55C3"/>
    <w:rsid w:val="00BC5630"/>
    <w:rsid w:val="00BC5A7C"/>
    <w:rsid w:val="00BC5F75"/>
    <w:rsid w:val="00BC6440"/>
    <w:rsid w:val="00BC7278"/>
    <w:rsid w:val="00BC779A"/>
    <w:rsid w:val="00BD0F2C"/>
    <w:rsid w:val="00BD1B95"/>
    <w:rsid w:val="00BD2E48"/>
    <w:rsid w:val="00BD319D"/>
    <w:rsid w:val="00BD3555"/>
    <w:rsid w:val="00BD360C"/>
    <w:rsid w:val="00BD3655"/>
    <w:rsid w:val="00BD447E"/>
    <w:rsid w:val="00BD447F"/>
    <w:rsid w:val="00BD464B"/>
    <w:rsid w:val="00BD59A4"/>
    <w:rsid w:val="00BD62CD"/>
    <w:rsid w:val="00BD66EB"/>
    <w:rsid w:val="00BD718A"/>
    <w:rsid w:val="00BD72CF"/>
    <w:rsid w:val="00BD7547"/>
    <w:rsid w:val="00BE00E1"/>
    <w:rsid w:val="00BE042C"/>
    <w:rsid w:val="00BE05B1"/>
    <w:rsid w:val="00BE0830"/>
    <w:rsid w:val="00BE0C35"/>
    <w:rsid w:val="00BE1AD0"/>
    <w:rsid w:val="00BE306A"/>
    <w:rsid w:val="00BE3211"/>
    <w:rsid w:val="00BE33A1"/>
    <w:rsid w:val="00BE3A19"/>
    <w:rsid w:val="00BE3D7F"/>
    <w:rsid w:val="00BE4190"/>
    <w:rsid w:val="00BE4E62"/>
    <w:rsid w:val="00BE50B7"/>
    <w:rsid w:val="00BE652C"/>
    <w:rsid w:val="00BE6955"/>
    <w:rsid w:val="00BE6C19"/>
    <w:rsid w:val="00BE7CBC"/>
    <w:rsid w:val="00BE7F64"/>
    <w:rsid w:val="00BF022C"/>
    <w:rsid w:val="00BF03A7"/>
    <w:rsid w:val="00BF05C6"/>
    <w:rsid w:val="00BF0B59"/>
    <w:rsid w:val="00BF0F2D"/>
    <w:rsid w:val="00BF23EF"/>
    <w:rsid w:val="00BF247E"/>
    <w:rsid w:val="00BF2796"/>
    <w:rsid w:val="00BF3492"/>
    <w:rsid w:val="00BF351C"/>
    <w:rsid w:val="00BF3984"/>
    <w:rsid w:val="00BF3C5B"/>
    <w:rsid w:val="00BF443C"/>
    <w:rsid w:val="00BF4546"/>
    <w:rsid w:val="00BF4D79"/>
    <w:rsid w:val="00BF540D"/>
    <w:rsid w:val="00BF5BA7"/>
    <w:rsid w:val="00BF64D9"/>
    <w:rsid w:val="00BF7255"/>
    <w:rsid w:val="00C00258"/>
    <w:rsid w:val="00C0093C"/>
    <w:rsid w:val="00C01128"/>
    <w:rsid w:val="00C02906"/>
    <w:rsid w:val="00C02C84"/>
    <w:rsid w:val="00C02E21"/>
    <w:rsid w:val="00C03040"/>
    <w:rsid w:val="00C030AD"/>
    <w:rsid w:val="00C030CA"/>
    <w:rsid w:val="00C03E44"/>
    <w:rsid w:val="00C0444A"/>
    <w:rsid w:val="00C05334"/>
    <w:rsid w:val="00C05F97"/>
    <w:rsid w:val="00C06E16"/>
    <w:rsid w:val="00C07857"/>
    <w:rsid w:val="00C104DD"/>
    <w:rsid w:val="00C1061D"/>
    <w:rsid w:val="00C11A29"/>
    <w:rsid w:val="00C11D09"/>
    <w:rsid w:val="00C12C0A"/>
    <w:rsid w:val="00C12EC5"/>
    <w:rsid w:val="00C1382F"/>
    <w:rsid w:val="00C13BAB"/>
    <w:rsid w:val="00C13D6B"/>
    <w:rsid w:val="00C15170"/>
    <w:rsid w:val="00C15F12"/>
    <w:rsid w:val="00C16840"/>
    <w:rsid w:val="00C16F19"/>
    <w:rsid w:val="00C1743C"/>
    <w:rsid w:val="00C20D2D"/>
    <w:rsid w:val="00C215F8"/>
    <w:rsid w:val="00C217DA"/>
    <w:rsid w:val="00C21F02"/>
    <w:rsid w:val="00C22201"/>
    <w:rsid w:val="00C231ED"/>
    <w:rsid w:val="00C241EB"/>
    <w:rsid w:val="00C24E40"/>
    <w:rsid w:val="00C25312"/>
    <w:rsid w:val="00C25745"/>
    <w:rsid w:val="00C25E0D"/>
    <w:rsid w:val="00C25E3F"/>
    <w:rsid w:val="00C26EA7"/>
    <w:rsid w:val="00C26EF5"/>
    <w:rsid w:val="00C26FDB"/>
    <w:rsid w:val="00C27365"/>
    <w:rsid w:val="00C2768A"/>
    <w:rsid w:val="00C27D7C"/>
    <w:rsid w:val="00C30AE7"/>
    <w:rsid w:val="00C30BE7"/>
    <w:rsid w:val="00C30D6B"/>
    <w:rsid w:val="00C30F7D"/>
    <w:rsid w:val="00C31400"/>
    <w:rsid w:val="00C31586"/>
    <w:rsid w:val="00C332A9"/>
    <w:rsid w:val="00C337D1"/>
    <w:rsid w:val="00C33B9E"/>
    <w:rsid w:val="00C33CB6"/>
    <w:rsid w:val="00C33CDE"/>
    <w:rsid w:val="00C33E6A"/>
    <w:rsid w:val="00C33E7B"/>
    <w:rsid w:val="00C34ED1"/>
    <w:rsid w:val="00C35396"/>
    <w:rsid w:val="00C3581D"/>
    <w:rsid w:val="00C359F4"/>
    <w:rsid w:val="00C36466"/>
    <w:rsid w:val="00C36899"/>
    <w:rsid w:val="00C37A55"/>
    <w:rsid w:val="00C4062F"/>
    <w:rsid w:val="00C4097F"/>
    <w:rsid w:val="00C40CEE"/>
    <w:rsid w:val="00C41ECA"/>
    <w:rsid w:val="00C41F1D"/>
    <w:rsid w:val="00C421CB"/>
    <w:rsid w:val="00C42679"/>
    <w:rsid w:val="00C427C7"/>
    <w:rsid w:val="00C42FD1"/>
    <w:rsid w:val="00C43A91"/>
    <w:rsid w:val="00C44565"/>
    <w:rsid w:val="00C448DD"/>
    <w:rsid w:val="00C4505E"/>
    <w:rsid w:val="00C46274"/>
    <w:rsid w:val="00C46B82"/>
    <w:rsid w:val="00C471A8"/>
    <w:rsid w:val="00C47287"/>
    <w:rsid w:val="00C472DC"/>
    <w:rsid w:val="00C47E97"/>
    <w:rsid w:val="00C505FB"/>
    <w:rsid w:val="00C5067C"/>
    <w:rsid w:val="00C508C0"/>
    <w:rsid w:val="00C50AA3"/>
    <w:rsid w:val="00C50D23"/>
    <w:rsid w:val="00C50EAD"/>
    <w:rsid w:val="00C51512"/>
    <w:rsid w:val="00C51F66"/>
    <w:rsid w:val="00C5295C"/>
    <w:rsid w:val="00C52DDB"/>
    <w:rsid w:val="00C53E19"/>
    <w:rsid w:val="00C53E4A"/>
    <w:rsid w:val="00C54A16"/>
    <w:rsid w:val="00C550AF"/>
    <w:rsid w:val="00C561B1"/>
    <w:rsid w:val="00C57542"/>
    <w:rsid w:val="00C5779B"/>
    <w:rsid w:val="00C57B12"/>
    <w:rsid w:val="00C600F5"/>
    <w:rsid w:val="00C60385"/>
    <w:rsid w:val="00C60F52"/>
    <w:rsid w:val="00C61078"/>
    <w:rsid w:val="00C61B3B"/>
    <w:rsid w:val="00C627E9"/>
    <w:rsid w:val="00C62DFE"/>
    <w:rsid w:val="00C63000"/>
    <w:rsid w:val="00C6383A"/>
    <w:rsid w:val="00C645AE"/>
    <w:rsid w:val="00C64B85"/>
    <w:rsid w:val="00C65376"/>
    <w:rsid w:val="00C653BF"/>
    <w:rsid w:val="00C660EE"/>
    <w:rsid w:val="00C670EC"/>
    <w:rsid w:val="00C70323"/>
    <w:rsid w:val="00C70641"/>
    <w:rsid w:val="00C7090C"/>
    <w:rsid w:val="00C70955"/>
    <w:rsid w:val="00C70EC6"/>
    <w:rsid w:val="00C712AE"/>
    <w:rsid w:val="00C72179"/>
    <w:rsid w:val="00C7278B"/>
    <w:rsid w:val="00C73682"/>
    <w:rsid w:val="00C73EFB"/>
    <w:rsid w:val="00C7409B"/>
    <w:rsid w:val="00C7504E"/>
    <w:rsid w:val="00C75DCD"/>
    <w:rsid w:val="00C7613E"/>
    <w:rsid w:val="00C76D61"/>
    <w:rsid w:val="00C77CAE"/>
    <w:rsid w:val="00C77F5C"/>
    <w:rsid w:val="00C804C0"/>
    <w:rsid w:val="00C81103"/>
    <w:rsid w:val="00C82F7C"/>
    <w:rsid w:val="00C831D2"/>
    <w:rsid w:val="00C83C64"/>
    <w:rsid w:val="00C83E08"/>
    <w:rsid w:val="00C842BB"/>
    <w:rsid w:val="00C84EF2"/>
    <w:rsid w:val="00C85003"/>
    <w:rsid w:val="00C854B3"/>
    <w:rsid w:val="00C856EF"/>
    <w:rsid w:val="00C85993"/>
    <w:rsid w:val="00C865C9"/>
    <w:rsid w:val="00C867A9"/>
    <w:rsid w:val="00C87505"/>
    <w:rsid w:val="00C87B10"/>
    <w:rsid w:val="00C87DF2"/>
    <w:rsid w:val="00C900F1"/>
    <w:rsid w:val="00C9041B"/>
    <w:rsid w:val="00C90E0B"/>
    <w:rsid w:val="00C914CA"/>
    <w:rsid w:val="00C92B99"/>
    <w:rsid w:val="00C92F33"/>
    <w:rsid w:val="00C93824"/>
    <w:rsid w:val="00C9542C"/>
    <w:rsid w:val="00C959CE"/>
    <w:rsid w:val="00C97443"/>
    <w:rsid w:val="00CA129E"/>
    <w:rsid w:val="00CA170E"/>
    <w:rsid w:val="00CA29E5"/>
    <w:rsid w:val="00CA33CA"/>
    <w:rsid w:val="00CA4615"/>
    <w:rsid w:val="00CA5625"/>
    <w:rsid w:val="00CA62BE"/>
    <w:rsid w:val="00CA6328"/>
    <w:rsid w:val="00CA652E"/>
    <w:rsid w:val="00CA66C3"/>
    <w:rsid w:val="00CA6B1A"/>
    <w:rsid w:val="00CA7601"/>
    <w:rsid w:val="00CA7EF4"/>
    <w:rsid w:val="00CB0BC8"/>
    <w:rsid w:val="00CB109E"/>
    <w:rsid w:val="00CB254A"/>
    <w:rsid w:val="00CB2736"/>
    <w:rsid w:val="00CB2837"/>
    <w:rsid w:val="00CB2BC3"/>
    <w:rsid w:val="00CB3055"/>
    <w:rsid w:val="00CB383B"/>
    <w:rsid w:val="00CB4706"/>
    <w:rsid w:val="00CB4C6F"/>
    <w:rsid w:val="00CB4D85"/>
    <w:rsid w:val="00CB5713"/>
    <w:rsid w:val="00CB5BB3"/>
    <w:rsid w:val="00CB5F71"/>
    <w:rsid w:val="00CB60F6"/>
    <w:rsid w:val="00CB6250"/>
    <w:rsid w:val="00CB6295"/>
    <w:rsid w:val="00CB6C96"/>
    <w:rsid w:val="00CB6E05"/>
    <w:rsid w:val="00CB7C2F"/>
    <w:rsid w:val="00CB7C95"/>
    <w:rsid w:val="00CC106B"/>
    <w:rsid w:val="00CC11B2"/>
    <w:rsid w:val="00CC14F0"/>
    <w:rsid w:val="00CC16DA"/>
    <w:rsid w:val="00CC1C72"/>
    <w:rsid w:val="00CC2670"/>
    <w:rsid w:val="00CC2B98"/>
    <w:rsid w:val="00CC33E6"/>
    <w:rsid w:val="00CC3AE8"/>
    <w:rsid w:val="00CC4AAF"/>
    <w:rsid w:val="00CC4E24"/>
    <w:rsid w:val="00CC5F8B"/>
    <w:rsid w:val="00CC6562"/>
    <w:rsid w:val="00CC6B69"/>
    <w:rsid w:val="00CC6E05"/>
    <w:rsid w:val="00CC7948"/>
    <w:rsid w:val="00CC7A9D"/>
    <w:rsid w:val="00CC7AF8"/>
    <w:rsid w:val="00CC7E07"/>
    <w:rsid w:val="00CD0763"/>
    <w:rsid w:val="00CD1716"/>
    <w:rsid w:val="00CD1EED"/>
    <w:rsid w:val="00CD237C"/>
    <w:rsid w:val="00CD25C9"/>
    <w:rsid w:val="00CD26DB"/>
    <w:rsid w:val="00CD29A0"/>
    <w:rsid w:val="00CD2BAE"/>
    <w:rsid w:val="00CD31F8"/>
    <w:rsid w:val="00CD385B"/>
    <w:rsid w:val="00CD3F83"/>
    <w:rsid w:val="00CD45D3"/>
    <w:rsid w:val="00CD4662"/>
    <w:rsid w:val="00CD565A"/>
    <w:rsid w:val="00CD587D"/>
    <w:rsid w:val="00CD6033"/>
    <w:rsid w:val="00CD6D9A"/>
    <w:rsid w:val="00CD6E87"/>
    <w:rsid w:val="00CD757C"/>
    <w:rsid w:val="00CD7926"/>
    <w:rsid w:val="00CD7A21"/>
    <w:rsid w:val="00CE0022"/>
    <w:rsid w:val="00CE0769"/>
    <w:rsid w:val="00CE0842"/>
    <w:rsid w:val="00CE1115"/>
    <w:rsid w:val="00CE299C"/>
    <w:rsid w:val="00CE342E"/>
    <w:rsid w:val="00CE3D4E"/>
    <w:rsid w:val="00CE4259"/>
    <w:rsid w:val="00CE4A0D"/>
    <w:rsid w:val="00CE4E74"/>
    <w:rsid w:val="00CE5452"/>
    <w:rsid w:val="00CE7590"/>
    <w:rsid w:val="00CF2F84"/>
    <w:rsid w:val="00CF313C"/>
    <w:rsid w:val="00CF37D1"/>
    <w:rsid w:val="00CF394D"/>
    <w:rsid w:val="00CF4DF9"/>
    <w:rsid w:val="00CF5C07"/>
    <w:rsid w:val="00CF609E"/>
    <w:rsid w:val="00CF6FED"/>
    <w:rsid w:val="00CF7D4A"/>
    <w:rsid w:val="00D00319"/>
    <w:rsid w:val="00D0088E"/>
    <w:rsid w:val="00D00A2D"/>
    <w:rsid w:val="00D01182"/>
    <w:rsid w:val="00D0169B"/>
    <w:rsid w:val="00D01D97"/>
    <w:rsid w:val="00D01F23"/>
    <w:rsid w:val="00D0210B"/>
    <w:rsid w:val="00D03823"/>
    <w:rsid w:val="00D0475B"/>
    <w:rsid w:val="00D0525B"/>
    <w:rsid w:val="00D058CC"/>
    <w:rsid w:val="00D0622E"/>
    <w:rsid w:val="00D06712"/>
    <w:rsid w:val="00D0674C"/>
    <w:rsid w:val="00D07122"/>
    <w:rsid w:val="00D07C60"/>
    <w:rsid w:val="00D07EFC"/>
    <w:rsid w:val="00D128AF"/>
    <w:rsid w:val="00D13408"/>
    <w:rsid w:val="00D13CB2"/>
    <w:rsid w:val="00D1474D"/>
    <w:rsid w:val="00D14CDA"/>
    <w:rsid w:val="00D15022"/>
    <w:rsid w:val="00D1511B"/>
    <w:rsid w:val="00D158FA"/>
    <w:rsid w:val="00D15A1A"/>
    <w:rsid w:val="00D15C06"/>
    <w:rsid w:val="00D15D07"/>
    <w:rsid w:val="00D161BC"/>
    <w:rsid w:val="00D165C4"/>
    <w:rsid w:val="00D17AEC"/>
    <w:rsid w:val="00D20725"/>
    <w:rsid w:val="00D218F1"/>
    <w:rsid w:val="00D2192A"/>
    <w:rsid w:val="00D21971"/>
    <w:rsid w:val="00D21BA1"/>
    <w:rsid w:val="00D21F70"/>
    <w:rsid w:val="00D225AA"/>
    <w:rsid w:val="00D2282E"/>
    <w:rsid w:val="00D228CD"/>
    <w:rsid w:val="00D22D1B"/>
    <w:rsid w:val="00D2352D"/>
    <w:rsid w:val="00D248E0"/>
    <w:rsid w:val="00D2540E"/>
    <w:rsid w:val="00D268AF"/>
    <w:rsid w:val="00D30F88"/>
    <w:rsid w:val="00D3107C"/>
    <w:rsid w:val="00D3166C"/>
    <w:rsid w:val="00D3188D"/>
    <w:rsid w:val="00D326FB"/>
    <w:rsid w:val="00D32819"/>
    <w:rsid w:val="00D33862"/>
    <w:rsid w:val="00D33953"/>
    <w:rsid w:val="00D33DFA"/>
    <w:rsid w:val="00D34902"/>
    <w:rsid w:val="00D34C31"/>
    <w:rsid w:val="00D35196"/>
    <w:rsid w:val="00D35CB2"/>
    <w:rsid w:val="00D36C48"/>
    <w:rsid w:val="00D36E9D"/>
    <w:rsid w:val="00D375F0"/>
    <w:rsid w:val="00D40476"/>
    <w:rsid w:val="00D4052C"/>
    <w:rsid w:val="00D40D92"/>
    <w:rsid w:val="00D42846"/>
    <w:rsid w:val="00D4325D"/>
    <w:rsid w:val="00D44DC9"/>
    <w:rsid w:val="00D451D4"/>
    <w:rsid w:val="00D45B8B"/>
    <w:rsid w:val="00D46874"/>
    <w:rsid w:val="00D46A09"/>
    <w:rsid w:val="00D478C0"/>
    <w:rsid w:val="00D504CD"/>
    <w:rsid w:val="00D51358"/>
    <w:rsid w:val="00D51763"/>
    <w:rsid w:val="00D519B5"/>
    <w:rsid w:val="00D51A27"/>
    <w:rsid w:val="00D51E44"/>
    <w:rsid w:val="00D52244"/>
    <w:rsid w:val="00D52515"/>
    <w:rsid w:val="00D5298B"/>
    <w:rsid w:val="00D52B1B"/>
    <w:rsid w:val="00D52DAC"/>
    <w:rsid w:val="00D53F6D"/>
    <w:rsid w:val="00D55D3F"/>
    <w:rsid w:val="00D568DB"/>
    <w:rsid w:val="00D56A2C"/>
    <w:rsid w:val="00D56EB5"/>
    <w:rsid w:val="00D56F67"/>
    <w:rsid w:val="00D57BE9"/>
    <w:rsid w:val="00D6143A"/>
    <w:rsid w:val="00D6172B"/>
    <w:rsid w:val="00D62047"/>
    <w:rsid w:val="00D63343"/>
    <w:rsid w:val="00D633DB"/>
    <w:rsid w:val="00D64BC2"/>
    <w:rsid w:val="00D64E50"/>
    <w:rsid w:val="00D6501B"/>
    <w:rsid w:val="00D6530A"/>
    <w:rsid w:val="00D653B4"/>
    <w:rsid w:val="00D657BE"/>
    <w:rsid w:val="00D666A9"/>
    <w:rsid w:val="00D66EDA"/>
    <w:rsid w:val="00D673D6"/>
    <w:rsid w:val="00D673E5"/>
    <w:rsid w:val="00D70227"/>
    <w:rsid w:val="00D704FB"/>
    <w:rsid w:val="00D71674"/>
    <w:rsid w:val="00D7236D"/>
    <w:rsid w:val="00D72D21"/>
    <w:rsid w:val="00D730D0"/>
    <w:rsid w:val="00D7393D"/>
    <w:rsid w:val="00D73B27"/>
    <w:rsid w:val="00D7513C"/>
    <w:rsid w:val="00D7755C"/>
    <w:rsid w:val="00D813D2"/>
    <w:rsid w:val="00D813DB"/>
    <w:rsid w:val="00D81DF0"/>
    <w:rsid w:val="00D82356"/>
    <w:rsid w:val="00D82C02"/>
    <w:rsid w:val="00D8327F"/>
    <w:rsid w:val="00D833F5"/>
    <w:rsid w:val="00D837CA"/>
    <w:rsid w:val="00D83DDA"/>
    <w:rsid w:val="00D84136"/>
    <w:rsid w:val="00D851FD"/>
    <w:rsid w:val="00D85903"/>
    <w:rsid w:val="00D85996"/>
    <w:rsid w:val="00D85AC5"/>
    <w:rsid w:val="00D85EE9"/>
    <w:rsid w:val="00D86340"/>
    <w:rsid w:val="00D86696"/>
    <w:rsid w:val="00D86895"/>
    <w:rsid w:val="00D90F33"/>
    <w:rsid w:val="00D9177A"/>
    <w:rsid w:val="00D91FFC"/>
    <w:rsid w:val="00D924AE"/>
    <w:rsid w:val="00D9290D"/>
    <w:rsid w:val="00D93250"/>
    <w:rsid w:val="00D935AF"/>
    <w:rsid w:val="00D93CFC"/>
    <w:rsid w:val="00D9462C"/>
    <w:rsid w:val="00D951E4"/>
    <w:rsid w:val="00D95A36"/>
    <w:rsid w:val="00D95D90"/>
    <w:rsid w:val="00D9615D"/>
    <w:rsid w:val="00D96725"/>
    <w:rsid w:val="00D974B9"/>
    <w:rsid w:val="00D97879"/>
    <w:rsid w:val="00DA012A"/>
    <w:rsid w:val="00DA147A"/>
    <w:rsid w:val="00DA17BD"/>
    <w:rsid w:val="00DA1FE0"/>
    <w:rsid w:val="00DA2969"/>
    <w:rsid w:val="00DA2A50"/>
    <w:rsid w:val="00DA311F"/>
    <w:rsid w:val="00DA3486"/>
    <w:rsid w:val="00DA4058"/>
    <w:rsid w:val="00DA430A"/>
    <w:rsid w:val="00DA447C"/>
    <w:rsid w:val="00DA455F"/>
    <w:rsid w:val="00DA49A5"/>
    <w:rsid w:val="00DA4C48"/>
    <w:rsid w:val="00DA51BF"/>
    <w:rsid w:val="00DA547F"/>
    <w:rsid w:val="00DA59B4"/>
    <w:rsid w:val="00DA5FCB"/>
    <w:rsid w:val="00DA61D0"/>
    <w:rsid w:val="00DA6486"/>
    <w:rsid w:val="00DA6518"/>
    <w:rsid w:val="00DA6B4A"/>
    <w:rsid w:val="00DA78A8"/>
    <w:rsid w:val="00DB09CE"/>
    <w:rsid w:val="00DB14E0"/>
    <w:rsid w:val="00DB19E8"/>
    <w:rsid w:val="00DB1E6D"/>
    <w:rsid w:val="00DB2264"/>
    <w:rsid w:val="00DB2862"/>
    <w:rsid w:val="00DB2CFD"/>
    <w:rsid w:val="00DB325B"/>
    <w:rsid w:val="00DB4330"/>
    <w:rsid w:val="00DB48AF"/>
    <w:rsid w:val="00DB548D"/>
    <w:rsid w:val="00DB571C"/>
    <w:rsid w:val="00DB5D3F"/>
    <w:rsid w:val="00DB620A"/>
    <w:rsid w:val="00DB66DE"/>
    <w:rsid w:val="00DB6874"/>
    <w:rsid w:val="00DB6FE8"/>
    <w:rsid w:val="00DB7CF1"/>
    <w:rsid w:val="00DC029D"/>
    <w:rsid w:val="00DC042A"/>
    <w:rsid w:val="00DC1B0B"/>
    <w:rsid w:val="00DC22DF"/>
    <w:rsid w:val="00DC23DB"/>
    <w:rsid w:val="00DC3BBF"/>
    <w:rsid w:val="00DC3DFF"/>
    <w:rsid w:val="00DC3FD9"/>
    <w:rsid w:val="00DC49B2"/>
    <w:rsid w:val="00DC4AB1"/>
    <w:rsid w:val="00DC4C80"/>
    <w:rsid w:val="00DC4F74"/>
    <w:rsid w:val="00DC55E2"/>
    <w:rsid w:val="00DC63F5"/>
    <w:rsid w:val="00DC70E7"/>
    <w:rsid w:val="00DC76FB"/>
    <w:rsid w:val="00DC7BDF"/>
    <w:rsid w:val="00DD0BC0"/>
    <w:rsid w:val="00DD2127"/>
    <w:rsid w:val="00DD235D"/>
    <w:rsid w:val="00DD26D7"/>
    <w:rsid w:val="00DD2732"/>
    <w:rsid w:val="00DD3513"/>
    <w:rsid w:val="00DD37DA"/>
    <w:rsid w:val="00DD3F88"/>
    <w:rsid w:val="00DD4AAB"/>
    <w:rsid w:val="00DD4AFB"/>
    <w:rsid w:val="00DD5CAA"/>
    <w:rsid w:val="00DD67F1"/>
    <w:rsid w:val="00DD6E33"/>
    <w:rsid w:val="00DD78E3"/>
    <w:rsid w:val="00DD79F9"/>
    <w:rsid w:val="00DD7C2B"/>
    <w:rsid w:val="00DE088F"/>
    <w:rsid w:val="00DE095C"/>
    <w:rsid w:val="00DE17F9"/>
    <w:rsid w:val="00DE1DC8"/>
    <w:rsid w:val="00DE1DDC"/>
    <w:rsid w:val="00DE1E62"/>
    <w:rsid w:val="00DE1E71"/>
    <w:rsid w:val="00DE256E"/>
    <w:rsid w:val="00DE2B3F"/>
    <w:rsid w:val="00DE2DE0"/>
    <w:rsid w:val="00DE2E61"/>
    <w:rsid w:val="00DE3041"/>
    <w:rsid w:val="00DE3820"/>
    <w:rsid w:val="00DE3B01"/>
    <w:rsid w:val="00DE41E3"/>
    <w:rsid w:val="00DE456B"/>
    <w:rsid w:val="00DE49E4"/>
    <w:rsid w:val="00DE53C1"/>
    <w:rsid w:val="00DE5DB4"/>
    <w:rsid w:val="00DE67AB"/>
    <w:rsid w:val="00DE6CF2"/>
    <w:rsid w:val="00DE6DB1"/>
    <w:rsid w:val="00DE734E"/>
    <w:rsid w:val="00DE7FA9"/>
    <w:rsid w:val="00DF13A1"/>
    <w:rsid w:val="00DF140A"/>
    <w:rsid w:val="00DF1662"/>
    <w:rsid w:val="00DF1864"/>
    <w:rsid w:val="00DF18B5"/>
    <w:rsid w:val="00DF1D20"/>
    <w:rsid w:val="00DF3390"/>
    <w:rsid w:val="00DF33FD"/>
    <w:rsid w:val="00DF4793"/>
    <w:rsid w:val="00DF54B6"/>
    <w:rsid w:val="00DF56E2"/>
    <w:rsid w:val="00DF6264"/>
    <w:rsid w:val="00DF677A"/>
    <w:rsid w:val="00DF7280"/>
    <w:rsid w:val="00DF7615"/>
    <w:rsid w:val="00DF7E31"/>
    <w:rsid w:val="00E00E16"/>
    <w:rsid w:val="00E00E95"/>
    <w:rsid w:val="00E00EDC"/>
    <w:rsid w:val="00E0153C"/>
    <w:rsid w:val="00E01815"/>
    <w:rsid w:val="00E02C2F"/>
    <w:rsid w:val="00E03C01"/>
    <w:rsid w:val="00E03F54"/>
    <w:rsid w:val="00E04779"/>
    <w:rsid w:val="00E049EC"/>
    <w:rsid w:val="00E04BE7"/>
    <w:rsid w:val="00E04F01"/>
    <w:rsid w:val="00E051DE"/>
    <w:rsid w:val="00E0553E"/>
    <w:rsid w:val="00E05A74"/>
    <w:rsid w:val="00E05B54"/>
    <w:rsid w:val="00E05DAC"/>
    <w:rsid w:val="00E05FC3"/>
    <w:rsid w:val="00E06515"/>
    <w:rsid w:val="00E07635"/>
    <w:rsid w:val="00E079F9"/>
    <w:rsid w:val="00E07D64"/>
    <w:rsid w:val="00E07D72"/>
    <w:rsid w:val="00E100EC"/>
    <w:rsid w:val="00E107EE"/>
    <w:rsid w:val="00E1177E"/>
    <w:rsid w:val="00E11870"/>
    <w:rsid w:val="00E12846"/>
    <w:rsid w:val="00E1289F"/>
    <w:rsid w:val="00E12E8B"/>
    <w:rsid w:val="00E1394C"/>
    <w:rsid w:val="00E13AAA"/>
    <w:rsid w:val="00E13B40"/>
    <w:rsid w:val="00E1429F"/>
    <w:rsid w:val="00E144E4"/>
    <w:rsid w:val="00E14507"/>
    <w:rsid w:val="00E14940"/>
    <w:rsid w:val="00E14D9B"/>
    <w:rsid w:val="00E16169"/>
    <w:rsid w:val="00E17066"/>
    <w:rsid w:val="00E17468"/>
    <w:rsid w:val="00E17508"/>
    <w:rsid w:val="00E17AB0"/>
    <w:rsid w:val="00E17C2E"/>
    <w:rsid w:val="00E210C5"/>
    <w:rsid w:val="00E2144B"/>
    <w:rsid w:val="00E217E1"/>
    <w:rsid w:val="00E21DEB"/>
    <w:rsid w:val="00E22266"/>
    <w:rsid w:val="00E232AD"/>
    <w:rsid w:val="00E23A24"/>
    <w:rsid w:val="00E23C37"/>
    <w:rsid w:val="00E24C81"/>
    <w:rsid w:val="00E251DC"/>
    <w:rsid w:val="00E2526D"/>
    <w:rsid w:val="00E2529A"/>
    <w:rsid w:val="00E253B6"/>
    <w:rsid w:val="00E2589A"/>
    <w:rsid w:val="00E260D9"/>
    <w:rsid w:val="00E275F3"/>
    <w:rsid w:val="00E27AFF"/>
    <w:rsid w:val="00E27FCA"/>
    <w:rsid w:val="00E314CC"/>
    <w:rsid w:val="00E31E4C"/>
    <w:rsid w:val="00E31F27"/>
    <w:rsid w:val="00E32152"/>
    <w:rsid w:val="00E32237"/>
    <w:rsid w:val="00E32472"/>
    <w:rsid w:val="00E32D1F"/>
    <w:rsid w:val="00E32FFD"/>
    <w:rsid w:val="00E33703"/>
    <w:rsid w:val="00E339FC"/>
    <w:rsid w:val="00E34210"/>
    <w:rsid w:val="00E3445A"/>
    <w:rsid w:val="00E356C5"/>
    <w:rsid w:val="00E35829"/>
    <w:rsid w:val="00E35B7B"/>
    <w:rsid w:val="00E35BA8"/>
    <w:rsid w:val="00E35D41"/>
    <w:rsid w:val="00E367FD"/>
    <w:rsid w:val="00E371D1"/>
    <w:rsid w:val="00E37D37"/>
    <w:rsid w:val="00E37E40"/>
    <w:rsid w:val="00E409FD"/>
    <w:rsid w:val="00E417E0"/>
    <w:rsid w:val="00E41E41"/>
    <w:rsid w:val="00E427C2"/>
    <w:rsid w:val="00E43753"/>
    <w:rsid w:val="00E4395C"/>
    <w:rsid w:val="00E43CBC"/>
    <w:rsid w:val="00E44079"/>
    <w:rsid w:val="00E448F5"/>
    <w:rsid w:val="00E44C54"/>
    <w:rsid w:val="00E44D7E"/>
    <w:rsid w:val="00E44E32"/>
    <w:rsid w:val="00E451B6"/>
    <w:rsid w:val="00E45D4E"/>
    <w:rsid w:val="00E46180"/>
    <w:rsid w:val="00E462F7"/>
    <w:rsid w:val="00E468FB"/>
    <w:rsid w:val="00E47220"/>
    <w:rsid w:val="00E4799F"/>
    <w:rsid w:val="00E50432"/>
    <w:rsid w:val="00E506D2"/>
    <w:rsid w:val="00E508E3"/>
    <w:rsid w:val="00E50922"/>
    <w:rsid w:val="00E50B0F"/>
    <w:rsid w:val="00E50D7E"/>
    <w:rsid w:val="00E515E0"/>
    <w:rsid w:val="00E51A1C"/>
    <w:rsid w:val="00E534BA"/>
    <w:rsid w:val="00E536F8"/>
    <w:rsid w:val="00E54752"/>
    <w:rsid w:val="00E5486C"/>
    <w:rsid w:val="00E54FB8"/>
    <w:rsid w:val="00E558E3"/>
    <w:rsid w:val="00E55FE7"/>
    <w:rsid w:val="00E5763C"/>
    <w:rsid w:val="00E5767D"/>
    <w:rsid w:val="00E619A4"/>
    <w:rsid w:val="00E62527"/>
    <w:rsid w:val="00E62624"/>
    <w:rsid w:val="00E62C99"/>
    <w:rsid w:val="00E63556"/>
    <w:rsid w:val="00E63B6F"/>
    <w:rsid w:val="00E64182"/>
    <w:rsid w:val="00E6445F"/>
    <w:rsid w:val="00E648DD"/>
    <w:rsid w:val="00E64A04"/>
    <w:rsid w:val="00E64E10"/>
    <w:rsid w:val="00E65564"/>
    <w:rsid w:val="00E65984"/>
    <w:rsid w:val="00E66AEC"/>
    <w:rsid w:val="00E66C39"/>
    <w:rsid w:val="00E66D61"/>
    <w:rsid w:val="00E66F73"/>
    <w:rsid w:val="00E67777"/>
    <w:rsid w:val="00E70288"/>
    <w:rsid w:val="00E70590"/>
    <w:rsid w:val="00E70D70"/>
    <w:rsid w:val="00E71DD1"/>
    <w:rsid w:val="00E72036"/>
    <w:rsid w:val="00E72BD3"/>
    <w:rsid w:val="00E73022"/>
    <w:rsid w:val="00E739EC"/>
    <w:rsid w:val="00E73C49"/>
    <w:rsid w:val="00E73D42"/>
    <w:rsid w:val="00E7410B"/>
    <w:rsid w:val="00E760EA"/>
    <w:rsid w:val="00E7695C"/>
    <w:rsid w:val="00E769B1"/>
    <w:rsid w:val="00E77B17"/>
    <w:rsid w:val="00E81E05"/>
    <w:rsid w:val="00E82442"/>
    <w:rsid w:val="00E829CA"/>
    <w:rsid w:val="00E82FEA"/>
    <w:rsid w:val="00E835C3"/>
    <w:rsid w:val="00E844A0"/>
    <w:rsid w:val="00E84BD3"/>
    <w:rsid w:val="00E85385"/>
    <w:rsid w:val="00E85481"/>
    <w:rsid w:val="00E854C1"/>
    <w:rsid w:val="00E86233"/>
    <w:rsid w:val="00E86DEF"/>
    <w:rsid w:val="00E8793B"/>
    <w:rsid w:val="00E90089"/>
    <w:rsid w:val="00E903CF"/>
    <w:rsid w:val="00E912C9"/>
    <w:rsid w:val="00E91468"/>
    <w:rsid w:val="00E9321F"/>
    <w:rsid w:val="00E934E5"/>
    <w:rsid w:val="00E935DE"/>
    <w:rsid w:val="00E93DC1"/>
    <w:rsid w:val="00E94254"/>
    <w:rsid w:val="00E94370"/>
    <w:rsid w:val="00E94FC9"/>
    <w:rsid w:val="00E95064"/>
    <w:rsid w:val="00E95CAF"/>
    <w:rsid w:val="00E96553"/>
    <w:rsid w:val="00E96F7F"/>
    <w:rsid w:val="00E97395"/>
    <w:rsid w:val="00E97F80"/>
    <w:rsid w:val="00EA0373"/>
    <w:rsid w:val="00EA03D1"/>
    <w:rsid w:val="00EA07C2"/>
    <w:rsid w:val="00EA0EC5"/>
    <w:rsid w:val="00EA16F1"/>
    <w:rsid w:val="00EA282D"/>
    <w:rsid w:val="00EA37A9"/>
    <w:rsid w:val="00EA45D3"/>
    <w:rsid w:val="00EA53E6"/>
    <w:rsid w:val="00EA5C95"/>
    <w:rsid w:val="00EA5F8C"/>
    <w:rsid w:val="00EA60D6"/>
    <w:rsid w:val="00EA64E7"/>
    <w:rsid w:val="00EA654B"/>
    <w:rsid w:val="00EA66F0"/>
    <w:rsid w:val="00EA7473"/>
    <w:rsid w:val="00EA7BE4"/>
    <w:rsid w:val="00EB01A8"/>
    <w:rsid w:val="00EB01FB"/>
    <w:rsid w:val="00EB03E7"/>
    <w:rsid w:val="00EB055B"/>
    <w:rsid w:val="00EB0789"/>
    <w:rsid w:val="00EB18F4"/>
    <w:rsid w:val="00EB200B"/>
    <w:rsid w:val="00EB2D8C"/>
    <w:rsid w:val="00EB42DA"/>
    <w:rsid w:val="00EB4974"/>
    <w:rsid w:val="00EB6222"/>
    <w:rsid w:val="00EB7898"/>
    <w:rsid w:val="00EB7EC8"/>
    <w:rsid w:val="00EC0176"/>
    <w:rsid w:val="00EC14DB"/>
    <w:rsid w:val="00EC1A3E"/>
    <w:rsid w:val="00EC1E4D"/>
    <w:rsid w:val="00EC1F22"/>
    <w:rsid w:val="00EC2562"/>
    <w:rsid w:val="00EC29C1"/>
    <w:rsid w:val="00EC2C53"/>
    <w:rsid w:val="00EC2F7F"/>
    <w:rsid w:val="00EC341B"/>
    <w:rsid w:val="00EC39AE"/>
    <w:rsid w:val="00EC5EF2"/>
    <w:rsid w:val="00EC6A7A"/>
    <w:rsid w:val="00EC77EC"/>
    <w:rsid w:val="00EC78A2"/>
    <w:rsid w:val="00EC7C82"/>
    <w:rsid w:val="00EC7FCC"/>
    <w:rsid w:val="00ED14CB"/>
    <w:rsid w:val="00ED19F5"/>
    <w:rsid w:val="00ED262B"/>
    <w:rsid w:val="00ED284D"/>
    <w:rsid w:val="00ED380C"/>
    <w:rsid w:val="00ED3BD8"/>
    <w:rsid w:val="00ED3E59"/>
    <w:rsid w:val="00ED3F4C"/>
    <w:rsid w:val="00ED46C3"/>
    <w:rsid w:val="00ED4A15"/>
    <w:rsid w:val="00ED4EC6"/>
    <w:rsid w:val="00ED5147"/>
    <w:rsid w:val="00ED5465"/>
    <w:rsid w:val="00ED5AC1"/>
    <w:rsid w:val="00ED62B7"/>
    <w:rsid w:val="00ED6BA8"/>
    <w:rsid w:val="00ED6C88"/>
    <w:rsid w:val="00EE2680"/>
    <w:rsid w:val="00EE330E"/>
    <w:rsid w:val="00EE3D54"/>
    <w:rsid w:val="00EE3E19"/>
    <w:rsid w:val="00EE63E7"/>
    <w:rsid w:val="00EE6903"/>
    <w:rsid w:val="00EE6DE7"/>
    <w:rsid w:val="00EE7757"/>
    <w:rsid w:val="00EE77FE"/>
    <w:rsid w:val="00EF03C2"/>
    <w:rsid w:val="00EF095C"/>
    <w:rsid w:val="00EF0E38"/>
    <w:rsid w:val="00EF1280"/>
    <w:rsid w:val="00EF13A9"/>
    <w:rsid w:val="00EF149D"/>
    <w:rsid w:val="00EF153B"/>
    <w:rsid w:val="00EF18B0"/>
    <w:rsid w:val="00EF1A67"/>
    <w:rsid w:val="00EF1BA6"/>
    <w:rsid w:val="00EF1EC1"/>
    <w:rsid w:val="00EF2903"/>
    <w:rsid w:val="00EF34DF"/>
    <w:rsid w:val="00EF3520"/>
    <w:rsid w:val="00EF3749"/>
    <w:rsid w:val="00EF3CE0"/>
    <w:rsid w:val="00EF61C4"/>
    <w:rsid w:val="00EF6D92"/>
    <w:rsid w:val="00EF7DD0"/>
    <w:rsid w:val="00F00464"/>
    <w:rsid w:val="00F00836"/>
    <w:rsid w:val="00F012C3"/>
    <w:rsid w:val="00F0208A"/>
    <w:rsid w:val="00F02BC3"/>
    <w:rsid w:val="00F05B12"/>
    <w:rsid w:val="00F064BD"/>
    <w:rsid w:val="00F06562"/>
    <w:rsid w:val="00F067F8"/>
    <w:rsid w:val="00F0696B"/>
    <w:rsid w:val="00F06EBB"/>
    <w:rsid w:val="00F076D4"/>
    <w:rsid w:val="00F076D5"/>
    <w:rsid w:val="00F07D18"/>
    <w:rsid w:val="00F1028D"/>
    <w:rsid w:val="00F104DF"/>
    <w:rsid w:val="00F10EB2"/>
    <w:rsid w:val="00F11099"/>
    <w:rsid w:val="00F111D9"/>
    <w:rsid w:val="00F1154E"/>
    <w:rsid w:val="00F1249C"/>
    <w:rsid w:val="00F12958"/>
    <w:rsid w:val="00F12ACC"/>
    <w:rsid w:val="00F130CD"/>
    <w:rsid w:val="00F1387D"/>
    <w:rsid w:val="00F1487C"/>
    <w:rsid w:val="00F14FAE"/>
    <w:rsid w:val="00F1509E"/>
    <w:rsid w:val="00F17689"/>
    <w:rsid w:val="00F17C39"/>
    <w:rsid w:val="00F17EB8"/>
    <w:rsid w:val="00F17FA1"/>
    <w:rsid w:val="00F20340"/>
    <w:rsid w:val="00F203FA"/>
    <w:rsid w:val="00F207F4"/>
    <w:rsid w:val="00F2080A"/>
    <w:rsid w:val="00F20EBF"/>
    <w:rsid w:val="00F20F9A"/>
    <w:rsid w:val="00F20FF6"/>
    <w:rsid w:val="00F22E12"/>
    <w:rsid w:val="00F22E15"/>
    <w:rsid w:val="00F2446F"/>
    <w:rsid w:val="00F24A5B"/>
    <w:rsid w:val="00F24D4A"/>
    <w:rsid w:val="00F25086"/>
    <w:rsid w:val="00F25327"/>
    <w:rsid w:val="00F27B1E"/>
    <w:rsid w:val="00F30403"/>
    <w:rsid w:val="00F30F5A"/>
    <w:rsid w:val="00F31389"/>
    <w:rsid w:val="00F3149B"/>
    <w:rsid w:val="00F314B4"/>
    <w:rsid w:val="00F31892"/>
    <w:rsid w:val="00F31CBD"/>
    <w:rsid w:val="00F322ED"/>
    <w:rsid w:val="00F34289"/>
    <w:rsid w:val="00F351B6"/>
    <w:rsid w:val="00F35331"/>
    <w:rsid w:val="00F3558B"/>
    <w:rsid w:val="00F3558C"/>
    <w:rsid w:val="00F35D7A"/>
    <w:rsid w:val="00F36209"/>
    <w:rsid w:val="00F37909"/>
    <w:rsid w:val="00F37D06"/>
    <w:rsid w:val="00F37E40"/>
    <w:rsid w:val="00F40986"/>
    <w:rsid w:val="00F40D79"/>
    <w:rsid w:val="00F41030"/>
    <w:rsid w:val="00F41337"/>
    <w:rsid w:val="00F4283F"/>
    <w:rsid w:val="00F42BFA"/>
    <w:rsid w:val="00F42EAA"/>
    <w:rsid w:val="00F42EBC"/>
    <w:rsid w:val="00F44728"/>
    <w:rsid w:val="00F44FDD"/>
    <w:rsid w:val="00F46901"/>
    <w:rsid w:val="00F474A4"/>
    <w:rsid w:val="00F47AF6"/>
    <w:rsid w:val="00F506B1"/>
    <w:rsid w:val="00F5081E"/>
    <w:rsid w:val="00F50837"/>
    <w:rsid w:val="00F50C40"/>
    <w:rsid w:val="00F51128"/>
    <w:rsid w:val="00F51333"/>
    <w:rsid w:val="00F527F8"/>
    <w:rsid w:val="00F5294B"/>
    <w:rsid w:val="00F529E7"/>
    <w:rsid w:val="00F52A57"/>
    <w:rsid w:val="00F52E98"/>
    <w:rsid w:val="00F533A2"/>
    <w:rsid w:val="00F53491"/>
    <w:rsid w:val="00F54592"/>
    <w:rsid w:val="00F5553A"/>
    <w:rsid w:val="00F55C0E"/>
    <w:rsid w:val="00F55EC3"/>
    <w:rsid w:val="00F55F3D"/>
    <w:rsid w:val="00F5626B"/>
    <w:rsid w:val="00F56628"/>
    <w:rsid w:val="00F568EC"/>
    <w:rsid w:val="00F57365"/>
    <w:rsid w:val="00F57652"/>
    <w:rsid w:val="00F57705"/>
    <w:rsid w:val="00F603C7"/>
    <w:rsid w:val="00F604E9"/>
    <w:rsid w:val="00F60A35"/>
    <w:rsid w:val="00F617CD"/>
    <w:rsid w:val="00F61A57"/>
    <w:rsid w:val="00F61EBA"/>
    <w:rsid w:val="00F62E1F"/>
    <w:rsid w:val="00F6314D"/>
    <w:rsid w:val="00F63435"/>
    <w:rsid w:val="00F63447"/>
    <w:rsid w:val="00F6383A"/>
    <w:rsid w:val="00F63DEE"/>
    <w:rsid w:val="00F6423A"/>
    <w:rsid w:val="00F646FE"/>
    <w:rsid w:val="00F647F0"/>
    <w:rsid w:val="00F65DB2"/>
    <w:rsid w:val="00F65F1E"/>
    <w:rsid w:val="00F67DC0"/>
    <w:rsid w:val="00F70E32"/>
    <w:rsid w:val="00F71AF1"/>
    <w:rsid w:val="00F72530"/>
    <w:rsid w:val="00F72873"/>
    <w:rsid w:val="00F7297B"/>
    <w:rsid w:val="00F72C43"/>
    <w:rsid w:val="00F734CF"/>
    <w:rsid w:val="00F734F0"/>
    <w:rsid w:val="00F737F6"/>
    <w:rsid w:val="00F73A72"/>
    <w:rsid w:val="00F73B07"/>
    <w:rsid w:val="00F73DA6"/>
    <w:rsid w:val="00F73DE4"/>
    <w:rsid w:val="00F73EB5"/>
    <w:rsid w:val="00F741AE"/>
    <w:rsid w:val="00F74EDE"/>
    <w:rsid w:val="00F75B2E"/>
    <w:rsid w:val="00F75D77"/>
    <w:rsid w:val="00F7660B"/>
    <w:rsid w:val="00F77118"/>
    <w:rsid w:val="00F800EB"/>
    <w:rsid w:val="00F8158D"/>
    <w:rsid w:val="00F81E7C"/>
    <w:rsid w:val="00F8294C"/>
    <w:rsid w:val="00F82EB3"/>
    <w:rsid w:val="00F83435"/>
    <w:rsid w:val="00F83794"/>
    <w:rsid w:val="00F8386C"/>
    <w:rsid w:val="00F83982"/>
    <w:rsid w:val="00F83C82"/>
    <w:rsid w:val="00F8418D"/>
    <w:rsid w:val="00F84769"/>
    <w:rsid w:val="00F849A5"/>
    <w:rsid w:val="00F856D0"/>
    <w:rsid w:val="00F85DDE"/>
    <w:rsid w:val="00F867B1"/>
    <w:rsid w:val="00F86FA6"/>
    <w:rsid w:val="00F87938"/>
    <w:rsid w:val="00F902BD"/>
    <w:rsid w:val="00F912E1"/>
    <w:rsid w:val="00F91301"/>
    <w:rsid w:val="00F91420"/>
    <w:rsid w:val="00F9238F"/>
    <w:rsid w:val="00F92467"/>
    <w:rsid w:val="00F92C84"/>
    <w:rsid w:val="00F930F4"/>
    <w:rsid w:val="00F93681"/>
    <w:rsid w:val="00F93BF1"/>
    <w:rsid w:val="00F94463"/>
    <w:rsid w:val="00F94A07"/>
    <w:rsid w:val="00F95597"/>
    <w:rsid w:val="00F95A31"/>
    <w:rsid w:val="00F95C63"/>
    <w:rsid w:val="00F960F4"/>
    <w:rsid w:val="00F96946"/>
    <w:rsid w:val="00F96A66"/>
    <w:rsid w:val="00F973BE"/>
    <w:rsid w:val="00F97436"/>
    <w:rsid w:val="00F97848"/>
    <w:rsid w:val="00FA0B99"/>
    <w:rsid w:val="00FA2380"/>
    <w:rsid w:val="00FA278E"/>
    <w:rsid w:val="00FA27BB"/>
    <w:rsid w:val="00FA2EB9"/>
    <w:rsid w:val="00FA3171"/>
    <w:rsid w:val="00FA3B10"/>
    <w:rsid w:val="00FA5131"/>
    <w:rsid w:val="00FA597E"/>
    <w:rsid w:val="00FA5C6E"/>
    <w:rsid w:val="00FA6883"/>
    <w:rsid w:val="00FA71AE"/>
    <w:rsid w:val="00FA7789"/>
    <w:rsid w:val="00FA7863"/>
    <w:rsid w:val="00FA7F24"/>
    <w:rsid w:val="00FB0204"/>
    <w:rsid w:val="00FB0844"/>
    <w:rsid w:val="00FB0C66"/>
    <w:rsid w:val="00FB0E25"/>
    <w:rsid w:val="00FB0EFD"/>
    <w:rsid w:val="00FB1451"/>
    <w:rsid w:val="00FB2144"/>
    <w:rsid w:val="00FB23D1"/>
    <w:rsid w:val="00FB3DD9"/>
    <w:rsid w:val="00FB4608"/>
    <w:rsid w:val="00FB4DEC"/>
    <w:rsid w:val="00FB6018"/>
    <w:rsid w:val="00FB6064"/>
    <w:rsid w:val="00FB631B"/>
    <w:rsid w:val="00FB63D5"/>
    <w:rsid w:val="00FB78D8"/>
    <w:rsid w:val="00FC002D"/>
    <w:rsid w:val="00FC0069"/>
    <w:rsid w:val="00FC024B"/>
    <w:rsid w:val="00FC0E70"/>
    <w:rsid w:val="00FC103F"/>
    <w:rsid w:val="00FC1DF9"/>
    <w:rsid w:val="00FC24C4"/>
    <w:rsid w:val="00FC2803"/>
    <w:rsid w:val="00FC2B36"/>
    <w:rsid w:val="00FC33F1"/>
    <w:rsid w:val="00FC39DF"/>
    <w:rsid w:val="00FC3DE5"/>
    <w:rsid w:val="00FC41E1"/>
    <w:rsid w:val="00FC4390"/>
    <w:rsid w:val="00FC44D7"/>
    <w:rsid w:val="00FC5104"/>
    <w:rsid w:val="00FC51E8"/>
    <w:rsid w:val="00FC5A79"/>
    <w:rsid w:val="00FC6889"/>
    <w:rsid w:val="00FC696E"/>
    <w:rsid w:val="00FC6AB4"/>
    <w:rsid w:val="00FC6F18"/>
    <w:rsid w:val="00FC7135"/>
    <w:rsid w:val="00FD0762"/>
    <w:rsid w:val="00FD1DDB"/>
    <w:rsid w:val="00FD2208"/>
    <w:rsid w:val="00FD23C6"/>
    <w:rsid w:val="00FD2474"/>
    <w:rsid w:val="00FD2640"/>
    <w:rsid w:val="00FD2961"/>
    <w:rsid w:val="00FD3AAD"/>
    <w:rsid w:val="00FD3D4C"/>
    <w:rsid w:val="00FD44FA"/>
    <w:rsid w:val="00FD4F10"/>
    <w:rsid w:val="00FD508D"/>
    <w:rsid w:val="00FD5A79"/>
    <w:rsid w:val="00FD5B64"/>
    <w:rsid w:val="00FD6319"/>
    <w:rsid w:val="00FD6B70"/>
    <w:rsid w:val="00FD6FE1"/>
    <w:rsid w:val="00FD7944"/>
    <w:rsid w:val="00FE0037"/>
    <w:rsid w:val="00FE06B0"/>
    <w:rsid w:val="00FE110F"/>
    <w:rsid w:val="00FE15D7"/>
    <w:rsid w:val="00FE20AE"/>
    <w:rsid w:val="00FE2C4A"/>
    <w:rsid w:val="00FE3047"/>
    <w:rsid w:val="00FE3B8B"/>
    <w:rsid w:val="00FE40A2"/>
    <w:rsid w:val="00FE426C"/>
    <w:rsid w:val="00FE4899"/>
    <w:rsid w:val="00FE4D34"/>
    <w:rsid w:val="00FE5081"/>
    <w:rsid w:val="00FE5AC1"/>
    <w:rsid w:val="00FE5E9A"/>
    <w:rsid w:val="00FE7092"/>
    <w:rsid w:val="00FE7431"/>
    <w:rsid w:val="00FE79E2"/>
    <w:rsid w:val="00FF2624"/>
    <w:rsid w:val="00FF27CD"/>
    <w:rsid w:val="00FF293F"/>
    <w:rsid w:val="00FF3C55"/>
    <w:rsid w:val="00FF46CC"/>
    <w:rsid w:val="00FF520A"/>
    <w:rsid w:val="00FF57B2"/>
    <w:rsid w:val="00FF5CE8"/>
    <w:rsid w:val="00FF5E58"/>
    <w:rsid w:val="00FF6780"/>
    <w:rsid w:val="00FF6DC7"/>
    <w:rsid w:val="00FF7091"/>
    <w:rsid w:val="00FF746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9366"/>
  <w15:chartTrackingRefBased/>
  <w15:docId w15:val="{0C9DBBFE-3E4E-42F2-AD39-AA98AEF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B1A"/>
  </w:style>
  <w:style w:type="paragraph" w:styleId="Nadpis1">
    <w:name w:val="heading 1"/>
    <w:basedOn w:val="Normln"/>
    <w:next w:val="Normln"/>
    <w:link w:val="Nadpis1Char"/>
    <w:uiPriority w:val="9"/>
    <w:qFormat/>
    <w:rsid w:val="00911445"/>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2">
    <w:name w:val="heading 2"/>
    <w:basedOn w:val="Normln"/>
    <w:next w:val="Normln"/>
    <w:link w:val="Nadpis2Char"/>
    <w:uiPriority w:val="9"/>
    <w:unhideWhenUsed/>
    <w:qFormat/>
    <w:rsid w:val="00F2080A"/>
    <w:pPr>
      <w:keepNext/>
      <w:keepLines/>
      <w:numPr>
        <w:numId w:val="3"/>
      </w:numPr>
      <w:spacing w:before="40" w:after="120"/>
      <w:jc w:val="both"/>
      <w:outlineLvl w:val="1"/>
    </w:pPr>
    <w:rPr>
      <w:rFonts w:eastAsiaTheme="majorEastAsia" w:cstheme="majorBidi"/>
      <w:b/>
      <w:sz w:val="24"/>
      <w:szCs w:val="26"/>
      <w:lang w:eastAsia="cs-CZ"/>
    </w:rPr>
  </w:style>
  <w:style w:type="paragraph" w:styleId="Nadpis3">
    <w:name w:val="heading 3"/>
    <w:basedOn w:val="Normln"/>
    <w:next w:val="Normln"/>
    <w:link w:val="Nadpis3Char"/>
    <w:uiPriority w:val="9"/>
    <w:unhideWhenUsed/>
    <w:qFormat/>
    <w:rsid w:val="001974B0"/>
    <w:pPr>
      <w:keepNext/>
      <w:keepLines/>
      <w:numPr>
        <w:ilvl w:val="1"/>
        <w:numId w:val="3"/>
      </w:numPr>
      <w:spacing w:before="40" w:after="120" w:line="240" w:lineRule="auto"/>
      <w:ind w:left="720"/>
      <w:jc w:val="both"/>
      <w:outlineLvl w:val="2"/>
    </w:pPr>
    <w:rPr>
      <w:rFonts w:eastAsiaTheme="majorEastAsia" w:cstheme="majorBidi"/>
      <w:b/>
      <w:bCs/>
      <w:color w:val="000000"/>
      <w:sz w:val="24"/>
      <w:szCs w:val="24"/>
      <w:lang w:eastAsia="cs-CZ"/>
    </w:rPr>
  </w:style>
  <w:style w:type="paragraph" w:styleId="Nadpis4">
    <w:name w:val="heading 4"/>
    <w:basedOn w:val="Normln"/>
    <w:next w:val="Normln"/>
    <w:link w:val="Nadpis4Char"/>
    <w:uiPriority w:val="9"/>
    <w:unhideWhenUsed/>
    <w:qFormat/>
    <w:rsid w:val="00A1758E"/>
    <w:pPr>
      <w:keepNext/>
      <w:keepLines/>
      <w:spacing w:after="240" w:line="240" w:lineRule="auto"/>
      <w:ind w:left="862" w:hanging="862"/>
      <w:outlineLvl w:val="3"/>
    </w:pPr>
    <w:rPr>
      <w:rFonts w:eastAsiaTheme="majorEastAsia" w:cstheme="minorHAnsi"/>
      <w:b/>
      <w:iCs/>
      <w:color w:val="000000" w:themeColor="text1"/>
      <w:sz w:val="24"/>
      <w:szCs w:val="24"/>
    </w:rPr>
  </w:style>
  <w:style w:type="paragraph" w:styleId="Nadpis5">
    <w:name w:val="heading 5"/>
    <w:basedOn w:val="Normln"/>
    <w:next w:val="Normln"/>
    <w:link w:val="Nadpis5Char"/>
    <w:uiPriority w:val="9"/>
    <w:semiHidden/>
    <w:unhideWhenUsed/>
    <w:qFormat/>
    <w:rsid w:val="00911445"/>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911445"/>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911445"/>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91144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144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445"/>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1974B0"/>
    <w:rPr>
      <w:rFonts w:eastAsiaTheme="majorEastAsia" w:cstheme="majorBidi"/>
      <w:b/>
      <w:bCs/>
      <w:color w:val="000000"/>
      <w:sz w:val="24"/>
      <w:szCs w:val="24"/>
      <w:lang w:eastAsia="cs-CZ"/>
    </w:rPr>
  </w:style>
  <w:style w:type="character" w:customStyle="1" w:styleId="Nadpis4Char">
    <w:name w:val="Nadpis 4 Char"/>
    <w:basedOn w:val="Standardnpsmoodstavce"/>
    <w:link w:val="Nadpis4"/>
    <w:uiPriority w:val="9"/>
    <w:rsid w:val="00A1758E"/>
    <w:rPr>
      <w:rFonts w:eastAsiaTheme="majorEastAsia" w:cstheme="minorHAnsi"/>
      <w:b/>
      <w:iCs/>
      <w:color w:val="000000" w:themeColor="text1"/>
      <w:sz w:val="24"/>
      <w:szCs w:val="24"/>
    </w:rPr>
  </w:style>
  <w:style w:type="character" w:customStyle="1" w:styleId="Nadpis5Char">
    <w:name w:val="Nadpis 5 Char"/>
    <w:basedOn w:val="Standardnpsmoodstavce"/>
    <w:link w:val="Nadpis5"/>
    <w:uiPriority w:val="9"/>
    <w:semiHidden/>
    <w:rsid w:val="00911445"/>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11445"/>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1144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114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1445"/>
    <w:rPr>
      <w:rFonts w:asciiTheme="majorHAnsi" w:eastAsiaTheme="majorEastAsia" w:hAnsiTheme="majorHAnsi" w:cstheme="majorBidi"/>
      <w:i/>
      <w:iCs/>
      <w:color w:val="272727" w:themeColor="text1" w:themeTint="D8"/>
      <w:sz w:val="21"/>
      <w:szCs w:val="21"/>
    </w:rPr>
  </w:style>
  <w:style w:type="paragraph" w:styleId="Textpoznpodarou">
    <w:name w:val="footnote text"/>
    <w:aliases w:val="Text pozn. pod čarou Char Char,Text pozn. pod čarou Char Char Char Char,Text pozn. pod čarou Char1,Text pozn. pod čarou Char1 Char Char,Text pozn. pod čarou Char1 Char Char Char Char,poznamky_pod_carou,studie-poznámka pod čarou,Char"/>
    <w:basedOn w:val="Normln"/>
    <w:link w:val="TextpoznpodarouChar"/>
    <w:uiPriority w:val="99"/>
    <w:unhideWhenUsed/>
    <w:qFormat/>
    <w:rsid w:val="004058E2"/>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 pod čarou Char Char Char,Text pozn. pod čarou Char Char Char Char Char,Text pozn. pod čarou Char1 Char,Text pozn. pod čarou Char1 Char Char Char,Text pozn. pod čarou Char1 Char Char Char Char Char,Char Char"/>
    <w:basedOn w:val="Standardnpsmoodstavce"/>
    <w:link w:val="Textpoznpodarou"/>
    <w:uiPriority w:val="99"/>
    <w:qFormat/>
    <w:rsid w:val="004058E2"/>
    <w:rPr>
      <w:rFonts w:ascii="Times New Roman" w:eastAsia="Times New Roman" w:hAnsi="Times New Roman" w:cs="Times New Roman"/>
      <w:sz w:val="20"/>
      <w:szCs w:val="20"/>
    </w:rPr>
  </w:style>
  <w:style w:type="character" w:styleId="Znakapoznpodarou">
    <w:name w:val="footnote reference"/>
    <w:aliases w:val=" Char1,Char1,EN Footnote Reference,EN Footnote text,Exposant 3 Point,Footnote,Footnote Refernece,Footnote number,Footnote reference number,Footnote symbol,Fussnota,Nota,Ref,SUPERS,Times 10 Point,de nota al pie,note TESI,4_G,12 b."/>
    <w:basedOn w:val="Standardnpsmoodstavce"/>
    <w:link w:val="BVIfnrCharChar"/>
    <w:uiPriority w:val="99"/>
    <w:unhideWhenUsed/>
    <w:qFormat/>
    <w:rsid w:val="004058E2"/>
    <w:rPr>
      <w:vertAlign w:val="superscript"/>
    </w:rPr>
  </w:style>
  <w:style w:type="paragraph" w:customStyle="1" w:styleId="Odrka1">
    <w:name w:val="Odrážka 1"/>
    <w:basedOn w:val="Normln"/>
    <w:qFormat/>
    <w:rsid w:val="00647F54"/>
    <w:pPr>
      <w:numPr>
        <w:numId w:val="2"/>
      </w:numPr>
      <w:spacing w:after="120" w:line="240" w:lineRule="auto"/>
      <w:jc w:val="both"/>
    </w:pPr>
    <w:rPr>
      <w:rFonts w:ascii="Calibri" w:hAnsi="Calibri"/>
      <w:sz w:val="24"/>
    </w:rPr>
  </w:style>
  <w:style w:type="paragraph" w:styleId="Odstavecseseznamem">
    <w:name w:val="List Paragraph"/>
    <w:aliases w:val="Bullet List,Bullet Number,Conclusion de partie,FooterText,List Paragraph1,List Paragraph_0,NAKIT List Paragraph,Nad,Nadpis pro KZ,Název grafu,Odstavec_muj,Paragraphe de liste1,cp_Odstavec se seznamem,nad 1,numbered,odrážky,列出段落,Nad1"/>
    <w:basedOn w:val="Normln"/>
    <w:link w:val="OdstavecseseznamemChar"/>
    <w:uiPriority w:val="34"/>
    <w:qFormat/>
    <w:rsid w:val="00647F54"/>
    <w:pPr>
      <w:ind w:left="720"/>
      <w:contextualSpacing/>
    </w:pPr>
  </w:style>
  <w:style w:type="paragraph" w:styleId="Textbubliny">
    <w:name w:val="Balloon Text"/>
    <w:basedOn w:val="Normln"/>
    <w:link w:val="TextbublinyChar"/>
    <w:uiPriority w:val="99"/>
    <w:semiHidden/>
    <w:unhideWhenUsed/>
    <w:rsid w:val="008A5D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C6"/>
    <w:rPr>
      <w:rFonts w:ascii="Segoe UI" w:hAnsi="Segoe UI" w:cs="Segoe UI"/>
      <w:sz w:val="18"/>
      <w:szCs w:val="18"/>
    </w:rPr>
  </w:style>
  <w:style w:type="paragraph" w:styleId="Zhlav">
    <w:name w:val="header"/>
    <w:basedOn w:val="Normln"/>
    <w:link w:val="ZhlavChar"/>
    <w:uiPriority w:val="99"/>
    <w:unhideWhenUsed/>
    <w:rsid w:val="00755F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FBD"/>
  </w:style>
  <w:style w:type="paragraph" w:styleId="Zpat">
    <w:name w:val="footer"/>
    <w:basedOn w:val="Normln"/>
    <w:link w:val="ZpatChar"/>
    <w:uiPriority w:val="99"/>
    <w:unhideWhenUsed/>
    <w:rsid w:val="00755FB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FBD"/>
  </w:style>
  <w:style w:type="paragraph" w:styleId="Normlnweb">
    <w:name w:val="Normal (Web)"/>
    <w:basedOn w:val="Normln"/>
    <w:uiPriority w:val="99"/>
    <w:unhideWhenUsed/>
    <w:rsid w:val="00731E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
    <w:name w:val="Základní text_"/>
    <w:basedOn w:val="Standardnpsmoodstavce"/>
    <w:link w:val="Zkladntext1"/>
    <w:rsid w:val="00C9542C"/>
    <w:rPr>
      <w:rFonts w:ascii="Calibri" w:eastAsia="Calibri" w:hAnsi="Calibri" w:cs="Calibri"/>
      <w:sz w:val="24"/>
      <w:szCs w:val="24"/>
      <w:shd w:val="clear" w:color="auto" w:fill="FFFFFF"/>
    </w:rPr>
  </w:style>
  <w:style w:type="paragraph" w:customStyle="1" w:styleId="Zkladntext1">
    <w:name w:val="Základní text1"/>
    <w:basedOn w:val="Normln"/>
    <w:link w:val="Zkladntext"/>
    <w:rsid w:val="00C9542C"/>
    <w:pPr>
      <w:widowControl w:val="0"/>
      <w:shd w:val="clear" w:color="auto" w:fill="FFFFFF"/>
      <w:spacing w:after="100" w:line="240" w:lineRule="auto"/>
      <w:jc w:val="both"/>
    </w:pPr>
    <w:rPr>
      <w:rFonts w:ascii="Calibri" w:eastAsia="Calibri" w:hAnsi="Calibri" w:cs="Calibri"/>
      <w:sz w:val="24"/>
      <w:szCs w:val="24"/>
    </w:rPr>
  </w:style>
  <w:style w:type="character" w:customStyle="1" w:styleId="Zkladntext4">
    <w:name w:val="Základní text (4)_"/>
    <w:basedOn w:val="Standardnpsmoodstavce"/>
    <w:link w:val="Zkladntext40"/>
    <w:rsid w:val="00266DE2"/>
    <w:rPr>
      <w:rFonts w:ascii="Times New Roman" w:eastAsia="Times New Roman" w:hAnsi="Times New Roman" w:cs="Times New Roman"/>
      <w:color w:val="403871"/>
      <w:sz w:val="92"/>
      <w:szCs w:val="92"/>
      <w:shd w:val="clear" w:color="auto" w:fill="FFFFFF"/>
    </w:rPr>
  </w:style>
  <w:style w:type="paragraph" w:customStyle="1" w:styleId="Zkladntext40">
    <w:name w:val="Základní text (4)"/>
    <w:basedOn w:val="Normln"/>
    <w:link w:val="Zkladntext4"/>
    <w:rsid w:val="00266DE2"/>
    <w:pPr>
      <w:widowControl w:val="0"/>
      <w:shd w:val="clear" w:color="auto" w:fill="FFFFFF"/>
      <w:spacing w:after="0" w:line="240" w:lineRule="auto"/>
    </w:pPr>
    <w:rPr>
      <w:rFonts w:ascii="Times New Roman" w:eastAsia="Times New Roman" w:hAnsi="Times New Roman" w:cs="Times New Roman"/>
      <w:color w:val="403871"/>
      <w:sz w:val="92"/>
      <w:szCs w:val="92"/>
    </w:rPr>
  </w:style>
  <w:style w:type="character" w:styleId="Odkaznakoment">
    <w:name w:val="annotation reference"/>
    <w:basedOn w:val="Standardnpsmoodstavce"/>
    <w:uiPriority w:val="99"/>
    <w:semiHidden/>
    <w:unhideWhenUsed/>
    <w:rsid w:val="00227A6B"/>
    <w:rPr>
      <w:sz w:val="16"/>
      <w:szCs w:val="16"/>
    </w:rPr>
  </w:style>
  <w:style w:type="paragraph" w:styleId="Textkomente">
    <w:name w:val="annotation text"/>
    <w:basedOn w:val="Normln"/>
    <w:link w:val="TextkomenteChar"/>
    <w:uiPriority w:val="99"/>
    <w:unhideWhenUsed/>
    <w:rsid w:val="00227A6B"/>
    <w:pPr>
      <w:spacing w:line="240" w:lineRule="auto"/>
    </w:pPr>
    <w:rPr>
      <w:sz w:val="20"/>
      <w:szCs w:val="20"/>
    </w:rPr>
  </w:style>
  <w:style w:type="character" w:customStyle="1" w:styleId="TextkomenteChar">
    <w:name w:val="Text komentáře Char"/>
    <w:basedOn w:val="Standardnpsmoodstavce"/>
    <w:link w:val="Textkomente"/>
    <w:uiPriority w:val="99"/>
    <w:rsid w:val="00227A6B"/>
    <w:rPr>
      <w:sz w:val="20"/>
      <w:szCs w:val="20"/>
    </w:rPr>
  </w:style>
  <w:style w:type="paragraph" w:styleId="Pedmtkomente">
    <w:name w:val="annotation subject"/>
    <w:basedOn w:val="Textkomente"/>
    <w:next w:val="Textkomente"/>
    <w:link w:val="PedmtkomenteChar"/>
    <w:uiPriority w:val="99"/>
    <w:semiHidden/>
    <w:unhideWhenUsed/>
    <w:rsid w:val="00227A6B"/>
    <w:rPr>
      <w:b/>
      <w:bCs/>
    </w:rPr>
  </w:style>
  <w:style w:type="character" w:customStyle="1" w:styleId="PedmtkomenteChar">
    <w:name w:val="Předmět komentáře Char"/>
    <w:basedOn w:val="TextkomenteChar"/>
    <w:link w:val="Pedmtkomente"/>
    <w:uiPriority w:val="99"/>
    <w:semiHidden/>
    <w:rsid w:val="00227A6B"/>
    <w:rPr>
      <w:b/>
      <w:bCs/>
      <w:sz w:val="20"/>
      <w:szCs w:val="20"/>
    </w:rPr>
  </w:style>
  <w:style w:type="character" w:customStyle="1" w:styleId="OdstavecseseznamemChar">
    <w:name w:val="Odstavec se seznamem Char"/>
    <w:aliases w:val="Bullet List Char,Bullet Number Char,Conclusion de partie Char,FooterText Char,List Paragraph1 Char,List Paragraph_0 Char,NAKIT List Paragraph Char,Nad Char,Nadpis pro KZ Char,Název grafu Char,Odstavec_muj Char,nad 1 Char"/>
    <w:link w:val="Odstavecseseznamem"/>
    <w:uiPriority w:val="34"/>
    <w:qFormat/>
    <w:rsid w:val="00BC1D34"/>
  </w:style>
  <w:style w:type="table" w:styleId="Mkatabulky">
    <w:name w:val="Table Grid"/>
    <w:basedOn w:val="Normlntabulka"/>
    <w:uiPriority w:val="59"/>
    <w:rsid w:val="00B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97848"/>
    <w:pPr>
      <w:spacing w:after="200" w:line="240" w:lineRule="auto"/>
    </w:pPr>
    <w:rPr>
      <w:i/>
      <w:iCs/>
      <w:color w:val="44546A" w:themeColor="text2"/>
      <w:sz w:val="18"/>
      <w:szCs w:val="18"/>
    </w:rPr>
  </w:style>
  <w:style w:type="character" w:customStyle="1" w:styleId="Nadpis2Char">
    <w:name w:val="Nadpis 2 Char"/>
    <w:basedOn w:val="Standardnpsmoodstavce"/>
    <w:link w:val="Nadpis2"/>
    <w:uiPriority w:val="9"/>
    <w:rsid w:val="00F2080A"/>
    <w:rPr>
      <w:rFonts w:eastAsiaTheme="majorEastAsia" w:cstheme="majorBidi"/>
      <w:b/>
      <w:sz w:val="24"/>
      <w:szCs w:val="26"/>
      <w:lang w:eastAsia="cs-CZ"/>
    </w:rPr>
  </w:style>
  <w:style w:type="character" w:styleId="Hypertextovodkaz">
    <w:name w:val="Hyperlink"/>
    <w:basedOn w:val="Standardnpsmoodstavce"/>
    <w:uiPriority w:val="99"/>
    <w:unhideWhenUsed/>
    <w:rsid w:val="002919E8"/>
    <w:rPr>
      <w:color w:val="0563C1" w:themeColor="hyperlink"/>
      <w:u w:val="single"/>
    </w:rPr>
  </w:style>
  <w:style w:type="character" w:styleId="Nevyeenzmnka">
    <w:name w:val="Unresolved Mention"/>
    <w:basedOn w:val="Standardnpsmoodstavce"/>
    <w:uiPriority w:val="99"/>
    <w:semiHidden/>
    <w:unhideWhenUsed/>
    <w:rsid w:val="002919E8"/>
    <w:rPr>
      <w:color w:val="605E5C"/>
      <w:shd w:val="clear" w:color="auto" w:fill="E1DFDD"/>
    </w:rPr>
  </w:style>
  <w:style w:type="paragraph" w:customStyle="1" w:styleId="Tabulka">
    <w:name w:val="Tabulka č."/>
    <w:basedOn w:val="Normln"/>
    <w:link w:val="TabulkaChar"/>
    <w:autoRedefine/>
    <w:qFormat/>
    <w:rsid w:val="00D91FFC"/>
    <w:pPr>
      <w:keepNext/>
      <w:spacing w:after="40" w:line="240" w:lineRule="auto"/>
      <w:ind w:left="1418" w:hanging="1418"/>
      <w:jc w:val="both"/>
    </w:pPr>
    <w:rPr>
      <w:rFonts w:ascii="Calibri" w:eastAsia="Calibri" w:hAnsi="Calibri"/>
      <w:b/>
      <w:sz w:val="24"/>
      <w:szCs w:val="24"/>
    </w:rPr>
  </w:style>
  <w:style w:type="character" w:customStyle="1" w:styleId="TabulkaChar">
    <w:name w:val="Tabulka č. Char"/>
    <w:basedOn w:val="Standardnpsmoodstavce"/>
    <w:link w:val="Tabulka"/>
    <w:rsid w:val="00D91FFC"/>
    <w:rPr>
      <w:rFonts w:ascii="Calibri" w:eastAsia="Calibri" w:hAnsi="Calibri"/>
      <w:b/>
      <w:sz w:val="24"/>
      <w:szCs w:val="24"/>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662358"/>
    <w:pPr>
      <w:spacing w:line="240" w:lineRule="exact"/>
      <w:jc w:val="both"/>
    </w:pPr>
    <w:rPr>
      <w:vertAlign w:val="superscript"/>
    </w:rPr>
  </w:style>
  <w:style w:type="character" w:customStyle="1" w:styleId="A1">
    <w:name w:val="A1"/>
    <w:uiPriority w:val="99"/>
    <w:rsid w:val="00662358"/>
    <w:rPr>
      <w:color w:val="000000"/>
      <w:sz w:val="28"/>
      <w:szCs w:val="28"/>
    </w:rPr>
  </w:style>
  <w:style w:type="character" w:styleId="Siln">
    <w:name w:val="Strong"/>
    <w:basedOn w:val="Standardnpsmoodstavce"/>
    <w:uiPriority w:val="22"/>
    <w:qFormat/>
    <w:rsid w:val="001E6A85"/>
    <w:rPr>
      <w:b/>
      <w:bCs/>
    </w:rPr>
  </w:style>
  <w:style w:type="character" w:customStyle="1" w:styleId="A3">
    <w:name w:val="A3"/>
    <w:uiPriority w:val="99"/>
    <w:rsid w:val="00D0088E"/>
    <w:rPr>
      <w:color w:val="000000"/>
      <w:sz w:val="16"/>
      <w:szCs w:val="16"/>
    </w:rPr>
  </w:style>
  <w:style w:type="paragraph" w:customStyle="1" w:styleId="NadpisKZ">
    <w:name w:val="Nadpis KZ"/>
    <w:basedOn w:val="Nadpis1"/>
    <w:next w:val="Normln"/>
    <w:link w:val="NadpisKZChar"/>
    <w:qFormat/>
    <w:rsid w:val="00115967"/>
    <w:pPr>
      <w:numPr>
        <w:numId w:val="4"/>
      </w:numPr>
      <w:tabs>
        <w:tab w:val="left" w:pos="360"/>
      </w:tabs>
      <w:spacing w:before="0"/>
      <w:jc w:val="both"/>
    </w:pPr>
    <w:rPr>
      <w:szCs w:val="24"/>
    </w:rPr>
  </w:style>
  <w:style w:type="table" w:customStyle="1" w:styleId="Mkatabulky1">
    <w:name w:val="Mřížka tabulky1"/>
    <w:basedOn w:val="Normlntabulka"/>
    <w:next w:val="Mkatabulky"/>
    <w:uiPriority w:val="39"/>
    <w:rsid w:val="0079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KZChar">
    <w:name w:val="Nadpis KZ Char"/>
    <w:basedOn w:val="OdstavecseseznamemChar"/>
    <w:link w:val="NadpisKZ"/>
    <w:rsid w:val="00115967"/>
    <w:rPr>
      <w:rFonts w:eastAsia="Times New Roman" w:cstheme="minorHAnsi"/>
      <w:b/>
      <w:color w:val="000000"/>
      <w:sz w:val="24"/>
      <w:szCs w:val="24"/>
      <w:lang w:eastAsia="cs-CZ"/>
    </w:rPr>
  </w:style>
  <w:style w:type="paragraph" w:customStyle="1" w:styleId="text">
    <w:name w:val="text"/>
    <w:basedOn w:val="Normln"/>
    <w:uiPriority w:val="99"/>
    <w:rsid w:val="00790A01"/>
    <w:pPr>
      <w:spacing w:before="120" w:after="0" w:line="240" w:lineRule="auto"/>
      <w:ind w:firstLine="357"/>
      <w:jc w:val="both"/>
    </w:pPr>
    <w:rPr>
      <w:rFonts w:ascii="Times New Roman" w:eastAsia="Times New Roman" w:hAnsi="Times New Roman" w:cs="Times New Roman"/>
      <w:noProof/>
      <w:sz w:val="24"/>
      <w:szCs w:val="24"/>
      <w:lang w:eastAsia="cs-CZ"/>
    </w:rPr>
  </w:style>
  <w:style w:type="paragraph" w:customStyle="1" w:styleId="Default">
    <w:name w:val="Default"/>
    <w:rsid w:val="000F029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237A56"/>
    <w:pPr>
      <w:spacing w:after="0" w:line="240" w:lineRule="auto"/>
    </w:pPr>
  </w:style>
  <w:style w:type="paragraph" w:styleId="Revize">
    <w:name w:val="Revision"/>
    <w:hidden/>
    <w:uiPriority w:val="99"/>
    <w:semiHidden/>
    <w:rsid w:val="004E730C"/>
    <w:pPr>
      <w:spacing w:after="0" w:line="240" w:lineRule="auto"/>
    </w:pPr>
  </w:style>
  <w:style w:type="paragraph" w:styleId="Podnadpis">
    <w:name w:val="Subtitle"/>
    <w:basedOn w:val="Odstavecseseznamem"/>
    <w:next w:val="Normln"/>
    <w:link w:val="PodnadpisChar"/>
    <w:uiPriority w:val="11"/>
    <w:qFormat/>
    <w:rsid w:val="00D36E9D"/>
    <w:pPr>
      <w:numPr>
        <w:numId w:val="10"/>
      </w:numPr>
      <w:spacing w:after="120" w:line="240" w:lineRule="auto"/>
      <w:ind w:left="567" w:hanging="720"/>
      <w:jc w:val="both"/>
    </w:pPr>
    <w:rPr>
      <w:rFonts w:eastAsia="Times New Roman" w:cstheme="minorHAnsi"/>
      <w:i/>
    </w:rPr>
  </w:style>
  <w:style w:type="character" w:customStyle="1" w:styleId="PodnadpisChar">
    <w:name w:val="Podnadpis Char"/>
    <w:basedOn w:val="Standardnpsmoodstavce"/>
    <w:link w:val="Podnadpis"/>
    <w:uiPriority w:val="11"/>
    <w:rsid w:val="00D36E9D"/>
    <w:rPr>
      <w:rFonts w:eastAsia="Times New Roman" w:cstheme="minorHAnsi"/>
      <w:i/>
    </w:rPr>
  </w:style>
  <w:style w:type="paragraph" w:customStyle="1" w:styleId="Pa18">
    <w:name w:val="Pa18"/>
    <w:basedOn w:val="Normln"/>
    <w:next w:val="Normln"/>
    <w:uiPriority w:val="99"/>
    <w:rsid w:val="000E5A36"/>
    <w:pPr>
      <w:autoSpaceDE w:val="0"/>
      <w:autoSpaceDN w:val="0"/>
      <w:adjustRightInd w:val="0"/>
      <w:spacing w:after="0" w:line="211" w:lineRule="atLeast"/>
    </w:pPr>
    <w:rPr>
      <w:rFonts w:ascii="Calibri" w:eastAsia="Times New Roman" w:hAnsi="Calibri" w:cs="Times New Roman"/>
      <w:sz w:val="24"/>
      <w:szCs w:val="24"/>
      <w:lang w:eastAsia="cs-CZ"/>
    </w:rPr>
  </w:style>
  <w:style w:type="paragraph" w:customStyle="1" w:styleId="Pa19">
    <w:name w:val="Pa19"/>
    <w:basedOn w:val="Normln"/>
    <w:next w:val="Normln"/>
    <w:uiPriority w:val="99"/>
    <w:rsid w:val="000E5A36"/>
    <w:pPr>
      <w:autoSpaceDE w:val="0"/>
      <w:autoSpaceDN w:val="0"/>
      <w:adjustRightInd w:val="0"/>
      <w:spacing w:after="0" w:line="211" w:lineRule="atLeast"/>
    </w:pPr>
    <w:rPr>
      <w:rFonts w:ascii="Calibri" w:eastAsia="Times New Roman" w:hAnsi="Calibri" w:cs="Times New Roman"/>
      <w:sz w:val="24"/>
      <w:szCs w:val="24"/>
      <w:lang w:eastAsia="cs-CZ"/>
    </w:rPr>
  </w:style>
  <w:style w:type="character" w:customStyle="1" w:styleId="A14">
    <w:name w:val="A14"/>
    <w:uiPriority w:val="99"/>
    <w:rsid w:val="000E5A36"/>
    <w:rPr>
      <w:b/>
      <w:bCs w:val="0"/>
      <w:color w:val="000000"/>
      <w:sz w:val="54"/>
    </w:rPr>
  </w:style>
  <w:style w:type="paragraph" w:customStyle="1" w:styleId="NormlnKZ">
    <w:name w:val="Normální KZ"/>
    <w:basedOn w:val="Normln"/>
    <w:rsid w:val="000E5A36"/>
    <w:pPr>
      <w:spacing w:after="120" w:line="240" w:lineRule="auto"/>
      <w:ind w:firstLine="425"/>
      <w:jc w:val="both"/>
    </w:pPr>
    <w:rPr>
      <w:rFonts w:ascii="Calibri Light" w:eastAsia="Times New Roman" w:hAnsi="Calibri Light" w:cs="Times New Roman"/>
      <w:color w:val="000000" w:themeColor="text1"/>
      <w:sz w:val="24"/>
      <w:szCs w:val="24"/>
      <w:lang w:eastAsia="cs-CZ"/>
    </w:rPr>
  </w:style>
  <w:style w:type="character" w:styleId="Sledovanodkaz">
    <w:name w:val="FollowedHyperlink"/>
    <w:basedOn w:val="Standardnpsmoodstavce"/>
    <w:uiPriority w:val="99"/>
    <w:semiHidden/>
    <w:unhideWhenUsed/>
    <w:rsid w:val="003F4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894">
      <w:bodyDiv w:val="1"/>
      <w:marLeft w:val="0"/>
      <w:marRight w:val="0"/>
      <w:marTop w:val="0"/>
      <w:marBottom w:val="0"/>
      <w:divBdr>
        <w:top w:val="none" w:sz="0" w:space="0" w:color="auto"/>
        <w:left w:val="none" w:sz="0" w:space="0" w:color="auto"/>
        <w:bottom w:val="none" w:sz="0" w:space="0" w:color="auto"/>
        <w:right w:val="none" w:sz="0" w:space="0" w:color="auto"/>
      </w:divBdr>
    </w:div>
    <w:div w:id="13849231">
      <w:bodyDiv w:val="1"/>
      <w:marLeft w:val="0"/>
      <w:marRight w:val="0"/>
      <w:marTop w:val="0"/>
      <w:marBottom w:val="0"/>
      <w:divBdr>
        <w:top w:val="none" w:sz="0" w:space="0" w:color="auto"/>
        <w:left w:val="none" w:sz="0" w:space="0" w:color="auto"/>
        <w:bottom w:val="none" w:sz="0" w:space="0" w:color="auto"/>
        <w:right w:val="none" w:sz="0" w:space="0" w:color="auto"/>
      </w:divBdr>
    </w:div>
    <w:div w:id="25369336">
      <w:bodyDiv w:val="1"/>
      <w:marLeft w:val="0"/>
      <w:marRight w:val="0"/>
      <w:marTop w:val="0"/>
      <w:marBottom w:val="0"/>
      <w:divBdr>
        <w:top w:val="none" w:sz="0" w:space="0" w:color="auto"/>
        <w:left w:val="none" w:sz="0" w:space="0" w:color="auto"/>
        <w:bottom w:val="none" w:sz="0" w:space="0" w:color="auto"/>
        <w:right w:val="none" w:sz="0" w:space="0" w:color="auto"/>
      </w:divBdr>
    </w:div>
    <w:div w:id="48192436">
      <w:bodyDiv w:val="1"/>
      <w:marLeft w:val="0"/>
      <w:marRight w:val="0"/>
      <w:marTop w:val="0"/>
      <w:marBottom w:val="0"/>
      <w:divBdr>
        <w:top w:val="none" w:sz="0" w:space="0" w:color="auto"/>
        <w:left w:val="none" w:sz="0" w:space="0" w:color="auto"/>
        <w:bottom w:val="none" w:sz="0" w:space="0" w:color="auto"/>
        <w:right w:val="none" w:sz="0" w:space="0" w:color="auto"/>
      </w:divBdr>
    </w:div>
    <w:div w:id="92016391">
      <w:bodyDiv w:val="1"/>
      <w:marLeft w:val="0"/>
      <w:marRight w:val="0"/>
      <w:marTop w:val="0"/>
      <w:marBottom w:val="0"/>
      <w:divBdr>
        <w:top w:val="none" w:sz="0" w:space="0" w:color="auto"/>
        <w:left w:val="none" w:sz="0" w:space="0" w:color="auto"/>
        <w:bottom w:val="none" w:sz="0" w:space="0" w:color="auto"/>
        <w:right w:val="none" w:sz="0" w:space="0" w:color="auto"/>
      </w:divBdr>
    </w:div>
    <w:div w:id="92820275">
      <w:bodyDiv w:val="1"/>
      <w:marLeft w:val="0"/>
      <w:marRight w:val="0"/>
      <w:marTop w:val="0"/>
      <w:marBottom w:val="0"/>
      <w:divBdr>
        <w:top w:val="none" w:sz="0" w:space="0" w:color="auto"/>
        <w:left w:val="none" w:sz="0" w:space="0" w:color="auto"/>
        <w:bottom w:val="none" w:sz="0" w:space="0" w:color="auto"/>
        <w:right w:val="none" w:sz="0" w:space="0" w:color="auto"/>
      </w:divBdr>
    </w:div>
    <w:div w:id="96290889">
      <w:bodyDiv w:val="1"/>
      <w:marLeft w:val="0"/>
      <w:marRight w:val="0"/>
      <w:marTop w:val="0"/>
      <w:marBottom w:val="0"/>
      <w:divBdr>
        <w:top w:val="none" w:sz="0" w:space="0" w:color="auto"/>
        <w:left w:val="none" w:sz="0" w:space="0" w:color="auto"/>
        <w:bottom w:val="none" w:sz="0" w:space="0" w:color="auto"/>
        <w:right w:val="none" w:sz="0" w:space="0" w:color="auto"/>
      </w:divBdr>
    </w:div>
    <w:div w:id="148836656">
      <w:bodyDiv w:val="1"/>
      <w:marLeft w:val="0"/>
      <w:marRight w:val="0"/>
      <w:marTop w:val="0"/>
      <w:marBottom w:val="0"/>
      <w:divBdr>
        <w:top w:val="none" w:sz="0" w:space="0" w:color="auto"/>
        <w:left w:val="none" w:sz="0" w:space="0" w:color="auto"/>
        <w:bottom w:val="none" w:sz="0" w:space="0" w:color="auto"/>
        <w:right w:val="none" w:sz="0" w:space="0" w:color="auto"/>
      </w:divBdr>
    </w:div>
    <w:div w:id="187908960">
      <w:bodyDiv w:val="1"/>
      <w:marLeft w:val="0"/>
      <w:marRight w:val="0"/>
      <w:marTop w:val="0"/>
      <w:marBottom w:val="0"/>
      <w:divBdr>
        <w:top w:val="none" w:sz="0" w:space="0" w:color="auto"/>
        <w:left w:val="none" w:sz="0" w:space="0" w:color="auto"/>
        <w:bottom w:val="none" w:sz="0" w:space="0" w:color="auto"/>
        <w:right w:val="none" w:sz="0" w:space="0" w:color="auto"/>
      </w:divBdr>
    </w:div>
    <w:div w:id="192811221">
      <w:bodyDiv w:val="1"/>
      <w:marLeft w:val="0"/>
      <w:marRight w:val="0"/>
      <w:marTop w:val="0"/>
      <w:marBottom w:val="0"/>
      <w:divBdr>
        <w:top w:val="none" w:sz="0" w:space="0" w:color="auto"/>
        <w:left w:val="none" w:sz="0" w:space="0" w:color="auto"/>
        <w:bottom w:val="none" w:sz="0" w:space="0" w:color="auto"/>
        <w:right w:val="none" w:sz="0" w:space="0" w:color="auto"/>
      </w:divBdr>
    </w:div>
    <w:div w:id="207305755">
      <w:bodyDiv w:val="1"/>
      <w:marLeft w:val="0"/>
      <w:marRight w:val="0"/>
      <w:marTop w:val="0"/>
      <w:marBottom w:val="0"/>
      <w:divBdr>
        <w:top w:val="none" w:sz="0" w:space="0" w:color="auto"/>
        <w:left w:val="none" w:sz="0" w:space="0" w:color="auto"/>
        <w:bottom w:val="none" w:sz="0" w:space="0" w:color="auto"/>
        <w:right w:val="none" w:sz="0" w:space="0" w:color="auto"/>
      </w:divBdr>
    </w:div>
    <w:div w:id="208424185">
      <w:bodyDiv w:val="1"/>
      <w:marLeft w:val="0"/>
      <w:marRight w:val="0"/>
      <w:marTop w:val="0"/>
      <w:marBottom w:val="0"/>
      <w:divBdr>
        <w:top w:val="none" w:sz="0" w:space="0" w:color="auto"/>
        <w:left w:val="none" w:sz="0" w:space="0" w:color="auto"/>
        <w:bottom w:val="none" w:sz="0" w:space="0" w:color="auto"/>
        <w:right w:val="none" w:sz="0" w:space="0" w:color="auto"/>
      </w:divBdr>
    </w:div>
    <w:div w:id="210271305">
      <w:bodyDiv w:val="1"/>
      <w:marLeft w:val="0"/>
      <w:marRight w:val="0"/>
      <w:marTop w:val="0"/>
      <w:marBottom w:val="0"/>
      <w:divBdr>
        <w:top w:val="none" w:sz="0" w:space="0" w:color="auto"/>
        <w:left w:val="none" w:sz="0" w:space="0" w:color="auto"/>
        <w:bottom w:val="none" w:sz="0" w:space="0" w:color="auto"/>
        <w:right w:val="none" w:sz="0" w:space="0" w:color="auto"/>
      </w:divBdr>
    </w:div>
    <w:div w:id="232357639">
      <w:bodyDiv w:val="1"/>
      <w:marLeft w:val="0"/>
      <w:marRight w:val="0"/>
      <w:marTop w:val="0"/>
      <w:marBottom w:val="0"/>
      <w:divBdr>
        <w:top w:val="none" w:sz="0" w:space="0" w:color="auto"/>
        <w:left w:val="none" w:sz="0" w:space="0" w:color="auto"/>
        <w:bottom w:val="none" w:sz="0" w:space="0" w:color="auto"/>
        <w:right w:val="none" w:sz="0" w:space="0" w:color="auto"/>
      </w:divBdr>
    </w:div>
    <w:div w:id="233010104">
      <w:bodyDiv w:val="1"/>
      <w:marLeft w:val="0"/>
      <w:marRight w:val="0"/>
      <w:marTop w:val="0"/>
      <w:marBottom w:val="0"/>
      <w:divBdr>
        <w:top w:val="none" w:sz="0" w:space="0" w:color="auto"/>
        <w:left w:val="none" w:sz="0" w:space="0" w:color="auto"/>
        <w:bottom w:val="none" w:sz="0" w:space="0" w:color="auto"/>
        <w:right w:val="none" w:sz="0" w:space="0" w:color="auto"/>
      </w:divBdr>
    </w:div>
    <w:div w:id="234514776">
      <w:bodyDiv w:val="1"/>
      <w:marLeft w:val="0"/>
      <w:marRight w:val="0"/>
      <w:marTop w:val="0"/>
      <w:marBottom w:val="0"/>
      <w:divBdr>
        <w:top w:val="none" w:sz="0" w:space="0" w:color="auto"/>
        <w:left w:val="none" w:sz="0" w:space="0" w:color="auto"/>
        <w:bottom w:val="none" w:sz="0" w:space="0" w:color="auto"/>
        <w:right w:val="none" w:sz="0" w:space="0" w:color="auto"/>
      </w:divBdr>
    </w:div>
    <w:div w:id="265426265">
      <w:bodyDiv w:val="1"/>
      <w:marLeft w:val="0"/>
      <w:marRight w:val="0"/>
      <w:marTop w:val="0"/>
      <w:marBottom w:val="0"/>
      <w:divBdr>
        <w:top w:val="none" w:sz="0" w:space="0" w:color="auto"/>
        <w:left w:val="none" w:sz="0" w:space="0" w:color="auto"/>
        <w:bottom w:val="none" w:sz="0" w:space="0" w:color="auto"/>
        <w:right w:val="none" w:sz="0" w:space="0" w:color="auto"/>
      </w:divBdr>
    </w:div>
    <w:div w:id="280692096">
      <w:bodyDiv w:val="1"/>
      <w:marLeft w:val="0"/>
      <w:marRight w:val="0"/>
      <w:marTop w:val="0"/>
      <w:marBottom w:val="0"/>
      <w:divBdr>
        <w:top w:val="none" w:sz="0" w:space="0" w:color="auto"/>
        <w:left w:val="none" w:sz="0" w:space="0" w:color="auto"/>
        <w:bottom w:val="none" w:sz="0" w:space="0" w:color="auto"/>
        <w:right w:val="none" w:sz="0" w:space="0" w:color="auto"/>
      </w:divBdr>
      <w:divsChild>
        <w:div w:id="1443916304">
          <w:marLeft w:val="547"/>
          <w:marRight w:val="0"/>
          <w:marTop w:val="0"/>
          <w:marBottom w:val="0"/>
          <w:divBdr>
            <w:top w:val="none" w:sz="0" w:space="0" w:color="auto"/>
            <w:left w:val="none" w:sz="0" w:space="0" w:color="auto"/>
            <w:bottom w:val="none" w:sz="0" w:space="0" w:color="auto"/>
            <w:right w:val="none" w:sz="0" w:space="0" w:color="auto"/>
          </w:divBdr>
        </w:div>
        <w:div w:id="520168154">
          <w:marLeft w:val="547"/>
          <w:marRight w:val="0"/>
          <w:marTop w:val="0"/>
          <w:marBottom w:val="0"/>
          <w:divBdr>
            <w:top w:val="none" w:sz="0" w:space="0" w:color="auto"/>
            <w:left w:val="none" w:sz="0" w:space="0" w:color="auto"/>
            <w:bottom w:val="none" w:sz="0" w:space="0" w:color="auto"/>
            <w:right w:val="none" w:sz="0" w:space="0" w:color="auto"/>
          </w:divBdr>
        </w:div>
        <w:div w:id="424570385">
          <w:marLeft w:val="547"/>
          <w:marRight w:val="0"/>
          <w:marTop w:val="0"/>
          <w:marBottom w:val="0"/>
          <w:divBdr>
            <w:top w:val="none" w:sz="0" w:space="0" w:color="auto"/>
            <w:left w:val="none" w:sz="0" w:space="0" w:color="auto"/>
            <w:bottom w:val="none" w:sz="0" w:space="0" w:color="auto"/>
            <w:right w:val="none" w:sz="0" w:space="0" w:color="auto"/>
          </w:divBdr>
        </w:div>
        <w:div w:id="2044557032">
          <w:marLeft w:val="547"/>
          <w:marRight w:val="0"/>
          <w:marTop w:val="0"/>
          <w:marBottom w:val="0"/>
          <w:divBdr>
            <w:top w:val="none" w:sz="0" w:space="0" w:color="auto"/>
            <w:left w:val="none" w:sz="0" w:space="0" w:color="auto"/>
            <w:bottom w:val="none" w:sz="0" w:space="0" w:color="auto"/>
            <w:right w:val="none" w:sz="0" w:space="0" w:color="auto"/>
          </w:divBdr>
        </w:div>
        <w:div w:id="811752191">
          <w:marLeft w:val="547"/>
          <w:marRight w:val="0"/>
          <w:marTop w:val="0"/>
          <w:marBottom w:val="0"/>
          <w:divBdr>
            <w:top w:val="none" w:sz="0" w:space="0" w:color="auto"/>
            <w:left w:val="none" w:sz="0" w:space="0" w:color="auto"/>
            <w:bottom w:val="none" w:sz="0" w:space="0" w:color="auto"/>
            <w:right w:val="none" w:sz="0" w:space="0" w:color="auto"/>
          </w:divBdr>
        </w:div>
      </w:divsChild>
    </w:div>
    <w:div w:id="313144338">
      <w:bodyDiv w:val="1"/>
      <w:marLeft w:val="0"/>
      <w:marRight w:val="0"/>
      <w:marTop w:val="0"/>
      <w:marBottom w:val="0"/>
      <w:divBdr>
        <w:top w:val="none" w:sz="0" w:space="0" w:color="auto"/>
        <w:left w:val="none" w:sz="0" w:space="0" w:color="auto"/>
        <w:bottom w:val="none" w:sz="0" w:space="0" w:color="auto"/>
        <w:right w:val="none" w:sz="0" w:space="0" w:color="auto"/>
      </w:divBdr>
    </w:div>
    <w:div w:id="323749225">
      <w:bodyDiv w:val="1"/>
      <w:marLeft w:val="0"/>
      <w:marRight w:val="0"/>
      <w:marTop w:val="0"/>
      <w:marBottom w:val="0"/>
      <w:divBdr>
        <w:top w:val="none" w:sz="0" w:space="0" w:color="auto"/>
        <w:left w:val="none" w:sz="0" w:space="0" w:color="auto"/>
        <w:bottom w:val="none" w:sz="0" w:space="0" w:color="auto"/>
        <w:right w:val="none" w:sz="0" w:space="0" w:color="auto"/>
      </w:divBdr>
    </w:div>
    <w:div w:id="335957734">
      <w:bodyDiv w:val="1"/>
      <w:marLeft w:val="0"/>
      <w:marRight w:val="0"/>
      <w:marTop w:val="0"/>
      <w:marBottom w:val="0"/>
      <w:divBdr>
        <w:top w:val="none" w:sz="0" w:space="0" w:color="auto"/>
        <w:left w:val="none" w:sz="0" w:space="0" w:color="auto"/>
        <w:bottom w:val="none" w:sz="0" w:space="0" w:color="auto"/>
        <w:right w:val="none" w:sz="0" w:space="0" w:color="auto"/>
      </w:divBdr>
    </w:div>
    <w:div w:id="382219485">
      <w:bodyDiv w:val="1"/>
      <w:marLeft w:val="0"/>
      <w:marRight w:val="0"/>
      <w:marTop w:val="0"/>
      <w:marBottom w:val="0"/>
      <w:divBdr>
        <w:top w:val="none" w:sz="0" w:space="0" w:color="auto"/>
        <w:left w:val="none" w:sz="0" w:space="0" w:color="auto"/>
        <w:bottom w:val="none" w:sz="0" w:space="0" w:color="auto"/>
        <w:right w:val="none" w:sz="0" w:space="0" w:color="auto"/>
      </w:divBdr>
    </w:div>
    <w:div w:id="383798102">
      <w:bodyDiv w:val="1"/>
      <w:marLeft w:val="0"/>
      <w:marRight w:val="0"/>
      <w:marTop w:val="0"/>
      <w:marBottom w:val="0"/>
      <w:divBdr>
        <w:top w:val="none" w:sz="0" w:space="0" w:color="auto"/>
        <w:left w:val="none" w:sz="0" w:space="0" w:color="auto"/>
        <w:bottom w:val="none" w:sz="0" w:space="0" w:color="auto"/>
        <w:right w:val="none" w:sz="0" w:space="0" w:color="auto"/>
      </w:divBdr>
    </w:div>
    <w:div w:id="405687686">
      <w:bodyDiv w:val="1"/>
      <w:marLeft w:val="0"/>
      <w:marRight w:val="0"/>
      <w:marTop w:val="0"/>
      <w:marBottom w:val="0"/>
      <w:divBdr>
        <w:top w:val="none" w:sz="0" w:space="0" w:color="auto"/>
        <w:left w:val="none" w:sz="0" w:space="0" w:color="auto"/>
        <w:bottom w:val="none" w:sz="0" w:space="0" w:color="auto"/>
        <w:right w:val="none" w:sz="0" w:space="0" w:color="auto"/>
      </w:divBdr>
    </w:div>
    <w:div w:id="419301507">
      <w:bodyDiv w:val="1"/>
      <w:marLeft w:val="0"/>
      <w:marRight w:val="0"/>
      <w:marTop w:val="0"/>
      <w:marBottom w:val="0"/>
      <w:divBdr>
        <w:top w:val="none" w:sz="0" w:space="0" w:color="auto"/>
        <w:left w:val="none" w:sz="0" w:space="0" w:color="auto"/>
        <w:bottom w:val="none" w:sz="0" w:space="0" w:color="auto"/>
        <w:right w:val="none" w:sz="0" w:space="0" w:color="auto"/>
      </w:divBdr>
    </w:div>
    <w:div w:id="428046141">
      <w:bodyDiv w:val="1"/>
      <w:marLeft w:val="0"/>
      <w:marRight w:val="0"/>
      <w:marTop w:val="0"/>
      <w:marBottom w:val="0"/>
      <w:divBdr>
        <w:top w:val="none" w:sz="0" w:space="0" w:color="auto"/>
        <w:left w:val="none" w:sz="0" w:space="0" w:color="auto"/>
        <w:bottom w:val="none" w:sz="0" w:space="0" w:color="auto"/>
        <w:right w:val="none" w:sz="0" w:space="0" w:color="auto"/>
      </w:divBdr>
    </w:div>
    <w:div w:id="456216926">
      <w:bodyDiv w:val="1"/>
      <w:marLeft w:val="0"/>
      <w:marRight w:val="0"/>
      <w:marTop w:val="0"/>
      <w:marBottom w:val="0"/>
      <w:divBdr>
        <w:top w:val="none" w:sz="0" w:space="0" w:color="auto"/>
        <w:left w:val="none" w:sz="0" w:space="0" w:color="auto"/>
        <w:bottom w:val="none" w:sz="0" w:space="0" w:color="auto"/>
        <w:right w:val="none" w:sz="0" w:space="0" w:color="auto"/>
      </w:divBdr>
    </w:div>
    <w:div w:id="466238504">
      <w:bodyDiv w:val="1"/>
      <w:marLeft w:val="0"/>
      <w:marRight w:val="0"/>
      <w:marTop w:val="0"/>
      <w:marBottom w:val="0"/>
      <w:divBdr>
        <w:top w:val="none" w:sz="0" w:space="0" w:color="auto"/>
        <w:left w:val="none" w:sz="0" w:space="0" w:color="auto"/>
        <w:bottom w:val="none" w:sz="0" w:space="0" w:color="auto"/>
        <w:right w:val="none" w:sz="0" w:space="0" w:color="auto"/>
      </w:divBdr>
    </w:div>
    <w:div w:id="503057254">
      <w:bodyDiv w:val="1"/>
      <w:marLeft w:val="0"/>
      <w:marRight w:val="0"/>
      <w:marTop w:val="0"/>
      <w:marBottom w:val="0"/>
      <w:divBdr>
        <w:top w:val="none" w:sz="0" w:space="0" w:color="auto"/>
        <w:left w:val="none" w:sz="0" w:space="0" w:color="auto"/>
        <w:bottom w:val="none" w:sz="0" w:space="0" w:color="auto"/>
        <w:right w:val="none" w:sz="0" w:space="0" w:color="auto"/>
      </w:divBdr>
    </w:div>
    <w:div w:id="538467761">
      <w:bodyDiv w:val="1"/>
      <w:marLeft w:val="0"/>
      <w:marRight w:val="0"/>
      <w:marTop w:val="0"/>
      <w:marBottom w:val="0"/>
      <w:divBdr>
        <w:top w:val="none" w:sz="0" w:space="0" w:color="auto"/>
        <w:left w:val="none" w:sz="0" w:space="0" w:color="auto"/>
        <w:bottom w:val="none" w:sz="0" w:space="0" w:color="auto"/>
        <w:right w:val="none" w:sz="0" w:space="0" w:color="auto"/>
      </w:divBdr>
    </w:div>
    <w:div w:id="541745947">
      <w:bodyDiv w:val="1"/>
      <w:marLeft w:val="0"/>
      <w:marRight w:val="0"/>
      <w:marTop w:val="0"/>
      <w:marBottom w:val="0"/>
      <w:divBdr>
        <w:top w:val="none" w:sz="0" w:space="0" w:color="auto"/>
        <w:left w:val="none" w:sz="0" w:space="0" w:color="auto"/>
        <w:bottom w:val="none" w:sz="0" w:space="0" w:color="auto"/>
        <w:right w:val="none" w:sz="0" w:space="0" w:color="auto"/>
      </w:divBdr>
    </w:div>
    <w:div w:id="624506596">
      <w:bodyDiv w:val="1"/>
      <w:marLeft w:val="0"/>
      <w:marRight w:val="0"/>
      <w:marTop w:val="0"/>
      <w:marBottom w:val="0"/>
      <w:divBdr>
        <w:top w:val="none" w:sz="0" w:space="0" w:color="auto"/>
        <w:left w:val="none" w:sz="0" w:space="0" w:color="auto"/>
        <w:bottom w:val="none" w:sz="0" w:space="0" w:color="auto"/>
        <w:right w:val="none" w:sz="0" w:space="0" w:color="auto"/>
      </w:divBdr>
    </w:div>
    <w:div w:id="649402048">
      <w:bodyDiv w:val="1"/>
      <w:marLeft w:val="0"/>
      <w:marRight w:val="0"/>
      <w:marTop w:val="0"/>
      <w:marBottom w:val="0"/>
      <w:divBdr>
        <w:top w:val="none" w:sz="0" w:space="0" w:color="auto"/>
        <w:left w:val="none" w:sz="0" w:space="0" w:color="auto"/>
        <w:bottom w:val="none" w:sz="0" w:space="0" w:color="auto"/>
        <w:right w:val="none" w:sz="0" w:space="0" w:color="auto"/>
      </w:divBdr>
    </w:div>
    <w:div w:id="673654469">
      <w:bodyDiv w:val="1"/>
      <w:marLeft w:val="0"/>
      <w:marRight w:val="0"/>
      <w:marTop w:val="0"/>
      <w:marBottom w:val="0"/>
      <w:divBdr>
        <w:top w:val="none" w:sz="0" w:space="0" w:color="auto"/>
        <w:left w:val="none" w:sz="0" w:space="0" w:color="auto"/>
        <w:bottom w:val="none" w:sz="0" w:space="0" w:color="auto"/>
        <w:right w:val="none" w:sz="0" w:space="0" w:color="auto"/>
      </w:divBdr>
    </w:div>
    <w:div w:id="686293616">
      <w:bodyDiv w:val="1"/>
      <w:marLeft w:val="0"/>
      <w:marRight w:val="0"/>
      <w:marTop w:val="0"/>
      <w:marBottom w:val="0"/>
      <w:divBdr>
        <w:top w:val="none" w:sz="0" w:space="0" w:color="auto"/>
        <w:left w:val="none" w:sz="0" w:space="0" w:color="auto"/>
        <w:bottom w:val="none" w:sz="0" w:space="0" w:color="auto"/>
        <w:right w:val="none" w:sz="0" w:space="0" w:color="auto"/>
      </w:divBdr>
    </w:div>
    <w:div w:id="688727396">
      <w:bodyDiv w:val="1"/>
      <w:marLeft w:val="0"/>
      <w:marRight w:val="0"/>
      <w:marTop w:val="0"/>
      <w:marBottom w:val="0"/>
      <w:divBdr>
        <w:top w:val="none" w:sz="0" w:space="0" w:color="auto"/>
        <w:left w:val="none" w:sz="0" w:space="0" w:color="auto"/>
        <w:bottom w:val="none" w:sz="0" w:space="0" w:color="auto"/>
        <w:right w:val="none" w:sz="0" w:space="0" w:color="auto"/>
      </w:divBdr>
    </w:div>
    <w:div w:id="740370466">
      <w:bodyDiv w:val="1"/>
      <w:marLeft w:val="0"/>
      <w:marRight w:val="0"/>
      <w:marTop w:val="0"/>
      <w:marBottom w:val="0"/>
      <w:divBdr>
        <w:top w:val="none" w:sz="0" w:space="0" w:color="auto"/>
        <w:left w:val="none" w:sz="0" w:space="0" w:color="auto"/>
        <w:bottom w:val="none" w:sz="0" w:space="0" w:color="auto"/>
        <w:right w:val="none" w:sz="0" w:space="0" w:color="auto"/>
      </w:divBdr>
    </w:div>
    <w:div w:id="742141145">
      <w:bodyDiv w:val="1"/>
      <w:marLeft w:val="0"/>
      <w:marRight w:val="0"/>
      <w:marTop w:val="0"/>
      <w:marBottom w:val="0"/>
      <w:divBdr>
        <w:top w:val="none" w:sz="0" w:space="0" w:color="auto"/>
        <w:left w:val="none" w:sz="0" w:space="0" w:color="auto"/>
        <w:bottom w:val="none" w:sz="0" w:space="0" w:color="auto"/>
        <w:right w:val="none" w:sz="0" w:space="0" w:color="auto"/>
      </w:divBdr>
    </w:div>
    <w:div w:id="763962361">
      <w:bodyDiv w:val="1"/>
      <w:marLeft w:val="0"/>
      <w:marRight w:val="0"/>
      <w:marTop w:val="0"/>
      <w:marBottom w:val="0"/>
      <w:divBdr>
        <w:top w:val="none" w:sz="0" w:space="0" w:color="auto"/>
        <w:left w:val="none" w:sz="0" w:space="0" w:color="auto"/>
        <w:bottom w:val="none" w:sz="0" w:space="0" w:color="auto"/>
        <w:right w:val="none" w:sz="0" w:space="0" w:color="auto"/>
      </w:divBdr>
      <w:divsChild>
        <w:div w:id="1208644473">
          <w:marLeft w:val="624"/>
          <w:marRight w:val="0"/>
          <w:marTop w:val="0"/>
          <w:marBottom w:val="0"/>
          <w:divBdr>
            <w:top w:val="none" w:sz="0" w:space="0" w:color="auto"/>
            <w:left w:val="none" w:sz="0" w:space="0" w:color="auto"/>
            <w:bottom w:val="none" w:sz="0" w:space="0" w:color="auto"/>
            <w:right w:val="none" w:sz="0" w:space="0" w:color="auto"/>
          </w:divBdr>
        </w:div>
        <w:div w:id="920413322">
          <w:marLeft w:val="624"/>
          <w:marRight w:val="0"/>
          <w:marTop w:val="0"/>
          <w:marBottom w:val="0"/>
          <w:divBdr>
            <w:top w:val="none" w:sz="0" w:space="0" w:color="auto"/>
            <w:left w:val="none" w:sz="0" w:space="0" w:color="auto"/>
            <w:bottom w:val="none" w:sz="0" w:space="0" w:color="auto"/>
            <w:right w:val="none" w:sz="0" w:space="0" w:color="auto"/>
          </w:divBdr>
          <w:divsChild>
            <w:div w:id="415787098">
              <w:marLeft w:val="384"/>
              <w:marRight w:val="0"/>
              <w:marTop w:val="0"/>
              <w:marBottom w:val="0"/>
              <w:divBdr>
                <w:top w:val="none" w:sz="0" w:space="0" w:color="auto"/>
                <w:left w:val="none" w:sz="0" w:space="0" w:color="auto"/>
                <w:bottom w:val="none" w:sz="0" w:space="0" w:color="auto"/>
                <w:right w:val="none" w:sz="0" w:space="0" w:color="auto"/>
              </w:divBdr>
            </w:div>
            <w:div w:id="1513648184">
              <w:marLeft w:val="384"/>
              <w:marRight w:val="0"/>
              <w:marTop w:val="0"/>
              <w:marBottom w:val="0"/>
              <w:divBdr>
                <w:top w:val="none" w:sz="0" w:space="0" w:color="auto"/>
                <w:left w:val="none" w:sz="0" w:space="0" w:color="auto"/>
                <w:bottom w:val="none" w:sz="0" w:space="0" w:color="auto"/>
                <w:right w:val="none" w:sz="0" w:space="0" w:color="auto"/>
              </w:divBdr>
            </w:div>
          </w:divsChild>
        </w:div>
        <w:div w:id="354968871">
          <w:marLeft w:val="624"/>
          <w:marRight w:val="0"/>
          <w:marTop w:val="0"/>
          <w:marBottom w:val="0"/>
          <w:divBdr>
            <w:top w:val="none" w:sz="0" w:space="0" w:color="auto"/>
            <w:left w:val="none" w:sz="0" w:space="0" w:color="auto"/>
            <w:bottom w:val="none" w:sz="0" w:space="0" w:color="auto"/>
            <w:right w:val="none" w:sz="0" w:space="0" w:color="auto"/>
          </w:divBdr>
        </w:div>
      </w:divsChild>
    </w:div>
    <w:div w:id="770517689">
      <w:bodyDiv w:val="1"/>
      <w:marLeft w:val="0"/>
      <w:marRight w:val="0"/>
      <w:marTop w:val="0"/>
      <w:marBottom w:val="0"/>
      <w:divBdr>
        <w:top w:val="none" w:sz="0" w:space="0" w:color="auto"/>
        <w:left w:val="none" w:sz="0" w:space="0" w:color="auto"/>
        <w:bottom w:val="none" w:sz="0" w:space="0" w:color="auto"/>
        <w:right w:val="none" w:sz="0" w:space="0" w:color="auto"/>
      </w:divBdr>
    </w:div>
    <w:div w:id="772097058">
      <w:bodyDiv w:val="1"/>
      <w:marLeft w:val="0"/>
      <w:marRight w:val="0"/>
      <w:marTop w:val="0"/>
      <w:marBottom w:val="0"/>
      <w:divBdr>
        <w:top w:val="none" w:sz="0" w:space="0" w:color="auto"/>
        <w:left w:val="none" w:sz="0" w:space="0" w:color="auto"/>
        <w:bottom w:val="none" w:sz="0" w:space="0" w:color="auto"/>
        <w:right w:val="none" w:sz="0" w:space="0" w:color="auto"/>
      </w:divBdr>
    </w:div>
    <w:div w:id="815606009">
      <w:bodyDiv w:val="1"/>
      <w:marLeft w:val="0"/>
      <w:marRight w:val="0"/>
      <w:marTop w:val="0"/>
      <w:marBottom w:val="0"/>
      <w:divBdr>
        <w:top w:val="none" w:sz="0" w:space="0" w:color="auto"/>
        <w:left w:val="none" w:sz="0" w:space="0" w:color="auto"/>
        <w:bottom w:val="none" w:sz="0" w:space="0" w:color="auto"/>
        <w:right w:val="none" w:sz="0" w:space="0" w:color="auto"/>
      </w:divBdr>
    </w:div>
    <w:div w:id="827555834">
      <w:bodyDiv w:val="1"/>
      <w:marLeft w:val="0"/>
      <w:marRight w:val="0"/>
      <w:marTop w:val="0"/>
      <w:marBottom w:val="0"/>
      <w:divBdr>
        <w:top w:val="none" w:sz="0" w:space="0" w:color="auto"/>
        <w:left w:val="none" w:sz="0" w:space="0" w:color="auto"/>
        <w:bottom w:val="none" w:sz="0" w:space="0" w:color="auto"/>
        <w:right w:val="none" w:sz="0" w:space="0" w:color="auto"/>
      </w:divBdr>
    </w:div>
    <w:div w:id="835654213">
      <w:bodyDiv w:val="1"/>
      <w:marLeft w:val="0"/>
      <w:marRight w:val="0"/>
      <w:marTop w:val="0"/>
      <w:marBottom w:val="0"/>
      <w:divBdr>
        <w:top w:val="none" w:sz="0" w:space="0" w:color="auto"/>
        <w:left w:val="none" w:sz="0" w:space="0" w:color="auto"/>
        <w:bottom w:val="none" w:sz="0" w:space="0" w:color="auto"/>
        <w:right w:val="none" w:sz="0" w:space="0" w:color="auto"/>
      </w:divBdr>
    </w:div>
    <w:div w:id="853807271">
      <w:bodyDiv w:val="1"/>
      <w:marLeft w:val="0"/>
      <w:marRight w:val="0"/>
      <w:marTop w:val="0"/>
      <w:marBottom w:val="0"/>
      <w:divBdr>
        <w:top w:val="none" w:sz="0" w:space="0" w:color="auto"/>
        <w:left w:val="none" w:sz="0" w:space="0" w:color="auto"/>
        <w:bottom w:val="none" w:sz="0" w:space="0" w:color="auto"/>
        <w:right w:val="none" w:sz="0" w:space="0" w:color="auto"/>
      </w:divBdr>
    </w:div>
    <w:div w:id="879827279">
      <w:bodyDiv w:val="1"/>
      <w:marLeft w:val="0"/>
      <w:marRight w:val="0"/>
      <w:marTop w:val="0"/>
      <w:marBottom w:val="0"/>
      <w:divBdr>
        <w:top w:val="none" w:sz="0" w:space="0" w:color="auto"/>
        <w:left w:val="none" w:sz="0" w:space="0" w:color="auto"/>
        <w:bottom w:val="none" w:sz="0" w:space="0" w:color="auto"/>
        <w:right w:val="none" w:sz="0" w:space="0" w:color="auto"/>
      </w:divBdr>
    </w:div>
    <w:div w:id="881550424">
      <w:bodyDiv w:val="1"/>
      <w:marLeft w:val="0"/>
      <w:marRight w:val="0"/>
      <w:marTop w:val="0"/>
      <w:marBottom w:val="0"/>
      <w:divBdr>
        <w:top w:val="none" w:sz="0" w:space="0" w:color="auto"/>
        <w:left w:val="none" w:sz="0" w:space="0" w:color="auto"/>
        <w:bottom w:val="none" w:sz="0" w:space="0" w:color="auto"/>
        <w:right w:val="none" w:sz="0" w:space="0" w:color="auto"/>
      </w:divBdr>
    </w:div>
    <w:div w:id="924456199">
      <w:bodyDiv w:val="1"/>
      <w:marLeft w:val="0"/>
      <w:marRight w:val="0"/>
      <w:marTop w:val="0"/>
      <w:marBottom w:val="0"/>
      <w:divBdr>
        <w:top w:val="none" w:sz="0" w:space="0" w:color="auto"/>
        <w:left w:val="none" w:sz="0" w:space="0" w:color="auto"/>
        <w:bottom w:val="none" w:sz="0" w:space="0" w:color="auto"/>
        <w:right w:val="none" w:sz="0" w:space="0" w:color="auto"/>
      </w:divBdr>
    </w:div>
    <w:div w:id="925111893">
      <w:bodyDiv w:val="1"/>
      <w:marLeft w:val="0"/>
      <w:marRight w:val="0"/>
      <w:marTop w:val="0"/>
      <w:marBottom w:val="0"/>
      <w:divBdr>
        <w:top w:val="none" w:sz="0" w:space="0" w:color="auto"/>
        <w:left w:val="none" w:sz="0" w:space="0" w:color="auto"/>
        <w:bottom w:val="none" w:sz="0" w:space="0" w:color="auto"/>
        <w:right w:val="none" w:sz="0" w:space="0" w:color="auto"/>
      </w:divBdr>
    </w:div>
    <w:div w:id="930241543">
      <w:bodyDiv w:val="1"/>
      <w:marLeft w:val="0"/>
      <w:marRight w:val="0"/>
      <w:marTop w:val="0"/>
      <w:marBottom w:val="0"/>
      <w:divBdr>
        <w:top w:val="none" w:sz="0" w:space="0" w:color="auto"/>
        <w:left w:val="none" w:sz="0" w:space="0" w:color="auto"/>
        <w:bottom w:val="none" w:sz="0" w:space="0" w:color="auto"/>
        <w:right w:val="none" w:sz="0" w:space="0" w:color="auto"/>
      </w:divBdr>
    </w:div>
    <w:div w:id="936333789">
      <w:bodyDiv w:val="1"/>
      <w:marLeft w:val="0"/>
      <w:marRight w:val="0"/>
      <w:marTop w:val="0"/>
      <w:marBottom w:val="0"/>
      <w:divBdr>
        <w:top w:val="none" w:sz="0" w:space="0" w:color="auto"/>
        <w:left w:val="none" w:sz="0" w:space="0" w:color="auto"/>
        <w:bottom w:val="none" w:sz="0" w:space="0" w:color="auto"/>
        <w:right w:val="none" w:sz="0" w:space="0" w:color="auto"/>
      </w:divBdr>
    </w:div>
    <w:div w:id="947542455">
      <w:bodyDiv w:val="1"/>
      <w:marLeft w:val="0"/>
      <w:marRight w:val="0"/>
      <w:marTop w:val="0"/>
      <w:marBottom w:val="0"/>
      <w:divBdr>
        <w:top w:val="none" w:sz="0" w:space="0" w:color="auto"/>
        <w:left w:val="none" w:sz="0" w:space="0" w:color="auto"/>
        <w:bottom w:val="none" w:sz="0" w:space="0" w:color="auto"/>
        <w:right w:val="none" w:sz="0" w:space="0" w:color="auto"/>
      </w:divBdr>
    </w:div>
    <w:div w:id="982735840">
      <w:bodyDiv w:val="1"/>
      <w:marLeft w:val="0"/>
      <w:marRight w:val="0"/>
      <w:marTop w:val="0"/>
      <w:marBottom w:val="0"/>
      <w:divBdr>
        <w:top w:val="none" w:sz="0" w:space="0" w:color="auto"/>
        <w:left w:val="none" w:sz="0" w:space="0" w:color="auto"/>
        <w:bottom w:val="none" w:sz="0" w:space="0" w:color="auto"/>
        <w:right w:val="none" w:sz="0" w:space="0" w:color="auto"/>
      </w:divBdr>
    </w:div>
    <w:div w:id="1000351335">
      <w:bodyDiv w:val="1"/>
      <w:marLeft w:val="0"/>
      <w:marRight w:val="0"/>
      <w:marTop w:val="0"/>
      <w:marBottom w:val="0"/>
      <w:divBdr>
        <w:top w:val="none" w:sz="0" w:space="0" w:color="auto"/>
        <w:left w:val="none" w:sz="0" w:space="0" w:color="auto"/>
        <w:bottom w:val="none" w:sz="0" w:space="0" w:color="auto"/>
        <w:right w:val="none" w:sz="0" w:space="0" w:color="auto"/>
      </w:divBdr>
    </w:div>
    <w:div w:id="1010327943">
      <w:bodyDiv w:val="1"/>
      <w:marLeft w:val="0"/>
      <w:marRight w:val="0"/>
      <w:marTop w:val="0"/>
      <w:marBottom w:val="0"/>
      <w:divBdr>
        <w:top w:val="none" w:sz="0" w:space="0" w:color="auto"/>
        <w:left w:val="none" w:sz="0" w:space="0" w:color="auto"/>
        <w:bottom w:val="none" w:sz="0" w:space="0" w:color="auto"/>
        <w:right w:val="none" w:sz="0" w:space="0" w:color="auto"/>
      </w:divBdr>
    </w:div>
    <w:div w:id="1106077334">
      <w:bodyDiv w:val="1"/>
      <w:marLeft w:val="0"/>
      <w:marRight w:val="0"/>
      <w:marTop w:val="0"/>
      <w:marBottom w:val="0"/>
      <w:divBdr>
        <w:top w:val="none" w:sz="0" w:space="0" w:color="auto"/>
        <w:left w:val="none" w:sz="0" w:space="0" w:color="auto"/>
        <w:bottom w:val="none" w:sz="0" w:space="0" w:color="auto"/>
        <w:right w:val="none" w:sz="0" w:space="0" w:color="auto"/>
      </w:divBdr>
      <w:divsChild>
        <w:div w:id="128479845">
          <w:marLeft w:val="547"/>
          <w:marRight w:val="0"/>
          <w:marTop w:val="0"/>
          <w:marBottom w:val="0"/>
          <w:divBdr>
            <w:top w:val="none" w:sz="0" w:space="0" w:color="auto"/>
            <w:left w:val="none" w:sz="0" w:space="0" w:color="auto"/>
            <w:bottom w:val="none" w:sz="0" w:space="0" w:color="auto"/>
            <w:right w:val="none" w:sz="0" w:space="0" w:color="auto"/>
          </w:divBdr>
        </w:div>
        <w:div w:id="395400444">
          <w:marLeft w:val="547"/>
          <w:marRight w:val="0"/>
          <w:marTop w:val="0"/>
          <w:marBottom w:val="0"/>
          <w:divBdr>
            <w:top w:val="none" w:sz="0" w:space="0" w:color="auto"/>
            <w:left w:val="none" w:sz="0" w:space="0" w:color="auto"/>
            <w:bottom w:val="none" w:sz="0" w:space="0" w:color="auto"/>
            <w:right w:val="none" w:sz="0" w:space="0" w:color="auto"/>
          </w:divBdr>
        </w:div>
        <w:div w:id="1639188551">
          <w:marLeft w:val="547"/>
          <w:marRight w:val="0"/>
          <w:marTop w:val="0"/>
          <w:marBottom w:val="0"/>
          <w:divBdr>
            <w:top w:val="none" w:sz="0" w:space="0" w:color="auto"/>
            <w:left w:val="none" w:sz="0" w:space="0" w:color="auto"/>
            <w:bottom w:val="none" w:sz="0" w:space="0" w:color="auto"/>
            <w:right w:val="none" w:sz="0" w:space="0" w:color="auto"/>
          </w:divBdr>
        </w:div>
        <w:div w:id="1728144299">
          <w:marLeft w:val="547"/>
          <w:marRight w:val="0"/>
          <w:marTop w:val="0"/>
          <w:marBottom w:val="0"/>
          <w:divBdr>
            <w:top w:val="none" w:sz="0" w:space="0" w:color="auto"/>
            <w:left w:val="none" w:sz="0" w:space="0" w:color="auto"/>
            <w:bottom w:val="none" w:sz="0" w:space="0" w:color="auto"/>
            <w:right w:val="none" w:sz="0" w:space="0" w:color="auto"/>
          </w:divBdr>
        </w:div>
        <w:div w:id="1844322347">
          <w:marLeft w:val="547"/>
          <w:marRight w:val="0"/>
          <w:marTop w:val="0"/>
          <w:marBottom w:val="0"/>
          <w:divBdr>
            <w:top w:val="none" w:sz="0" w:space="0" w:color="auto"/>
            <w:left w:val="none" w:sz="0" w:space="0" w:color="auto"/>
            <w:bottom w:val="none" w:sz="0" w:space="0" w:color="auto"/>
            <w:right w:val="none" w:sz="0" w:space="0" w:color="auto"/>
          </w:divBdr>
        </w:div>
        <w:div w:id="2135713474">
          <w:marLeft w:val="547"/>
          <w:marRight w:val="0"/>
          <w:marTop w:val="0"/>
          <w:marBottom w:val="0"/>
          <w:divBdr>
            <w:top w:val="none" w:sz="0" w:space="0" w:color="auto"/>
            <w:left w:val="none" w:sz="0" w:space="0" w:color="auto"/>
            <w:bottom w:val="none" w:sz="0" w:space="0" w:color="auto"/>
            <w:right w:val="none" w:sz="0" w:space="0" w:color="auto"/>
          </w:divBdr>
        </w:div>
      </w:divsChild>
    </w:div>
    <w:div w:id="1119377673">
      <w:bodyDiv w:val="1"/>
      <w:marLeft w:val="0"/>
      <w:marRight w:val="0"/>
      <w:marTop w:val="0"/>
      <w:marBottom w:val="0"/>
      <w:divBdr>
        <w:top w:val="none" w:sz="0" w:space="0" w:color="auto"/>
        <w:left w:val="none" w:sz="0" w:space="0" w:color="auto"/>
        <w:bottom w:val="none" w:sz="0" w:space="0" w:color="auto"/>
        <w:right w:val="none" w:sz="0" w:space="0" w:color="auto"/>
      </w:divBdr>
      <w:divsChild>
        <w:div w:id="285740030">
          <w:marLeft w:val="624"/>
          <w:marRight w:val="0"/>
          <w:marTop w:val="0"/>
          <w:marBottom w:val="0"/>
          <w:divBdr>
            <w:top w:val="none" w:sz="0" w:space="0" w:color="auto"/>
            <w:left w:val="none" w:sz="0" w:space="0" w:color="auto"/>
            <w:bottom w:val="none" w:sz="0" w:space="0" w:color="auto"/>
            <w:right w:val="none" w:sz="0" w:space="0" w:color="auto"/>
          </w:divBdr>
        </w:div>
        <w:div w:id="469440579">
          <w:marLeft w:val="624"/>
          <w:marRight w:val="0"/>
          <w:marTop w:val="0"/>
          <w:marBottom w:val="0"/>
          <w:divBdr>
            <w:top w:val="none" w:sz="0" w:space="0" w:color="auto"/>
            <w:left w:val="none" w:sz="0" w:space="0" w:color="auto"/>
            <w:bottom w:val="none" w:sz="0" w:space="0" w:color="auto"/>
            <w:right w:val="none" w:sz="0" w:space="0" w:color="auto"/>
          </w:divBdr>
          <w:divsChild>
            <w:div w:id="615406643">
              <w:marLeft w:val="384"/>
              <w:marRight w:val="0"/>
              <w:marTop w:val="0"/>
              <w:marBottom w:val="0"/>
              <w:divBdr>
                <w:top w:val="none" w:sz="0" w:space="0" w:color="auto"/>
                <w:left w:val="none" w:sz="0" w:space="0" w:color="auto"/>
                <w:bottom w:val="none" w:sz="0" w:space="0" w:color="auto"/>
                <w:right w:val="none" w:sz="0" w:space="0" w:color="auto"/>
              </w:divBdr>
            </w:div>
            <w:div w:id="1058743973">
              <w:marLeft w:val="384"/>
              <w:marRight w:val="0"/>
              <w:marTop w:val="0"/>
              <w:marBottom w:val="0"/>
              <w:divBdr>
                <w:top w:val="none" w:sz="0" w:space="0" w:color="auto"/>
                <w:left w:val="none" w:sz="0" w:space="0" w:color="auto"/>
                <w:bottom w:val="none" w:sz="0" w:space="0" w:color="auto"/>
                <w:right w:val="none" w:sz="0" w:space="0" w:color="auto"/>
              </w:divBdr>
            </w:div>
          </w:divsChild>
        </w:div>
        <w:div w:id="1250427846">
          <w:marLeft w:val="624"/>
          <w:marRight w:val="0"/>
          <w:marTop w:val="0"/>
          <w:marBottom w:val="0"/>
          <w:divBdr>
            <w:top w:val="none" w:sz="0" w:space="0" w:color="auto"/>
            <w:left w:val="none" w:sz="0" w:space="0" w:color="auto"/>
            <w:bottom w:val="none" w:sz="0" w:space="0" w:color="auto"/>
            <w:right w:val="none" w:sz="0" w:space="0" w:color="auto"/>
          </w:divBdr>
        </w:div>
      </w:divsChild>
    </w:div>
    <w:div w:id="1147822448">
      <w:bodyDiv w:val="1"/>
      <w:marLeft w:val="0"/>
      <w:marRight w:val="0"/>
      <w:marTop w:val="0"/>
      <w:marBottom w:val="0"/>
      <w:divBdr>
        <w:top w:val="none" w:sz="0" w:space="0" w:color="auto"/>
        <w:left w:val="none" w:sz="0" w:space="0" w:color="auto"/>
        <w:bottom w:val="none" w:sz="0" w:space="0" w:color="auto"/>
        <w:right w:val="none" w:sz="0" w:space="0" w:color="auto"/>
      </w:divBdr>
    </w:div>
    <w:div w:id="1190795766">
      <w:bodyDiv w:val="1"/>
      <w:marLeft w:val="0"/>
      <w:marRight w:val="0"/>
      <w:marTop w:val="0"/>
      <w:marBottom w:val="0"/>
      <w:divBdr>
        <w:top w:val="none" w:sz="0" w:space="0" w:color="auto"/>
        <w:left w:val="none" w:sz="0" w:space="0" w:color="auto"/>
        <w:bottom w:val="none" w:sz="0" w:space="0" w:color="auto"/>
        <w:right w:val="none" w:sz="0" w:space="0" w:color="auto"/>
      </w:divBdr>
    </w:div>
    <w:div w:id="1197085580">
      <w:bodyDiv w:val="1"/>
      <w:marLeft w:val="0"/>
      <w:marRight w:val="0"/>
      <w:marTop w:val="0"/>
      <w:marBottom w:val="0"/>
      <w:divBdr>
        <w:top w:val="none" w:sz="0" w:space="0" w:color="auto"/>
        <w:left w:val="none" w:sz="0" w:space="0" w:color="auto"/>
        <w:bottom w:val="none" w:sz="0" w:space="0" w:color="auto"/>
        <w:right w:val="none" w:sz="0" w:space="0" w:color="auto"/>
      </w:divBdr>
    </w:div>
    <w:div w:id="1235313191">
      <w:bodyDiv w:val="1"/>
      <w:marLeft w:val="0"/>
      <w:marRight w:val="0"/>
      <w:marTop w:val="0"/>
      <w:marBottom w:val="0"/>
      <w:divBdr>
        <w:top w:val="none" w:sz="0" w:space="0" w:color="auto"/>
        <w:left w:val="none" w:sz="0" w:space="0" w:color="auto"/>
        <w:bottom w:val="none" w:sz="0" w:space="0" w:color="auto"/>
        <w:right w:val="none" w:sz="0" w:space="0" w:color="auto"/>
      </w:divBdr>
    </w:div>
    <w:div w:id="1257593318">
      <w:bodyDiv w:val="1"/>
      <w:marLeft w:val="0"/>
      <w:marRight w:val="0"/>
      <w:marTop w:val="0"/>
      <w:marBottom w:val="0"/>
      <w:divBdr>
        <w:top w:val="none" w:sz="0" w:space="0" w:color="auto"/>
        <w:left w:val="none" w:sz="0" w:space="0" w:color="auto"/>
        <w:bottom w:val="none" w:sz="0" w:space="0" w:color="auto"/>
        <w:right w:val="none" w:sz="0" w:space="0" w:color="auto"/>
      </w:divBdr>
    </w:div>
    <w:div w:id="1264722350">
      <w:bodyDiv w:val="1"/>
      <w:marLeft w:val="0"/>
      <w:marRight w:val="0"/>
      <w:marTop w:val="0"/>
      <w:marBottom w:val="0"/>
      <w:divBdr>
        <w:top w:val="none" w:sz="0" w:space="0" w:color="auto"/>
        <w:left w:val="none" w:sz="0" w:space="0" w:color="auto"/>
        <w:bottom w:val="none" w:sz="0" w:space="0" w:color="auto"/>
        <w:right w:val="none" w:sz="0" w:space="0" w:color="auto"/>
      </w:divBdr>
    </w:div>
    <w:div w:id="1289311508">
      <w:bodyDiv w:val="1"/>
      <w:marLeft w:val="0"/>
      <w:marRight w:val="0"/>
      <w:marTop w:val="0"/>
      <w:marBottom w:val="0"/>
      <w:divBdr>
        <w:top w:val="none" w:sz="0" w:space="0" w:color="auto"/>
        <w:left w:val="none" w:sz="0" w:space="0" w:color="auto"/>
        <w:bottom w:val="none" w:sz="0" w:space="0" w:color="auto"/>
        <w:right w:val="none" w:sz="0" w:space="0" w:color="auto"/>
      </w:divBdr>
    </w:div>
    <w:div w:id="1290739915">
      <w:bodyDiv w:val="1"/>
      <w:marLeft w:val="0"/>
      <w:marRight w:val="0"/>
      <w:marTop w:val="0"/>
      <w:marBottom w:val="0"/>
      <w:divBdr>
        <w:top w:val="none" w:sz="0" w:space="0" w:color="auto"/>
        <w:left w:val="none" w:sz="0" w:space="0" w:color="auto"/>
        <w:bottom w:val="none" w:sz="0" w:space="0" w:color="auto"/>
        <w:right w:val="none" w:sz="0" w:space="0" w:color="auto"/>
      </w:divBdr>
    </w:div>
    <w:div w:id="1309819157">
      <w:bodyDiv w:val="1"/>
      <w:marLeft w:val="0"/>
      <w:marRight w:val="0"/>
      <w:marTop w:val="0"/>
      <w:marBottom w:val="0"/>
      <w:divBdr>
        <w:top w:val="none" w:sz="0" w:space="0" w:color="auto"/>
        <w:left w:val="none" w:sz="0" w:space="0" w:color="auto"/>
        <w:bottom w:val="none" w:sz="0" w:space="0" w:color="auto"/>
        <w:right w:val="none" w:sz="0" w:space="0" w:color="auto"/>
      </w:divBdr>
    </w:div>
    <w:div w:id="1338925409">
      <w:bodyDiv w:val="1"/>
      <w:marLeft w:val="0"/>
      <w:marRight w:val="0"/>
      <w:marTop w:val="0"/>
      <w:marBottom w:val="0"/>
      <w:divBdr>
        <w:top w:val="none" w:sz="0" w:space="0" w:color="auto"/>
        <w:left w:val="none" w:sz="0" w:space="0" w:color="auto"/>
        <w:bottom w:val="none" w:sz="0" w:space="0" w:color="auto"/>
        <w:right w:val="none" w:sz="0" w:space="0" w:color="auto"/>
      </w:divBdr>
      <w:divsChild>
        <w:div w:id="772094734">
          <w:marLeft w:val="547"/>
          <w:marRight w:val="0"/>
          <w:marTop w:val="0"/>
          <w:marBottom w:val="0"/>
          <w:divBdr>
            <w:top w:val="none" w:sz="0" w:space="0" w:color="auto"/>
            <w:left w:val="none" w:sz="0" w:space="0" w:color="auto"/>
            <w:bottom w:val="none" w:sz="0" w:space="0" w:color="auto"/>
            <w:right w:val="none" w:sz="0" w:space="0" w:color="auto"/>
          </w:divBdr>
        </w:div>
        <w:div w:id="1703046517">
          <w:marLeft w:val="547"/>
          <w:marRight w:val="0"/>
          <w:marTop w:val="0"/>
          <w:marBottom w:val="0"/>
          <w:divBdr>
            <w:top w:val="none" w:sz="0" w:space="0" w:color="auto"/>
            <w:left w:val="none" w:sz="0" w:space="0" w:color="auto"/>
            <w:bottom w:val="none" w:sz="0" w:space="0" w:color="auto"/>
            <w:right w:val="none" w:sz="0" w:space="0" w:color="auto"/>
          </w:divBdr>
        </w:div>
        <w:div w:id="1982953729">
          <w:marLeft w:val="547"/>
          <w:marRight w:val="0"/>
          <w:marTop w:val="0"/>
          <w:marBottom w:val="0"/>
          <w:divBdr>
            <w:top w:val="none" w:sz="0" w:space="0" w:color="auto"/>
            <w:left w:val="none" w:sz="0" w:space="0" w:color="auto"/>
            <w:bottom w:val="none" w:sz="0" w:space="0" w:color="auto"/>
            <w:right w:val="none" w:sz="0" w:space="0" w:color="auto"/>
          </w:divBdr>
        </w:div>
        <w:div w:id="2058814140">
          <w:marLeft w:val="547"/>
          <w:marRight w:val="0"/>
          <w:marTop w:val="0"/>
          <w:marBottom w:val="0"/>
          <w:divBdr>
            <w:top w:val="none" w:sz="0" w:space="0" w:color="auto"/>
            <w:left w:val="none" w:sz="0" w:space="0" w:color="auto"/>
            <w:bottom w:val="none" w:sz="0" w:space="0" w:color="auto"/>
            <w:right w:val="none" w:sz="0" w:space="0" w:color="auto"/>
          </w:divBdr>
        </w:div>
      </w:divsChild>
    </w:div>
    <w:div w:id="1374161547">
      <w:bodyDiv w:val="1"/>
      <w:marLeft w:val="0"/>
      <w:marRight w:val="0"/>
      <w:marTop w:val="0"/>
      <w:marBottom w:val="0"/>
      <w:divBdr>
        <w:top w:val="none" w:sz="0" w:space="0" w:color="auto"/>
        <w:left w:val="none" w:sz="0" w:space="0" w:color="auto"/>
        <w:bottom w:val="none" w:sz="0" w:space="0" w:color="auto"/>
        <w:right w:val="none" w:sz="0" w:space="0" w:color="auto"/>
      </w:divBdr>
    </w:div>
    <w:div w:id="1560358885">
      <w:bodyDiv w:val="1"/>
      <w:marLeft w:val="0"/>
      <w:marRight w:val="0"/>
      <w:marTop w:val="0"/>
      <w:marBottom w:val="0"/>
      <w:divBdr>
        <w:top w:val="none" w:sz="0" w:space="0" w:color="auto"/>
        <w:left w:val="none" w:sz="0" w:space="0" w:color="auto"/>
        <w:bottom w:val="none" w:sz="0" w:space="0" w:color="auto"/>
        <w:right w:val="none" w:sz="0" w:space="0" w:color="auto"/>
      </w:divBdr>
    </w:div>
    <w:div w:id="1561938918">
      <w:bodyDiv w:val="1"/>
      <w:marLeft w:val="0"/>
      <w:marRight w:val="0"/>
      <w:marTop w:val="0"/>
      <w:marBottom w:val="0"/>
      <w:divBdr>
        <w:top w:val="none" w:sz="0" w:space="0" w:color="auto"/>
        <w:left w:val="none" w:sz="0" w:space="0" w:color="auto"/>
        <w:bottom w:val="none" w:sz="0" w:space="0" w:color="auto"/>
        <w:right w:val="none" w:sz="0" w:space="0" w:color="auto"/>
      </w:divBdr>
    </w:div>
    <w:div w:id="1596479423">
      <w:bodyDiv w:val="1"/>
      <w:marLeft w:val="0"/>
      <w:marRight w:val="0"/>
      <w:marTop w:val="0"/>
      <w:marBottom w:val="0"/>
      <w:divBdr>
        <w:top w:val="none" w:sz="0" w:space="0" w:color="auto"/>
        <w:left w:val="none" w:sz="0" w:space="0" w:color="auto"/>
        <w:bottom w:val="none" w:sz="0" w:space="0" w:color="auto"/>
        <w:right w:val="none" w:sz="0" w:space="0" w:color="auto"/>
      </w:divBdr>
    </w:div>
    <w:div w:id="1623001646">
      <w:bodyDiv w:val="1"/>
      <w:marLeft w:val="0"/>
      <w:marRight w:val="0"/>
      <w:marTop w:val="0"/>
      <w:marBottom w:val="0"/>
      <w:divBdr>
        <w:top w:val="none" w:sz="0" w:space="0" w:color="auto"/>
        <w:left w:val="none" w:sz="0" w:space="0" w:color="auto"/>
        <w:bottom w:val="none" w:sz="0" w:space="0" w:color="auto"/>
        <w:right w:val="none" w:sz="0" w:space="0" w:color="auto"/>
      </w:divBdr>
    </w:div>
    <w:div w:id="1626934807">
      <w:bodyDiv w:val="1"/>
      <w:marLeft w:val="0"/>
      <w:marRight w:val="0"/>
      <w:marTop w:val="0"/>
      <w:marBottom w:val="0"/>
      <w:divBdr>
        <w:top w:val="none" w:sz="0" w:space="0" w:color="auto"/>
        <w:left w:val="none" w:sz="0" w:space="0" w:color="auto"/>
        <w:bottom w:val="none" w:sz="0" w:space="0" w:color="auto"/>
        <w:right w:val="none" w:sz="0" w:space="0" w:color="auto"/>
      </w:divBdr>
    </w:div>
    <w:div w:id="1632124891">
      <w:bodyDiv w:val="1"/>
      <w:marLeft w:val="0"/>
      <w:marRight w:val="0"/>
      <w:marTop w:val="0"/>
      <w:marBottom w:val="0"/>
      <w:divBdr>
        <w:top w:val="none" w:sz="0" w:space="0" w:color="auto"/>
        <w:left w:val="none" w:sz="0" w:space="0" w:color="auto"/>
        <w:bottom w:val="none" w:sz="0" w:space="0" w:color="auto"/>
        <w:right w:val="none" w:sz="0" w:space="0" w:color="auto"/>
      </w:divBdr>
    </w:div>
    <w:div w:id="1657492045">
      <w:bodyDiv w:val="1"/>
      <w:marLeft w:val="0"/>
      <w:marRight w:val="0"/>
      <w:marTop w:val="0"/>
      <w:marBottom w:val="0"/>
      <w:divBdr>
        <w:top w:val="none" w:sz="0" w:space="0" w:color="auto"/>
        <w:left w:val="none" w:sz="0" w:space="0" w:color="auto"/>
        <w:bottom w:val="none" w:sz="0" w:space="0" w:color="auto"/>
        <w:right w:val="none" w:sz="0" w:space="0" w:color="auto"/>
      </w:divBdr>
    </w:div>
    <w:div w:id="1665939241">
      <w:bodyDiv w:val="1"/>
      <w:marLeft w:val="0"/>
      <w:marRight w:val="0"/>
      <w:marTop w:val="0"/>
      <w:marBottom w:val="0"/>
      <w:divBdr>
        <w:top w:val="none" w:sz="0" w:space="0" w:color="auto"/>
        <w:left w:val="none" w:sz="0" w:space="0" w:color="auto"/>
        <w:bottom w:val="none" w:sz="0" w:space="0" w:color="auto"/>
        <w:right w:val="none" w:sz="0" w:space="0" w:color="auto"/>
      </w:divBdr>
    </w:div>
    <w:div w:id="1726637400">
      <w:bodyDiv w:val="1"/>
      <w:marLeft w:val="0"/>
      <w:marRight w:val="0"/>
      <w:marTop w:val="0"/>
      <w:marBottom w:val="0"/>
      <w:divBdr>
        <w:top w:val="none" w:sz="0" w:space="0" w:color="auto"/>
        <w:left w:val="none" w:sz="0" w:space="0" w:color="auto"/>
        <w:bottom w:val="none" w:sz="0" w:space="0" w:color="auto"/>
        <w:right w:val="none" w:sz="0" w:space="0" w:color="auto"/>
      </w:divBdr>
    </w:div>
    <w:div w:id="1771927446">
      <w:bodyDiv w:val="1"/>
      <w:marLeft w:val="0"/>
      <w:marRight w:val="0"/>
      <w:marTop w:val="0"/>
      <w:marBottom w:val="0"/>
      <w:divBdr>
        <w:top w:val="none" w:sz="0" w:space="0" w:color="auto"/>
        <w:left w:val="none" w:sz="0" w:space="0" w:color="auto"/>
        <w:bottom w:val="none" w:sz="0" w:space="0" w:color="auto"/>
        <w:right w:val="none" w:sz="0" w:space="0" w:color="auto"/>
      </w:divBdr>
    </w:div>
    <w:div w:id="1771966704">
      <w:bodyDiv w:val="1"/>
      <w:marLeft w:val="0"/>
      <w:marRight w:val="0"/>
      <w:marTop w:val="0"/>
      <w:marBottom w:val="0"/>
      <w:divBdr>
        <w:top w:val="none" w:sz="0" w:space="0" w:color="auto"/>
        <w:left w:val="none" w:sz="0" w:space="0" w:color="auto"/>
        <w:bottom w:val="none" w:sz="0" w:space="0" w:color="auto"/>
        <w:right w:val="none" w:sz="0" w:space="0" w:color="auto"/>
      </w:divBdr>
    </w:div>
    <w:div w:id="1787196178">
      <w:bodyDiv w:val="1"/>
      <w:marLeft w:val="0"/>
      <w:marRight w:val="0"/>
      <w:marTop w:val="0"/>
      <w:marBottom w:val="0"/>
      <w:divBdr>
        <w:top w:val="none" w:sz="0" w:space="0" w:color="auto"/>
        <w:left w:val="none" w:sz="0" w:space="0" w:color="auto"/>
        <w:bottom w:val="none" w:sz="0" w:space="0" w:color="auto"/>
        <w:right w:val="none" w:sz="0" w:space="0" w:color="auto"/>
      </w:divBdr>
    </w:div>
    <w:div w:id="1793524028">
      <w:bodyDiv w:val="1"/>
      <w:marLeft w:val="0"/>
      <w:marRight w:val="0"/>
      <w:marTop w:val="0"/>
      <w:marBottom w:val="0"/>
      <w:divBdr>
        <w:top w:val="none" w:sz="0" w:space="0" w:color="auto"/>
        <w:left w:val="none" w:sz="0" w:space="0" w:color="auto"/>
        <w:bottom w:val="none" w:sz="0" w:space="0" w:color="auto"/>
        <w:right w:val="none" w:sz="0" w:space="0" w:color="auto"/>
      </w:divBdr>
    </w:div>
    <w:div w:id="1796562296">
      <w:bodyDiv w:val="1"/>
      <w:marLeft w:val="0"/>
      <w:marRight w:val="0"/>
      <w:marTop w:val="0"/>
      <w:marBottom w:val="0"/>
      <w:divBdr>
        <w:top w:val="none" w:sz="0" w:space="0" w:color="auto"/>
        <w:left w:val="none" w:sz="0" w:space="0" w:color="auto"/>
        <w:bottom w:val="none" w:sz="0" w:space="0" w:color="auto"/>
        <w:right w:val="none" w:sz="0" w:space="0" w:color="auto"/>
      </w:divBdr>
    </w:div>
    <w:div w:id="1810049768">
      <w:bodyDiv w:val="1"/>
      <w:marLeft w:val="0"/>
      <w:marRight w:val="0"/>
      <w:marTop w:val="0"/>
      <w:marBottom w:val="0"/>
      <w:divBdr>
        <w:top w:val="none" w:sz="0" w:space="0" w:color="auto"/>
        <w:left w:val="none" w:sz="0" w:space="0" w:color="auto"/>
        <w:bottom w:val="none" w:sz="0" w:space="0" w:color="auto"/>
        <w:right w:val="none" w:sz="0" w:space="0" w:color="auto"/>
      </w:divBdr>
    </w:div>
    <w:div w:id="1820490437">
      <w:bodyDiv w:val="1"/>
      <w:marLeft w:val="0"/>
      <w:marRight w:val="0"/>
      <w:marTop w:val="0"/>
      <w:marBottom w:val="0"/>
      <w:divBdr>
        <w:top w:val="none" w:sz="0" w:space="0" w:color="auto"/>
        <w:left w:val="none" w:sz="0" w:space="0" w:color="auto"/>
        <w:bottom w:val="none" w:sz="0" w:space="0" w:color="auto"/>
        <w:right w:val="none" w:sz="0" w:space="0" w:color="auto"/>
      </w:divBdr>
    </w:div>
    <w:div w:id="1827935335">
      <w:bodyDiv w:val="1"/>
      <w:marLeft w:val="0"/>
      <w:marRight w:val="0"/>
      <w:marTop w:val="0"/>
      <w:marBottom w:val="0"/>
      <w:divBdr>
        <w:top w:val="none" w:sz="0" w:space="0" w:color="auto"/>
        <w:left w:val="none" w:sz="0" w:space="0" w:color="auto"/>
        <w:bottom w:val="none" w:sz="0" w:space="0" w:color="auto"/>
        <w:right w:val="none" w:sz="0" w:space="0" w:color="auto"/>
      </w:divBdr>
    </w:div>
    <w:div w:id="1835952224">
      <w:bodyDiv w:val="1"/>
      <w:marLeft w:val="0"/>
      <w:marRight w:val="0"/>
      <w:marTop w:val="0"/>
      <w:marBottom w:val="0"/>
      <w:divBdr>
        <w:top w:val="none" w:sz="0" w:space="0" w:color="auto"/>
        <w:left w:val="none" w:sz="0" w:space="0" w:color="auto"/>
        <w:bottom w:val="none" w:sz="0" w:space="0" w:color="auto"/>
        <w:right w:val="none" w:sz="0" w:space="0" w:color="auto"/>
      </w:divBdr>
    </w:div>
    <w:div w:id="1861703463">
      <w:bodyDiv w:val="1"/>
      <w:marLeft w:val="0"/>
      <w:marRight w:val="0"/>
      <w:marTop w:val="0"/>
      <w:marBottom w:val="0"/>
      <w:divBdr>
        <w:top w:val="none" w:sz="0" w:space="0" w:color="auto"/>
        <w:left w:val="none" w:sz="0" w:space="0" w:color="auto"/>
        <w:bottom w:val="none" w:sz="0" w:space="0" w:color="auto"/>
        <w:right w:val="none" w:sz="0" w:space="0" w:color="auto"/>
      </w:divBdr>
    </w:div>
    <w:div w:id="1868595135">
      <w:bodyDiv w:val="1"/>
      <w:marLeft w:val="0"/>
      <w:marRight w:val="0"/>
      <w:marTop w:val="0"/>
      <w:marBottom w:val="0"/>
      <w:divBdr>
        <w:top w:val="none" w:sz="0" w:space="0" w:color="auto"/>
        <w:left w:val="none" w:sz="0" w:space="0" w:color="auto"/>
        <w:bottom w:val="none" w:sz="0" w:space="0" w:color="auto"/>
        <w:right w:val="none" w:sz="0" w:space="0" w:color="auto"/>
      </w:divBdr>
    </w:div>
    <w:div w:id="1875340168">
      <w:bodyDiv w:val="1"/>
      <w:marLeft w:val="0"/>
      <w:marRight w:val="0"/>
      <w:marTop w:val="0"/>
      <w:marBottom w:val="0"/>
      <w:divBdr>
        <w:top w:val="none" w:sz="0" w:space="0" w:color="auto"/>
        <w:left w:val="none" w:sz="0" w:space="0" w:color="auto"/>
        <w:bottom w:val="none" w:sz="0" w:space="0" w:color="auto"/>
        <w:right w:val="none" w:sz="0" w:space="0" w:color="auto"/>
      </w:divBdr>
    </w:div>
    <w:div w:id="1928922487">
      <w:bodyDiv w:val="1"/>
      <w:marLeft w:val="0"/>
      <w:marRight w:val="0"/>
      <w:marTop w:val="0"/>
      <w:marBottom w:val="0"/>
      <w:divBdr>
        <w:top w:val="none" w:sz="0" w:space="0" w:color="auto"/>
        <w:left w:val="none" w:sz="0" w:space="0" w:color="auto"/>
        <w:bottom w:val="none" w:sz="0" w:space="0" w:color="auto"/>
        <w:right w:val="none" w:sz="0" w:space="0" w:color="auto"/>
      </w:divBdr>
      <w:divsChild>
        <w:div w:id="661856050">
          <w:marLeft w:val="547"/>
          <w:marRight w:val="0"/>
          <w:marTop w:val="0"/>
          <w:marBottom w:val="0"/>
          <w:divBdr>
            <w:top w:val="none" w:sz="0" w:space="0" w:color="auto"/>
            <w:left w:val="none" w:sz="0" w:space="0" w:color="auto"/>
            <w:bottom w:val="none" w:sz="0" w:space="0" w:color="auto"/>
            <w:right w:val="none" w:sz="0" w:space="0" w:color="auto"/>
          </w:divBdr>
        </w:div>
        <w:div w:id="824199303">
          <w:marLeft w:val="547"/>
          <w:marRight w:val="0"/>
          <w:marTop w:val="0"/>
          <w:marBottom w:val="0"/>
          <w:divBdr>
            <w:top w:val="none" w:sz="0" w:space="0" w:color="auto"/>
            <w:left w:val="none" w:sz="0" w:space="0" w:color="auto"/>
            <w:bottom w:val="none" w:sz="0" w:space="0" w:color="auto"/>
            <w:right w:val="none" w:sz="0" w:space="0" w:color="auto"/>
          </w:divBdr>
        </w:div>
        <w:div w:id="1474785629">
          <w:marLeft w:val="547"/>
          <w:marRight w:val="0"/>
          <w:marTop w:val="0"/>
          <w:marBottom w:val="0"/>
          <w:divBdr>
            <w:top w:val="none" w:sz="0" w:space="0" w:color="auto"/>
            <w:left w:val="none" w:sz="0" w:space="0" w:color="auto"/>
            <w:bottom w:val="none" w:sz="0" w:space="0" w:color="auto"/>
            <w:right w:val="none" w:sz="0" w:space="0" w:color="auto"/>
          </w:divBdr>
        </w:div>
        <w:div w:id="1974679193">
          <w:marLeft w:val="547"/>
          <w:marRight w:val="0"/>
          <w:marTop w:val="0"/>
          <w:marBottom w:val="0"/>
          <w:divBdr>
            <w:top w:val="none" w:sz="0" w:space="0" w:color="auto"/>
            <w:left w:val="none" w:sz="0" w:space="0" w:color="auto"/>
            <w:bottom w:val="none" w:sz="0" w:space="0" w:color="auto"/>
            <w:right w:val="none" w:sz="0" w:space="0" w:color="auto"/>
          </w:divBdr>
        </w:div>
      </w:divsChild>
    </w:div>
    <w:div w:id="1977103316">
      <w:bodyDiv w:val="1"/>
      <w:marLeft w:val="0"/>
      <w:marRight w:val="0"/>
      <w:marTop w:val="0"/>
      <w:marBottom w:val="0"/>
      <w:divBdr>
        <w:top w:val="none" w:sz="0" w:space="0" w:color="auto"/>
        <w:left w:val="none" w:sz="0" w:space="0" w:color="auto"/>
        <w:bottom w:val="none" w:sz="0" w:space="0" w:color="auto"/>
        <w:right w:val="none" w:sz="0" w:space="0" w:color="auto"/>
      </w:divBdr>
      <w:divsChild>
        <w:div w:id="772866608">
          <w:marLeft w:val="547"/>
          <w:marRight w:val="0"/>
          <w:marTop w:val="0"/>
          <w:marBottom w:val="0"/>
          <w:divBdr>
            <w:top w:val="none" w:sz="0" w:space="0" w:color="auto"/>
            <w:left w:val="none" w:sz="0" w:space="0" w:color="auto"/>
            <w:bottom w:val="none" w:sz="0" w:space="0" w:color="auto"/>
            <w:right w:val="none" w:sz="0" w:space="0" w:color="auto"/>
          </w:divBdr>
        </w:div>
      </w:divsChild>
    </w:div>
    <w:div w:id="1984969732">
      <w:bodyDiv w:val="1"/>
      <w:marLeft w:val="0"/>
      <w:marRight w:val="0"/>
      <w:marTop w:val="0"/>
      <w:marBottom w:val="0"/>
      <w:divBdr>
        <w:top w:val="none" w:sz="0" w:space="0" w:color="auto"/>
        <w:left w:val="none" w:sz="0" w:space="0" w:color="auto"/>
        <w:bottom w:val="none" w:sz="0" w:space="0" w:color="auto"/>
        <w:right w:val="none" w:sz="0" w:space="0" w:color="auto"/>
      </w:divBdr>
      <w:divsChild>
        <w:div w:id="150098006">
          <w:marLeft w:val="384"/>
          <w:marRight w:val="0"/>
          <w:marTop w:val="0"/>
          <w:marBottom w:val="0"/>
          <w:divBdr>
            <w:top w:val="none" w:sz="0" w:space="0" w:color="auto"/>
            <w:left w:val="none" w:sz="0" w:space="0" w:color="auto"/>
            <w:bottom w:val="none" w:sz="0" w:space="0" w:color="auto"/>
            <w:right w:val="none" w:sz="0" w:space="0" w:color="auto"/>
          </w:divBdr>
        </w:div>
        <w:div w:id="342707842">
          <w:marLeft w:val="384"/>
          <w:marRight w:val="0"/>
          <w:marTop w:val="0"/>
          <w:marBottom w:val="0"/>
          <w:divBdr>
            <w:top w:val="none" w:sz="0" w:space="0" w:color="auto"/>
            <w:left w:val="none" w:sz="0" w:space="0" w:color="auto"/>
            <w:bottom w:val="none" w:sz="0" w:space="0" w:color="auto"/>
            <w:right w:val="none" w:sz="0" w:space="0" w:color="auto"/>
          </w:divBdr>
        </w:div>
      </w:divsChild>
    </w:div>
    <w:div w:id="2041738976">
      <w:bodyDiv w:val="1"/>
      <w:marLeft w:val="0"/>
      <w:marRight w:val="0"/>
      <w:marTop w:val="0"/>
      <w:marBottom w:val="0"/>
      <w:divBdr>
        <w:top w:val="none" w:sz="0" w:space="0" w:color="auto"/>
        <w:left w:val="none" w:sz="0" w:space="0" w:color="auto"/>
        <w:bottom w:val="none" w:sz="0" w:space="0" w:color="auto"/>
        <w:right w:val="none" w:sz="0" w:space="0" w:color="auto"/>
      </w:divBdr>
    </w:div>
    <w:div w:id="2051951688">
      <w:bodyDiv w:val="1"/>
      <w:marLeft w:val="0"/>
      <w:marRight w:val="0"/>
      <w:marTop w:val="0"/>
      <w:marBottom w:val="0"/>
      <w:divBdr>
        <w:top w:val="none" w:sz="0" w:space="0" w:color="auto"/>
        <w:left w:val="none" w:sz="0" w:space="0" w:color="auto"/>
        <w:bottom w:val="none" w:sz="0" w:space="0" w:color="auto"/>
        <w:right w:val="none" w:sz="0" w:space="0" w:color="auto"/>
      </w:divBdr>
    </w:div>
    <w:div w:id="2058628140">
      <w:bodyDiv w:val="1"/>
      <w:marLeft w:val="0"/>
      <w:marRight w:val="0"/>
      <w:marTop w:val="0"/>
      <w:marBottom w:val="0"/>
      <w:divBdr>
        <w:top w:val="none" w:sz="0" w:space="0" w:color="auto"/>
        <w:left w:val="none" w:sz="0" w:space="0" w:color="auto"/>
        <w:bottom w:val="none" w:sz="0" w:space="0" w:color="auto"/>
        <w:right w:val="none" w:sz="0" w:space="0" w:color="auto"/>
      </w:divBdr>
    </w:div>
    <w:div w:id="2104834142">
      <w:bodyDiv w:val="1"/>
      <w:marLeft w:val="0"/>
      <w:marRight w:val="0"/>
      <w:marTop w:val="0"/>
      <w:marBottom w:val="0"/>
      <w:divBdr>
        <w:top w:val="none" w:sz="0" w:space="0" w:color="auto"/>
        <w:left w:val="none" w:sz="0" w:space="0" w:color="auto"/>
        <w:bottom w:val="none" w:sz="0" w:space="0" w:color="auto"/>
        <w:right w:val="none" w:sz="0" w:space="0" w:color="auto"/>
      </w:divBdr>
    </w:div>
    <w:div w:id="2129860368">
      <w:bodyDiv w:val="1"/>
      <w:marLeft w:val="0"/>
      <w:marRight w:val="0"/>
      <w:marTop w:val="0"/>
      <w:marBottom w:val="0"/>
      <w:divBdr>
        <w:top w:val="none" w:sz="0" w:space="0" w:color="auto"/>
        <w:left w:val="none" w:sz="0" w:space="0" w:color="auto"/>
        <w:bottom w:val="none" w:sz="0" w:space="0" w:color="auto"/>
        <w:right w:val="none" w:sz="0" w:space="0" w:color="auto"/>
      </w:divBdr>
    </w:div>
    <w:div w:id="21431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List1!$C$2</c:f>
              <c:strCache>
                <c:ptCount val="1"/>
                <c:pt idx="0">
                  <c:v>Výše pokut (v mil. Kč)</c:v>
                </c:pt>
              </c:strCache>
            </c:strRef>
          </c:tx>
          <c:spPr>
            <a:solidFill>
              <a:srgbClr val="2EB3A1"/>
            </a:solidFill>
            <a:ln>
              <a:solidFill>
                <a:srgbClr val="2EB3A1"/>
              </a:solidFill>
            </a:ln>
            <a:effectLst/>
          </c:spPr>
          <c:invertIfNegative val="0"/>
          <c:dLbls>
            <c:dLbl>
              <c:idx val="3"/>
              <c:layout>
                <c:manualLayout>
                  <c:x val="0"/>
                  <c:y val="8.47637211273574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A9-48F1-B4CE-449CB123EAB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EB3A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List1!$F$3:$F$7</c:f>
              <c:numCache>
                <c:formatCode>0.0</c:formatCode>
                <c:ptCount val="5"/>
                <c:pt idx="0">
                  <c:v>146.06450000000001</c:v>
                </c:pt>
                <c:pt idx="1">
                  <c:v>137.501</c:v>
                </c:pt>
                <c:pt idx="2">
                  <c:v>160.00700000000001</c:v>
                </c:pt>
                <c:pt idx="3">
                  <c:v>147.892</c:v>
                </c:pt>
                <c:pt idx="4">
                  <c:v>147.54599999999999</c:v>
                </c:pt>
              </c:numCache>
            </c:numRef>
          </c:val>
          <c:extLst>
            <c:ext xmlns:c16="http://schemas.microsoft.com/office/drawing/2014/chart" uri="{C3380CC4-5D6E-409C-BE32-E72D297353CC}">
              <c16:uniqueId val="{00000001-62A9-48F1-B4CE-449CB123EABA}"/>
            </c:ext>
          </c:extLst>
        </c:ser>
        <c:dLbls>
          <c:showLegendKey val="0"/>
          <c:showVal val="0"/>
          <c:showCatName val="0"/>
          <c:showSerName val="0"/>
          <c:showPercent val="0"/>
          <c:showBubbleSize val="0"/>
        </c:dLbls>
        <c:gapWidth val="219"/>
        <c:overlap val="-27"/>
        <c:axId val="1886071600"/>
        <c:axId val="1833877088"/>
      </c:barChart>
      <c:lineChart>
        <c:grouping val="standard"/>
        <c:varyColors val="0"/>
        <c:ser>
          <c:idx val="2"/>
          <c:order val="2"/>
          <c:tx>
            <c:strRef>
              <c:f>List1!$D$2</c:f>
              <c:strCache>
                <c:ptCount val="1"/>
                <c:pt idx="0">
                  <c:v>Průměrná výše pokuty (v tis. Kč)</c:v>
                </c:pt>
              </c:strCache>
            </c:strRef>
          </c:tx>
          <c:spPr>
            <a:ln w="28575" cap="rnd">
              <a:solidFill>
                <a:srgbClr val="FDC300"/>
              </a:solidFill>
              <a:round/>
            </a:ln>
            <a:effectLst/>
          </c:spPr>
          <c:marker>
            <c:symbol val="none"/>
          </c:marker>
          <c:cat>
            <c:numRef>
              <c:f>List1!$A$3:$A$7</c:f>
              <c:numCache>
                <c:formatCode>General</c:formatCode>
                <c:ptCount val="5"/>
                <c:pt idx="0">
                  <c:v>2019</c:v>
                </c:pt>
                <c:pt idx="1">
                  <c:v>2020</c:v>
                </c:pt>
                <c:pt idx="2">
                  <c:v>2021</c:v>
                </c:pt>
                <c:pt idx="3">
                  <c:v>2022</c:v>
                </c:pt>
                <c:pt idx="4">
                  <c:v>2023</c:v>
                </c:pt>
              </c:numCache>
            </c:numRef>
          </c:cat>
          <c:val>
            <c:numRef>
              <c:f>List1!$G$3:$G$7</c:f>
              <c:numCache>
                <c:formatCode>0.0</c:formatCode>
                <c:ptCount val="5"/>
                <c:pt idx="0">
                  <c:v>378.40544041450778</c:v>
                </c:pt>
                <c:pt idx="1">
                  <c:v>316.09425287356322</c:v>
                </c:pt>
                <c:pt idx="2">
                  <c:v>292.51736745886654</c:v>
                </c:pt>
                <c:pt idx="3">
                  <c:v>248.97643097643098</c:v>
                </c:pt>
                <c:pt idx="4">
                  <c:v>302.34836065573768</c:v>
                </c:pt>
              </c:numCache>
            </c:numRef>
          </c:val>
          <c:smooth val="0"/>
          <c:extLst>
            <c:ext xmlns:c16="http://schemas.microsoft.com/office/drawing/2014/chart" uri="{C3380CC4-5D6E-409C-BE32-E72D297353CC}">
              <c16:uniqueId val="{00000002-62A9-48F1-B4CE-449CB123EABA}"/>
            </c:ext>
          </c:extLst>
        </c:ser>
        <c:dLbls>
          <c:showLegendKey val="0"/>
          <c:showVal val="0"/>
          <c:showCatName val="0"/>
          <c:showSerName val="0"/>
          <c:showPercent val="0"/>
          <c:showBubbleSize val="0"/>
        </c:dLbls>
        <c:marker val="1"/>
        <c:smooth val="0"/>
        <c:axId val="1886071600"/>
        <c:axId val="1833877088"/>
      </c:lineChart>
      <c:lineChart>
        <c:grouping val="standard"/>
        <c:varyColors val="0"/>
        <c:ser>
          <c:idx val="0"/>
          <c:order val="0"/>
          <c:tx>
            <c:strRef>
              <c:f>List1!$B$2</c:f>
              <c:strCache>
                <c:ptCount val="1"/>
                <c:pt idx="0">
                  <c:v>Počet pokut, pravá osa</c:v>
                </c:pt>
              </c:strCache>
            </c:strRef>
          </c:tx>
          <c:spPr>
            <a:ln w="28575" cap="rnd">
              <a:solidFill>
                <a:srgbClr val="AF1953"/>
              </a:solidFill>
              <a:round/>
            </a:ln>
            <a:effectLst/>
          </c:spPr>
          <c:marker>
            <c:symbol val="none"/>
          </c:marker>
          <c:val>
            <c:numRef>
              <c:f>List1!$E$3:$E$7</c:f>
              <c:numCache>
                <c:formatCode>General</c:formatCode>
                <c:ptCount val="5"/>
                <c:pt idx="0">
                  <c:v>386</c:v>
                </c:pt>
                <c:pt idx="1">
                  <c:v>435</c:v>
                </c:pt>
                <c:pt idx="2">
                  <c:v>547</c:v>
                </c:pt>
                <c:pt idx="3">
                  <c:v>594</c:v>
                </c:pt>
                <c:pt idx="4">
                  <c:v>488</c:v>
                </c:pt>
              </c:numCache>
            </c:numRef>
          </c:val>
          <c:smooth val="0"/>
          <c:extLst>
            <c:ext xmlns:c16="http://schemas.microsoft.com/office/drawing/2014/chart" uri="{C3380CC4-5D6E-409C-BE32-E72D297353CC}">
              <c16:uniqueId val="{00000003-62A9-48F1-B4CE-449CB123EABA}"/>
            </c:ext>
          </c:extLst>
        </c:ser>
        <c:dLbls>
          <c:showLegendKey val="0"/>
          <c:showVal val="0"/>
          <c:showCatName val="0"/>
          <c:showSerName val="0"/>
          <c:showPercent val="0"/>
          <c:showBubbleSize val="0"/>
        </c:dLbls>
        <c:marker val="1"/>
        <c:smooth val="0"/>
        <c:axId val="1876463024"/>
        <c:axId val="1653370240"/>
      </c:lineChart>
      <c:catAx>
        <c:axId val="18860716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833877088"/>
        <c:crosses val="autoZero"/>
        <c:auto val="1"/>
        <c:lblAlgn val="ctr"/>
        <c:lblOffset val="100"/>
        <c:noMultiLvlLbl val="0"/>
      </c:catAx>
      <c:valAx>
        <c:axId val="1833877088"/>
        <c:scaling>
          <c:orientation val="minMax"/>
          <c:max val="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sz="900">
                    <a:solidFill>
                      <a:sysClr val="windowText" lastClr="000000"/>
                    </a:solidFill>
                  </a:rPr>
                  <a:t>(V tis. Kč)</a:t>
                </a:r>
              </a:p>
            </c:rich>
          </c:tx>
          <c:layout>
            <c:manualLayout>
              <c:xMode val="edge"/>
              <c:yMode val="edge"/>
              <c:x val="8.8202866593164279E-3"/>
              <c:y val="0.332888584710043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886071600"/>
        <c:crosses val="autoZero"/>
        <c:crossBetween val="between"/>
      </c:valAx>
      <c:valAx>
        <c:axId val="1653370240"/>
        <c:scaling>
          <c:orientation val="minMax"/>
          <c:max val="80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sz="900">
                    <a:solidFill>
                      <a:sysClr val="windowText" lastClr="000000"/>
                    </a:solidFill>
                  </a:rPr>
                  <a:t>(Počet pokut)</a:t>
                </a:r>
              </a:p>
            </c:rich>
          </c:tx>
          <c:layout>
            <c:manualLayout>
              <c:xMode val="edge"/>
              <c:yMode val="edge"/>
              <c:x val="0.95985658352794101"/>
              <c:y val="0.306350034558933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876463024"/>
        <c:crosses val="max"/>
        <c:crossBetween val="between"/>
      </c:valAx>
      <c:catAx>
        <c:axId val="1876463024"/>
        <c:scaling>
          <c:orientation val="minMax"/>
        </c:scaling>
        <c:delete val="1"/>
        <c:axPos val="b"/>
        <c:majorTickMark val="out"/>
        <c:minorTickMark val="none"/>
        <c:tickLblPos val="nextTo"/>
        <c:crossAx val="1653370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8F1B2-DCC4-4AF2-A694-30875346727C}">
  <ds:schemaRefs>
    <ds:schemaRef ds:uri="http://schemas.microsoft.com/sharepoint/v3/contenttype/forms"/>
  </ds:schemaRefs>
</ds:datastoreItem>
</file>

<file path=customXml/itemProps2.xml><?xml version="1.0" encoding="utf-8"?>
<ds:datastoreItem xmlns:ds="http://schemas.openxmlformats.org/officeDocument/2006/customXml" ds:itemID="{2BA6082F-280D-43E7-8123-957A36FDEEF4}">
  <ds:schemaRef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562E162-8A5D-4333-9283-36CB31F2032A}">
  <ds:schemaRefs>
    <ds:schemaRef ds:uri="http://schemas.openxmlformats.org/officeDocument/2006/bibliography"/>
  </ds:schemaRefs>
</ds:datastoreItem>
</file>

<file path=customXml/itemProps4.xml><?xml version="1.0" encoding="utf-8"?>
<ds:datastoreItem xmlns:ds="http://schemas.openxmlformats.org/officeDocument/2006/customXml" ds:itemID="{CB201A09-E5F7-40ED-8F33-BE78568CD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7410</Words>
  <Characters>43719</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Kontrolní závěr z kontrolní akce NKÚ č. 24/14 - Peněžní prostředky vybírané v oblasti nelegálního zaměstnávání</vt:lpstr>
    </vt:vector>
  </TitlesOfParts>
  <Company>NKU</Company>
  <LinksUpToDate>false</LinksUpToDate>
  <CharactersWithSpaces>51027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24/14 - Peněžní prostředky vybírané v oblasti nelegálního zaměstnávání</dc:title>
  <dc:subject>Kontrolní závěr z kontrolní akce NKÚ č. 24/14 - Peněžní prostředky vybírané v oblasti nelegálního zaměstnávání</dc:subject>
  <dc:creator>Nejvyšší kontrolní úřad</dc:creator>
  <cp:keywords>kontrolní závěr; nelegální zaměstnávání</cp:keywords>
  <dc:description/>
  <cp:lastModifiedBy>KOKRDA Daniel</cp:lastModifiedBy>
  <cp:revision>4</cp:revision>
  <cp:lastPrinted>2025-05-27T05:51:00Z</cp:lastPrinted>
  <dcterms:created xsi:type="dcterms:W3CDTF">2025-07-04T07:42:00Z</dcterms:created>
  <dcterms:modified xsi:type="dcterms:W3CDTF">2025-07-04T07:44:00Z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179/22-NKU200/525/22</vt:lpwstr>
  </property>
  <property fmtid="{D5CDD505-2E9C-101B-9397-08002B2CF9AE}" pid="5" name="CJ_PostaDoruc_PisemnostOdpovedNa_Pisemnost">
    <vt:lpwstr>XXX-XXX-XXX</vt:lpwstr>
  </property>
  <property fmtid="{D5CDD505-2E9C-101B-9397-08002B2CF9AE}" pid="6" name="CJ_Spis_Pisemnost">
    <vt:lpwstr>200/3/22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6.10.2022</vt:lpwstr>
  </property>
  <property fmtid="{D5CDD505-2E9C-101B-9397-08002B2CF9AE}" pid="12" name="DisplayName_CisloObalky_PostaOdes">
    <vt:lpwstr>ČÍSLO OBÁLKY</vt:lpwstr>
  </property>
  <property fmtid="{D5CDD505-2E9C-101B-9397-08002B2CF9AE}" pid="13" name="DisplayName_CJCol">
    <vt:lpwstr>&lt;TABLE&gt;&lt;TR&gt;&lt;TD&gt;Č.j.:&lt;/TD&gt;&lt;TD&gt;179/22-NKU200/525/22&lt;/TD&gt;&lt;/TR&gt;&lt;TR&gt;&lt;TD&gt;&lt;/TD&gt;&lt;TD&gt;&lt;/TD&gt;&lt;/TR&gt;&lt;/TABLE&gt;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kontrolní</vt:lpwstr>
  </property>
  <property fmtid="{D5CDD505-2E9C-101B-9397-08002B2CF9AE}" pid="16" name="DisplayName_UserPoriz_Pisemnost">
    <vt:lpwstr>Ivana Růžičková</vt:lpwstr>
  </property>
  <property fmtid="{D5CDD505-2E9C-101B-9397-08002B2CF9AE}" pid="17" name="DuvodZmeny_SlozkaStupenUtajeniCollection_Slozka_Pisemnost">
    <vt:lpwstr/>
  </property>
  <property fmtid="{D5CDD505-2E9C-101B-9397-08002B2CF9AE}" pid="18" name="EC_Pisemnost">
    <vt:lpwstr>22-13415/NKU</vt:lpwstr>
  </property>
  <property fmtid="{D5CDD505-2E9C-101B-9397-08002B2CF9AE}" pid="19" name="Key_BarCode_Pisemnost">
    <vt:lpwstr>*B000419890*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22-13415/NKU</vt:lpwstr>
  </property>
  <property fmtid="{D5CDD505-2E9C-101B-9397-08002B2CF9AE}" pid="33" name="RC">
    <vt:lpwstr/>
  </property>
  <property fmtid="{D5CDD505-2E9C-101B-9397-08002B2CF9AE}" pid="34" name="SkartacniZnakLhuta_PisemnostZnak">
    <vt:lpwstr>?/?</vt:lpwstr>
  </property>
  <property fmtid="{D5CDD505-2E9C-101B-9397-08002B2CF9AE}" pid="35" name="SmlouvaCislo">
    <vt:lpwstr>ČÍSLO SMLOUVY</vt:lpwstr>
  </property>
  <property fmtid="{D5CDD505-2E9C-101B-9397-08002B2CF9AE}" pid="36" name="SZ_Spis_Pisemnost">
    <vt:lpwstr>179/22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KZ 21/23 - připomínkové řízení</vt:lpwstr>
  </property>
  <property fmtid="{D5CDD505-2E9C-101B-9397-08002B2CF9AE}" pid="41" name="Zkratka_SpisovyUzel_PoziceZodpo_Pisemnost">
    <vt:lpwstr>200</vt:lpwstr>
  </property>
  <property fmtid="{D5CDD505-2E9C-101B-9397-08002B2CF9AE}" pid="42" name="ContentTypeId">
    <vt:lpwstr>0x0101002F7A625AE9F5AB4A939F92BCAA7FEC02</vt:lpwstr>
  </property>
  <property fmtid="{D5CDD505-2E9C-101B-9397-08002B2CF9AE}" pid="43" name="ClassificationContentMarkingFooterShapeIds">
    <vt:lpwstr>4ba9469c,23251d8a,77565154</vt:lpwstr>
  </property>
  <property fmtid="{D5CDD505-2E9C-101B-9397-08002B2CF9AE}" pid="44" name="ClassificationContentMarkingFooterFontProps">
    <vt:lpwstr>#828282,12,Calibri</vt:lpwstr>
  </property>
  <property fmtid="{D5CDD505-2E9C-101B-9397-08002B2CF9AE}" pid="45" name="ClassificationContentMarkingFooterText">
    <vt:lpwstr>TLP:CLEAR</vt:lpwstr>
  </property>
  <property fmtid="{D5CDD505-2E9C-101B-9397-08002B2CF9AE}" pid="46" name="MSIP_Label_2a5ca00b-f9dd-452b-9d75-e1b2c69cf7c5_Enabled">
    <vt:lpwstr>true</vt:lpwstr>
  </property>
  <property fmtid="{D5CDD505-2E9C-101B-9397-08002B2CF9AE}" pid="47" name="MSIP_Label_2a5ca00b-f9dd-452b-9d75-e1b2c69cf7c5_SetDate">
    <vt:lpwstr>2025-07-02T10:28:59Z</vt:lpwstr>
  </property>
  <property fmtid="{D5CDD505-2E9C-101B-9397-08002B2CF9AE}" pid="48" name="MSIP_Label_2a5ca00b-f9dd-452b-9d75-e1b2c69cf7c5_Method">
    <vt:lpwstr>Privileged</vt:lpwstr>
  </property>
  <property fmtid="{D5CDD505-2E9C-101B-9397-08002B2CF9AE}" pid="49" name="MSIP_Label_2a5ca00b-f9dd-452b-9d75-e1b2c69cf7c5_Name">
    <vt:lpwstr>Nízká</vt:lpwstr>
  </property>
  <property fmtid="{D5CDD505-2E9C-101B-9397-08002B2CF9AE}" pid="50" name="MSIP_Label_2a5ca00b-f9dd-452b-9d75-e1b2c69cf7c5_SiteId">
    <vt:lpwstr>e6d36204-fa0a-4bdb-9b60-80f84bb090cf</vt:lpwstr>
  </property>
  <property fmtid="{D5CDD505-2E9C-101B-9397-08002B2CF9AE}" pid="51" name="MSIP_Label_2a5ca00b-f9dd-452b-9d75-e1b2c69cf7c5_ActionId">
    <vt:lpwstr>b4ccb102-e3cd-4aaf-bc00-c7aa5336c6b2</vt:lpwstr>
  </property>
  <property fmtid="{D5CDD505-2E9C-101B-9397-08002B2CF9AE}" pid="52" name="MSIP_Label_2a5ca00b-f9dd-452b-9d75-e1b2c69cf7c5_ContentBits">
    <vt:lpwstr>2</vt:lpwstr>
  </property>
  <property fmtid="{D5CDD505-2E9C-101B-9397-08002B2CF9AE}" pid="53" name="MSIP_Label_2a5ca00b-f9dd-452b-9d75-e1b2c69cf7c5_Tag">
    <vt:lpwstr>10, 0, 1, 1</vt:lpwstr>
  </property>
</Properties>
</file>