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E983A" w14:textId="77777777" w:rsidR="009E560F" w:rsidRPr="007E7455" w:rsidRDefault="009E560F" w:rsidP="009A40AF">
      <w:pPr>
        <w:spacing w:before="0"/>
        <w:jc w:val="center"/>
      </w:pPr>
      <w:r w:rsidRPr="007E7455">
        <w:rPr>
          <w:noProof/>
          <w:lang w:eastAsia="cs-CZ"/>
        </w:rPr>
        <w:drawing>
          <wp:anchor distT="0" distB="0" distL="114300" distR="114300" simplePos="0" relativeHeight="251653632" behindDoc="0" locked="0" layoutInCell="1" allowOverlap="1" wp14:anchorId="751E6426" wp14:editId="29F4ED0F">
            <wp:simplePos x="0" y="0"/>
            <wp:positionH relativeFrom="margin">
              <wp:posOffset>2549525</wp:posOffset>
            </wp:positionH>
            <wp:positionV relativeFrom="paragraph">
              <wp:posOffset>4445</wp:posOffset>
            </wp:positionV>
            <wp:extent cx="702310" cy="539750"/>
            <wp:effectExtent l="0" t="0" r="2540" b="0"/>
            <wp:wrapTopAndBottom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72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2D38B" w14:textId="77777777" w:rsidR="009E560F" w:rsidRPr="007E7455" w:rsidRDefault="009E560F" w:rsidP="009A40AF">
      <w:pPr>
        <w:spacing w:before="0"/>
        <w:jc w:val="center"/>
      </w:pPr>
    </w:p>
    <w:p w14:paraId="6E2A599B" w14:textId="77777777" w:rsidR="00504F32" w:rsidRPr="00635769" w:rsidRDefault="00504F32" w:rsidP="00504F32">
      <w:pPr>
        <w:jc w:val="center"/>
        <w:rPr>
          <w:b/>
          <w:sz w:val="32"/>
          <w:szCs w:val="32"/>
        </w:rPr>
      </w:pPr>
      <w:bookmarkStart w:id="0" w:name="_Hlk194336648"/>
      <w:bookmarkStart w:id="1" w:name="_Hlk118897706"/>
      <w:r w:rsidRPr="00EC3A0D">
        <w:rPr>
          <w:rFonts w:cstheme="minorHAnsi"/>
          <w:b/>
          <w:sz w:val="28"/>
          <w:szCs w:val="28"/>
        </w:rPr>
        <w:t>Kontrolní závěr z kontrolní akce</w:t>
      </w:r>
    </w:p>
    <w:p w14:paraId="69BC6E8A" w14:textId="77777777" w:rsidR="00504F32" w:rsidRDefault="00504F32" w:rsidP="00504F32">
      <w:pPr>
        <w:jc w:val="center"/>
      </w:pPr>
    </w:p>
    <w:p w14:paraId="7CE99F3D" w14:textId="77777777" w:rsidR="00504F32" w:rsidRPr="00EC3A0D" w:rsidRDefault="00504F32" w:rsidP="00504F3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24</w:t>
      </w:r>
      <w:r w:rsidRPr="00EC3A0D">
        <w:rPr>
          <w:rFonts w:cstheme="minorHAnsi"/>
          <w:b/>
          <w:sz w:val="28"/>
          <w:szCs w:val="28"/>
        </w:rPr>
        <w:t>/</w:t>
      </w:r>
      <w:r>
        <w:rPr>
          <w:rFonts w:cstheme="minorHAnsi"/>
          <w:b/>
          <w:sz w:val="28"/>
          <w:szCs w:val="28"/>
        </w:rPr>
        <w:t>10</w:t>
      </w:r>
    </w:p>
    <w:p w14:paraId="298ED1B6" w14:textId="77777777" w:rsidR="00504F32" w:rsidRDefault="00504F32" w:rsidP="00504F32">
      <w:pPr>
        <w:jc w:val="center"/>
      </w:pPr>
    </w:p>
    <w:p w14:paraId="670FF1FB" w14:textId="77777777" w:rsidR="000B27EE" w:rsidRDefault="00504F32" w:rsidP="00504F32">
      <w:pPr>
        <w:jc w:val="center"/>
        <w:rPr>
          <w:rFonts w:cstheme="minorHAnsi"/>
          <w:b/>
          <w:sz w:val="28"/>
          <w:szCs w:val="28"/>
        </w:rPr>
      </w:pPr>
      <w:r w:rsidRPr="0045046D">
        <w:rPr>
          <w:rFonts w:cstheme="minorHAnsi"/>
          <w:b/>
          <w:sz w:val="28"/>
          <w:szCs w:val="28"/>
        </w:rPr>
        <w:t>Peněžní prostředky</w:t>
      </w:r>
      <w:r>
        <w:rPr>
          <w:rFonts w:cstheme="minorHAnsi"/>
          <w:b/>
          <w:sz w:val="28"/>
          <w:szCs w:val="28"/>
        </w:rPr>
        <w:t xml:space="preserve"> určené na podporu infrastruktury </w:t>
      </w:r>
      <w:r w:rsidR="003853F1">
        <w:rPr>
          <w:rFonts w:cstheme="minorHAnsi"/>
          <w:b/>
          <w:sz w:val="28"/>
          <w:szCs w:val="28"/>
        </w:rPr>
        <w:t>regionálních</w:t>
      </w:r>
      <w:r w:rsidR="000B27EE">
        <w:rPr>
          <w:rFonts w:cstheme="minorHAnsi"/>
          <w:b/>
          <w:sz w:val="28"/>
          <w:szCs w:val="28"/>
        </w:rPr>
        <w:t xml:space="preserve"> </w:t>
      </w:r>
    </w:p>
    <w:p w14:paraId="69C3133B" w14:textId="77777777" w:rsidR="00504F32" w:rsidRPr="00EC3A0D" w:rsidRDefault="00504F32" w:rsidP="00504F3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sociálních služeb</w:t>
      </w:r>
    </w:p>
    <w:p w14:paraId="7BC5B198" w14:textId="77777777" w:rsidR="00504F32" w:rsidRDefault="00504F32" w:rsidP="00504F32">
      <w:pPr>
        <w:pStyle w:val="KPnormalni"/>
      </w:pPr>
    </w:p>
    <w:p w14:paraId="6A3B1B63" w14:textId="77777777" w:rsidR="00504F32" w:rsidRPr="004F2B40" w:rsidRDefault="00504F32" w:rsidP="00504F32">
      <w:pPr>
        <w:pStyle w:val="KPnormalni"/>
      </w:pPr>
    </w:p>
    <w:p w14:paraId="789698E0" w14:textId="77777777" w:rsidR="00504F32" w:rsidRPr="004F2B40" w:rsidRDefault="00504F32" w:rsidP="00504F32">
      <w:pPr>
        <w:pStyle w:val="KPnormalni"/>
      </w:pPr>
      <w:r w:rsidRPr="00A04A18">
        <w:t>Kontrolní akce byla zařazena do plánu kontrolní činnosti Nejvyššího kontrolního úřadu (dále také „NKÚ“) na rok 2024 pod číslem 24/10. Kontrolní akci řídil a kontrolní závěr vypracoval člen NKÚ Ing. Jan Kinšt.</w:t>
      </w:r>
    </w:p>
    <w:p w14:paraId="4473C981" w14:textId="77777777" w:rsidR="00504F32" w:rsidRPr="004F2B40" w:rsidRDefault="00504F32" w:rsidP="00504F32">
      <w:pPr>
        <w:pStyle w:val="KPnormalni"/>
      </w:pPr>
    </w:p>
    <w:p w14:paraId="290624B8" w14:textId="24F087BB" w:rsidR="00504F32" w:rsidRDefault="00504F32" w:rsidP="00504F32">
      <w:pPr>
        <w:spacing w:after="120"/>
        <w:rPr>
          <w:rFonts w:cstheme="minorHAnsi"/>
        </w:rPr>
      </w:pPr>
      <w:r w:rsidRPr="00284276">
        <w:rPr>
          <w:bCs/>
        </w:rPr>
        <w:t xml:space="preserve">Cílem </w:t>
      </w:r>
      <w:r w:rsidRPr="00DA574B">
        <w:t>kontroly</w:t>
      </w:r>
      <w:r w:rsidRPr="00284276">
        <w:rPr>
          <w:bCs/>
        </w:rPr>
        <w:t xml:space="preserve"> bylo </w:t>
      </w:r>
      <w:bookmarkStart w:id="2" w:name="_Hlk87435700"/>
      <w:r>
        <w:t>p</w:t>
      </w:r>
      <w:r w:rsidRPr="00543EBF">
        <w:t xml:space="preserve">rověřit, </w:t>
      </w:r>
      <w:bookmarkEnd w:id="2"/>
      <w:r w:rsidRPr="0004387A">
        <w:rPr>
          <w:rFonts w:cstheme="minorHAnsi"/>
        </w:rPr>
        <w:t>zda peněžní prostředky poskytované Ministerstvem pro místní rozvoj na infrastruktur</w:t>
      </w:r>
      <w:r>
        <w:rPr>
          <w:rFonts w:cstheme="minorHAnsi"/>
        </w:rPr>
        <w:t>u</w:t>
      </w:r>
      <w:r w:rsidRPr="0004387A">
        <w:rPr>
          <w:rFonts w:cstheme="minorHAnsi"/>
        </w:rPr>
        <w:t xml:space="preserve"> sociálních služeb byly vynakládány účelně a v</w:t>
      </w:r>
      <w:r w:rsidR="003E0089">
        <w:rPr>
          <w:rFonts w:cstheme="minorHAnsi"/>
        </w:rPr>
        <w:t xml:space="preserve"> </w:t>
      </w:r>
      <w:r w:rsidRPr="0004387A">
        <w:rPr>
          <w:rFonts w:cstheme="minorHAnsi"/>
        </w:rPr>
        <w:t>souladu s</w:t>
      </w:r>
      <w:r w:rsidR="003E0089">
        <w:rPr>
          <w:rFonts w:cstheme="minorHAnsi"/>
        </w:rPr>
        <w:t xml:space="preserve"> </w:t>
      </w:r>
      <w:r w:rsidRPr="0004387A">
        <w:rPr>
          <w:rFonts w:cstheme="minorHAnsi"/>
        </w:rPr>
        <w:t>právními předpisy.</w:t>
      </w:r>
    </w:p>
    <w:p w14:paraId="6BBB6BED" w14:textId="77777777" w:rsidR="00504F32" w:rsidRDefault="00504F32" w:rsidP="00504F32">
      <w:pPr>
        <w:pStyle w:val="KPnormalni"/>
        <w:rPr>
          <w:bCs/>
        </w:rPr>
      </w:pPr>
    </w:p>
    <w:p w14:paraId="10284F13" w14:textId="77777777" w:rsidR="00504F32" w:rsidRPr="005D2CEC" w:rsidRDefault="00504F32" w:rsidP="00504F32">
      <w:pPr>
        <w:rPr>
          <w:b/>
        </w:rPr>
      </w:pPr>
      <w:r w:rsidRPr="005D2CEC">
        <w:rPr>
          <w:b/>
        </w:rPr>
        <w:t>Kontrolované osoby:</w:t>
      </w:r>
    </w:p>
    <w:p w14:paraId="756E35A2" w14:textId="77777777" w:rsidR="00504F32" w:rsidRPr="005D2CEC" w:rsidRDefault="00504F32" w:rsidP="00504F32">
      <w:pPr>
        <w:pStyle w:val="KPnormalni"/>
      </w:pPr>
      <w:r w:rsidRPr="005D2CEC">
        <w:t>Ministerstvo pro místní rozvoj (dále také „</w:t>
      </w:r>
      <w:r w:rsidRPr="00A04A18">
        <w:t>MMR“);</w:t>
      </w:r>
    </w:p>
    <w:p w14:paraId="200C8EBA" w14:textId="77777777" w:rsidR="00504F32" w:rsidRPr="00284276" w:rsidRDefault="00504F32" w:rsidP="00504F32">
      <w:pPr>
        <w:pStyle w:val="KPnormalni"/>
      </w:pPr>
      <w:r w:rsidRPr="005D2CEC">
        <w:t xml:space="preserve">vybraní příjemci podpory: </w:t>
      </w:r>
      <w:r w:rsidRPr="0004387A">
        <w:rPr>
          <w:rFonts w:cstheme="minorHAnsi"/>
        </w:rPr>
        <w:t>Oblastní charita Červený Kostelec</w:t>
      </w:r>
      <w:r>
        <w:rPr>
          <w:rFonts w:cstheme="minorHAnsi"/>
        </w:rPr>
        <w:t>;</w:t>
      </w:r>
      <w:r>
        <w:t xml:space="preserve"> S</w:t>
      </w:r>
      <w:r w:rsidRPr="00B05FA5">
        <w:t>ociální a zdravotní služby Teplice, z.</w:t>
      </w:r>
      <w:r w:rsidR="003C2A2E">
        <w:t xml:space="preserve"> </w:t>
      </w:r>
      <w:r w:rsidRPr="00B05FA5">
        <w:t>s.</w:t>
      </w:r>
      <w:r w:rsidR="00104678">
        <w:t>, Proboštov</w:t>
      </w:r>
      <w:r>
        <w:t xml:space="preserve">; </w:t>
      </w:r>
      <w:r w:rsidRPr="00B05FA5">
        <w:t>Domov Pod lesem, z.s.</w:t>
      </w:r>
      <w:r w:rsidR="00104678">
        <w:t>, Lom</w:t>
      </w:r>
      <w:r>
        <w:t xml:space="preserve">; </w:t>
      </w:r>
      <w:r w:rsidRPr="00B05FA5">
        <w:t xml:space="preserve">Centrum sociálních služeb </w:t>
      </w:r>
      <w:r w:rsidR="000F3992">
        <w:br/>
      </w:r>
      <w:r w:rsidRPr="00B05FA5">
        <w:t>Stod, příspěvková organizace</w:t>
      </w:r>
      <w:r>
        <w:t xml:space="preserve">; </w:t>
      </w:r>
      <w:r w:rsidRPr="00B05FA5">
        <w:t>Charita Uherský Brod</w:t>
      </w:r>
      <w:r>
        <w:t xml:space="preserve">; </w:t>
      </w:r>
      <w:r w:rsidR="00104678">
        <w:t>o</w:t>
      </w:r>
      <w:r>
        <w:t xml:space="preserve">bec Boršice; </w:t>
      </w:r>
      <w:bookmarkStart w:id="3" w:name="_Hlk187671596"/>
      <w:r w:rsidRPr="00B05FA5">
        <w:t>Armáda spásy v České republice, z.s.</w:t>
      </w:r>
      <w:bookmarkEnd w:id="3"/>
      <w:r w:rsidR="002B25FA">
        <w:t>, Praha</w:t>
      </w:r>
      <w:r>
        <w:rPr>
          <w:rStyle w:val="Znakapoznpodarou"/>
        </w:rPr>
        <w:footnoteReference w:id="2"/>
      </w:r>
      <w:r>
        <w:t xml:space="preserve">; </w:t>
      </w:r>
      <w:r w:rsidRPr="000709B6">
        <w:t>Slezská diakonie</w:t>
      </w:r>
      <w:r w:rsidR="00104678">
        <w:t>, Český Těšín</w:t>
      </w:r>
      <w:r>
        <w:t>; Komunitní centrum Petrklíč, z.s.</w:t>
      </w:r>
      <w:r w:rsidR="00104678">
        <w:t>, Česká Třebová.</w:t>
      </w:r>
    </w:p>
    <w:p w14:paraId="1CCC2740" w14:textId="77777777" w:rsidR="00504F32" w:rsidRDefault="00504F32" w:rsidP="00504F32">
      <w:pPr>
        <w:pStyle w:val="KPnormalni"/>
      </w:pPr>
    </w:p>
    <w:p w14:paraId="5F0A8622" w14:textId="77777777" w:rsidR="00504F32" w:rsidRPr="004F2B40" w:rsidRDefault="00504F32" w:rsidP="00504F32">
      <w:pPr>
        <w:pStyle w:val="KPnormalni"/>
      </w:pPr>
      <w:r w:rsidRPr="004F2B40">
        <w:t xml:space="preserve">Kontrolováno bylo období </w:t>
      </w:r>
      <w:r>
        <w:t xml:space="preserve">od roku </w:t>
      </w:r>
      <w:r w:rsidRPr="004F2B40">
        <w:t>201</w:t>
      </w:r>
      <w:r>
        <w:t xml:space="preserve">4 do roku </w:t>
      </w:r>
      <w:r w:rsidRPr="004F2B40">
        <w:t>20</w:t>
      </w:r>
      <w:r>
        <w:t>23</w:t>
      </w:r>
      <w:r w:rsidRPr="004F2B40">
        <w:t>, v případě věcných souvislostí i období předcházející</w:t>
      </w:r>
      <w:r w:rsidR="00372630">
        <w:t xml:space="preserve"> a následující</w:t>
      </w:r>
      <w:r w:rsidRPr="004F2B40">
        <w:t>.</w:t>
      </w:r>
    </w:p>
    <w:p w14:paraId="31C8B5EC" w14:textId="77777777" w:rsidR="00504F32" w:rsidRPr="004F2B40" w:rsidRDefault="00504F32" w:rsidP="00504F32">
      <w:pPr>
        <w:pStyle w:val="KPnormalni"/>
      </w:pPr>
    </w:p>
    <w:p w14:paraId="7BF7E3F7" w14:textId="77777777" w:rsidR="00504F32" w:rsidRPr="004F2B40" w:rsidRDefault="00504F32" w:rsidP="00504F32">
      <w:pPr>
        <w:pStyle w:val="KPnormalni"/>
      </w:pPr>
      <w:r w:rsidRPr="004F2B40">
        <w:t xml:space="preserve">Kontrola byla prováděna u kontrolovaných osob v době </w:t>
      </w:r>
      <w:r w:rsidRPr="00656227">
        <w:t xml:space="preserve">od </w:t>
      </w:r>
      <w:r>
        <w:t xml:space="preserve">května </w:t>
      </w:r>
      <w:r w:rsidRPr="00656227">
        <w:t xml:space="preserve">do </w:t>
      </w:r>
      <w:r w:rsidR="003C2A2E">
        <w:t xml:space="preserve">prosince </w:t>
      </w:r>
      <w:r w:rsidRPr="00656227">
        <w:t>202</w:t>
      </w:r>
      <w:r w:rsidR="00F117B9">
        <w:t>4</w:t>
      </w:r>
      <w:r w:rsidRPr="004F2B40">
        <w:t>.</w:t>
      </w:r>
    </w:p>
    <w:p w14:paraId="6FF174A3" w14:textId="77777777" w:rsidR="00504F32" w:rsidRPr="004F2B40" w:rsidRDefault="00504F32" w:rsidP="00504F32">
      <w:pPr>
        <w:pStyle w:val="KPnormalni"/>
      </w:pPr>
    </w:p>
    <w:p w14:paraId="1D147F70" w14:textId="77777777" w:rsidR="00504F32" w:rsidRPr="004F2B40" w:rsidRDefault="00504F32" w:rsidP="00504F32">
      <w:r w:rsidRPr="004F2B40">
        <w:rPr>
          <w:b/>
          <w:bCs/>
          <w:i/>
          <w:iCs/>
          <w:spacing w:val="60"/>
        </w:rPr>
        <w:t>Kolegium</w:t>
      </w:r>
      <w:r w:rsidRPr="004F2B40">
        <w:rPr>
          <w:b/>
          <w:bCs/>
          <w:i/>
          <w:iCs/>
        </w:rPr>
        <w:t xml:space="preserve">   </w:t>
      </w:r>
      <w:r w:rsidRPr="004F2B40">
        <w:rPr>
          <w:b/>
          <w:bCs/>
          <w:i/>
          <w:iCs/>
          <w:spacing w:val="60"/>
        </w:rPr>
        <w:t>NKÚ</w:t>
      </w:r>
      <w:r w:rsidRPr="004F2B40">
        <w:t xml:space="preserve">   </w:t>
      </w:r>
      <w:r w:rsidRPr="00646562">
        <w:t xml:space="preserve">na </w:t>
      </w:r>
      <w:r w:rsidRPr="006C70FD">
        <w:t xml:space="preserve">svém </w:t>
      </w:r>
      <w:r w:rsidR="006C70FD" w:rsidRPr="006C70FD">
        <w:t>V</w:t>
      </w:r>
      <w:r w:rsidRPr="006C70FD">
        <w:t>.</w:t>
      </w:r>
      <w:r w:rsidRPr="00646562">
        <w:t xml:space="preserve"> jednání</w:t>
      </w:r>
      <w:r w:rsidRPr="004F2B40">
        <w:t>, které se konalo dne</w:t>
      </w:r>
      <w:r>
        <w:t xml:space="preserve"> </w:t>
      </w:r>
      <w:r w:rsidR="006C70FD">
        <w:t>31</w:t>
      </w:r>
      <w:r>
        <w:t xml:space="preserve">. </w:t>
      </w:r>
      <w:r w:rsidR="006C70FD">
        <w:t>března</w:t>
      </w:r>
      <w:r>
        <w:t xml:space="preserve"> </w:t>
      </w:r>
      <w:r w:rsidRPr="00B36CDE">
        <w:t>202</w:t>
      </w:r>
      <w:r>
        <w:t>5,</w:t>
      </w:r>
    </w:p>
    <w:p w14:paraId="3669A6A8" w14:textId="77777777" w:rsidR="00504F32" w:rsidRPr="004F2B40" w:rsidRDefault="00504F32" w:rsidP="00504F32">
      <w:r w:rsidRPr="004F2B40">
        <w:rPr>
          <w:b/>
          <w:bCs/>
          <w:i/>
          <w:iCs/>
          <w:spacing w:val="60"/>
        </w:rPr>
        <w:t>schválilo</w:t>
      </w:r>
      <w:r w:rsidRPr="004F2B40">
        <w:t xml:space="preserve">   usnesením č.</w:t>
      </w:r>
      <w:r>
        <w:t xml:space="preserve"> </w:t>
      </w:r>
      <w:r w:rsidR="00F070B1">
        <w:t>5</w:t>
      </w:r>
      <w:r>
        <w:t>/</w:t>
      </w:r>
      <w:r w:rsidR="006C70FD">
        <w:t>V</w:t>
      </w:r>
      <w:r>
        <w:t>/2025</w:t>
      </w:r>
    </w:p>
    <w:p w14:paraId="0E2B5300" w14:textId="77777777" w:rsidR="00504F32" w:rsidRDefault="00504F32" w:rsidP="00504F32">
      <w:r w:rsidRPr="004F2B40">
        <w:rPr>
          <w:b/>
          <w:bCs/>
          <w:i/>
          <w:iCs/>
          <w:spacing w:val="60"/>
        </w:rPr>
        <w:t>kontrolní</w:t>
      </w:r>
      <w:r w:rsidRPr="004F2B40">
        <w:rPr>
          <w:b/>
          <w:bCs/>
          <w:i/>
          <w:iCs/>
        </w:rPr>
        <w:t xml:space="preserve">   </w:t>
      </w:r>
      <w:r w:rsidRPr="004F2B40">
        <w:rPr>
          <w:b/>
          <w:bCs/>
          <w:i/>
          <w:iCs/>
          <w:spacing w:val="60"/>
        </w:rPr>
        <w:t>závěr</w:t>
      </w:r>
      <w:r w:rsidRPr="004F2B40">
        <w:t xml:space="preserve">   v tomto znění:</w:t>
      </w:r>
    </w:p>
    <w:bookmarkEnd w:id="0"/>
    <w:p w14:paraId="2F1BE3EB" w14:textId="77777777" w:rsidR="004D34D1" w:rsidRDefault="00504F32" w:rsidP="004D34D1">
      <w:pPr>
        <w:jc w:val="center"/>
        <w:rPr>
          <w:rStyle w:val="A4"/>
          <w:b/>
          <w:sz w:val="32"/>
          <w:szCs w:val="32"/>
        </w:rPr>
      </w:pPr>
      <w:r>
        <w:br w:type="page"/>
      </w:r>
      <w:r w:rsidR="004D34D1">
        <w:rPr>
          <w:rStyle w:val="A4"/>
          <w:b/>
          <w:sz w:val="32"/>
          <w:szCs w:val="32"/>
        </w:rPr>
        <w:lastRenderedPageBreak/>
        <w:t>Peněžní prostředky určené na podporu infrastruktury r</w:t>
      </w:r>
      <w:r w:rsidR="004D34D1">
        <w:rPr>
          <w:rFonts w:cstheme="minorHAnsi"/>
          <w:b/>
          <w:sz w:val="32"/>
          <w:szCs w:val="32"/>
        </w:rPr>
        <w:t xml:space="preserve">egionálních </w:t>
      </w:r>
      <w:r w:rsidR="004D34D1">
        <w:rPr>
          <w:rStyle w:val="A4"/>
          <w:b/>
          <w:sz w:val="32"/>
          <w:szCs w:val="32"/>
        </w:rPr>
        <w:t>sociálních služeb</w:t>
      </w:r>
    </w:p>
    <w:p w14:paraId="5C037BB2" w14:textId="77777777" w:rsidR="004D34D1" w:rsidRPr="00DA1E6B" w:rsidRDefault="004D34D1" w:rsidP="00B01CF3">
      <w:pPr>
        <w:spacing w:after="120"/>
        <w:rPr>
          <w:rStyle w:val="A4"/>
          <w:sz w:val="24"/>
        </w:rPr>
      </w:pPr>
      <w:bookmarkStart w:id="4" w:name="_Hlk192008470"/>
      <w:r w:rsidRPr="0030604F">
        <w:t>Kvalitní infrastruktura sociálních služeb</w:t>
      </w:r>
      <w:r>
        <w:t xml:space="preserve"> je významná pro jejich další rozvoj, a to i s ohledem na</w:t>
      </w:r>
      <w:r w:rsidR="003E2C09">
        <w:t> </w:t>
      </w:r>
      <w:r>
        <w:t>demografický vývoj a rostoucí potřebu zlepšit přístup k těmto službám zejména pro osoby v nepříznivé sociální situaci. Ze zdrojů EU je infrastruktura sociálních služeb podporována z </w:t>
      </w:r>
      <w:r w:rsidRPr="008C3A00">
        <w:rPr>
          <w:i/>
          <w:iCs/>
        </w:rPr>
        <w:t>Integrovaného regionálního operačního programu</w:t>
      </w:r>
      <w:r>
        <w:t xml:space="preserve"> (IROP), který řídí MMR.</w:t>
      </w:r>
    </w:p>
    <w:bookmarkEnd w:id="4"/>
    <w:p w14:paraId="0CAD46E4" w14:textId="77777777" w:rsidR="004D34D1" w:rsidRDefault="004D34D1" w:rsidP="004D34D1">
      <w:pPr>
        <w:jc w:val="center"/>
        <w:rPr>
          <w:rStyle w:val="A4"/>
          <w:b/>
          <w:sz w:val="22"/>
          <w:szCs w:val="22"/>
        </w:rPr>
      </w:pPr>
    </w:p>
    <w:p w14:paraId="6E854987" w14:textId="77777777" w:rsidR="004D34D1" w:rsidRDefault="004D34D1" w:rsidP="004D34D1">
      <w:pPr>
        <w:tabs>
          <w:tab w:val="left" w:pos="1115"/>
        </w:tabs>
        <w:spacing w:before="0"/>
        <w:ind w:left="1416" w:hanging="1416"/>
        <w:jc w:val="center"/>
        <w:rPr>
          <w:rFonts w:asciiTheme="minorHAnsi" w:hAnsiTheme="minorHAnsi" w:cstheme="minorBidi"/>
          <w:caps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37179D" wp14:editId="4091C098">
                <wp:simplePos x="0" y="0"/>
                <wp:positionH relativeFrom="margin">
                  <wp:posOffset>2915920</wp:posOffset>
                </wp:positionH>
                <wp:positionV relativeFrom="paragraph">
                  <wp:posOffset>1460500</wp:posOffset>
                </wp:positionV>
                <wp:extent cx="2781300" cy="1007745"/>
                <wp:effectExtent l="0" t="0" r="19050" b="19050"/>
                <wp:wrapTopAndBottom/>
                <wp:docPr id="19" name="Obdélník: se zakulacenými roh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007745"/>
                        </a:xfrm>
                        <a:prstGeom prst="roundRect">
                          <a:avLst/>
                        </a:prstGeom>
                        <a:solidFill>
                          <a:srgbClr val="C2E2D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E1F52" w14:textId="77777777" w:rsidR="004D5C26" w:rsidRDefault="004D5C26" w:rsidP="004D34D1">
                            <w:pPr>
                              <w:spacing w:after="120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14</w:t>
                            </w:r>
                          </w:p>
                          <w:p w14:paraId="4EB46295" w14:textId="77777777" w:rsidR="004D5C26" w:rsidRDefault="004D5C26" w:rsidP="004D34D1">
                            <w:pPr>
                              <w:spacing w:after="12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Počet kontrolovaných projektů z pěti výzev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7179D" id="Obdélník: se zakulacenými rohy 19" o:spid="_x0000_s1026" style="position:absolute;left:0;text-align:left;margin-left:229.6pt;margin-top:115pt;width:219pt;height:79.3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" fillcolor="#c2e2db" strokecolor="#243f60 [1604]" strokeweight="2pt">
                <v:textbox>
                  <w:txbxContent>
                    <w:p w14:paraId="4F6E1F52" w14:textId="77777777" w:rsidR="004D5C26" w:rsidRDefault="004D5C26" w:rsidP="004D34D1">
                      <w:pPr>
                        <w:spacing w:after="120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14</w:t>
                      </w:r>
                    </w:p>
                    <w:p w14:paraId="4EB46295" w14:textId="77777777" w:rsidR="004D5C26" w:rsidRDefault="004D5C26" w:rsidP="004D34D1">
                      <w:pPr>
                        <w:spacing w:after="12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Počet kontrolovaných projektů z pěti výzev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9669E7" wp14:editId="4F697EDC">
                <wp:simplePos x="0" y="0"/>
                <wp:positionH relativeFrom="column">
                  <wp:posOffset>2918460</wp:posOffset>
                </wp:positionH>
                <wp:positionV relativeFrom="paragraph">
                  <wp:posOffset>335280</wp:posOffset>
                </wp:positionV>
                <wp:extent cx="2762885" cy="1007745"/>
                <wp:effectExtent l="0" t="0" r="18415" b="20955"/>
                <wp:wrapNone/>
                <wp:docPr id="18" name="Obdélník: se zakulacenými roh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885" cy="1007745"/>
                        </a:xfrm>
                        <a:prstGeom prst="roundRect">
                          <a:avLst/>
                        </a:prstGeom>
                        <a:solidFill>
                          <a:srgbClr val="C2E2D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2A830" w14:textId="77777777" w:rsidR="004D5C26" w:rsidRDefault="004D5C26" w:rsidP="004D34D1">
                            <w:pPr>
                              <w:spacing w:after="120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664</w:t>
                            </w:r>
                          </w:p>
                          <w:p w14:paraId="407B19DF" w14:textId="77777777" w:rsidR="004D5C26" w:rsidRDefault="004D5C26" w:rsidP="004D34D1">
                            <w:pPr>
                              <w:spacing w:after="12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Počet podpořených projektů za období 2014–2024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669E7" id="Obdélník: se zakulacenými rohy 18" o:spid="_x0000_s1027" style="position:absolute;left:0;text-align:left;margin-left:229.8pt;margin-top:26.4pt;width:217.55pt;height:7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" fillcolor="#c2e2db" strokecolor="#243f60 [1604]" strokeweight="2pt">
                <v:textbox>
                  <w:txbxContent>
                    <w:p w14:paraId="4582A830" w14:textId="77777777" w:rsidR="004D5C26" w:rsidRDefault="004D5C26" w:rsidP="004D34D1">
                      <w:pPr>
                        <w:spacing w:after="120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664</w:t>
                      </w:r>
                    </w:p>
                    <w:p w14:paraId="407B19DF" w14:textId="77777777" w:rsidR="004D5C26" w:rsidRDefault="004D5C26" w:rsidP="004D34D1">
                      <w:pPr>
                        <w:spacing w:after="12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Počet podpořených projektů za období 2014–2024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34A3C0" wp14:editId="077AD0D3">
                <wp:simplePos x="0" y="0"/>
                <wp:positionH relativeFrom="margin">
                  <wp:posOffset>3435350</wp:posOffset>
                </wp:positionH>
                <wp:positionV relativeFrom="paragraph">
                  <wp:posOffset>88900</wp:posOffset>
                </wp:positionV>
                <wp:extent cx="2305050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26E6D" id="Přímá spojnic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270.5pt,7pt" to="452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" strokecolor="black [3213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A9DA7D" wp14:editId="482FAADA">
                <wp:simplePos x="0" y="0"/>
                <wp:positionH relativeFrom="column">
                  <wp:posOffset>-29845</wp:posOffset>
                </wp:positionH>
                <wp:positionV relativeFrom="paragraph">
                  <wp:posOffset>92075</wp:posOffset>
                </wp:positionV>
                <wp:extent cx="23050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95609" id="Přímá spojnic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7.25pt" to="179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BA44EF" wp14:editId="6FF3798F">
                <wp:simplePos x="0" y="0"/>
                <wp:positionH relativeFrom="margin">
                  <wp:posOffset>8255</wp:posOffset>
                </wp:positionH>
                <wp:positionV relativeFrom="paragraph">
                  <wp:posOffset>335280</wp:posOffset>
                </wp:positionV>
                <wp:extent cx="2781300" cy="1007745"/>
                <wp:effectExtent l="0" t="0" r="19050" b="20955"/>
                <wp:wrapTopAndBottom/>
                <wp:docPr id="14" name="Obdélník: se zakulacenými roh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007745"/>
                        </a:xfrm>
                        <a:prstGeom prst="roundRect">
                          <a:avLst/>
                        </a:prstGeom>
                        <a:solidFill>
                          <a:srgbClr val="C2E2D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F8101" w14:textId="77777777" w:rsidR="004D5C26" w:rsidRDefault="004D5C26" w:rsidP="004D34D1">
                            <w:pPr>
                              <w:spacing w:after="120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5 970 mil. Kč</w:t>
                            </w:r>
                          </w:p>
                          <w:p w14:paraId="1964A5D5" w14:textId="77777777" w:rsidR="004D5C26" w:rsidRDefault="004D5C26" w:rsidP="004D34D1">
                            <w:pPr>
                              <w:spacing w:after="12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Výše podpory z peněžních prostředků EU a státu v letech 2014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–</w:t>
                            </w:r>
                            <w:r>
                              <w:rPr>
                                <w:color w:val="000000" w:themeColor="text1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A44EF" id="Obdélník: se zakulacenými rohy 14" o:spid="_x0000_s1028" style="position:absolute;left:0;text-align:left;margin-left:.65pt;margin-top:26.4pt;width:219pt;height:79.3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" fillcolor="#c2e2db" strokecolor="#243f60 [1604]" strokeweight="2pt">
                <v:textbox>
                  <w:txbxContent>
                    <w:p w14:paraId="00DF8101" w14:textId="77777777" w:rsidR="004D5C26" w:rsidRDefault="004D5C26" w:rsidP="004D34D1">
                      <w:pPr>
                        <w:spacing w:after="120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5 970 mil. Kč</w:t>
                      </w:r>
                    </w:p>
                    <w:p w14:paraId="1964A5D5" w14:textId="77777777" w:rsidR="004D5C26" w:rsidRDefault="004D5C26" w:rsidP="004D34D1">
                      <w:pPr>
                        <w:spacing w:after="12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Výše podpory z peněžních prostředků EU a státu v letech 2014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–</w:t>
                      </w:r>
                      <w:r>
                        <w:rPr>
                          <w:color w:val="000000" w:themeColor="text1"/>
                        </w:rPr>
                        <w:t>2024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>
        <w:rPr>
          <w:caps/>
        </w:rPr>
        <w:t xml:space="preserve">základní fakta </w:t>
      </w:r>
    </w:p>
    <w:p w14:paraId="0A62C2CC" w14:textId="77777777" w:rsidR="004D34D1" w:rsidRDefault="004D34D1" w:rsidP="004D34D1">
      <w:pPr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8B6300" wp14:editId="0061E12D">
                <wp:simplePos x="0" y="0"/>
                <wp:positionH relativeFrom="margin">
                  <wp:posOffset>0</wp:posOffset>
                </wp:positionH>
                <wp:positionV relativeFrom="paragraph">
                  <wp:posOffset>1275080</wp:posOffset>
                </wp:positionV>
                <wp:extent cx="2781300" cy="1007745"/>
                <wp:effectExtent l="0" t="0" r="19050" b="20955"/>
                <wp:wrapTopAndBottom/>
                <wp:docPr id="13" name="Obdélník: se zakulacenými roh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007745"/>
                        </a:xfrm>
                        <a:prstGeom prst="roundRect">
                          <a:avLst/>
                        </a:prstGeom>
                        <a:solidFill>
                          <a:srgbClr val="C2E2D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DFD00" w14:textId="77777777" w:rsidR="004D5C26" w:rsidRDefault="004D5C26" w:rsidP="004D34D1">
                            <w:pPr>
                              <w:spacing w:after="120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358 mil. Kč</w:t>
                            </w:r>
                          </w:p>
                          <w:p w14:paraId="603FE3E1" w14:textId="77777777" w:rsidR="004D5C26" w:rsidRDefault="004D5C26" w:rsidP="004D34D1">
                            <w:pPr>
                              <w:spacing w:after="12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Výše podpory schválená a proplacená příjemcům u kontrolovaných projektů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B6300" id="Obdélník: se zakulacenými rohy 13" o:spid="_x0000_s1029" style="position:absolute;left:0;text-align:left;margin-left:0;margin-top:100.4pt;width:219pt;height:79.3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" fillcolor="#c2e2db" strokecolor="#243f60 [1604]" strokeweight="2pt">
                <v:textbox>
                  <w:txbxContent>
                    <w:p w14:paraId="75DDFD00" w14:textId="77777777" w:rsidR="004D5C26" w:rsidRDefault="004D5C26" w:rsidP="004D34D1">
                      <w:pPr>
                        <w:spacing w:after="120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358 mil. Kč</w:t>
                      </w:r>
                    </w:p>
                    <w:p w14:paraId="603FE3E1" w14:textId="77777777" w:rsidR="004D5C26" w:rsidRDefault="004D5C26" w:rsidP="004D34D1">
                      <w:pPr>
                        <w:spacing w:after="12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Výše podpory schválená a proplacená příjemcům u kontrolovaných projektů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09D7BE3D" w14:textId="77777777" w:rsidR="004D34D1" w:rsidRDefault="004D34D1" w:rsidP="004D34D1">
      <w:pPr>
        <w:tabs>
          <w:tab w:val="left" w:pos="1747"/>
          <w:tab w:val="center" w:pos="4536"/>
        </w:tabs>
        <w:spacing w:before="0"/>
        <w:rPr>
          <w:cap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083D96" wp14:editId="452F6CD9">
                <wp:simplePos x="0" y="0"/>
                <wp:positionH relativeFrom="column">
                  <wp:posOffset>3627120</wp:posOffset>
                </wp:positionH>
                <wp:positionV relativeFrom="paragraph">
                  <wp:posOffset>86360</wp:posOffset>
                </wp:positionV>
                <wp:extent cx="2122170" cy="6350"/>
                <wp:effectExtent l="0" t="0" r="30480" b="317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17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577F6" id="Přímá spojnice 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6pt,6.8pt" to="452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6FA263" wp14:editId="20B59CD6">
                <wp:simplePos x="0" y="0"/>
                <wp:positionH relativeFrom="column">
                  <wp:posOffset>-20955</wp:posOffset>
                </wp:positionH>
                <wp:positionV relativeFrom="paragraph">
                  <wp:posOffset>83185</wp:posOffset>
                </wp:positionV>
                <wp:extent cx="2160270" cy="0"/>
                <wp:effectExtent l="0" t="0" r="0" b="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B398D" id="Přímá spojnice 1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6.55pt" to="168.4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" strokecolor="black [3213]"/>
            </w:pict>
          </mc:Fallback>
        </mc:AlternateContent>
      </w:r>
      <w:r>
        <w:rPr>
          <w:caps/>
        </w:rPr>
        <w:tab/>
      </w:r>
      <w:r>
        <w:rPr>
          <w:caps/>
        </w:rPr>
        <w:tab/>
        <w:t xml:space="preserve">zjištěné skutečnosti </w:t>
      </w:r>
    </w:p>
    <w:p w14:paraId="34A9F17E" w14:textId="77777777" w:rsidR="004D34D1" w:rsidRDefault="004D34D1" w:rsidP="004D34D1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4E94A8" wp14:editId="4BA9E5D8">
                <wp:simplePos x="0" y="0"/>
                <wp:positionH relativeFrom="column">
                  <wp:posOffset>27305</wp:posOffset>
                </wp:positionH>
                <wp:positionV relativeFrom="paragraph">
                  <wp:posOffset>83820</wp:posOffset>
                </wp:positionV>
                <wp:extent cx="5622925" cy="843280"/>
                <wp:effectExtent l="0" t="0" r="15875" b="13970"/>
                <wp:wrapNone/>
                <wp:docPr id="2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2925" cy="843280"/>
                        </a:xfrm>
                        <a:prstGeom prst="roundRect">
                          <a:avLst/>
                        </a:prstGeom>
                        <a:solidFill>
                          <a:srgbClr val="95DB9D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2AC78" w14:textId="77777777" w:rsidR="004D5C26" w:rsidRDefault="004D5C26" w:rsidP="00A96B17">
                            <w:pPr>
                              <w:spacing w:before="80" w:after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MMR podporou z IROP vytvořilo předpoklady ke zvýšení kvality a dostupnosti sociálních služeb a nastavilo proces výběru a hodnocení směřující k podpoře účelných projektů, ale ...</w:t>
                            </w:r>
                          </w:p>
                          <w:p w14:paraId="614F2B38" w14:textId="77777777" w:rsidR="004D5C26" w:rsidRDefault="004D5C26" w:rsidP="007A7BE4">
                            <w:pPr>
                              <w:pStyle w:val="KPnormal"/>
                              <w:spacing w:before="120" w:after="120" w:line="240" w:lineRule="auto"/>
                              <w:ind w:firstLine="0"/>
                              <w:jc w:val="center"/>
                              <w:rPr>
                                <w:rFonts w:cstheme="minorBidi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E94A8" id="Obdélník: se zakulacenými rohy 2" o:spid="_x0000_s1030" style="position:absolute;left:0;text-align:left;margin-left:2.15pt;margin-top:6.6pt;width:442.75pt;height:6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" fillcolor="#95db9d" strokecolor="#243f60 [1604]" strokeweight="2pt">
                <v:textbox>
                  <w:txbxContent>
                    <w:p w14:paraId="0372AC78" w14:textId="77777777" w:rsidR="004D5C26" w:rsidRDefault="004D5C26" w:rsidP="00A96B17">
                      <w:pPr>
                        <w:spacing w:before="80" w:after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MMR podporou z IROP vytvořilo předpoklady ke zvýšení kvality a dostupnosti sociálních služeb a nastavilo proces výběru a hodnocení směřující k podpoře účelných projektů, ale ...</w:t>
                      </w:r>
                    </w:p>
                    <w:p w14:paraId="614F2B38" w14:textId="77777777" w:rsidR="004D5C26" w:rsidRDefault="004D5C26" w:rsidP="007A7BE4">
                      <w:pPr>
                        <w:pStyle w:val="KPnormal"/>
                        <w:spacing w:before="120" w:after="120" w:line="240" w:lineRule="auto"/>
                        <w:ind w:firstLine="0"/>
                        <w:jc w:val="center"/>
                        <w:rPr>
                          <w:rFonts w:cstheme="minorBidi"/>
                          <w:b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A2459D" w14:textId="77777777" w:rsidR="004D34D1" w:rsidRDefault="004D34D1" w:rsidP="004D34D1">
      <w:pPr>
        <w:pStyle w:val="KPnormal"/>
      </w:pPr>
    </w:p>
    <w:p w14:paraId="4A5585E1" w14:textId="77777777" w:rsidR="004D34D1" w:rsidRDefault="004D34D1" w:rsidP="004D34D1">
      <w:pPr>
        <w:pStyle w:val="KPnormal"/>
      </w:pPr>
    </w:p>
    <w:p w14:paraId="4DFDEDAB" w14:textId="77777777" w:rsidR="004D34D1" w:rsidRDefault="000F3992" w:rsidP="004D34D1">
      <w:pPr>
        <w:pStyle w:val="KPnormal"/>
        <w:spacing w:before="120" w:after="120" w:line="240" w:lineRule="auto"/>
        <w:ind w:firstLine="0"/>
        <w:jc w:val="center"/>
        <w:rPr>
          <w:rFonts w:cstheme="minorBidi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E37033" wp14:editId="63544179">
                <wp:simplePos x="0" y="0"/>
                <wp:positionH relativeFrom="margin">
                  <wp:posOffset>19253</wp:posOffset>
                </wp:positionH>
                <wp:positionV relativeFrom="paragraph">
                  <wp:posOffset>203200</wp:posOffset>
                </wp:positionV>
                <wp:extent cx="5622925" cy="1062990"/>
                <wp:effectExtent l="0" t="0" r="15875" b="22860"/>
                <wp:wrapNone/>
                <wp:docPr id="8" name="Obdélník: se zakulacenými roh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2925" cy="1062990"/>
                        </a:xfrm>
                        <a:prstGeom prst="roundRect">
                          <a:avLst/>
                        </a:prstGeom>
                        <a:solidFill>
                          <a:srgbClr val="FFDB7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47BCB" w14:textId="77777777" w:rsidR="004D5C26" w:rsidRDefault="004D5C26" w:rsidP="00A96B17">
                            <w:pPr>
                              <w:pStyle w:val="KPnormal"/>
                              <w:spacing w:before="80" w:after="120" w:line="240" w:lineRule="auto"/>
                              <w:ind w:firstLine="0"/>
                              <w:jc w:val="center"/>
                              <w:rPr>
                                <w:rFonts w:cstheme="minorBid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color w:val="000000" w:themeColor="text1"/>
                              </w:rPr>
                              <w:t>... podmínky jedné z výzev, jejíž finanční alokace dosáhla 2 505 mil. Kč, umožnily příjemcům pořizovat automobily v počtech, které v některých případech nebyly zapotřebí. Posouzení přiměřenosti nákupů automobilů poskytovatelem je důležité, neboť tato aktivita patří v IROP k těm často podporovaným.</w:t>
                            </w:r>
                          </w:p>
                          <w:p w14:paraId="74CDC35B" w14:textId="77777777" w:rsidR="004D5C26" w:rsidRDefault="004D5C26" w:rsidP="004D34D1">
                            <w:pPr>
                              <w:pStyle w:val="KPnormal"/>
                              <w:spacing w:before="120" w:after="120" w:line="240" w:lineRule="auto"/>
                              <w:ind w:firstLine="0"/>
                              <w:jc w:val="center"/>
                              <w:rPr>
                                <w:rFonts w:cstheme="minorBidi"/>
                                <w:b/>
                              </w:rPr>
                            </w:pPr>
                          </w:p>
                          <w:p w14:paraId="14CC6522" w14:textId="77777777" w:rsidR="004D5C26" w:rsidRDefault="004D5C26" w:rsidP="004D34D1">
                            <w:pPr>
                              <w:pStyle w:val="KPnormal"/>
                              <w:spacing w:before="120" w:after="120" w:line="240" w:lineRule="auto"/>
                              <w:ind w:firstLine="0"/>
                              <w:jc w:val="center"/>
                              <w:rPr>
                                <w:rFonts w:cstheme="minorBidi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37033" id="Obdélník: se zakulacenými rohy 8" o:spid="_x0000_s1031" style="position:absolute;left:0;text-align:left;margin-left:1.5pt;margin-top:16pt;width:442.75pt;height:83.7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" fillcolor="#ffdb7c" strokecolor="#243f60 [1604]" strokeweight="2pt">
                <v:textbox>
                  <w:txbxContent>
                    <w:p w14:paraId="08C47BCB" w14:textId="77777777" w:rsidR="004D5C26" w:rsidRDefault="004D5C26" w:rsidP="00A96B17">
                      <w:pPr>
                        <w:pStyle w:val="KPnormal"/>
                        <w:spacing w:before="80" w:after="120" w:line="240" w:lineRule="auto"/>
                        <w:ind w:firstLine="0"/>
                        <w:jc w:val="center"/>
                        <w:rPr>
                          <w:rFonts w:cstheme="minorBidi"/>
                          <w:b/>
                          <w:color w:val="000000" w:themeColor="text1"/>
                        </w:rPr>
                      </w:pPr>
                      <w:r>
                        <w:rPr>
                          <w:rFonts w:cstheme="minorBidi"/>
                          <w:b/>
                          <w:color w:val="000000" w:themeColor="text1"/>
                        </w:rPr>
                        <w:t>... podmínky jedné z výzev, jejíž finanční alokace dosáhla 2 505 mil. Kč, umožnily příjemcům pořizovat automobily v počtech, které v některých případech nebyly zapotřebí. Posouzení přiměřenosti nákupů automobilů poskytovatelem je důležité, neboť tato aktivita patří v IROP k těm často podporovaným.</w:t>
                      </w:r>
                    </w:p>
                    <w:p w14:paraId="74CDC35B" w14:textId="77777777" w:rsidR="004D5C26" w:rsidRDefault="004D5C26" w:rsidP="004D34D1">
                      <w:pPr>
                        <w:pStyle w:val="KPnormal"/>
                        <w:spacing w:before="120" w:after="120" w:line="240" w:lineRule="auto"/>
                        <w:ind w:firstLine="0"/>
                        <w:jc w:val="center"/>
                        <w:rPr>
                          <w:rFonts w:cstheme="minorBidi"/>
                          <w:b/>
                        </w:rPr>
                      </w:pPr>
                    </w:p>
                    <w:p w14:paraId="14CC6522" w14:textId="77777777" w:rsidR="004D5C26" w:rsidRDefault="004D5C26" w:rsidP="004D34D1">
                      <w:pPr>
                        <w:pStyle w:val="KPnormal"/>
                        <w:spacing w:before="120" w:after="120" w:line="240" w:lineRule="auto"/>
                        <w:ind w:firstLine="0"/>
                        <w:jc w:val="center"/>
                        <w:rPr>
                          <w:rFonts w:cstheme="minorBidi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93864D" w14:textId="77777777" w:rsidR="004D34D1" w:rsidRDefault="004D34D1" w:rsidP="004D34D1">
      <w:pPr>
        <w:pStyle w:val="KPnormal"/>
      </w:pPr>
    </w:p>
    <w:p w14:paraId="3393EEE5" w14:textId="77777777" w:rsidR="004D34D1" w:rsidRDefault="004D34D1" w:rsidP="004D34D1">
      <w:pPr>
        <w:pStyle w:val="KPnormal"/>
      </w:pPr>
    </w:p>
    <w:p w14:paraId="4D40A680" w14:textId="77777777" w:rsidR="004D34D1" w:rsidRDefault="004D34D1" w:rsidP="004D34D1">
      <w:pPr>
        <w:pStyle w:val="KPnormal"/>
      </w:pPr>
    </w:p>
    <w:p w14:paraId="44405823" w14:textId="77777777" w:rsidR="004D34D1" w:rsidRDefault="00B01CF3" w:rsidP="004D34D1">
      <w:pPr>
        <w:pStyle w:val="KP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2609CD8" wp14:editId="3F6DD4CC">
                <wp:simplePos x="0" y="0"/>
                <wp:positionH relativeFrom="margin">
                  <wp:posOffset>25400</wp:posOffset>
                </wp:positionH>
                <wp:positionV relativeFrom="paragraph">
                  <wp:posOffset>284480</wp:posOffset>
                </wp:positionV>
                <wp:extent cx="5623200" cy="756000"/>
                <wp:effectExtent l="0" t="0" r="15875" b="25400"/>
                <wp:wrapNone/>
                <wp:docPr id="7" name="Obdélník: se zakulacenými roh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200" cy="756000"/>
                        </a:xfrm>
                        <a:prstGeom prst="roundRect">
                          <a:avLst/>
                        </a:prstGeom>
                        <a:solidFill>
                          <a:srgbClr val="95DB9D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33D2F" w14:textId="77777777" w:rsidR="004D5C26" w:rsidRDefault="004D5C26" w:rsidP="00A96B17">
                            <w:pPr>
                              <w:pStyle w:val="KPnormal"/>
                              <w:spacing w:after="120" w:line="240" w:lineRule="auto"/>
                              <w:ind w:firstLine="0"/>
                              <w:jc w:val="center"/>
                              <w:rPr>
                                <w:rFonts w:cstheme="minorBid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color w:val="000000" w:themeColor="text1"/>
                              </w:rPr>
                              <w:t>Většina kontrolovaných příjemců vynaložila peněžní prostředky na projekty účelně nebo jen s mírnými nedostatky, ale ...</w:t>
                            </w:r>
                          </w:p>
                          <w:p w14:paraId="331F079F" w14:textId="77777777" w:rsidR="004D5C26" w:rsidRDefault="004D5C26" w:rsidP="004D34D1">
                            <w:pPr>
                              <w:pStyle w:val="KPnormal"/>
                              <w:spacing w:before="120" w:after="120" w:line="240" w:lineRule="auto"/>
                              <w:ind w:firstLine="0"/>
                              <w:jc w:val="center"/>
                              <w:rPr>
                                <w:rFonts w:cstheme="minorBidi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09CD8" id="Obdélník: se zakulacenými rohy 7" o:spid="_x0000_s1032" style="position:absolute;left:0;text-align:left;margin-left:2pt;margin-top:22.4pt;width:442.75pt;height:59.5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" fillcolor="#95db9d" strokecolor="#243f60 [1604]" strokeweight="2pt">
                <v:textbox>
                  <w:txbxContent>
                    <w:p w14:paraId="2E133D2F" w14:textId="77777777" w:rsidR="004D5C26" w:rsidRDefault="004D5C26" w:rsidP="00A96B17">
                      <w:pPr>
                        <w:pStyle w:val="KPnormal"/>
                        <w:spacing w:after="120" w:line="240" w:lineRule="auto"/>
                        <w:ind w:firstLine="0"/>
                        <w:jc w:val="center"/>
                        <w:rPr>
                          <w:rFonts w:cstheme="minorBidi"/>
                          <w:b/>
                          <w:color w:val="000000" w:themeColor="text1"/>
                        </w:rPr>
                      </w:pPr>
                      <w:r>
                        <w:rPr>
                          <w:rFonts w:cstheme="minorBidi"/>
                          <w:b/>
                          <w:color w:val="000000" w:themeColor="text1"/>
                        </w:rPr>
                        <w:t>Většina kontrolovaných příjemců vynaložila peněžní prostředky na projekty účelně nebo jen s mírnými nedostatky, ale ...</w:t>
                      </w:r>
                    </w:p>
                    <w:p w14:paraId="331F079F" w14:textId="77777777" w:rsidR="004D5C26" w:rsidRDefault="004D5C26" w:rsidP="004D34D1">
                      <w:pPr>
                        <w:pStyle w:val="KPnormal"/>
                        <w:spacing w:before="120" w:after="120" w:line="240" w:lineRule="auto"/>
                        <w:ind w:firstLine="0"/>
                        <w:jc w:val="center"/>
                        <w:rPr>
                          <w:rFonts w:cstheme="minorBidi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82162C" w14:textId="77777777" w:rsidR="004D34D1" w:rsidRDefault="004D34D1" w:rsidP="004D34D1">
      <w:pPr>
        <w:pStyle w:val="KPnormal"/>
      </w:pPr>
    </w:p>
    <w:p w14:paraId="60997F8F" w14:textId="77777777" w:rsidR="004D34D1" w:rsidRDefault="004D34D1" w:rsidP="004D34D1">
      <w:pPr>
        <w:pStyle w:val="KPnormal"/>
      </w:pPr>
    </w:p>
    <w:p w14:paraId="7BBF683D" w14:textId="77777777" w:rsidR="004D34D1" w:rsidRDefault="004D34D1" w:rsidP="004D34D1">
      <w:pPr>
        <w:pStyle w:val="KPnormal"/>
      </w:pPr>
    </w:p>
    <w:p w14:paraId="790EDD73" w14:textId="77777777" w:rsidR="004D34D1" w:rsidRDefault="000F3992" w:rsidP="004D34D1">
      <w:pPr>
        <w:pStyle w:val="KP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897724" wp14:editId="7BAC8288">
                <wp:simplePos x="0" y="0"/>
                <wp:positionH relativeFrom="margin">
                  <wp:posOffset>19888</wp:posOffset>
                </wp:positionH>
                <wp:positionV relativeFrom="paragraph">
                  <wp:posOffset>17780</wp:posOffset>
                </wp:positionV>
                <wp:extent cx="5622925" cy="815340"/>
                <wp:effectExtent l="0" t="0" r="15875" b="22860"/>
                <wp:wrapNone/>
                <wp:docPr id="10" name="Obdélník: se zakulacenými roh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2925" cy="815340"/>
                        </a:xfrm>
                        <a:prstGeom prst="roundRect">
                          <a:avLst/>
                        </a:prstGeom>
                        <a:solidFill>
                          <a:srgbClr val="CC7B8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F63F5" w14:textId="77777777" w:rsidR="004D5C26" w:rsidRDefault="004D5C26" w:rsidP="00A96B17">
                            <w:pPr>
                              <w:pStyle w:val="KPnormal"/>
                              <w:spacing w:before="60" w:after="120" w:line="240" w:lineRule="auto"/>
                              <w:ind w:firstLine="0"/>
                              <w:jc w:val="center"/>
                              <w:rPr>
                                <w:rFonts w:cstheme="minorBidi"/>
                                <w:b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</w:rPr>
                              <w:t>... zjištěné nedostatky u příjemců nasvědčující porušení rozpočtové kázně dosahují částky až do výše 19,1 mil. Kč a byly zjištěny zejména u dvou projektů, kde NKÚ vyhodnotil vynaložené prostředky jen jako omezeně účelné.</w:t>
                            </w:r>
                          </w:p>
                          <w:p w14:paraId="284A6B26" w14:textId="77777777" w:rsidR="004D5C26" w:rsidRDefault="004D5C26" w:rsidP="004D34D1">
                            <w:pPr>
                              <w:pStyle w:val="KPnormal"/>
                              <w:spacing w:before="120" w:after="120" w:line="240" w:lineRule="auto"/>
                              <w:ind w:firstLine="0"/>
                              <w:jc w:val="center"/>
                              <w:rPr>
                                <w:rFonts w:cstheme="minorBidi"/>
                                <w:b/>
                              </w:rPr>
                            </w:pPr>
                          </w:p>
                          <w:p w14:paraId="49FD4CAC" w14:textId="77777777" w:rsidR="004D5C26" w:rsidRDefault="004D5C26" w:rsidP="004D34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97724" id="Obdélník: se zakulacenými rohy 10" o:spid="_x0000_s1033" style="position:absolute;left:0;text-align:left;margin-left:1.55pt;margin-top:1.4pt;width:442.75pt;height:64.2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" fillcolor="#cc7b8e" strokecolor="#243f60 [1604]" strokeweight="2pt">
                <v:textbox>
                  <w:txbxContent>
                    <w:p w14:paraId="2D1F63F5" w14:textId="77777777" w:rsidR="004D5C26" w:rsidRDefault="004D5C26" w:rsidP="00A96B17">
                      <w:pPr>
                        <w:pStyle w:val="KPnormal"/>
                        <w:spacing w:before="60" w:after="120" w:line="240" w:lineRule="auto"/>
                        <w:ind w:firstLine="0"/>
                        <w:jc w:val="center"/>
                        <w:rPr>
                          <w:rFonts w:cstheme="minorBidi"/>
                          <w:b/>
                        </w:rPr>
                      </w:pPr>
                      <w:r>
                        <w:rPr>
                          <w:rFonts w:cstheme="minorBidi"/>
                          <w:b/>
                        </w:rPr>
                        <w:t>... zjištěné nedostatky u příjemců nasvědčující porušení rozpočtové kázně dosahují částky až do výše 19,1 mil. Kč a byly zjištěny zejména u dvou projektů, kde NKÚ vyhodnotil vynaložené prostředky jen jako omezeně účelné.</w:t>
                      </w:r>
                    </w:p>
                    <w:p w14:paraId="284A6B26" w14:textId="77777777" w:rsidR="004D5C26" w:rsidRDefault="004D5C26" w:rsidP="004D34D1">
                      <w:pPr>
                        <w:pStyle w:val="KPnormal"/>
                        <w:spacing w:before="120" w:after="120" w:line="240" w:lineRule="auto"/>
                        <w:ind w:firstLine="0"/>
                        <w:jc w:val="center"/>
                        <w:rPr>
                          <w:rFonts w:cstheme="minorBidi"/>
                          <w:b/>
                        </w:rPr>
                      </w:pPr>
                    </w:p>
                    <w:p w14:paraId="49FD4CAC" w14:textId="77777777" w:rsidR="004D5C26" w:rsidRDefault="004D5C26" w:rsidP="004D34D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527731" w14:textId="77777777" w:rsidR="004D34D1" w:rsidRDefault="004D34D1" w:rsidP="004D34D1">
      <w:pPr>
        <w:pStyle w:val="KPnormal"/>
      </w:pPr>
    </w:p>
    <w:p w14:paraId="58B37ABA" w14:textId="77777777" w:rsidR="003218FF" w:rsidRDefault="003218FF" w:rsidP="004D34D1">
      <w:pPr>
        <w:pStyle w:val="KPnormal"/>
      </w:pPr>
    </w:p>
    <w:p w14:paraId="787808EF" w14:textId="77777777" w:rsidR="00504F32" w:rsidRPr="00232EB7" w:rsidRDefault="00504F32" w:rsidP="000874E8">
      <w:pPr>
        <w:pStyle w:val="Nadpis1"/>
        <w:keepNext w:val="0"/>
      </w:pPr>
      <w:r>
        <w:lastRenderedPageBreak/>
        <w:t xml:space="preserve">I. </w:t>
      </w:r>
      <w:r w:rsidRPr="00241D97">
        <w:t>Shrnutí</w:t>
      </w:r>
      <w:r w:rsidRPr="00232EB7">
        <w:t xml:space="preserve"> a vyhodnocení</w:t>
      </w:r>
    </w:p>
    <w:p w14:paraId="2FFBB116" w14:textId="56D42EE9" w:rsidR="00A6517E" w:rsidRDefault="00A9764E" w:rsidP="005A024A">
      <w:pPr>
        <w:pStyle w:val="JK1"/>
        <w:spacing w:before="240" w:after="120"/>
        <w:ind w:left="426" w:hanging="426"/>
      </w:pPr>
      <w:bookmarkStart w:id="5" w:name="_Hlk118030900"/>
      <w:r w:rsidRPr="00AC6B87">
        <w:t xml:space="preserve">Sociální služby </w:t>
      </w:r>
      <w:r w:rsidR="005F3B02" w:rsidRPr="00AC6B87">
        <w:t xml:space="preserve">mají nezastupitelnou úlohu ve společnosti </w:t>
      </w:r>
      <w:r w:rsidR="006D2CAC" w:rsidRPr="00AC6B87">
        <w:t>vzhledem k</w:t>
      </w:r>
      <w:r w:rsidR="005F3B02" w:rsidRPr="00AC6B87">
        <w:t xml:space="preserve"> demografick</w:t>
      </w:r>
      <w:r w:rsidR="006D2CAC" w:rsidRPr="00AC6B87">
        <w:t>ému</w:t>
      </w:r>
      <w:r w:rsidR="005F3B02" w:rsidRPr="00AC6B87">
        <w:t xml:space="preserve"> vývoj</w:t>
      </w:r>
      <w:r w:rsidR="006D2CAC" w:rsidRPr="00AC6B87">
        <w:t>i</w:t>
      </w:r>
      <w:r w:rsidR="005F3B02" w:rsidRPr="00AC6B87">
        <w:t xml:space="preserve"> (stárnutí populace)</w:t>
      </w:r>
      <w:r w:rsidR="006D2CAC" w:rsidRPr="00AC6B87">
        <w:t xml:space="preserve">, výskytu závažných </w:t>
      </w:r>
      <w:r w:rsidR="00B96741">
        <w:t>tělesných a duševních</w:t>
      </w:r>
      <w:r w:rsidR="006D2CAC" w:rsidRPr="00AC6B87">
        <w:t xml:space="preserve"> onemocnění </w:t>
      </w:r>
      <w:r w:rsidR="003E0089">
        <w:br/>
      </w:r>
      <w:r w:rsidR="006D2CAC" w:rsidRPr="00AC6B87">
        <w:t>a</w:t>
      </w:r>
      <w:r w:rsidR="003E0089">
        <w:t xml:space="preserve"> </w:t>
      </w:r>
      <w:r w:rsidR="006D2CAC" w:rsidRPr="00AC6B87">
        <w:t xml:space="preserve">nežádoucích </w:t>
      </w:r>
      <w:r w:rsidR="00CD653D">
        <w:t xml:space="preserve">sociálních </w:t>
      </w:r>
      <w:r w:rsidR="006D2CAC" w:rsidRPr="00AC6B87">
        <w:t>jevů</w:t>
      </w:r>
      <w:r w:rsidR="00CD653D">
        <w:t>,</w:t>
      </w:r>
      <w:r w:rsidR="006D2CAC" w:rsidRPr="00AC6B87">
        <w:t xml:space="preserve"> jako je např. nezaměstnanost nebo bezdomovectví. </w:t>
      </w:r>
      <w:r w:rsidR="003E0089">
        <w:br/>
      </w:r>
      <w:r w:rsidR="006D2CAC" w:rsidRPr="00AC6B87">
        <w:t>S</w:t>
      </w:r>
      <w:r w:rsidR="003E0089">
        <w:t xml:space="preserve"> </w:t>
      </w:r>
      <w:r w:rsidR="006D2CAC" w:rsidRPr="00AC6B87">
        <w:t xml:space="preserve">ohledem na </w:t>
      </w:r>
      <w:r w:rsidR="00AA2ECE">
        <w:t>tyto faktory</w:t>
      </w:r>
      <w:r w:rsidR="006D2CAC" w:rsidRPr="00AC6B87">
        <w:t xml:space="preserve"> stoupá </w:t>
      </w:r>
      <w:r w:rsidR="00AA2ECE">
        <w:t>v</w:t>
      </w:r>
      <w:r w:rsidR="003E0089">
        <w:t xml:space="preserve"> </w:t>
      </w:r>
      <w:r w:rsidR="00AA2ECE">
        <w:t>České republice (</w:t>
      </w:r>
      <w:r w:rsidR="00AA2ECE" w:rsidRPr="0001337A">
        <w:t xml:space="preserve">dále také „ČR“) </w:t>
      </w:r>
      <w:r w:rsidR="006D2CAC" w:rsidRPr="0001337A">
        <w:t>poptávka</w:t>
      </w:r>
      <w:r w:rsidR="006D2CAC" w:rsidRPr="00AC6B87">
        <w:t xml:space="preserve"> po</w:t>
      </w:r>
      <w:r w:rsidR="003E0089">
        <w:t xml:space="preserve"> </w:t>
      </w:r>
      <w:r w:rsidR="006D2CAC" w:rsidRPr="00AC6B87">
        <w:t xml:space="preserve">sociálních službách, které </w:t>
      </w:r>
      <w:r w:rsidR="00AC6B87" w:rsidRPr="00AC6B87">
        <w:t>momentálně vykazují nedostatečnou kapacitu</w:t>
      </w:r>
      <w:r w:rsidR="00AC6B87">
        <w:t xml:space="preserve"> a značnou institucionalizaci (ústavní charakter).</w:t>
      </w:r>
    </w:p>
    <w:p w14:paraId="65C560FF" w14:textId="77777777" w:rsidR="00504F32" w:rsidRDefault="00AC6B87" w:rsidP="005A024A">
      <w:pPr>
        <w:pStyle w:val="JK1"/>
        <w:spacing w:after="120"/>
        <w:ind w:left="426" w:hanging="426"/>
      </w:pPr>
      <w:r>
        <w:t>N</w:t>
      </w:r>
      <w:r w:rsidR="00FB1701">
        <w:t xml:space="preserve">KÚ </w:t>
      </w:r>
      <w:r w:rsidR="00504F32" w:rsidRPr="00334292">
        <w:t>provedl kontrolu</w:t>
      </w:r>
      <w:r w:rsidR="00504F32" w:rsidRPr="000744B4">
        <w:t xml:space="preserve"> peněžních prostředků </w:t>
      </w:r>
      <w:r w:rsidR="00504F32" w:rsidRPr="00F2524B">
        <w:t xml:space="preserve">státního rozpočtu a Evropské unie </w:t>
      </w:r>
      <w:r w:rsidR="002E0418">
        <w:t xml:space="preserve">(dále také </w:t>
      </w:r>
      <w:r w:rsidR="002E0418" w:rsidRPr="0001337A">
        <w:t>„EU“)</w:t>
      </w:r>
      <w:r w:rsidR="00504F32" w:rsidRPr="0001337A">
        <w:t xml:space="preserve"> vynakládaných z </w:t>
      </w:r>
      <w:r w:rsidR="00504F32" w:rsidRPr="0001337A">
        <w:rPr>
          <w:i/>
        </w:rPr>
        <w:t>Integrovaného regionálního operačního programu</w:t>
      </w:r>
      <w:r w:rsidR="00504F32" w:rsidRPr="0001337A">
        <w:t xml:space="preserve"> (dále také „IROP“) na</w:t>
      </w:r>
      <w:r w:rsidR="00504F32" w:rsidRPr="000744B4">
        <w:t xml:space="preserve"> podporu </w:t>
      </w:r>
      <w:r w:rsidR="00504F32">
        <w:t xml:space="preserve">infrastruktury </w:t>
      </w:r>
      <w:r w:rsidR="00FF4A82">
        <w:t xml:space="preserve">regionálních </w:t>
      </w:r>
      <w:r w:rsidR="00D9225B">
        <w:t>sociálních služeb</w:t>
      </w:r>
      <w:r w:rsidR="00BE07E5">
        <w:rPr>
          <w:rStyle w:val="Znakapoznpodarou"/>
        </w:rPr>
        <w:footnoteReference w:id="3"/>
      </w:r>
      <w:r w:rsidR="00504F32">
        <w:t>.</w:t>
      </w:r>
      <w:r w:rsidR="00E14A26">
        <w:t xml:space="preserve"> </w:t>
      </w:r>
      <w:r w:rsidR="00504F32" w:rsidRPr="00F2524B">
        <w:t xml:space="preserve">Cílem kontroly bylo prověřit, zda </w:t>
      </w:r>
      <w:r w:rsidR="00504F32" w:rsidRPr="00B06674">
        <w:t xml:space="preserve">peněžní prostředky poskytované Ministerstvem pro místní rozvoj na </w:t>
      </w:r>
      <w:r w:rsidR="003D055E">
        <w:t>i</w:t>
      </w:r>
      <w:r w:rsidR="00504F32" w:rsidRPr="00B06674">
        <w:t>nfrastrukturu sociálních služeb byly vynakládány účelně a v souladu s právními předpisy.</w:t>
      </w:r>
      <w:r w:rsidR="00504F32">
        <w:t xml:space="preserve"> </w:t>
      </w:r>
      <w:r w:rsidR="00D554C1" w:rsidRPr="00D554C1">
        <w:t xml:space="preserve">Na tuto podporu vynaložilo MMR </w:t>
      </w:r>
      <w:r w:rsidR="00D554C1" w:rsidRPr="008769FD">
        <w:rPr>
          <w:color w:val="auto"/>
        </w:rPr>
        <w:t xml:space="preserve">v období </w:t>
      </w:r>
      <w:r w:rsidR="00D554C1" w:rsidRPr="00420FAB">
        <w:rPr>
          <w:color w:val="auto"/>
        </w:rPr>
        <w:t>let 201</w:t>
      </w:r>
      <w:r w:rsidR="00980AD7" w:rsidRPr="00420FAB">
        <w:rPr>
          <w:color w:val="auto"/>
        </w:rPr>
        <w:t>4</w:t>
      </w:r>
      <w:r w:rsidR="00FE3FD9">
        <w:rPr>
          <w:color w:val="auto"/>
        </w:rPr>
        <w:t>–</w:t>
      </w:r>
      <w:r w:rsidR="00D554C1" w:rsidRPr="00420FAB">
        <w:rPr>
          <w:color w:val="auto"/>
        </w:rPr>
        <w:t xml:space="preserve">2024 </w:t>
      </w:r>
      <w:r w:rsidR="00811EF3">
        <w:rPr>
          <w:color w:val="auto"/>
        </w:rPr>
        <w:t>(k 8.</w:t>
      </w:r>
      <w:r w:rsidR="0030604F">
        <w:rPr>
          <w:color w:val="auto"/>
        </w:rPr>
        <w:t> </w:t>
      </w:r>
      <w:r w:rsidR="00811EF3">
        <w:rPr>
          <w:color w:val="auto"/>
        </w:rPr>
        <w:t xml:space="preserve">11. 2024) </w:t>
      </w:r>
      <w:r w:rsidR="00D554C1" w:rsidRPr="00420FAB">
        <w:rPr>
          <w:color w:val="auto"/>
        </w:rPr>
        <w:t xml:space="preserve">celkovou </w:t>
      </w:r>
      <w:r w:rsidR="00D554C1" w:rsidRPr="008769FD">
        <w:rPr>
          <w:color w:val="auto"/>
        </w:rPr>
        <w:t>část</w:t>
      </w:r>
      <w:r w:rsidR="009B43A0">
        <w:rPr>
          <w:color w:val="auto"/>
        </w:rPr>
        <w:t>k</w:t>
      </w:r>
      <w:r w:rsidR="00D554C1" w:rsidRPr="008769FD">
        <w:rPr>
          <w:color w:val="auto"/>
        </w:rPr>
        <w:t xml:space="preserve">u ve výši 5 </w:t>
      </w:r>
      <w:r w:rsidR="008769FD" w:rsidRPr="008769FD">
        <w:rPr>
          <w:color w:val="auto"/>
        </w:rPr>
        <w:t>9</w:t>
      </w:r>
      <w:r w:rsidR="00D554C1" w:rsidRPr="008769FD">
        <w:rPr>
          <w:color w:val="auto"/>
        </w:rPr>
        <w:t>7</w:t>
      </w:r>
      <w:r w:rsidR="008769FD" w:rsidRPr="008769FD">
        <w:rPr>
          <w:color w:val="auto"/>
        </w:rPr>
        <w:t>0</w:t>
      </w:r>
      <w:r w:rsidR="00D554C1" w:rsidRPr="008769FD">
        <w:rPr>
          <w:color w:val="auto"/>
        </w:rPr>
        <w:t xml:space="preserve"> mil. Kč</w:t>
      </w:r>
      <w:r w:rsidR="008769FD" w:rsidRPr="008769FD">
        <w:rPr>
          <w:color w:val="auto"/>
        </w:rPr>
        <w:t>.</w:t>
      </w:r>
      <w:r w:rsidR="00D554C1" w:rsidRPr="008769FD">
        <w:rPr>
          <w:color w:val="auto"/>
        </w:rPr>
        <w:t xml:space="preserve"> </w:t>
      </w:r>
      <w:r w:rsidR="00504F32" w:rsidRPr="008769FD">
        <w:rPr>
          <w:color w:val="auto"/>
        </w:rPr>
        <w:t xml:space="preserve">Kontrola </w:t>
      </w:r>
      <w:r w:rsidR="00E056DA">
        <w:rPr>
          <w:color w:val="auto"/>
        </w:rPr>
        <w:t xml:space="preserve">NKÚ </w:t>
      </w:r>
      <w:r w:rsidR="00504F32" w:rsidRPr="008769FD">
        <w:rPr>
          <w:color w:val="auto"/>
        </w:rPr>
        <w:t xml:space="preserve">byla provedena u MMR, kde </w:t>
      </w:r>
      <w:r w:rsidR="00504F32" w:rsidRPr="008A4590">
        <w:t>se zaměřila na</w:t>
      </w:r>
      <w:r w:rsidR="00504F32">
        <w:t xml:space="preserve"> </w:t>
      </w:r>
      <w:r w:rsidR="00504F32" w:rsidRPr="008A4590">
        <w:t>je</w:t>
      </w:r>
      <w:r w:rsidR="00504F32">
        <w:t>ho</w:t>
      </w:r>
      <w:r w:rsidR="00504F32" w:rsidRPr="008A4590">
        <w:t xml:space="preserve"> činnost jakožto </w:t>
      </w:r>
      <w:r w:rsidR="00C70306">
        <w:t>ř</w:t>
      </w:r>
      <w:r w:rsidR="00504F32" w:rsidRPr="008A4590">
        <w:t>ídicí</w:t>
      </w:r>
      <w:r w:rsidR="00504F32">
        <w:t>ho</w:t>
      </w:r>
      <w:r w:rsidR="00504F32" w:rsidRPr="008A4590">
        <w:t xml:space="preserve"> orgán</w:t>
      </w:r>
      <w:r w:rsidR="00504F32">
        <w:t>u</w:t>
      </w:r>
      <w:r w:rsidR="00504F32" w:rsidRPr="008A4590">
        <w:t xml:space="preserve"> </w:t>
      </w:r>
      <w:r w:rsidR="00504F32">
        <w:t>IROP</w:t>
      </w:r>
      <w:r w:rsidR="00504F32" w:rsidRPr="008A4590">
        <w:t xml:space="preserve">, </w:t>
      </w:r>
      <w:r w:rsidR="001451B7">
        <w:t xml:space="preserve">a </w:t>
      </w:r>
      <w:r w:rsidR="00504F32" w:rsidRPr="008A4590">
        <w:t>dále u</w:t>
      </w:r>
      <w:r w:rsidR="00504F32">
        <w:t> osmi</w:t>
      </w:r>
      <w:r w:rsidR="00504F32" w:rsidRPr="008A4590">
        <w:t xml:space="preserve"> vybraných příjemců dotací, u</w:t>
      </w:r>
      <w:r w:rsidR="00504F32">
        <w:t xml:space="preserve"> </w:t>
      </w:r>
      <w:r w:rsidR="00504F32" w:rsidRPr="008A4590">
        <w:t>nichž byla prověřena realizace</w:t>
      </w:r>
      <w:r w:rsidR="00504F32">
        <w:t xml:space="preserve"> </w:t>
      </w:r>
      <w:r w:rsidR="00504F32" w:rsidRPr="008A4590">
        <w:t>1</w:t>
      </w:r>
      <w:r w:rsidR="00504F32">
        <w:t>4</w:t>
      </w:r>
      <w:r w:rsidR="00504F32" w:rsidRPr="008A4590">
        <w:t xml:space="preserve"> </w:t>
      </w:r>
      <w:r w:rsidR="0012215E">
        <w:t>p</w:t>
      </w:r>
      <w:r w:rsidR="00504F32" w:rsidRPr="008A4590">
        <w:t>rojektů schválených k</w:t>
      </w:r>
      <w:r w:rsidR="0030604F">
        <w:t xml:space="preserve"> </w:t>
      </w:r>
      <w:r w:rsidR="00504F32" w:rsidRPr="008A4590">
        <w:t>podpoře.</w:t>
      </w:r>
      <w:r w:rsidR="00504F32" w:rsidRPr="006F7F25">
        <w:t xml:space="preserve"> </w:t>
      </w:r>
      <w:r w:rsidR="00504F32" w:rsidRPr="00A90634">
        <w:t xml:space="preserve">Finanční objem kontrolovaných projektů činil </w:t>
      </w:r>
      <w:r w:rsidR="00EF35AF">
        <w:t>35</w:t>
      </w:r>
      <w:r w:rsidR="00990EFC">
        <w:t>7,6</w:t>
      </w:r>
      <w:r w:rsidR="00504F32">
        <w:t> </w:t>
      </w:r>
      <w:r w:rsidR="00504F32" w:rsidRPr="00A90634">
        <w:t>mil.</w:t>
      </w:r>
      <w:r w:rsidR="00504F32">
        <w:t> </w:t>
      </w:r>
      <w:r w:rsidR="00504F32" w:rsidRPr="00A90634">
        <w:t>Kč</w:t>
      </w:r>
      <w:r w:rsidR="00504F32">
        <w:t>.</w:t>
      </w:r>
    </w:p>
    <w:p w14:paraId="602705D4" w14:textId="5165F099" w:rsidR="00FD098A" w:rsidRPr="00C76710" w:rsidRDefault="00966102" w:rsidP="005A024A">
      <w:pPr>
        <w:pStyle w:val="JK1"/>
        <w:spacing w:after="120"/>
        <w:ind w:left="425" w:hanging="425"/>
        <w:rPr>
          <w:rFonts w:asciiTheme="minorHAnsi" w:hAnsiTheme="minorHAnsi" w:cstheme="minorHAnsi"/>
        </w:rPr>
      </w:pPr>
      <w:bookmarkStart w:id="6" w:name="_Hlk191966190"/>
      <w:bookmarkEnd w:id="5"/>
      <w:r w:rsidRPr="00C76710">
        <w:rPr>
          <w:b/>
          <w:color w:val="auto"/>
        </w:rPr>
        <w:t xml:space="preserve">MMR </w:t>
      </w:r>
      <w:r w:rsidR="00B60B7E" w:rsidRPr="00C76710">
        <w:rPr>
          <w:b/>
          <w:color w:val="auto"/>
        </w:rPr>
        <w:t>podporou</w:t>
      </w:r>
      <w:r w:rsidRPr="00C76710">
        <w:rPr>
          <w:b/>
          <w:color w:val="auto"/>
        </w:rPr>
        <w:t xml:space="preserve"> rozvoje </w:t>
      </w:r>
      <w:r w:rsidR="00B60B7E" w:rsidRPr="00C76710">
        <w:rPr>
          <w:b/>
          <w:color w:val="auto"/>
        </w:rPr>
        <w:t>infrastruktur</w:t>
      </w:r>
      <w:r w:rsidRPr="00C76710">
        <w:rPr>
          <w:b/>
          <w:color w:val="auto"/>
        </w:rPr>
        <w:t>y</w:t>
      </w:r>
      <w:r w:rsidR="009A3F33">
        <w:rPr>
          <w:b/>
          <w:color w:val="auto"/>
        </w:rPr>
        <w:t xml:space="preserve"> regionálních</w:t>
      </w:r>
      <w:r w:rsidR="00B60B7E" w:rsidRPr="00C76710">
        <w:rPr>
          <w:b/>
          <w:color w:val="auto"/>
        </w:rPr>
        <w:t xml:space="preserve"> sociálních služeb</w:t>
      </w:r>
      <w:r w:rsidRPr="00C76710">
        <w:rPr>
          <w:b/>
          <w:color w:val="auto"/>
        </w:rPr>
        <w:t xml:space="preserve"> vytvořilo </w:t>
      </w:r>
      <w:r w:rsidR="00782DF2" w:rsidRPr="00C76710">
        <w:rPr>
          <w:b/>
          <w:color w:val="auto"/>
        </w:rPr>
        <w:t>předpoklady</w:t>
      </w:r>
      <w:r w:rsidRPr="00C76710">
        <w:rPr>
          <w:b/>
          <w:color w:val="auto"/>
        </w:rPr>
        <w:t xml:space="preserve"> pro</w:t>
      </w:r>
      <w:r w:rsidR="00E900CC">
        <w:rPr>
          <w:b/>
          <w:color w:val="auto"/>
        </w:rPr>
        <w:t xml:space="preserve"> </w:t>
      </w:r>
      <w:r w:rsidR="00B60B7E" w:rsidRPr="00C76710">
        <w:rPr>
          <w:b/>
          <w:color w:val="auto"/>
        </w:rPr>
        <w:t xml:space="preserve">dosažení cílů, jež mají vést k vyšší dostupnosti a kvalitě sociálních služeb. </w:t>
      </w:r>
      <w:r w:rsidR="00DD3C51" w:rsidRPr="00C76710">
        <w:rPr>
          <w:b/>
          <w:color w:val="auto"/>
        </w:rPr>
        <w:t xml:space="preserve">MMR </w:t>
      </w:r>
      <w:r w:rsidR="005D3AFF" w:rsidRPr="00C76710">
        <w:rPr>
          <w:b/>
          <w:color w:val="auto"/>
        </w:rPr>
        <w:t>reagovalo na potřeby</w:t>
      </w:r>
      <w:r w:rsidR="00782DF2" w:rsidRPr="00C76710">
        <w:rPr>
          <w:b/>
          <w:color w:val="auto"/>
        </w:rPr>
        <w:t xml:space="preserve"> rozvoje sociálních služeb při nastavování podmínek podpory</w:t>
      </w:r>
      <w:r w:rsidR="00E91990" w:rsidRPr="00C76710">
        <w:rPr>
          <w:b/>
          <w:color w:val="auto"/>
        </w:rPr>
        <w:t xml:space="preserve"> z</w:t>
      </w:r>
      <w:r w:rsidR="00694B30">
        <w:rPr>
          <w:b/>
          <w:color w:val="auto"/>
        </w:rPr>
        <w:t xml:space="preserve"> </w:t>
      </w:r>
      <w:r w:rsidR="00782DF2" w:rsidRPr="00C76710">
        <w:rPr>
          <w:b/>
          <w:color w:val="auto"/>
        </w:rPr>
        <w:t xml:space="preserve">IROP </w:t>
      </w:r>
      <w:r w:rsidR="00826A08" w:rsidRPr="00826A08">
        <w:rPr>
          <w:b/>
          <w:color w:val="auto"/>
        </w:rPr>
        <w:t>pro období 2014–2020 (dále také „IROP 1“)</w:t>
      </w:r>
      <w:r w:rsidR="00782DF2" w:rsidRPr="00C76710">
        <w:rPr>
          <w:b/>
          <w:color w:val="auto"/>
        </w:rPr>
        <w:t xml:space="preserve"> a </w:t>
      </w:r>
      <w:r w:rsidR="00E91990" w:rsidRPr="00C76710">
        <w:rPr>
          <w:b/>
          <w:color w:val="auto"/>
        </w:rPr>
        <w:t xml:space="preserve">z </w:t>
      </w:r>
      <w:r w:rsidR="00782DF2" w:rsidRPr="00C76710">
        <w:rPr>
          <w:b/>
          <w:color w:val="auto"/>
        </w:rPr>
        <w:t xml:space="preserve">IROP </w:t>
      </w:r>
      <w:r w:rsidR="00F541B2" w:rsidRPr="004D34D1">
        <w:rPr>
          <w:b/>
        </w:rPr>
        <w:t xml:space="preserve">pro období </w:t>
      </w:r>
      <w:r w:rsidR="00694B30">
        <w:rPr>
          <w:b/>
        </w:rPr>
        <w:br/>
      </w:r>
      <w:r w:rsidR="00F541B2" w:rsidRPr="004D34D1">
        <w:rPr>
          <w:b/>
        </w:rPr>
        <w:t>2021–2027 (dále také „IROP 2“)</w:t>
      </w:r>
      <w:r w:rsidR="00782DF2" w:rsidRPr="00C76710">
        <w:rPr>
          <w:b/>
          <w:color w:val="auto"/>
        </w:rPr>
        <w:t xml:space="preserve"> </w:t>
      </w:r>
      <w:r w:rsidR="006C0ED2">
        <w:rPr>
          <w:b/>
          <w:color w:val="auto"/>
        </w:rPr>
        <w:t xml:space="preserve">i </w:t>
      </w:r>
      <w:r w:rsidR="009809DE">
        <w:rPr>
          <w:b/>
          <w:color w:val="auto"/>
        </w:rPr>
        <w:t xml:space="preserve">při </w:t>
      </w:r>
      <w:r w:rsidR="00380D99">
        <w:rPr>
          <w:b/>
          <w:color w:val="auto"/>
        </w:rPr>
        <w:t>výběru projektů</w:t>
      </w:r>
      <w:r w:rsidR="00876A9E" w:rsidRPr="00C76710">
        <w:rPr>
          <w:b/>
          <w:color w:val="auto"/>
        </w:rPr>
        <w:t xml:space="preserve">. </w:t>
      </w:r>
      <w:r w:rsidR="00153FB1" w:rsidRPr="00C76710">
        <w:rPr>
          <w:b/>
          <w:color w:val="auto"/>
        </w:rPr>
        <w:t xml:space="preserve">Výjimkou však </w:t>
      </w:r>
      <w:r w:rsidR="003205BD" w:rsidRPr="00C76710">
        <w:rPr>
          <w:b/>
          <w:color w:val="auto"/>
        </w:rPr>
        <w:t>byl</w:t>
      </w:r>
      <w:r w:rsidR="00EB3DE4" w:rsidRPr="00C76710">
        <w:rPr>
          <w:b/>
          <w:color w:val="auto"/>
        </w:rPr>
        <w:t>o nastavení</w:t>
      </w:r>
      <w:r w:rsidR="003205BD" w:rsidRPr="00C76710">
        <w:rPr>
          <w:b/>
          <w:color w:val="auto"/>
        </w:rPr>
        <w:t xml:space="preserve"> </w:t>
      </w:r>
      <w:r w:rsidR="00153FB1" w:rsidRPr="00C76710">
        <w:rPr>
          <w:b/>
          <w:color w:val="auto"/>
        </w:rPr>
        <w:t>výzv</w:t>
      </w:r>
      <w:r w:rsidR="00EB3DE4" w:rsidRPr="00C76710">
        <w:rPr>
          <w:b/>
          <w:color w:val="auto"/>
        </w:rPr>
        <w:t>y</w:t>
      </w:r>
      <w:r w:rsidR="00153FB1" w:rsidRPr="00C76710">
        <w:rPr>
          <w:b/>
          <w:color w:val="auto"/>
        </w:rPr>
        <w:t xml:space="preserve"> č.</w:t>
      </w:r>
      <w:r w:rsidR="00EB3DE4" w:rsidRPr="00C76710">
        <w:rPr>
          <w:b/>
          <w:color w:val="auto"/>
        </w:rPr>
        <w:t> </w:t>
      </w:r>
      <w:r w:rsidR="00153FB1" w:rsidRPr="00C76710">
        <w:rPr>
          <w:b/>
          <w:color w:val="auto"/>
        </w:rPr>
        <w:t xml:space="preserve">101 </w:t>
      </w:r>
      <w:r w:rsidR="00153FB1" w:rsidRPr="00A96B17">
        <w:rPr>
          <w:b/>
          <w:i/>
          <w:iCs/>
          <w:color w:val="auto"/>
        </w:rPr>
        <w:t>REACT-EU</w:t>
      </w:r>
      <w:r w:rsidR="00E91990" w:rsidRPr="00C76710">
        <w:rPr>
          <w:b/>
          <w:color w:val="auto"/>
        </w:rPr>
        <w:t xml:space="preserve"> v IROP 1</w:t>
      </w:r>
      <w:r w:rsidR="00410E3E" w:rsidRPr="00C76710">
        <w:rPr>
          <w:b/>
          <w:color w:val="auto"/>
        </w:rPr>
        <w:t>, kter</w:t>
      </w:r>
      <w:r w:rsidR="002B2B7F">
        <w:rPr>
          <w:b/>
          <w:color w:val="auto"/>
        </w:rPr>
        <w:t>é</w:t>
      </w:r>
      <w:r w:rsidR="00410E3E" w:rsidRPr="00C76710">
        <w:rPr>
          <w:b/>
          <w:color w:val="auto"/>
        </w:rPr>
        <w:t xml:space="preserve"> umožnil</w:t>
      </w:r>
      <w:r w:rsidR="002B2B7F">
        <w:rPr>
          <w:b/>
          <w:color w:val="auto"/>
        </w:rPr>
        <w:t>o</w:t>
      </w:r>
      <w:r w:rsidR="00FD098A" w:rsidRPr="00C76710">
        <w:rPr>
          <w:b/>
          <w:color w:val="auto"/>
        </w:rPr>
        <w:t xml:space="preserve"> příjemcům poř</w:t>
      </w:r>
      <w:r w:rsidR="00BD0615">
        <w:rPr>
          <w:b/>
          <w:color w:val="auto"/>
        </w:rPr>
        <w:t>i</w:t>
      </w:r>
      <w:r w:rsidR="00FD098A" w:rsidRPr="00C76710">
        <w:rPr>
          <w:b/>
          <w:color w:val="auto"/>
        </w:rPr>
        <w:t>z</w:t>
      </w:r>
      <w:r w:rsidR="002B2B7F">
        <w:rPr>
          <w:b/>
          <w:color w:val="auto"/>
        </w:rPr>
        <w:t>ovat</w:t>
      </w:r>
      <w:r w:rsidR="00FD098A" w:rsidRPr="00C76710">
        <w:rPr>
          <w:b/>
          <w:color w:val="auto"/>
        </w:rPr>
        <w:t xml:space="preserve"> </w:t>
      </w:r>
      <w:r w:rsidR="002B2B7F">
        <w:rPr>
          <w:b/>
          <w:color w:val="auto"/>
        </w:rPr>
        <w:t>i</w:t>
      </w:r>
      <w:r w:rsidR="00FD098A" w:rsidRPr="00C76710">
        <w:rPr>
          <w:b/>
          <w:color w:val="auto"/>
        </w:rPr>
        <w:t xml:space="preserve"> vybavení,</w:t>
      </w:r>
      <w:r w:rsidR="00F26379">
        <w:rPr>
          <w:b/>
          <w:color w:val="auto"/>
        </w:rPr>
        <w:t xml:space="preserve"> </w:t>
      </w:r>
      <w:r w:rsidR="002B2B7F">
        <w:rPr>
          <w:b/>
          <w:color w:val="auto"/>
        </w:rPr>
        <w:t>které nebylo pro realizaci projektu potřebné,</w:t>
      </w:r>
      <w:r w:rsidR="00F26379">
        <w:rPr>
          <w:b/>
          <w:color w:val="auto"/>
        </w:rPr>
        <w:t xml:space="preserve"> což se </w:t>
      </w:r>
      <w:r w:rsidR="002B2B7F">
        <w:rPr>
          <w:b/>
          <w:color w:val="auto"/>
        </w:rPr>
        <w:t xml:space="preserve">kontrolou NKÚ </w:t>
      </w:r>
      <w:r w:rsidR="00F26379">
        <w:rPr>
          <w:b/>
          <w:color w:val="auto"/>
        </w:rPr>
        <w:t>potvrdilo u dvou projektů.</w:t>
      </w:r>
      <w:r w:rsidR="00EB3DE4" w:rsidRPr="00C76710">
        <w:rPr>
          <w:b/>
          <w:color w:val="auto"/>
        </w:rPr>
        <w:t xml:space="preserve"> </w:t>
      </w:r>
      <w:r w:rsidR="00FD098A" w:rsidRPr="00C76710">
        <w:rPr>
          <w:b/>
          <w:color w:val="auto"/>
        </w:rPr>
        <w:t>MMR při</w:t>
      </w:r>
      <w:r w:rsidR="00694B30">
        <w:rPr>
          <w:b/>
          <w:color w:val="auto"/>
        </w:rPr>
        <w:t xml:space="preserve"> </w:t>
      </w:r>
      <w:r w:rsidR="00FD098A" w:rsidRPr="00C76710">
        <w:rPr>
          <w:b/>
          <w:color w:val="auto"/>
        </w:rPr>
        <w:t xml:space="preserve">administraci IROP </w:t>
      </w:r>
      <w:r w:rsidR="00FC1F11">
        <w:rPr>
          <w:b/>
          <w:color w:val="auto"/>
        </w:rPr>
        <w:t xml:space="preserve">postupovalo </w:t>
      </w:r>
      <w:r w:rsidR="00FD098A" w:rsidRPr="00C76710">
        <w:rPr>
          <w:b/>
          <w:color w:val="auto"/>
        </w:rPr>
        <w:t>v</w:t>
      </w:r>
      <w:r w:rsidR="00694B30">
        <w:rPr>
          <w:b/>
          <w:color w:val="auto"/>
        </w:rPr>
        <w:t xml:space="preserve"> </w:t>
      </w:r>
      <w:r w:rsidR="00FD098A" w:rsidRPr="00C76710">
        <w:rPr>
          <w:b/>
          <w:color w:val="auto"/>
        </w:rPr>
        <w:t>soulad</w:t>
      </w:r>
      <w:r w:rsidR="001C7A72" w:rsidRPr="00C76710">
        <w:rPr>
          <w:b/>
          <w:color w:val="auto"/>
        </w:rPr>
        <w:t>u</w:t>
      </w:r>
      <w:r w:rsidR="00FD098A" w:rsidRPr="00C76710">
        <w:rPr>
          <w:b/>
          <w:color w:val="auto"/>
        </w:rPr>
        <w:t xml:space="preserve"> s</w:t>
      </w:r>
      <w:r w:rsidR="00694B30">
        <w:rPr>
          <w:b/>
          <w:color w:val="auto"/>
        </w:rPr>
        <w:t xml:space="preserve"> </w:t>
      </w:r>
      <w:r w:rsidR="00FD098A" w:rsidRPr="00C76710">
        <w:rPr>
          <w:b/>
          <w:color w:val="auto"/>
        </w:rPr>
        <w:t xml:space="preserve">právními předpisy, </w:t>
      </w:r>
      <w:r w:rsidR="00C64B31">
        <w:rPr>
          <w:b/>
          <w:color w:val="auto"/>
        </w:rPr>
        <w:t>s</w:t>
      </w:r>
      <w:r w:rsidR="00694B30">
        <w:rPr>
          <w:b/>
          <w:color w:val="auto"/>
        </w:rPr>
        <w:t xml:space="preserve"> </w:t>
      </w:r>
      <w:r w:rsidR="00C64B31">
        <w:rPr>
          <w:b/>
          <w:color w:val="auto"/>
        </w:rPr>
        <w:t xml:space="preserve">výjimkou </w:t>
      </w:r>
      <w:r w:rsidR="00FD098A" w:rsidRPr="00C76710">
        <w:rPr>
          <w:b/>
          <w:color w:val="auto"/>
        </w:rPr>
        <w:t xml:space="preserve">postupu při sledování a vyhodnocování </w:t>
      </w:r>
      <w:r w:rsidR="001C7A72" w:rsidRPr="00C76710">
        <w:rPr>
          <w:b/>
          <w:color w:val="auto"/>
        </w:rPr>
        <w:t xml:space="preserve">účelnosti podpory, kterou poskytovalo ze své </w:t>
      </w:r>
      <w:r w:rsidR="00E512AA" w:rsidRPr="00C76710">
        <w:rPr>
          <w:b/>
          <w:color w:val="auto"/>
        </w:rPr>
        <w:t xml:space="preserve">rozpočtové </w:t>
      </w:r>
      <w:r w:rsidR="001C7A72" w:rsidRPr="00C76710">
        <w:rPr>
          <w:b/>
          <w:color w:val="auto"/>
        </w:rPr>
        <w:t>kapitoly.</w:t>
      </w:r>
      <w:r w:rsidR="00FD098A" w:rsidRPr="00C76710">
        <w:rPr>
          <w:rFonts w:asciiTheme="minorHAnsi" w:hAnsiTheme="minorHAnsi" w:cstheme="minorHAnsi"/>
        </w:rPr>
        <w:t xml:space="preserve"> </w:t>
      </w:r>
    </w:p>
    <w:p w14:paraId="54178522" w14:textId="77777777" w:rsidR="00D554C1" w:rsidRPr="00FD098A" w:rsidRDefault="001C7A72" w:rsidP="005A024A">
      <w:pPr>
        <w:pStyle w:val="JK1"/>
        <w:numPr>
          <w:ilvl w:val="0"/>
          <w:numId w:val="0"/>
        </w:numPr>
        <w:spacing w:after="120"/>
        <w:ind w:left="426"/>
        <w:rPr>
          <w:b/>
          <w:color w:val="auto"/>
        </w:rPr>
      </w:pPr>
      <w:r>
        <w:rPr>
          <w:b/>
          <w:color w:val="auto"/>
        </w:rPr>
        <w:t>N</w:t>
      </w:r>
      <w:r w:rsidR="003205BD" w:rsidRPr="00FD098A">
        <w:rPr>
          <w:b/>
          <w:color w:val="auto"/>
        </w:rPr>
        <w:t xml:space="preserve">KÚ kontrolou 14 projektů zjistil, že </w:t>
      </w:r>
      <w:r w:rsidR="004C4F11" w:rsidRPr="00FD098A">
        <w:rPr>
          <w:b/>
          <w:color w:val="auto"/>
        </w:rPr>
        <w:t>většina příjemců</w:t>
      </w:r>
      <w:r w:rsidR="00E512AA">
        <w:rPr>
          <w:b/>
          <w:color w:val="auto"/>
        </w:rPr>
        <w:t xml:space="preserve"> </w:t>
      </w:r>
      <w:r w:rsidR="004C4F11" w:rsidRPr="00FD098A">
        <w:rPr>
          <w:b/>
          <w:color w:val="auto"/>
        </w:rPr>
        <w:t>vyna</w:t>
      </w:r>
      <w:r w:rsidR="00C64B31">
        <w:rPr>
          <w:b/>
          <w:color w:val="auto"/>
        </w:rPr>
        <w:t xml:space="preserve">ložila </w:t>
      </w:r>
      <w:r w:rsidR="004C4F11" w:rsidRPr="00FD098A">
        <w:rPr>
          <w:b/>
          <w:color w:val="auto"/>
        </w:rPr>
        <w:t>peněžní prostředky na</w:t>
      </w:r>
      <w:r w:rsidR="00694B30">
        <w:rPr>
          <w:b/>
          <w:color w:val="auto"/>
        </w:rPr>
        <w:t xml:space="preserve"> </w:t>
      </w:r>
      <w:r w:rsidR="004C4F11" w:rsidRPr="00FD098A">
        <w:rPr>
          <w:b/>
          <w:color w:val="auto"/>
        </w:rPr>
        <w:t>realizaci projektů účelně</w:t>
      </w:r>
      <w:r w:rsidR="00E512AA">
        <w:rPr>
          <w:b/>
          <w:color w:val="auto"/>
        </w:rPr>
        <w:t xml:space="preserve">, to se týkalo </w:t>
      </w:r>
      <w:r w:rsidR="00003084">
        <w:rPr>
          <w:b/>
          <w:color w:val="auto"/>
        </w:rPr>
        <w:t>10</w:t>
      </w:r>
      <w:r w:rsidR="00E512AA">
        <w:rPr>
          <w:b/>
          <w:color w:val="auto"/>
        </w:rPr>
        <w:t xml:space="preserve"> z nich. </w:t>
      </w:r>
      <w:r w:rsidR="004E608E">
        <w:rPr>
          <w:b/>
          <w:color w:val="auto"/>
        </w:rPr>
        <w:t>U dvou pro</w:t>
      </w:r>
      <w:r w:rsidR="00732B92">
        <w:rPr>
          <w:b/>
          <w:color w:val="auto"/>
        </w:rPr>
        <w:t>jektů</w:t>
      </w:r>
      <w:r w:rsidR="006F4181">
        <w:rPr>
          <w:b/>
          <w:color w:val="auto"/>
        </w:rPr>
        <w:t xml:space="preserve"> </w:t>
      </w:r>
      <w:r w:rsidR="00E512AA">
        <w:rPr>
          <w:b/>
          <w:color w:val="auto"/>
        </w:rPr>
        <w:t>příjemci vynaložili prostředky ú</w:t>
      </w:r>
      <w:r w:rsidR="004C4F11" w:rsidRPr="00FD098A">
        <w:rPr>
          <w:b/>
          <w:color w:val="auto"/>
        </w:rPr>
        <w:t>čelně</w:t>
      </w:r>
      <w:r w:rsidR="00420FAB">
        <w:rPr>
          <w:b/>
          <w:color w:val="auto"/>
        </w:rPr>
        <w:t xml:space="preserve"> </w:t>
      </w:r>
      <w:r w:rsidR="004C4F11" w:rsidRPr="00FD098A">
        <w:rPr>
          <w:b/>
          <w:color w:val="auto"/>
        </w:rPr>
        <w:t>s mírnými nedostatky</w:t>
      </w:r>
      <w:r w:rsidR="00F56DBB">
        <w:rPr>
          <w:b/>
          <w:color w:val="auto"/>
        </w:rPr>
        <w:t xml:space="preserve"> a u</w:t>
      </w:r>
      <w:r w:rsidR="00D554C1" w:rsidRPr="00FD098A">
        <w:rPr>
          <w:b/>
          <w:color w:val="auto"/>
        </w:rPr>
        <w:t xml:space="preserve"> </w:t>
      </w:r>
      <w:r w:rsidR="00F56DBB">
        <w:rPr>
          <w:b/>
          <w:color w:val="auto"/>
        </w:rPr>
        <w:t xml:space="preserve">dvou </w:t>
      </w:r>
      <w:r w:rsidR="00D554C1" w:rsidRPr="00FD098A">
        <w:rPr>
          <w:b/>
          <w:color w:val="auto"/>
        </w:rPr>
        <w:t xml:space="preserve">dalších </w:t>
      </w:r>
      <w:r w:rsidR="00567396">
        <w:rPr>
          <w:b/>
          <w:color w:val="auto"/>
        </w:rPr>
        <w:t xml:space="preserve">NKÚ </w:t>
      </w:r>
      <w:r w:rsidR="00C80E80">
        <w:rPr>
          <w:b/>
          <w:color w:val="auto"/>
        </w:rPr>
        <w:t xml:space="preserve">konstatoval </w:t>
      </w:r>
      <w:r w:rsidR="00153FB1" w:rsidRPr="00FD098A">
        <w:rPr>
          <w:b/>
          <w:color w:val="auto"/>
        </w:rPr>
        <w:t>jen omezeně účeln</w:t>
      </w:r>
      <w:r w:rsidR="00C80E80">
        <w:rPr>
          <w:b/>
          <w:color w:val="auto"/>
        </w:rPr>
        <w:t>é vynaložení prostředků</w:t>
      </w:r>
      <w:r w:rsidR="00153FB1" w:rsidRPr="00FD098A">
        <w:rPr>
          <w:b/>
          <w:color w:val="auto"/>
        </w:rPr>
        <w:t>.</w:t>
      </w:r>
      <w:r w:rsidR="004C4F11" w:rsidRPr="00FD098A">
        <w:rPr>
          <w:b/>
          <w:color w:val="auto"/>
        </w:rPr>
        <w:t xml:space="preserve"> U </w:t>
      </w:r>
      <w:r w:rsidR="009A3F33">
        <w:rPr>
          <w:b/>
          <w:color w:val="auto"/>
        </w:rPr>
        <w:t xml:space="preserve">těchto </w:t>
      </w:r>
      <w:r w:rsidR="00C1034C">
        <w:rPr>
          <w:b/>
          <w:color w:val="auto"/>
        </w:rPr>
        <w:t xml:space="preserve">dvou </w:t>
      </w:r>
      <w:r w:rsidR="00732B92">
        <w:rPr>
          <w:b/>
          <w:color w:val="auto"/>
        </w:rPr>
        <w:t>projektů</w:t>
      </w:r>
      <w:r w:rsidR="004C4F11" w:rsidRPr="00FD098A">
        <w:rPr>
          <w:b/>
          <w:color w:val="auto"/>
        </w:rPr>
        <w:t xml:space="preserve"> </w:t>
      </w:r>
      <w:r w:rsidR="000B1FFA" w:rsidRPr="00FD098A">
        <w:rPr>
          <w:b/>
          <w:color w:val="auto"/>
        </w:rPr>
        <w:t xml:space="preserve">zjistil </w:t>
      </w:r>
      <w:r w:rsidR="00CF1377">
        <w:rPr>
          <w:b/>
          <w:color w:val="auto"/>
        </w:rPr>
        <w:t xml:space="preserve">NKÚ </w:t>
      </w:r>
      <w:r w:rsidR="00C1034C">
        <w:rPr>
          <w:b/>
          <w:color w:val="auto"/>
        </w:rPr>
        <w:t>finančně významné skutečnosti nasvědčující porušení rozpočtové kázně</w:t>
      </w:r>
      <w:r w:rsidR="00C6630C">
        <w:rPr>
          <w:b/>
          <w:color w:val="auto"/>
        </w:rPr>
        <w:t>.</w:t>
      </w:r>
      <w:bookmarkStart w:id="7" w:name="_Hlk191979128"/>
    </w:p>
    <w:bookmarkEnd w:id="6"/>
    <w:bookmarkEnd w:id="7"/>
    <w:p w14:paraId="255B5181" w14:textId="77777777" w:rsidR="00504F32" w:rsidRPr="00D554C1" w:rsidRDefault="00504F32" w:rsidP="005A024A">
      <w:pPr>
        <w:pStyle w:val="JK1"/>
        <w:spacing w:after="120"/>
        <w:ind w:left="425" w:hanging="425"/>
        <w:rPr>
          <w:b/>
        </w:rPr>
      </w:pPr>
      <w:r w:rsidRPr="00D554C1">
        <w:rPr>
          <w:b/>
        </w:rPr>
        <w:t xml:space="preserve">Toto celkové </w:t>
      </w:r>
      <w:r w:rsidR="00ED786E">
        <w:rPr>
          <w:b/>
        </w:rPr>
        <w:t>vy</w:t>
      </w:r>
      <w:r w:rsidRPr="00D554C1">
        <w:rPr>
          <w:b/>
        </w:rPr>
        <w:t>hodnocení se opírá o následující skutečnosti zjištěné v kontrole:</w:t>
      </w:r>
    </w:p>
    <w:p w14:paraId="3B5287C6" w14:textId="069F7C74" w:rsidR="00B96522" w:rsidRDefault="00B96522" w:rsidP="005A024A">
      <w:pPr>
        <w:pStyle w:val="JK1"/>
        <w:numPr>
          <w:ilvl w:val="0"/>
          <w:numId w:val="6"/>
        </w:numPr>
        <w:spacing w:after="120"/>
        <w:ind w:left="709" w:hanging="283"/>
      </w:pPr>
      <w:bookmarkStart w:id="8" w:name="_Hlk191965771"/>
      <w:r>
        <w:t xml:space="preserve">MMR </w:t>
      </w:r>
      <w:r w:rsidR="00CD519A">
        <w:t xml:space="preserve">vycházelo </w:t>
      </w:r>
      <w:r>
        <w:t xml:space="preserve">při nastavování podmínek </w:t>
      </w:r>
      <w:r w:rsidRPr="007D6D8F">
        <w:t xml:space="preserve">pro podporu poskytovanou z IROP 1 </w:t>
      </w:r>
      <w:r w:rsidR="003E0089">
        <w:br/>
      </w:r>
      <w:r w:rsidRPr="007D6D8F">
        <w:t>a</w:t>
      </w:r>
      <w:r w:rsidR="003E0089">
        <w:t xml:space="preserve"> </w:t>
      </w:r>
      <w:r w:rsidR="00CD519A">
        <w:t>z</w:t>
      </w:r>
      <w:r w:rsidR="003E0089">
        <w:t xml:space="preserve"> </w:t>
      </w:r>
      <w:r w:rsidRPr="007D6D8F">
        <w:t>IROP 2</w:t>
      </w:r>
      <w:r>
        <w:t xml:space="preserve"> ze strategických dokumentů a analýz vztahujících se k oblasti sociálních služeb a zohlednilo i regionální potřeby definované kraji, zejména pro účely </w:t>
      </w:r>
      <w:r w:rsidRPr="007D6D8F">
        <w:t>deinstitucionalizac</w:t>
      </w:r>
      <w:r>
        <w:t>e</w:t>
      </w:r>
      <w:r w:rsidRPr="007D6D8F">
        <w:t xml:space="preserve"> </w:t>
      </w:r>
      <w:r w:rsidR="00A2650D">
        <w:t>(dále t</w:t>
      </w:r>
      <w:r w:rsidR="00D737A4">
        <w:t>aké</w:t>
      </w:r>
      <w:r w:rsidR="00A2650D">
        <w:t xml:space="preserve"> „DI“) </w:t>
      </w:r>
      <w:r w:rsidRPr="007D6D8F">
        <w:t>pobytových služeb</w:t>
      </w:r>
      <w:r w:rsidR="00D216C8">
        <w:t xml:space="preserve"> (viz odstavc</w:t>
      </w:r>
      <w:r w:rsidR="004E4621">
        <w:t>e</w:t>
      </w:r>
      <w:r w:rsidR="00D216C8">
        <w:t xml:space="preserve"> 4.1</w:t>
      </w:r>
      <w:r w:rsidR="004E4621">
        <w:t xml:space="preserve"> až </w:t>
      </w:r>
      <w:r w:rsidR="00D216C8">
        <w:t>4.5).</w:t>
      </w:r>
      <w:r>
        <w:t xml:space="preserve"> </w:t>
      </w:r>
      <w:r w:rsidR="00F34625">
        <w:t xml:space="preserve">S ohledem na </w:t>
      </w:r>
      <w:r w:rsidR="001B290A">
        <w:t xml:space="preserve">toto nastavení </w:t>
      </w:r>
      <w:r w:rsidR="00533ED3">
        <w:t xml:space="preserve">hodnotí </w:t>
      </w:r>
      <w:r w:rsidR="000B1FFA">
        <w:t xml:space="preserve">NKÚ </w:t>
      </w:r>
      <w:r w:rsidR="00533ED3">
        <w:t>podporu</w:t>
      </w:r>
      <w:r w:rsidR="001B290A">
        <w:t xml:space="preserve"> z IROP</w:t>
      </w:r>
      <w:r w:rsidR="00533ED3">
        <w:t xml:space="preserve"> jako </w:t>
      </w:r>
      <w:r w:rsidR="001B290A">
        <w:t xml:space="preserve">potřebnou </w:t>
      </w:r>
      <w:r w:rsidR="00EF2F63">
        <w:t xml:space="preserve">a </w:t>
      </w:r>
      <w:r w:rsidR="00533ED3">
        <w:t>přínosnou.</w:t>
      </w:r>
    </w:p>
    <w:p w14:paraId="682F7C76" w14:textId="77777777" w:rsidR="008C2317" w:rsidRDefault="008C2317" w:rsidP="005A024A">
      <w:pPr>
        <w:pStyle w:val="JK1"/>
        <w:numPr>
          <w:ilvl w:val="0"/>
          <w:numId w:val="6"/>
        </w:numPr>
        <w:spacing w:after="120"/>
        <w:ind w:left="709" w:hanging="283"/>
      </w:pPr>
      <w:r w:rsidRPr="007D6D8F">
        <w:t xml:space="preserve">MMR spolupracovalo </w:t>
      </w:r>
      <w:r>
        <w:t>s</w:t>
      </w:r>
      <w:r w:rsidR="000B1FFA">
        <w:t xml:space="preserve"> </w:t>
      </w:r>
      <w:r w:rsidR="007D3DE2">
        <w:t>Ministerstvem práce a sociálních věcí (dále t</w:t>
      </w:r>
      <w:r w:rsidR="00D737A4">
        <w:t>a</w:t>
      </w:r>
      <w:r w:rsidR="00AC1BE7">
        <w:t>ké</w:t>
      </w:r>
      <w:r w:rsidR="007D3DE2">
        <w:t xml:space="preserve"> „</w:t>
      </w:r>
      <w:r>
        <w:t>MPSV</w:t>
      </w:r>
      <w:r w:rsidR="007D3DE2">
        <w:t>“)</w:t>
      </w:r>
      <w:r>
        <w:t xml:space="preserve"> </w:t>
      </w:r>
      <w:r w:rsidRPr="007D6D8F">
        <w:t>při</w:t>
      </w:r>
      <w:r w:rsidR="00694B30">
        <w:t xml:space="preserve"> </w:t>
      </w:r>
      <w:r w:rsidRPr="007D6D8F">
        <w:t xml:space="preserve">nastavování podmínek podpory </w:t>
      </w:r>
      <w:r>
        <w:t xml:space="preserve">z </w:t>
      </w:r>
      <w:r w:rsidRPr="007D6D8F">
        <w:t xml:space="preserve">IROP 1 i </w:t>
      </w:r>
      <w:r w:rsidR="00CD519A">
        <w:t xml:space="preserve">z </w:t>
      </w:r>
      <w:r w:rsidRPr="007D6D8F">
        <w:t>IROP 2</w:t>
      </w:r>
      <w:r>
        <w:t xml:space="preserve">, avšak </w:t>
      </w:r>
      <w:r w:rsidRPr="007D6D8F">
        <w:t xml:space="preserve">v průběhu </w:t>
      </w:r>
      <w:r>
        <w:t xml:space="preserve">realizace programů </w:t>
      </w:r>
      <w:r w:rsidR="00D871D7">
        <w:lastRenderedPageBreak/>
        <w:t>nesledovalo a</w:t>
      </w:r>
      <w:r>
        <w:t xml:space="preserve"> nezohledňovalo </w:t>
      </w:r>
      <w:r w:rsidRPr="007D6D8F">
        <w:t xml:space="preserve">komplementaritu </w:t>
      </w:r>
      <w:r>
        <w:t xml:space="preserve">(vzájemnou doplňkovost) </w:t>
      </w:r>
      <w:r w:rsidRPr="007D6D8F">
        <w:t>projektů IROP s</w:t>
      </w:r>
      <w:r w:rsidR="00694B30">
        <w:t xml:space="preserve"> </w:t>
      </w:r>
      <w:r>
        <w:t xml:space="preserve">projekty, které podporuje </w:t>
      </w:r>
      <w:r w:rsidRPr="007D6D8F">
        <w:t>MPSV</w:t>
      </w:r>
      <w:r>
        <w:t xml:space="preserve">. Tato doplňkovost, uváděná v programových dokumentech i </w:t>
      </w:r>
      <w:r w:rsidR="00A81714">
        <w:t xml:space="preserve">ve </w:t>
      </w:r>
      <w:r>
        <w:t xml:space="preserve">výzvách, se tak bez jistoty navazující podpory personálního zajištění sociálních služeb stává spíše formální (viz odstavce 4.6 až 4.10). </w:t>
      </w:r>
      <w:r w:rsidR="00533ED3">
        <w:t>Zajištění skutečné komplementarity projektů považuje NKÚ za důležité s ohledem na</w:t>
      </w:r>
      <w:r w:rsidR="00694B30">
        <w:t xml:space="preserve"> </w:t>
      </w:r>
      <w:r w:rsidR="00533ED3">
        <w:t>budoucí rozvoj sociálních služeb.</w:t>
      </w:r>
    </w:p>
    <w:p w14:paraId="00C6AA4A" w14:textId="77777777" w:rsidR="00C83706" w:rsidRDefault="00C83706" w:rsidP="005A024A">
      <w:pPr>
        <w:pStyle w:val="JK1"/>
        <w:numPr>
          <w:ilvl w:val="0"/>
          <w:numId w:val="6"/>
        </w:numPr>
        <w:spacing w:after="120"/>
        <w:ind w:left="709" w:hanging="283"/>
      </w:pPr>
      <w:r>
        <w:t xml:space="preserve">MMR nastavilo proces hodnocení a výběru projektů </w:t>
      </w:r>
      <w:r w:rsidR="001062A7">
        <w:t xml:space="preserve">u IROP 1 i IROP 2 </w:t>
      </w:r>
      <w:r>
        <w:t xml:space="preserve">tak, aby byly vybrány </w:t>
      </w:r>
      <w:r w:rsidRPr="00D554C1">
        <w:t>účeln</w:t>
      </w:r>
      <w:r>
        <w:t xml:space="preserve">é </w:t>
      </w:r>
      <w:r w:rsidRPr="00D554C1">
        <w:t>projekt</w:t>
      </w:r>
      <w:r>
        <w:t xml:space="preserve">y. Kritéria hodnocení zahrnovala např. </w:t>
      </w:r>
      <w:r w:rsidRPr="00CD756A">
        <w:t xml:space="preserve">soulad </w:t>
      </w:r>
      <w:r>
        <w:t>projektů</w:t>
      </w:r>
      <w:r w:rsidRPr="00CD756A">
        <w:t xml:space="preserve"> s</w:t>
      </w:r>
      <w:r w:rsidR="00FE3FD9">
        <w:t> </w:t>
      </w:r>
      <w:r w:rsidRPr="00CD756A">
        <w:t>krajskými rozvojovými plány</w:t>
      </w:r>
      <w:r>
        <w:t xml:space="preserve"> a v relevantních případech i </w:t>
      </w:r>
      <w:r w:rsidR="001A08C8">
        <w:t xml:space="preserve">s </w:t>
      </w:r>
      <w:r>
        <w:t xml:space="preserve">transformačními plány ústavních zařízení. MMR nastavilo pro výběr projektů </w:t>
      </w:r>
      <w:r w:rsidR="00B713B5">
        <w:t xml:space="preserve">taková </w:t>
      </w:r>
      <w:r>
        <w:t>hodnoticí k</w:t>
      </w:r>
      <w:r w:rsidRPr="00CD756A">
        <w:t>ritéri</w:t>
      </w:r>
      <w:r>
        <w:t xml:space="preserve">a, která zahrnovala ověřovací otázky k potřebnosti projektů, a to u </w:t>
      </w:r>
      <w:r w:rsidR="00B076FE">
        <w:t>čtyř z pěti kontrolovaných</w:t>
      </w:r>
      <w:r>
        <w:t xml:space="preserve"> výzev (viz odstavce 4.11 a 4.12).</w:t>
      </w:r>
    </w:p>
    <w:p w14:paraId="607F902E" w14:textId="77777777" w:rsidR="005C3341" w:rsidRPr="00D554C1" w:rsidRDefault="005C3341" w:rsidP="005A024A">
      <w:pPr>
        <w:pStyle w:val="JK1"/>
        <w:numPr>
          <w:ilvl w:val="0"/>
          <w:numId w:val="6"/>
        </w:numPr>
        <w:spacing w:after="120"/>
        <w:ind w:left="709" w:hanging="283"/>
      </w:pPr>
      <w:r>
        <w:t>V</w:t>
      </w:r>
      <w:r w:rsidRPr="00D554C1">
        <w:t xml:space="preserve">ýjimkou </w:t>
      </w:r>
      <w:r>
        <w:t xml:space="preserve">však byla </w:t>
      </w:r>
      <w:r w:rsidRPr="00D554C1">
        <w:t>výzv</w:t>
      </w:r>
      <w:r>
        <w:t>a</w:t>
      </w:r>
      <w:r w:rsidRPr="00D554C1">
        <w:t xml:space="preserve"> č. 101 </w:t>
      </w:r>
      <w:r w:rsidRPr="00A96B17">
        <w:rPr>
          <w:i/>
          <w:iCs/>
        </w:rPr>
        <w:t>REACT-EU</w:t>
      </w:r>
      <w:r w:rsidR="001062A7">
        <w:t xml:space="preserve"> v</w:t>
      </w:r>
      <w:r w:rsidR="001B290A">
        <w:t xml:space="preserve"> </w:t>
      </w:r>
      <w:r w:rsidR="001062A7">
        <w:t>IROP 1</w:t>
      </w:r>
      <w:r>
        <w:t>, kde ověřovací otázky v rámci hodnoticích kritérií nebyly rozvedeny tak, aby ověření potřebnosti směřovalo ke</w:t>
      </w:r>
      <w:r w:rsidR="00B64692">
        <w:t> </w:t>
      </w:r>
      <w:r>
        <w:t xml:space="preserve">konkrétním aktivitám podporovaným touto výzvou, např. </w:t>
      </w:r>
      <w:r w:rsidR="00AF0E6A">
        <w:t>k</w:t>
      </w:r>
      <w:r w:rsidR="00635E21">
        <w:t xml:space="preserve"> pořizování </w:t>
      </w:r>
      <w:r>
        <w:t>automobilů</w:t>
      </w:r>
      <w:r w:rsidR="00C1034C">
        <w:t>, resp. jejich potřebného počtu</w:t>
      </w:r>
      <w:r>
        <w:t>.</w:t>
      </w:r>
      <w:r w:rsidRPr="00D554C1">
        <w:t xml:space="preserve"> Tyto nedostatky </w:t>
      </w:r>
      <w:r>
        <w:t xml:space="preserve">v procesu hodnocení u výzvy č. 101 </w:t>
      </w:r>
      <w:r w:rsidRPr="00A96B17">
        <w:rPr>
          <w:i/>
          <w:iCs/>
        </w:rPr>
        <w:t>REACT-EU</w:t>
      </w:r>
      <w:r>
        <w:t xml:space="preserve"> </w:t>
      </w:r>
      <w:r w:rsidRPr="00D554C1">
        <w:t xml:space="preserve">se promítly </w:t>
      </w:r>
      <w:r>
        <w:t xml:space="preserve">i </w:t>
      </w:r>
      <w:r w:rsidRPr="00D554C1">
        <w:t>do realizace projekt</w:t>
      </w:r>
      <w:r>
        <w:t>ů (viz odstavce 4.13 až 4.16 a odstavec 4.2</w:t>
      </w:r>
      <w:r w:rsidR="00080BB2">
        <w:t>5</w:t>
      </w:r>
      <w:r>
        <w:t>).</w:t>
      </w:r>
    </w:p>
    <w:p w14:paraId="18CB1081" w14:textId="77777777" w:rsidR="00083839" w:rsidRDefault="00083839" w:rsidP="005A024A">
      <w:pPr>
        <w:pStyle w:val="JK1"/>
        <w:numPr>
          <w:ilvl w:val="0"/>
          <w:numId w:val="6"/>
        </w:numPr>
        <w:spacing w:after="100" w:afterAutospacing="1"/>
        <w:ind w:left="709" w:hanging="283"/>
        <w:rPr>
          <w:color w:val="auto"/>
        </w:rPr>
      </w:pPr>
      <w:r w:rsidRPr="00724C07">
        <w:rPr>
          <w:color w:val="auto"/>
        </w:rPr>
        <w:t xml:space="preserve">MMR nestanovilo ve výzvách IROP 1 cíle, které by měli příjemci realizací projektu naplňovat, ani vhodné indikátory k jejich měření a k prokázání dosažení </w:t>
      </w:r>
      <w:r>
        <w:rPr>
          <w:color w:val="auto"/>
        </w:rPr>
        <w:t xml:space="preserve">žádoucích </w:t>
      </w:r>
      <w:r w:rsidRPr="00724C07">
        <w:rPr>
          <w:color w:val="auto"/>
        </w:rPr>
        <w:t>kvalitativních změn.</w:t>
      </w:r>
      <w:r>
        <w:rPr>
          <w:color w:val="auto"/>
        </w:rPr>
        <w:t xml:space="preserve"> V důsledku </w:t>
      </w:r>
      <w:r w:rsidRPr="00724C07">
        <w:rPr>
          <w:color w:val="auto"/>
        </w:rPr>
        <w:t>nedostatečného nastavení monitoringu tak MMR nesled</w:t>
      </w:r>
      <w:r w:rsidR="001062A7">
        <w:rPr>
          <w:color w:val="auto"/>
        </w:rPr>
        <w:t xml:space="preserve">ovalo ani </w:t>
      </w:r>
      <w:r w:rsidRPr="00724C07">
        <w:rPr>
          <w:color w:val="auto"/>
        </w:rPr>
        <w:t>nevyhodnoc</w:t>
      </w:r>
      <w:r w:rsidR="00566A9B">
        <w:rPr>
          <w:color w:val="auto"/>
        </w:rPr>
        <w:t xml:space="preserve">ovalo </w:t>
      </w:r>
      <w:r w:rsidRPr="00724C07">
        <w:rPr>
          <w:color w:val="auto"/>
        </w:rPr>
        <w:t xml:space="preserve">přínosy podpořených projektů </w:t>
      </w:r>
      <w:r w:rsidR="00566A9B">
        <w:rPr>
          <w:color w:val="auto"/>
        </w:rPr>
        <w:t xml:space="preserve">IROP 1 </w:t>
      </w:r>
      <w:r w:rsidRPr="00724C07">
        <w:rPr>
          <w:color w:val="auto"/>
        </w:rPr>
        <w:t>ke zvýšení kvality a dostupnosti sociálních služeb</w:t>
      </w:r>
      <w:r w:rsidR="001062A7">
        <w:rPr>
          <w:color w:val="auto"/>
        </w:rPr>
        <w:t>, čímž postup</w:t>
      </w:r>
      <w:r w:rsidR="00566A9B">
        <w:rPr>
          <w:color w:val="auto"/>
        </w:rPr>
        <w:t xml:space="preserve">ovalo </w:t>
      </w:r>
      <w:r w:rsidR="001062A7">
        <w:rPr>
          <w:color w:val="auto"/>
        </w:rPr>
        <w:t>v</w:t>
      </w:r>
      <w:r w:rsidR="00694B30">
        <w:rPr>
          <w:color w:val="auto"/>
        </w:rPr>
        <w:t xml:space="preserve"> </w:t>
      </w:r>
      <w:r w:rsidR="001062A7">
        <w:rPr>
          <w:color w:val="auto"/>
        </w:rPr>
        <w:t>rozporu</w:t>
      </w:r>
      <w:r w:rsidR="00566A9B">
        <w:rPr>
          <w:color w:val="auto"/>
        </w:rPr>
        <w:t xml:space="preserve"> s</w:t>
      </w:r>
      <w:r w:rsidR="00694B30">
        <w:rPr>
          <w:color w:val="auto"/>
        </w:rPr>
        <w:t xml:space="preserve"> </w:t>
      </w:r>
      <w:r w:rsidR="00566A9B">
        <w:rPr>
          <w:color w:val="auto"/>
        </w:rPr>
        <w:t>právním předpisem</w:t>
      </w:r>
      <w:r w:rsidR="0035239F">
        <w:rPr>
          <w:rStyle w:val="Znakapoznpodarou"/>
          <w:color w:val="auto"/>
        </w:rPr>
        <w:footnoteReference w:id="4"/>
      </w:r>
      <w:r w:rsidR="0035239F">
        <w:rPr>
          <w:color w:val="auto"/>
        </w:rPr>
        <w:t xml:space="preserve"> </w:t>
      </w:r>
      <w:r>
        <w:rPr>
          <w:color w:val="auto"/>
        </w:rPr>
        <w:t>(viz odstavce 4.17 až 4.22)</w:t>
      </w:r>
      <w:r w:rsidR="001062A7">
        <w:rPr>
          <w:color w:val="auto"/>
        </w:rPr>
        <w:t>.</w:t>
      </w:r>
    </w:p>
    <w:p w14:paraId="4144D0FF" w14:textId="77777777" w:rsidR="00CD519A" w:rsidRPr="00724C07" w:rsidRDefault="00CD519A" w:rsidP="005A024A">
      <w:pPr>
        <w:pStyle w:val="JK1"/>
        <w:numPr>
          <w:ilvl w:val="0"/>
          <w:numId w:val="6"/>
        </w:numPr>
        <w:spacing w:after="120"/>
        <w:ind w:left="709" w:hanging="283"/>
        <w:rPr>
          <w:color w:val="auto"/>
        </w:rPr>
      </w:pPr>
      <w:r>
        <w:rPr>
          <w:color w:val="auto"/>
        </w:rPr>
        <w:t xml:space="preserve">Kontrola u příjemců </w:t>
      </w:r>
      <w:r w:rsidR="00533ED3">
        <w:rPr>
          <w:color w:val="auto"/>
        </w:rPr>
        <w:t>(viz odstavce 4.23 až 4.3</w:t>
      </w:r>
      <w:r w:rsidR="00AC27EF">
        <w:rPr>
          <w:color w:val="auto"/>
        </w:rPr>
        <w:t>0</w:t>
      </w:r>
      <w:r w:rsidR="00533ED3">
        <w:rPr>
          <w:color w:val="auto"/>
        </w:rPr>
        <w:t xml:space="preserve">) </w:t>
      </w:r>
      <w:r w:rsidR="007A7406">
        <w:rPr>
          <w:color w:val="auto"/>
        </w:rPr>
        <w:t>zjistila</w:t>
      </w:r>
      <w:r w:rsidR="009C083B">
        <w:rPr>
          <w:color w:val="auto"/>
        </w:rPr>
        <w:t xml:space="preserve"> účelné vynaložení peněžních prostředků u většiny </w:t>
      </w:r>
      <w:r w:rsidR="00533ED3">
        <w:rPr>
          <w:color w:val="auto"/>
        </w:rPr>
        <w:t xml:space="preserve">projektů. </w:t>
      </w:r>
      <w:r w:rsidR="000353D5">
        <w:rPr>
          <w:color w:val="auto"/>
        </w:rPr>
        <w:t>NKÚ uvádí některé z</w:t>
      </w:r>
      <w:r w:rsidR="00533ED3">
        <w:rPr>
          <w:color w:val="auto"/>
        </w:rPr>
        <w:t xml:space="preserve"> nich </w:t>
      </w:r>
      <w:r w:rsidR="000353D5">
        <w:rPr>
          <w:color w:val="auto"/>
        </w:rPr>
        <w:t>jako příklady dobré praxe (viz odstav</w:t>
      </w:r>
      <w:r w:rsidR="00533ED3">
        <w:rPr>
          <w:color w:val="auto"/>
        </w:rPr>
        <w:t>e</w:t>
      </w:r>
      <w:r w:rsidR="000353D5">
        <w:rPr>
          <w:color w:val="auto"/>
        </w:rPr>
        <w:t>c</w:t>
      </w:r>
      <w:r w:rsidR="00533ED3">
        <w:rPr>
          <w:color w:val="auto"/>
        </w:rPr>
        <w:t xml:space="preserve"> 4.3</w:t>
      </w:r>
      <w:r w:rsidR="000E1211">
        <w:rPr>
          <w:color w:val="auto"/>
        </w:rPr>
        <w:t>0</w:t>
      </w:r>
      <w:r w:rsidR="00533ED3">
        <w:rPr>
          <w:color w:val="auto"/>
        </w:rPr>
        <w:t>).</w:t>
      </w:r>
      <w:r w:rsidR="000353D5">
        <w:rPr>
          <w:color w:val="auto"/>
        </w:rPr>
        <w:t xml:space="preserve"> </w:t>
      </w:r>
      <w:r w:rsidR="000B1FFA">
        <w:rPr>
          <w:color w:val="auto"/>
        </w:rPr>
        <w:t>U</w:t>
      </w:r>
      <w:r w:rsidR="00501C0B">
        <w:rPr>
          <w:color w:val="auto"/>
        </w:rPr>
        <w:t xml:space="preserve"> dvou příjemců zjistil </w:t>
      </w:r>
      <w:r w:rsidR="000B1FFA">
        <w:rPr>
          <w:color w:val="auto"/>
        </w:rPr>
        <w:t xml:space="preserve">NKÚ </w:t>
      </w:r>
      <w:r w:rsidR="00501C0B">
        <w:rPr>
          <w:color w:val="auto"/>
        </w:rPr>
        <w:t>mírné nedostatky při hodnocení účelnosti</w:t>
      </w:r>
      <w:r w:rsidR="00533ED3">
        <w:rPr>
          <w:color w:val="auto"/>
        </w:rPr>
        <w:t xml:space="preserve"> (viz odstavec 4.</w:t>
      </w:r>
      <w:r w:rsidR="00A03171">
        <w:rPr>
          <w:color w:val="auto"/>
        </w:rPr>
        <w:t>29</w:t>
      </w:r>
      <w:r w:rsidR="00533ED3">
        <w:rPr>
          <w:color w:val="auto"/>
        </w:rPr>
        <w:t>).</w:t>
      </w:r>
      <w:r w:rsidR="00501C0B">
        <w:rPr>
          <w:color w:val="auto"/>
        </w:rPr>
        <w:t xml:space="preserve"> </w:t>
      </w:r>
      <w:r w:rsidR="00533ED3">
        <w:rPr>
          <w:color w:val="auto"/>
        </w:rPr>
        <w:t>U</w:t>
      </w:r>
      <w:r w:rsidR="00501C0B">
        <w:rPr>
          <w:color w:val="auto"/>
        </w:rPr>
        <w:t xml:space="preserve"> dvou dalších příjemců byly zjištěny významnější nedostatky a</w:t>
      </w:r>
      <w:r w:rsidR="00694B30">
        <w:rPr>
          <w:color w:val="auto"/>
        </w:rPr>
        <w:t> </w:t>
      </w:r>
      <w:r w:rsidR="00501C0B">
        <w:rPr>
          <w:color w:val="auto"/>
        </w:rPr>
        <w:t>NKÚ vyhodnotil výdaj</w:t>
      </w:r>
      <w:r w:rsidR="007A7406">
        <w:rPr>
          <w:color w:val="auto"/>
        </w:rPr>
        <w:t>e</w:t>
      </w:r>
      <w:r w:rsidR="00501C0B">
        <w:rPr>
          <w:color w:val="auto"/>
        </w:rPr>
        <w:t xml:space="preserve"> na </w:t>
      </w:r>
      <w:r w:rsidR="005F0071">
        <w:rPr>
          <w:color w:val="auto"/>
        </w:rPr>
        <w:t>dva projekty realizované těmito příjemci</w:t>
      </w:r>
      <w:r w:rsidR="00501C0B">
        <w:rPr>
          <w:color w:val="auto"/>
        </w:rPr>
        <w:t xml:space="preserve"> jako omezeně účelné</w:t>
      </w:r>
      <w:r w:rsidR="00A43935">
        <w:rPr>
          <w:color w:val="auto"/>
        </w:rPr>
        <w:t xml:space="preserve"> </w:t>
      </w:r>
      <w:r>
        <w:rPr>
          <w:color w:val="auto"/>
        </w:rPr>
        <w:t>(viz odstavce 4.2</w:t>
      </w:r>
      <w:r w:rsidR="000E1211">
        <w:rPr>
          <w:color w:val="auto"/>
        </w:rPr>
        <w:t>5</w:t>
      </w:r>
      <w:r>
        <w:rPr>
          <w:color w:val="auto"/>
        </w:rPr>
        <w:t xml:space="preserve"> až 4.</w:t>
      </w:r>
      <w:r w:rsidR="00533ED3">
        <w:rPr>
          <w:color w:val="auto"/>
        </w:rPr>
        <w:t>2</w:t>
      </w:r>
      <w:r w:rsidR="000E1211">
        <w:rPr>
          <w:color w:val="auto"/>
        </w:rPr>
        <w:t>8</w:t>
      </w:r>
      <w:r>
        <w:rPr>
          <w:color w:val="auto"/>
        </w:rPr>
        <w:t>).</w:t>
      </w:r>
      <w:r w:rsidR="00C6630C">
        <w:rPr>
          <w:color w:val="auto"/>
        </w:rPr>
        <w:t xml:space="preserve"> </w:t>
      </w:r>
    </w:p>
    <w:p w14:paraId="08129FF4" w14:textId="60C2A234" w:rsidR="00577B5D" w:rsidRPr="00FD098A" w:rsidRDefault="009032AB" w:rsidP="00513986">
      <w:pPr>
        <w:pStyle w:val="JK1"/>
        <w:numPr>
          <w:ilvl w:val="0"/>
          <w:numId w:val="6"/>
        </w:numPr>
        <w:spacing w:after="120"/>
        <w:ind w:left="709" w:hanging="283"/>
        <w:rPr>
          <w:color w:val="auto"/>
        </w:rPr>
      </w:pPr>
      <w:bookmarkStart w:id="9" w:name="_Hlk191974855"/>
      <w:r w:rsidRPr="00FD098A">
        <w:rPr>
          <w:color w:val="auto"/>
        </w:rPr>
        <w:t xml:space="preserve">NKÚ zjistil </w:t>
      </w:r>
      <w:r w:rsidR="00554EC9" w:rsidRPr="00FD098A">
        <w:rPr>
          <w:color w:val="auto"/>
        </w:rPr>
        <w:t xml:space="preserve">u příjemců </w:t>
      </w:r>
      <w:r w:rsidR="00EC47D3">
        <w:rPr>
          <w:color w:val="auto"/>
        </w:rPr>
        <w:t xml:space="preserve">také </w:t>
      </w:r>
      <w:r w:rsidR="00554EC9" w:rsidRPr="00FD098A">
        <w:rPr>
          <w:color w:val="auto"/>
        </w:rPr>
        <w:t xml:space="preserve">skutečnosti nasvědčující </w:t>
      </w:r>
      <w:r w:rsidRPr="00FD098A">
        <w:rPr>
          <w:color w:val="auto"/>
        </w:rPr>
        <w:t>porušení rozpočtové kázně až do</w:t>
      </w:r>
      <w:r w:rsidR="00B64692">
        <w:rPr>
          <w:color w:val="auto"/>
        </w:rPr>
        <w:t> </w:t>
      </w:r>
      <w:r w:rsidRPr="00FD098A">
        <w:rPr>
          <w:color w:val="auto"/>
        </w:rPr>
        <w:t>výše 19,1 mil. Kč</w:t>
      </w:r>
      <w:r w:rsidR="00665F33">
        <w:rPr>
          <w:rStyle w:val="Znakapoznpodarou"/>
          <w:color w:val="auto"/>
        </w:rPr>
        <w:footnoteReference w:id="5"/>
      </w:r>
      <w:r w:rsidR="005F0071">
        <w:rPr>
          <w:color w:val="auto"/>
        </w:rPr>
        <w:t>, přičemž</w:t>
      </w:r>
      <w:r w:rsidR="00A43935">
        <w:rPr>
          <w:color w:val="auto"/>
        </w:rPr>
        <w:t xml:space="preserve"> </w:t>
      </w:r>
      <w:r w:rsidR="005F0071">
        <w:rPr>
          <w:color w:val="auto"/>
        </w:rPr>
        <w:t>naprostou většinu této částky představují zjištění</w:t>
      </w:r>
      <w:r w:rsidRPr="00FD098A">
        <w:rPr>
          <w:color w:val="auto"/>
        </w:rPr>
        <w:t xml:space="preserve"> u </w:t>
      </w:r>
      <w:r w:rsidR="00C1034C">
        <w:rPr>
          <w:color w:val="auto"/>
        </w:rPr>
        <w:t xml:space="preserve">výše zmíněných </w:t>
      </w:r>
      <w:r w:rsidR="00E056DA">
        <w:rPr>
          <w:color w:val="auto"/>
        </w:rPr>
        <w:t>projektů</w:t>
      </w:r>
      <w:r w:rsidR="00114737">
        <w:rPr>
          <w:color w:val="auto"/>
        </w:rPr>
        <w:t xml:space="preserve">, kde NKÚ hodnotil vynaložené </w:t>
      </w:r>
      <w:r w:rsidR="004774E8">
        <w:rPr>
          <w:color w:val="auto"/>
        </w:rPr>
        <w:t xml:space="preserve">peněžní </w:t>
      </w:r>
      <w:r w:rsidR="00114737">
        <w:rPr>
          <w:color w:val="auto"/>
        </w:rPr>
        <w:t>prost</w:t>
      </w:r>
      <w:r w:rsidR="008512E6">
        <w:rPr>
          <w:color w:val="auto"/>
        </w:rPr>
        <w:t>ř</w:t>
      </w:r>
      <w:r w:rsidR="00114737">
        <w:rPr>
          <w:color w:val="auto"/>
        </w:rPr>
        <w:t>edky jako omezeně účelné</w:t>
      </w:r>
      <w:r w:rsidR="005E59D7" w:rsidRPr="00FD098A">
        <w:rPr>
          <w:color w:val="auto"/>
        </w:rPr>
        <w:t xml:space="preserve">. </w:t>
      </w:r>
      <w:r w:rsidR="00554EC9" w:rsidRPr="00FD098A">
        <w:rPr>
          <w:color w:val="auto"/>
        </w:rPr>
        <w:t>V</w:t>
      </w:r>
      <w:r w:rsidR="00E900CC">
        <w:rPr>
          <w:color w:val="auto"/>
        </w:rPr>
        <w:t xml:space="preserve"> </w:t>
      </w:r>
      <w:r w:rsidR="00554EC9" w:rsidRPr="00FD098A">
        <w:rPr>
          <w:color w:val="auto"/>
        </w:rPr>
        <w:t xml:space="preserve">prvním </w:t>
      </w:r>
      <w:r w:rsidRPr="00FD098A">
        <w:rPr>
          <w:color w:val="auto"/>
        </w:rPr>
        <w:t xml:space="preserve">případě </w:t>
      </w:r>
      <w:r w:rsidR="000B1FFA">
        <w:rPr>
          <w:color w:val="auto"/>
        </w:rPr>
        <w:t>příjemce pořídil z</w:t>
      </w:r>
      <w:r w:rsidR="00E900CC">
        <w:rPr>
          <w:color w:val="auto"/>
        </w:rPr>
        <w:t xml:space="preserve"> </w:t>
      </w:r>
      <w:r w:rsidR="000B1FFA">
        <w:rPr>
          <w:color w:val="auto"/>
        </w:rPr>
        <w:t>dotace automobily, které používal</w:t>
      </w:r>
      <w:r w:rsidRPr="00FD098A">
        <w:rPr>
          <w:color w:val="auto"/>
        </w:rPr>
        <w:t xml:space="preserve"> </w:t>
      </w:r>
      <w:r w:rsidR="00114737">
        <w:rPr>
          <w:color w:val="auto"/>
        </w:rPr>
        <w:t xml:space="preserve">k poskytování sociálních služeb </w:t>
      </w:r>
      <w:r w:rsidR="000B1FFA">
        <w:rPr>
          <w:color w:val="auto"/>
        </w:rPr>
        <w:t>jen minimálně;</w:t>
      </w:r>
      <w:r w:rsidRPr="00FD098A">
        <w:rPr>
          <w:color w:val="auto"/>
        </w:rPr>
        <w:t xml:space="preserve"> navíc využíval </w:t>
      </w:r>
      <w:r w:rsidR="001C6F69">
        <w:rPr>
          <w:color w:val="auto"/>
        </w:rPr>
        <w:t>vybavení kuchyně</w:t>
      </w:r>
      <w:r w:rsidRPr="00FD098A">
        <w:rPr>
          <w:color w:val="auto"/>
        </w:rPr>
        <w:t xml:space="preserve"> nedovoleným způsobem</w:t>
      </w:r>
      <w:r w:rsidR="00554EC9" w:rsidRPr="00FD098A">
        <w:rPr>
          <w:color w:val="auto"/>
        </w:rPr>
        <w:t xml:space="preserve"> pro komerční účely</w:t>
      </w:r>
      <w:r w:rsidR="00ED786E" w:rsidRPr="00FD098A">
        <w:rPr>
          <w:color w:val="auto"/>
        </w:rPr>
        <w:t xml:space="preserve"> (viz odstav</w:t>
      </w:r>
      <w:r w:rsidR="005E59D7" w:rsidRPr="00FD098A">
        <w:rPr>
          <w:color w:val="auto"/>
        </w:rPr>
        <w:t>ce 4.2</w:t>
      </w:r>
      <w:r w:rsidR="00A03171">
        <w:rPr>
          <w:color w:val="auto"/>
        </w:rPr>
        <w:t>5</w:t>
      </w:r>
      <w:r w:rsidR="005E59D7" w:rsidRPr="00FD098A">
        <w:rPr>
          <w:color w:val="auto"/>
        </w:rPr>
        <w:t xml:space="preserve"> a 4.2</w:t>
      </w:r>
      <w:r w:rsidR="00A03171">
        <w:rPr>
          <w:color w:val="auto"/>
        </w:rPr>
        <w:t>6</w:t>
      </w:r>
      <w:r w:rsidR="005E59D7" w:rsidRPr="00FD098A">
        <w:rPr>
          <w:color w:val="auto"/>
        </w:rPr>
        <w:t xml:space="preserve">). </w:t>
      </w:r>
      <w:r w:rsidRPr="00FD098A">
        <w:rPr>
          <w:color w:val="auto"/>
        </w:rPr>
        <w:t>V</w:t>
      </w:r>
      <w:r w:rsidR="000B1FFA">
        <w:rPr>
          <w:color w:val="auto"/>
        </w:rPr>
        <w:t> </w:t>
      </w:r>
      <w:r w:rsidRPr="00FD098A">
        <w:rPr>
          <w:color w:val="auto"/>
        </w:rPr>
        <w:t xml:space="preserve">druhém </w:t>
      </w:r>
      <w:r w:rsidRPr="00FD098A">
        <w:rPr>
          <w:color w:val="auto"/>
        </w:rPr>
        <w:lastRenderedPageBreak/>
        <w:t xml:space="preserve">případě </w:t>
      </w:r>
      <w:r w:rsidR="005E59D7" w:rsidRPr="00FD098A">
        <w:rPr>
          <w:color w:val="auto"/>
        </w:rPr>
        <w:t xml:space="preserve">příjemce porušil </w:t>
      </w:r>
      <w:r w:rsidRPr="00FD098A">
        <w:rPr>
          <w:color w:val="auto"/>
        </w:rPr>
        <w:t>právní předpis</w:t>
      </w:r>
      <w:r w:rsidR="00554EC9" w:rsidRPr="00FD098A">
        <w:rPr>
          <w:rStyle w:val="Znakapoznpodarou"/>
          <w:color w:val="auto"/>
        </w:rPr>
        <w:footnoteReference w:id="6"/>
      </w:r>
      <w:r w:rsidR="00BB6516" w:rsidRPr="00FD098A">
        <w:rPr>
          <w:color w:val="auto"/>
        </w:rPr>
        <w:t xml:space="preserve"> při zadávání veřejné zakázky</w:t>
      </w:r>
      <w:r w:rsidR="005E59D7" w:rsidRPr="00FD098A">
        <w:rPr>
          <w:color w:val="auto"/>
        </w:rPr>
        <w:t xml:space="preserve"> (viz odstavec </w:t>
      </w:r>
      <w:r w:rsidR="00661531" w:rsidRPr="00FD098A">
        <w:rPr>
          <w:color w:val="auto"/>
        </w:rPr>
        <w:t>4.</w:t>
      </w:r>
      <w:r w:rsidR="00EC651C">
        <w:rPr>
          <w:color w:val="auto"/>
        </w:rPr>
        <w:t>28</w:t>
      </w:r>
      <w:r w:rsidR="00661531" w:rsidRPr="00FD098A">
        <w:rPr>
          <w:color w:val="auto"/>
        </w:rPr>
        <w:t>)</w:t>
      </w:r>
      <w:r w:rsidR="005E59D7" w:rsidRPr="00FD098A">
        <w:rPr>
          <w:color w:val="auto"/>
        </w:rPr>
        <w:t xml:space="preserve">. </w:t>
      </w:r>
      <w:r w:rsidR="00577B5D" w:rsidRPr="00FD098A">
        <w:rPr>
          <w:color w:val="auto"/>
        </w:rPr>
        <w:t>Celková</w:t>
      </w:r>
      <w:r w:rsidR="00554EC9" w:rsidRPr="00FD098A">
        <w:rPr>
          <w:color w:val="auto"/>
        </w:rPr>
        <w:t xml:space="preserve"> </w:t>
      </w:r>
      <w:r w:rsidR="00577B5D" w:rsidRPr="00FD098A">
        <w:rPr>
          <w:color w:val="auto"/>
        </w:rPr>
        <w:t>částka</w:t>
      </w:r>
      <w:r w:rsidR="00314AED">
        <w:rPr>
          <w:color w:val="auto"/>
        </w:rPr>
        <w:t>, která se týká</w:t>
      </w:r>
      <w:r w:rsidR="00577B5D" w:rsidRPr="00FD098A">
        <w:rPr>
          <w:color w:val="auto"/>
        </w:rPr>
        <w:t xml:space="preserve"> </w:t>
      </w:r>
      <w:r w:rsidR="00C1034C">
        <w:rPr>
          <w:color w:val="auto"/>
        </w:rPr>
        <w:t>skutečností nasvědčující</w:t>
      </w:r>
      <w:r w:rsidR="00314AED">
        <w:rPr>
          <w:color w:val="auto"/>
        </w:rPr>
        <w:t>ch</w:t>
      </w:r>
      <w:r w:rsidR="00C1034C">
        <w:rPr>
          <w:color w:val="auto"/>
        </w:rPr>
        <w:t xml:space="preserve"> </w:t>
      </w:r>
      <w:r w:rsidR="00577B5D" w:rsidRPr="00FD098A">
        <w:rPr>
          <w:color w:val="auto"/>
        </w:rPr>
        <w:t>porušení rozpočtové kázně</w:t>
      </w:r>
      <w:r w:rsidR="00314AED">
        <w:rPr>
          <w:color w:val="auto"/>
        </w:rPr>
        <w:t>,</w:t>
      </w:r>
      <w:r w:rsidR="00577B5D" w:rsidRPr="00FD098A">
        <w:rPr>
          <w:color w:val="auto"/>
        </w:rPr>
        <w:t xml:space="preserve"> </w:t>
      </w:r>
      <w:r w:rsidR="00C1034C">
        <w:rPr>
          <w:color w:val="auto"/>
        </w:rPr>
        <w:t>představuje až</w:t>
      </w:r>
      <w:r w:rsidR="00577B5D" w:rsidRPr="00FD098A">
        <w:rPr>
          <w:color w:val="auto"/>
        </w:rPr>
        <w:t xml:space="preserve"> 5,3 % z celkové částky 357,6</w:t>
      </w:r>
      <w:r w:rsidR="00731977" w:rsidRPr="00FD098A">
        <w:rPr>
          <w:color w:val="auto"/>
        </w:rPr>
        <w:t> </w:t>
      </w:r>
      <w:r w:rsidR="00577B5D" w:rsidRPr="00FD098A">
        <w:rPr>
          <w:color w:val="auto"/>
        </w:rPr>
        <w:t>mil. Kč dotací proplacených na účty příjemců u čtrnáct</w:t>
      </w:r>
      <w:r w:rsidR="00731977" w:rsidRPr="00FD098A">
        <w:rPr>
          <w:color w:val="auto"/>
        </w:rPr>
        <w:t>i</w:t>
      </w:r>
      <w:r w:rsidR="00577B5D" w:rsidRPr="00FD098A">
        <w:rPr>
          <w:color w:val="auto"/>
        </w:rPr>
        <w:t xml:space="preserve"> kontrolovaných projektů.</w:t>
      </w:r>
    </w:p>
    <w:bookmarkEnd w:id="9"/>
    <w:p w14:paraId="4D8F1AE6" w14:textId="77777777" w:rsidR="001062A7" w:rsidRPr="00F1759E" w:rsidRDefault="00D76B9C" w:rsidP="001062A7">
      <w:pPr>
        <w:pStyle w:val="JK1"/>
        <w:spacing w:after="120"/>
        <w:ind w:left="425" w:hanging="425"/>
        <w:rPr>
          <w:b/>
          <w:color w:val="auto"/>
        </w:rPr>
      </w:pPr>
      <w:r w:rsidRPr="00F1759E">
        <w:rPr>
          <w:b/>
          <w:color w:val="auto"/>
        </w:rPr>
        <w:t>NKÚ n</w:t>
      </w:r>
      <w:r w:rsidR="00AC39BB" w:rsidRPr="00F1759E">
        <w:rPr>
          <w:b/>
          <w:color w:val="auto"/>
        </w:rPr>
        <w:t>a základě výsledků kontroly doporučuje</w:t>
      </w:r>
      <w:r w:rsidR="00D020A6">
        <w:rPr>
          <w:b/>
          <w:color w:val="auto"/>
        </w:rPr>
        <w:t xml:space="preserve"> Ministerstvu pro místní rozvoj</w:t>
      </w:r>
      <w:r w:rsidR="00AC39BB" w:rsidRPr="00F1759E">
        <w:rPr>
          <w:b/>
          <w:color w:val="auto"/>
        </w:rPr>
        <w:t>:</w:t>
      </w:r>
      <w:r w:rsidR="001062A7" w:rsidRPr="00F1759E">
        <w:rPr>
          <w:b/>
          <w:color w:val="auto"/>
        </w:rPr>
        <w:t xml:space="preserve"> </w:t>
      </w:r>
    </w:p>
    <w:p w14:paraId="0607B96F" w14:textId="48B3A0C2" w:rsidR="001062A7" w:rsidRPr="00F1759E" w:rsidRDefault="00A075DD" w:rsidP="005A0A65">
      <w:pPr>
        <w:pStyle w:val="JK1"/>
        <w:numPr>
          <w:ilvl w:val="0"/>
          <w:numId w:val="23"/>
        </w:numPr>
        <w:spacing w:before="0"/>
        <w:rPr>
          <w:color w:val="auto"/>
        </w:rPr>
      </w:pPr>
      <w:r>
        <w:rPr>
          <w:color w:val="auto"/>
        </w:rPr>
        <w:t>s</w:t>
      </w:r>
      <w:r w:rsidR="00D76B9C" w:rsidRPr="00F1759E">
        <w:rPr>
          <w:color w:val="auto"/>
        </w:rPr>
        <w:t>polupr</w:t>
      </w:r>
      <w:r w:rsidR="00AC348A" w:rsidRPr="00F1759E">
        <w:rPr>
          <w:color w:val="auto"/>
        </w:rPr>
        <w:t>a</w:t>
      </w:r>
      <w:r w:rsidR="00D76B9C" w:rsidRPr="00F1759E">
        <w:rPr>
          <w:color w:val="auto"/>
        </w:rPr>
        <w:t>c</w:t>
      </w:r>
      <w:r w:rsidR="005A0A65" w:rsidRPr="00F1759E">
        <w:rPr>
          <w:color w:val="auto"/>
        </w:rPr>
        <w:t>ovat</w:t>
      </w:r>
      <w:r w:rsidR="00D76B9C" w:rsidRPr="00F1759E">
        <w:rPr>
          <w:color w:val="auto"/>
        </w:rPr>
        <w:t xml:space="preserve"> s</w:t>
      </w:r>
      <w:r w:rsidR="003E0089">
        <w:rPr>
          <w:color w:val="auto"/>
        </w:rPr>
        <w:t xml:space="preserve"> </w:t>
      </w:r>
      <w:r w:rsidR="00D76B9C" w:rsidRPr="00F1759E">
        <w:rPr>
          <w:color w:val="auto"/>
        </w:rPr>
        <w:t xml:space="preserve">MPSV na </w:t>
      </w:r>
      <w:r w:rsidR="008C5ACF" w:rsidRPr="00F1759E">
        <w:rPr>
          <w:color w:val="auto"/>
        </w:rPr>
        <w:t>úči</w:t>
      </w:r>
      <w:r w:rsidR="00B63D4C">
        <w:rPr>
          <w:color w:val="auto"/>
        </w:rPr>
        <w:t>n</w:t>
      </w:r>
      <w:r w:rsidR="008C5ACF" w:rsidRPr="00F1759E">
        <w:rPr>
          <w:color w:val="auto"/>
        </w:rPr>
        <w:t>nější</w:t>
      </w:r>
      <w:r w:rsidR="005A0A65" w:rsidRPr="00F1759E">
        <w:rPr>
          <w:color w:val="auto"/>
        </w:rPr>
        <w:t>m</w:t>
      </w:r>
      <w:r w:rsidR="00730905" w:rsidRPr="00F1759E">
        <w:rPr>
          <w:color w:val="auto"/>
        </w:rPr>
        <w:t xml:space="preserve"> využití komplementarit projektů IROP a</w:t>
      </w:r>
      <w:r w:rsidR="00B64692">
        <w:rPr>
          <w:color w:val="auto"/>
        </w:rPr>
        <w:t> </w:t>
      </w:r>
      <w:r>
        <w:rPr>
          <w:color w:val="auto"/>
        </w:rPr>
        <w:t>o</w:t>
      </w:r>
      <w:r w:rsidR="00BF6223">
        <w:rPr>
          <w:color w:val="auto"/>
        </w:rPr>
        <w:t xml:space="preserve">peračního programu </w:t>
      </w:r>
      <w:r w:rsidR="00BF6223" w:rsidRPr="007539C2">
        <w:rPr>
          <w:i/>
          <w:iCs/>
          <w:color w:val="auto"/>
        </w:rPr>
        <w:t>Zaměstnanost</w:t>
      </w:r>
      <w:r w:rsidR="00BF6223">
        <w:rPr>
          <w:color w:val="auto"/>
        </w:rPr>
        <w:t xml:space="preserve"> (dále t</w:t>
      </w:r>
      <w:r w:rsidR="00AC1BE7">
        <w:rPr>
          <w:color w:val="auto"/>
        </w:rPr>
        <w:t>aké</w:t>
      </w:r>
      <w:r w:rsidR="00BF6223">
        <w:rPr>
          <w:color w:val="auto"/>
        </w:rPr>
        <w:t xml:space="preserve"> „O</w:t>
      </w:r>
      <w:r w:rsidR="00730905" w:rsidRPr="00F1759E">
        <w:rPr>
          <w:color w:val="auto"/>
        </w:rPr>
        <w:t>PZ</w:t>
      </w:r>
      <w:r w:rsidR="00BF6223">
        <w:rPr>
          <w:color w:val="auto"/>
        </w:rPr>
        <w:t>“)</w:t>
      </w:r>
      <w:r w:rsidR="00730905" w:rsidRPr="00F1759E">
        <w:rPr>
          <w:color w:val="auto"/>
        </w:rPr>
        <w:t xml:space="preserve"> v praxi, zejména z důvodu </w:t>
      </w:r>
      <w:r w:rsidR="005A0A65" w:rsidRPr="00F1759E">
        <w:rPr>
          <w:color w:val="auto"/>
        </w:rPr>
        <w:t>rizika</w:t>
      </w:r>
      <w:r w:rsidR="00730905" w:rsidRPr="00F1759E">
        <w:rPr>
          <w:color w:val="auto"/>
        </w:rPr>
        <w:t xml:space="preserve"> nedostatku personálních kapacit v sociálních službách</w:t>
      </w:r>
      <w:r>
        <w:rPr>
          <w:color w:val="auto"/>
        </w:rPr>
        <w:t>;</w:t>
      </w:r>
    </w:p>
    <w:p w14:paraId="71617C90" w14:textId="63D41A46" w:rsidR="001062A7" w:rsidRPr="00F1759E" w:rsidRDefault="00A075DD" w:rsidP="001062A7">
      <w:pPr>
        <w:pStyle w:val="JK1"/>
        <w:numPr>
          <w:ilvl w:val="0"/>
          <w:numId w:val="23"/>
        </w:numPr>
        <w:spacing w:before="0"/>
        <w:ind w:left="714" w:hanging="357"/>
        <w:rPr>
          <w:color w:val="auto"/>
        </w:rPr>
      </w:pPr>
      <w:r>
        <w:rPr>
          <w:color w:val="auto"/>
        </w:rPr>
        <w:t>n</w:t>
      </w:r>
      <w:r w:rsidR="0058137F" w:rsidRPr="00F1759E">
        <w:rPr>
          <w:color w:val="auto"/>
        </w:rPr>
        <w:t>astav</w:t>
      </w:r>
      <w:r w:rsidR="00730905" w:rsidRPr="00F1759E">
        <w:rPr>
          <w:color w:val="auto"/>
        </w:rPr>
        <w:t xml:space="preserve">it vhodné ukazatele k hodnocení dosažení </w:t>
      </w:r>
      <w:r w:rsidR="00C1034C" w:rsidRPr="00F1759E">
        <w:rPr>
          <w:color w:val="auto"/>
        </w:rPr>
        <w:t>přínosů</w:t>
      </w:r>
      <w:r w:rsidR="00730905" w:rsidRPr="00F1759E">
        <w:rPr>
          <w:color w:val="auto"/>
        </w:rPr>
        <w:t xml:space="preserve"> vlivem poskytované podpory z IROP,</w:t>
      </w:r>
      <w:r w:rsidR="00C1034C" w:rsidRPr="00F1759E">
        <w:rPr>
          <w:color w:val="auto"/>
        </w:rPr>
        <w:t xml:space="preserve"> a to včetně kvalitativních změn</w:t>
      </w:r>
      <w:r w:rsidR="006B69CA" w:rsidRPr="00F1759E">
        <w:rPr>
          <w:color w:val="auto"/>
        </w:rPr>
        <w:t>, které sociální služby přinášejí klientům,</w:t>
      </w:r>
      <w:r w:rsidR="00730905" w:rsidRPr="00F1759E">
        <w:rPr>
          <w:color w:val="auto"/>
        </w:rPr>
        <w:t xml:space="preserve"> např. s využitím relevantních </w:t>
      </w:r>
      <w:r>
        <w:rPr>
          <w:i/>
          <w:color w:val="auto"/>
        </w:rPr>
        <w:t>s</w:t>
      </w:r>
      <w:r w:rsidR="0058137F" w:rsidRPr="00F1759E">
        <w:rPr>
          <w:i/>
          <w:color w:val="auto"/>
        </w:rPr>
        <w:t>tandard</w:t>
      </w:r>
      <w:r w:rsidR="00730905" w:rsidRPr="00F1759E">
        <w:rPr>
          <w:i/>
          <w:color w:val="auto"/>
        </w:rPr>
        <w:t>ů</w:t>
      </w:r>
      <w:r w:rsidR="0058137F" w:rsidRPr="00F1759E">
        <w:rPr>
          <w:i/>
          <w:color w:val="auto"/>
        </w:rPr>
        <w:t xml:space="preserve"> kvality sociálních služeb</w:t>
      </w:r>
      <w:r>
        <w:rPr>
          <w:color w:val="auto"/>
        </w:rPr>
        <w:t>;</w:t>
      </w:r>
    </w:p>
    <w:p w14:paraId="43F484B7" w14:textId="5B00CB5E" w:rsidR="00F3689F" w:rsidRPr="00F1759E" w:rsidRDefault="00A075DD" w:rsidP="00272E1D">
      <w:pPr>
        <w:pStyle w:val="JK1"/>
        <w:numPr>
          <w:ilvl w:val="0"/>
          <w:numId w:val="23"/>
        </w:numPr>
        <w:spacing w:before="0" w:after="120"/>
        <w:ind w:left="714" w:hanging="357"/>
        <w:rPr>
          <w:color w:val="auto"/>
        </w:rPr>
      </w:pPr>
      <w:r>
        <w:rPr>
          <w:color w:val="auto"/>
        </w:rPr>
        <w:t>d</w:t>
      </w:r>
      <w:r w:rsidR="0058137F" w:rsidRPr="00F1759E">
        <w:rPr>
          <w:color w:val="auto"/>
        </w:rPr>
        <w:t>ůsledn</w:t>
      </w:r>
      <w:r w:rsidR="000A4F45" w:rsidRPr="00F1759E">
        <w:rPr>
          <w:color w:val="auto"/>
        </w:rPr>
        <w:t>ě p</w:t>
      </w:r>
      <w:r w:rsidR="0058137F" w:rsidRPr="00F1759E">
        <w:rPr>
          <w:color w:val="auto"/>
        </w:rPr>
        <w:t>osuzov</w:t>
      </w:r>
      <w:r w:rsidR="000A4F45" w:rsidRPr="00F1759E">
        <w:rPr>
          <w:color w:val="auto"/>
        </w:rPr>
        <w:t>at při hodnocení žádostí o podporu požadavky zaměřené na pořízení vybavení</w:t>
      </w:r>
      <w:r w:rsidR="00520686" w:rsidRPr="00F1759E">
        <w:rPr>
          <w:color w:val="auto"/>
        </w:rPr>
        <w:t xml:space="preserve">, </w:t>
      </w:r>
      <w:r w:rsidR="005A0A65" w:rsidRPr="00F1759E">
        <w:rPr>
          <w:color w:val="auto"/>
        </w:rPr>
        <w:t>přičemž</w:t>
      </w:r>
      <w:r w:rsidR="000A4F45" w:rsidRPr="00F1759E">
        <w:rPr>
          <w:color w:val="auto"/>
        </w:rPr>
        <w:t xml:space="preserve"> zohledn</w:t>
      </w:r>
      <w:r w:rsidR="00860777" w:rsidRPr="00F1759E">
        <w:rPr>
          <w:color w:val="auto"/>
        </w:rPr>
        <w:t xml:space="preserve">it </w:t>
      </w:r>
      <w:r w:rsidR="000A4F45" w:rsidRPr="00F1759E">
        <w:rPr>
          <w:color w:val="auto"/>
        </w:rPr>
        <w:t>přiměřenost požadavků</w:t>
      </w:r>
      <w:r w:rsidR="006B69CA" w:rsidRPr="00F1759E">
        <w:rPr>
          <w:color w:val="auto"/>
        </w:rPr>
        <w:t xml:space="preserve"> (např. na pořízení vozidel)</w:t>
      </w:r>
      <w:r w:rsidR="000A4F45" w:rsidRPr="00F1759E">
        <w:rPr>
          <w:color w:val="auto"/>
        </w:rPr>
        <w:t xml:space="preserve"> k množství a rozsahu poskytovaných služeb</w:t>
      </w:r>
      <w:r w:rsidR="002E7E28" w:rsidRPr="00F1759E">
        <w:rPr>
          <w:color w:val="auto"/>
        </w:rPr>
        <w:t xml:space="preserve"> i </w:t>
      </w:r>
      <w:r w:rsidR="005A024A">
        <w:rPr>
          <w:color w:val="auto"/>
        </w:rPr>
        <w:t xml:space="preserve">k </w:t>
      </w:r>
      <w:r w:rsidR="002E7E28" w:rsidRPr="00F1759E">
        <w:rPr>
          <w:color w:val="auto"/>
        </w:rPr>
        <w:t>počtu obsluhovaných klientů</w:t>
      </w:r>
      <w:r w:rsidR="000A4F45" w:rsidRPr="00F1759E">
        <w:rPr>
          <w:color w:val="auto"/>
        </w:rPr>
        <w:t xml:space="preserve">. </w:t>
      </w:r>
    </w:p>
    <w:bookmarkEnd w:id="8"/>
    <w:p w14:paraId="1694499C" w14:textId="77777777" w:rsidR="00504F32" w:rsidRPr="00E40071" w:rsidRDefault="00504F32" w:rsidP="00272E1D">
      <w:pPr>
        <w:pStyle w:val="Nadpis1"/>
        <w:spacing w:before="360" w:after="120"/>
        <w:rPr>
          <w:b w:val="0"/>
          <w:i/>
          <w:sz w:val="20"/>
          <w:szCs w:val="20"/>
        </w:rPr>
      </w:pPr>
      <w:r>
        <w:t xml:space="preserve">II. </w:t>
      </w:r>
      <w:r w:rsidRPr="00232EB7">
        <w:t>Informace o kontrolované oblasti</w:t>
      </w:r>
      <w:r w:rsidR="001311AE">
        <w:t xml:space="preserve"> </w:t>
      </w:r>
    </w:p>
    <w:p w14:paraId="51D89314" w14:textId="77777777" w:rsidR="00FB01BF" w:rsidRPr="00972A4E" w:rsidRDefault="00FB01BF" w:rsidP="00397522">
      <w:pPr>
        <w:pStyle w:val="Kontrolnprotokol"/>
        <w:keepNext/>
        <w:spacing w:after="120"/>
        <w:rPr>
          <w:b/>
          <w:color w:val="00ADDB"/>
        </w:rPr>
      </w:pPr>
      <w:r w:rsidRPr="00972A4E">
        <w:rPr>
          <w:b/>
          <w:color w:val="00ADDB"/>
        </w:rPr>
        <w:t>Vymezení sociálních služeb</w:t>
      </w:r>
    </w:p>
    <w:p w14:paraId="7C8F42F3" w14:textId="77777777" w:rsidR="00FB01BF" w:rsidRPr="00C351C4" w:rsidRDefault="00FB01BF" w:rsidP="00FB01BF">
      <w:pPr>
        <w:pStyle w:val="JK2"/>
        <w:tabs>
          <w:tab w:val="clear" w:pos="567"/>
          <w:tab w:val="left" w:pos="482"/>
        </w:tabs>
        <w:spacing w:after="0"/>
        <w:ind w:left="0" w:firstLine="0"/>
      </w:pPr>
      <w:r>
        <w:t xml:space="preserve">Sociální služby zajišťují pomoc a podporu </w:t>
      </w:r>
      <w:r w:rsidR="00737372">
        <w:t>osobám</w:t>
      </w:r>
      <w:r>
        <w:t>, kte</w:t>
      </w:r>
      <w:r w:rsidR="0009355E">
        <w:t>ré</w:t>
      </w:r>
      <w:r>
        <w:t xml:space="preserve"> se dostal</w:t>
      </w:r>
      <w:r w:rsidR="0009355E">
        <w:t>y</w:t>
      </w:r>
      <w:r>
        <w:t xml:space="preserve"> do nepříznivé </w:t>
      </w:r>
      <w:r w:rsidR="00D874AC">
        <w:t>sociální</w:t>
      </w:r>
      <w:r>
        <w:t xml:space="preserve"> situace (např. z důvodu věku, zdravotního stavu nebo životních návyků)</w:t>
      </w:r>
      <w:r w:rsidR="00B33DAE">
        <w:rPr>
          <w:rStyle w:val="Znakapoznpodarou"/>
        </w:rPr>
        <w:footnoteReference w:id="7"/>
      </w:r>
      <w:r w:rsidR="001B0008">
        <w:t>,</w:t>
      </w:r>
      <w:r>
        <w:t xml:space="preserve"> a</w:t>
      </w:r>
      <w:r w:rsidR="00B95FAA">
        <w:t xml:space="preserve"> </w:t>
      </w:r>
      <w:r w:rsidR="00807CE1">
        <w:t>umožňují jim pobyt v přirozeném prostředí</w:t>
      </w:r>
      <w:r>
        <w:t>. Podmínky sociální pomoci a podpory fyzickým osobám v nepříznivé sociální situaci prostřednictvím sociálních služeb upravuje zákon č. 108/2006 Sb., o sociálních službách</w:t>
      </w:r>
      <w:r w:rsidRPr="00C351C4">
        <w:t>.</w:t>
      </w:r>
    </w:p>
    <w:p w14:paraId="1F085892" w14:textId="4886AA1E" w:rsidR="00FB01BF" w:rsidRDefault="00FB01BF" w:rsidP="00FB01BF">
      <w:pPr>
        <w:pStyle w:val="JK2"/>
        <w:tabs>
          <w:tab w:val="clear" w:pos="567"/>
          <w:tab w:val="left" w:pos="482"/>
        </w:tabs>
        <w:spacing w:after="0"/>
        <w:ind w:left="0" w:firstLine="0"/>
      </w:pPr>
      <w:r>
        <w:t xml:space="preserve">Základním dokumentem sociální politiky v ČR je </w:t>
      </w:r>
      <w:r>
        <w:rPr>
          <w:i/>
        </w:rPr>
        <w:t>Národní strategie rozvoje sociálních služeb na období 2016</w:t>
      </w:r>
      <w:r w:rsidR="001038FE">
        <w:rPr>
          <w:rFonts w:cs="Calibri"/>
          <w:i/>
        </w:rPr>
        <w:t>–</w:t>
      </w:r>
      <w:r>
        <w:rPr>
          <w:i/>
        </w:rPr>
        <w:t>2025</w:t>
      </w:r>
      <w:r w:rsidRPr="007539C2">
        <w:rPr>
          <w:rStyle w:val="Znakapoznpodarou"/>
          <w:iCs/>
        </w:rPr>
        <w:footnoteReference w:id="8"/>
      </w:r>
      <w:r w:rsidRPr="00A075DD">
        <w:rPr>
          <w:iCs/>
        </w:rPr>
        <w:t xml:space="preserve"> </w:t>
      </w:r>
      <w:r w:rsidRPr="00C351C4">
        <w:t>(dále také „NSRSS“). Účelem NS</w:t>
      </w:r>
      <w:r>
        <w:t>RSS je nastavit systém sociálních služeb tak, aby odpovídal potřebám</w:t>
      </w:r>
      <w:r w:rsidR="00827253">
        <w:t xml:space="preserve"> osob</w:t>
      </w:r>
      <w:r>
        <w:t xml:space="preserve"> v nepříznivé situaci a následně i klientům sociálních služeb, a umožnil jim pobyt v přirozeném prostředí, pokud je to možné, s využitím neformální péče.</w:t>
      </w:r>
    </w:p>
    <w:p w14:paraId="1E3A88EC" w14:textId="39AAF15D" w:rsidR="00FB01BF" w:rsidRDefault="00FB01BF" w:rsidP="00FB01BF">
      <w:pPr>
        <w:pStyle w:val="JK2"/>
        <w:tabs>
          <w:tab w:val="clear" w:pos="567"/>
          <w:tab w:val="left" w:pos="482"/>
        </w:tabs>
        <w:spacing w:after="0"/>
        <w:ind w:left="0" w:firstLine="0"/>
      </w:pPr>
      <w:r>
        <w:t>Prioritní</w:t>
      </w:r>
      <w:r w:rsidR="00723B9A">
        <w:t>mi</w:t>
      </w:r>
      <w:r>
        <w:t xml:space="preserve"> investiční</w:t>
      </w:r>
      <w:r w:rsidR="00723B9A">
        <w:t>mi</w:t>
      </w:r>
      <w:r>
        <w:t xml:space="preserve"> potřeb</w:t>
      </w:r>
      <w:r w:rsidR="00723B9A">
        <w:t>ami</w:t>
      </w:r>
      <w:r>
        <w:t xml:space="preserve"> v sociální oblasti j</w:t>
      </w:r>
      <w:r w:rsidR="00723B9A">
        <w:t>sou</w:t>
      </w:r>
      <w:r>
        <w:t xml:space="preserve"> podpora socioekonomické integrace osob ohrožených chudobou, osob sociálně vyloučených a zlepšení přístupu těchto skupin obyvatelstva k sociálním službám, podpora deinstitucionalizace péče, rozvoj sociálních služeb s</w:t>
      </w:r>
      <w:r w:rsidR="00723B9A">
        <w:t xml:space="preserve"> </w:t>
      </w:r>
      <w:r>
        <w:t>ohledem na demografické trendy ve společnosti a podpora spolupráce mezi sociálními a</w:t>
      </w:r>
      <w:r w:rsidR="00710A4A">
        <w:t> </w:t>
      </w:r>
      <w:r>
        <w:t>zdravotními službami. Tyto priority nelze realizovat bez odpovídající kvalitní sociální infrastruktury, na kterou směřuje podpora z národních zdrojů i ze zdrojů EU. Očekávaným přínosem této podpory je zvýšení dostupnosti a kvality poskytovaných sociálních služeb vedoucí k sociální inkluzi, snížení počtu osob sociálně vyloučených a sociálním vyloučením ohrožených. Dlouhodobým problémem materiálně technické základny sociálních služeb v ČR je jejich nedostatečná kapacita, která nemůže pokrýt současnou poptávku po terénních, ambulantních a pobytových sociálních službách.</w:t>
      </w:r>
    </w:p>
    <w:p w14:paraId="46A37BD5" w14:textId="7453E4FC" w:rsidR="00FB01BF" w:rsidRDefault="00337910" w:rsidP="00FB01BF">
      <w:pPr>
        <w:pStyle w:val="JK2"/>
        <w:tabs>
          <w:tab w:val="clear" w:pos="567"/>
          <w:tab w:val="left" w:pos="482"/>
        </w:tabs>
        <w:ind w:left="0" w:firstLine="0"/>
      </w:pPr>
      <w:r>
        <w:t>Osoby</w:t>
      </w:r>
      <w:r w:rsidR="00FB01BF">
        <w:t xml:space="preserve"> se zdravotním postižením využívají služby institucionální (ústavní) péče především z důvodu nedostupnosti terénních a ambulantních služeb a nedostatečnosti nástrojů pro podporu neformální péče. Přistoupením k </w:t>
      </w:r>
      <w:r w:rsidR="00FB01BF">
        <w:rPr>
          <w:i/>
        </w:rPr>
        <w:t xml:space="preserve">Úmluvě OSN o právech osob se zdravotním </w:t>
      </w:r>
      <w:r w:rsidR="00FB01BF" w:rsidRPr="00A85F1C">
        <w:rPr>
          <w:i/>
        </w:rPr>
        <w:t xml:space="preserve">postižením </w:t>
      </w:r>
      <w:r w:rsidR="00FB01BF">
        <w:t xml:space="preserve">se ČR mj. zavázala ke změně směrem </w:t>
      </w:r>
      <w:r w:rsidR="00A5165D">
        <w:t>k</w:t>
      </w:r>
      <w:r w:rsidR="00FB01BF">
        <w:t> poskytování sociálních služeb doma nebo v komunitě – deinstitucionalizaci sociálních služeb. Jedná se o dlouhodobý proces s cílem zkvalitnit takovým osobám život a umožnit jim žít život srovnatelný s životem jejich vrstevníků. Během deinstitucionalizace dochází k</w:t>
      </w:r>
      <w:r w:rsidR="00694B30">
        <w:t xml:space="preserve"> </w:t>
      </w:r>
      <w:r w:rsidR="00FB01BF">
        <w:t>řízenému rušení ústavů a rozvoji tzv</w:t>
      </w:r>
      <w:r w:rsidR="00A5165D">
        <w:t>.</w:t>
      </w:r>
      <w:r w:rsidR="00FB01BF">
        <w:t xml:space="preserve"> komunitních sociálních služeb. Přechod od ústavní ke komunitní péči však představuje vyšší finanční nároky</w:t>
      </w:r>
      <w:r w:rsidR="00694B30">
        <w:t> </w:t>
      </w:r>
      <w:r w:rsidR="00FB01BF">
        <w:t xml:space="preserve">– komunitní služby jsou v porovnání se stávajícími institucemi </w:t>
      </w:r>
      <w:r w:rsidR="00CF5725">
        <w:t>nákladnější</w:t>
      </w:r>
      <w:r w:rsidR="00FB01BF">
        <w:t xml:space="preserve"> s ohledem na personální zajištění a dostupnost sítě komunitních služeb v lokalitách</w:t>
      </w:r>
      <w:r w:rsidR="00FB01BF">
        <w:rPr>
          <w:rStyle w:val="Znakapoznpodarou"/>
        </w:rPr>
        <w:footnoteReference w:id="9"/>
      </w:r>
      <w:r w:rsidR="00FB01BF">
        <w:t xml:space="preserve">. </w:t>
      </w:r>
    </w:p>
    <w:p w14:paraId="08D279C4" w14:textId="77777777" w:rsidR="00FB01BF" w:rsidRPr="00972A4E" w:rsidRDefault="00FB01BF" w:rsidP="00F95A40">
      <w:pPr>
        <w:pStyle w:val="Kontrolnprotokol"/>
        <w:keepNext/>
        <w:spacing w:before="120" w:after="120"/>
        <w:rPr>
          <w:b/>
          <w:color w:val="00ADDB"/>
        </w:rPr>
      </w:pPr>
      <w:r w:rsidRPr="00972A4E">
        <w:rPr>
          <w:b/>
          <w:color w:val="00ADDB"/>
        </w:rPr>
        <w:t>Podpora poskytování sociálních služeb</w:t>
      </w:r>
    </w:p>
    <w:p w14:paraId="0D961073" w14:textId="4336E019" w:rsidR="00FB01BF" w:rsidRPr="008C6A59" w:rsidRDefault="00FB01BF" w:rsidP="00FB01BF">
      <w:pPr>
        <w:pStyle w:val="JK2"/>
        <w:tabs>
          <w:tab w:val="clear" w:pos="567"/>
          <w:tab w:val="left" w:pos="482"/>
        </w:tabs>
        <w:spacing w:after="0"/>
        <w:ind w:left="0" w:firstLine="0"/>
      </w:pPr>
      <w:r>
        <w:t>Podporu z</w:t>
      </w:r>
      <w:r w:rsidR="003E0089">
        <w:t xml:space="preserve"> </w:t>
      </w:r>
      <w:r>
        <w:t>národních zdrojů poskytuje poskytovatelům sociální péče především Ministerstvo práce a sociálních věcí</w:t>
      </w:r>
      <w:r w:rsidRPr="00C351C4">
        <w:t>,</w:t>
      </w:r>
      <w:r>
        <w:t xml:space="preserve"> dále také kraje a obce, na jejichž území jsou sociální služby poskytovány. Dalším zdrojem financování sociálních služeb jsou platby od klientů, platby od</w:t>
      </w:r>
      <w:r w:rsidR="00710A4A">
        <w:t> </w:t>
      </w:r>
      <w:r>
        <w:t>zdravotních pojišťoven a v neposlední řadě i dary od fyzických a</w:t>
      </w:r>
      <w:r w:rsidR="0034725D">
        <w:t> </w:t>
      </w:r>
      <w:r>
        <w:t>právnických osob.</w:t>
      </w:r>
    </w:p>
    <w:p w14:paraId="5101C0C0" w14:textId="47CA7593" w:rsidR="00FB01BF" w:rsidRPr="00667191" w:rsidRDefault="00FB01BF" w:rsidP="00667191">
      <w:pPr>
        <w:pStyle w:val="JK2"/>
        <w:tabs>
          <w:tab w:val="clear" w:pos="567"/>
          <w:tab w:val="left" w:pos="482"/>
        </w:tabs>
        <w:spacing w:after="0"/>
        <w:ind w:left="0" w:firstLine="0"/>
      </w:pPr>
      <w:r>
        <w:t>Ze zdrojů EU je infrastruktura sociálních služeb podporována z </w:t>
      </w:r>
      <w:r w:rsidRPr="007539C2">
        <w:rPr>
          <w:i/>
          <w:iCs/>
        </w:rPr>
        <w:t>Integrovaného regionálního operačního programu</w:t>
      </w:r>
      <w:r>
        <w:t>, jehož řídicím orgánem je Ministerstvo pro místní rozvoj. Ústředním orgánem státní správy a věcným garantem, který řídí a kontroluje výkon státní správy v oblasti sociálních služeb</w:t>
      </w:r>
      <w:r w:rsidR="00D136CE">
        <w:t>,</w:t>
      </w:r>
      <w:r>
        <w:t xml:space="preserve"> je MPSV. MMR jakožto </w:t>
      </w:r>
      <w:r w:rsidR="00807CE1">
        <w:t>ř</w:t>
      </w:r>
      <w:r>
        <w:t xml:space="preserve">ídicí orgán IROP (dále </w:t>
      </w:r>
      <w:r w:rsidRPr="00C351C4">
        <w:t>také „ŘO</w:t>
      </w:r>
      <w:r w:rsidR="00694B30">
        <w:t> </w:t>
      </w:r>
      <w:r w:rsidRPr="00C351C4">
        <w:t>IROP“)</w:t>
      </w:r>
      <w:r>
        <w:t xml:space="preserve"> a MPSV spolu uzavřel</w:t>
      </w:r>
      <w:r w:rsidR="000B5DF0">
        <w:t>y</w:t>
      </w:r>
      <w:r>
        <w:t xml:space="preserve"> </w:t>
      </w:r>
      <w:r w:rsidR="00723B9A">
        <w:t>„</w:t>
      </w:r>
      <w:r>
        <w:t>dohodu o spolupráci</w:t>
      </w:r>
      <w:r w:rsidR="00723B9A">
        <w:t>“</w:t>
      </w:r>
      <w:r>
        <w:t xml:space="preserve">, </w:t>
      </w:r>
      <w:bookmarkStart w:id="11" w:name="_Hlk193263282"/>
      <w:r>
        <w:t>která upravuje jejich vzájemnou součinnost pro specifické cíle IROP zaměřené na podporu infrastruktury sociálních služeb</w:t>
      </w:r>
      <w:bookmarkEnd w:id="11"/>
      <w:r w:rsidRPr="00667191">
        <w:rPr>
          <w:rStyle w:val="Znakapoznpodarou"/>
        </w:rPr>
        <w:footnoteReference w:id="10"/>
      </w:r>
      <w:r>
        <w:t xml:space="preserve">. </w:t>
      </w:r>
      <w:r w:rsidRPr="00DB050F">
        <w:t>Podpora ze zdrojů EU</w:t>
      </w:r>
      <w:r w:rsidR="007C7241">
        <w:t>, konkrétně z </w:t>
      </w:r>
      <w:r w:rsidR="007C7241" w:rsidRPr="007539C2">
        <w:rPr>
          <w:i/>
          <w:iCs/>
        </w:rPr>
        <w:t>Evropského fondu pro regionální rozvoj</w:t>
      </w:r>
      <w:r w:rsidR="007C7241">
        <w:t xml:space="preserve"> (dále </w:t>
      </w:r>
      <w:r w:rsidR="007C7241" w:rsidRPr="00C351C4">
        <w:t>t</w:t>
      </w:r>
      <w:r w:rsidR="00AC1BE7">
        <w:t>aké</w:t>
      </w:r>
      <w:r w:rsidR="007C7241" w:rsidRPr="00C351C4">
        <w:t xml:space="preserve"> „EFRR</w:t>
      </w:r>
      <w:r w:rsidR="00A279A7" w:rsidRPr="00C351C4">
        <w:t>“)</w:t>
      </w:r>
      <w:r w:rsidR="00723B9A" w:rsidRPr="007539C2">
        <w:rPr>
          <w:color w:val="auto"/>
        </w:rPr>
        <w:t>,</w:t>
      </w:r>
      <w:r w:rsidRPr="00DB050F">
        <w:t xml:space="preserve"> činila </w:t>
      </w:r>
      <w:r>
        <w:t>podle typu žadatele a druhu území 70 % nebo</w:t>
      </w:r>
      <w:r w:rsidRPr="00DB050F">
        <w:t xml:space="preserve"> 85 % celkových způsobilých výdajů, spoluúčast státního rozpočtu </w:t>
      </w:r>
      <w:r w:rsidR="003E6E6C">
        <w:t>(</w:t>
      </w:r>
      <w:r w:rsidR="003E6E6C" w:rsidRPr="00C351C4">
        <w:t>dále t</w:t>
      </w:r>
      <w:r w:rsidR="00AC1BE7">
        <w:t>aké</w:t>
      </w:r>
      <w:r w:rsidR="003E6E6C" w:rsidRPr="00C351C4">
        <w:t xml:space="preserve"> „SR“) </w:t>
      </w:r>
      <w:r w:rsidRPr="00C351C4">
        <w:t>a žadat</w:t>
      </w:r>
      <w:r w:rsidRPr="00DB050F">
        <w:t xml:space="preserve">ele o podporu se </w:t>
      </w:r>
      <w:r>
        <w:t xml:space="preserve">také </w:t>
      </w:r>
      <w:r w:rsidRPr="00DB050F">
        <w:t>lišila podle typu žadatele</w:t>
      </w:r>
      <w:r>
        <w:t xml:space="preserve"> a druhu území</w:t>
      </w:r>
      <w:r w:rsidRPr="00667191">
        <w:rPr>
          <w:rStyle w:val="Znakapoznpodarou"/>
        </w:rPr>
        <w:footnoteReference w:id="11"/>
      </w:r>
      <w:r w:rsidRPr="00DB050F">
        <w:t>.</w:t>
      </w:r>
      <w:r w:rsidR="009A63BD">
        <w:t xml:space="preserve"> </w:t>
      </w:r>
      <w:r w:rsidR="009A63BD" w:rsidRPr="00667191">
        <w:t xml:space="preserve">Co se týče předávání informací, které MMR poskytuje </w:t>
      </w:r>
      <w:r w:rsidR="00723B9A">
        <w:t>Ministerstvu práce a sociálních věcí</w:t>
      </w:r>
      <w:r w:rsidR="009A63BD" w:rsidRPr="00667191">
        <w:t>, je využíván jediný mechanismus a tím je zpřístupnění dat IROP v</w:t>
      </w:r>
      <w:r w:rsidR="007C4541">
        <w:t> monitorovacích systémech</w:t>
      </w:r>
      <w:r w:rsidR="00612FF2">
        <w:t xml:space="preserve"> </w:t>
      </w:r>
      <w:r w:rsidR="009A63BD" w:rsidRPr="00667191">
        <w:t>MS2014+</w:t>
      </w:r>
      <w:r w:rsidR="007C4541">
        <w:t xml:space="preserve"> a </w:t>
      </w:r>
      <w:r w:rsidR="00612FF2">
        <w:t>MS2021+</w:t>
      </w:r>
      <w:r w:rsidR="007C4541">
        <w:rPr>
          <w:rStyle w:val="Znakapoznpodarou"/>
        </w:rPr>
        <w:footnoteReference w:id="12"/>
      </w:r>
      <w:r w:rsidR="009A63BD" w:rsidRPr="00667191">
        <w:t xml:space="preserve"> říd</w:t>
      </w:r>
      <w:r w:rsidR="00723B9A">
        <w:t>i</w:t>
      </w:r>
      <w:r w:rsidR="009A63BD" w:rsidRPr="00667191">
        <w:t>címu orgánu OPZ, respektive OPZ+.</w:t>
      </w:r>
    </w:p>
    <w:p w14:paraId="4B4C6FB3" w14:textId="028BB3EF" w:rsidR="00FB01BF" w:rsidRPr="00CE4BE2" w:rsidRDefault="00FB01BF" w:rsidP="00FB01BF">
      <w:pPr>
        <w:pStyle w:val="JK2"/>
        <w:tabs>
          <w:tab w:val="clear" w:pos="567"/>
          <w:tab w:val="left" w:pos="482"/>
        </w:tabs>
        <w:ind w:left="0" w:firstLine="0"/>
      </w:pPr>
      <w:r w:rsidRPr="00CE4BE2">
        <w:t>V rámci</w:t>
      </w:r>
      <w:r>
        <w:t xml:space="preserve"> </w:t>
      </w:r>
      <w:bookmarkStart w:id="12" w:name="_Hlk193348972"/>
      <w:r>
        <w:t xml:space="preserve">IROP </w:t>
      </w:r>
      <w:r w:rsidR="00826A08">
        <w:t xml:space="preserve">1 </w:t>
      </w:r>
      <w:bookmarkEnd w:id="12"/>
      <w:r w:rsidRPr="00C351C4">
        <w:t>byla</w:t>
      </w:r>
      <w:r>
        <w:t xml:space="preserve"> infrastruktura sociálních služeb podporována prostřednictvím specifického cíle 2.1 </w:t>
      </w:r>
      <w:r w:rsidRPr="00CE4BE2">
        <w:rPr>
          <w:i/>
        </w:rPr>
        <w:t>Zvýšení kvality a dostupnosti služeb vedoucí k sociální inkluzi</w:t>
      </w:r>
      <w:r>
        <w:t xml:space="preserve"> (dále </w:t>
      </w:r>
      <w:r w:rsidRPr="00C351C4">
        <w:t>také „SC 2.1 IROP 1</w:t>
      </w:r>
      <w:r w:rsidRPr="00C351C4">
        <w:rPr>
          <w:rFonts w:asciiTheme="minorHAnsi" w:hAnsiTheme="minorHAnsi" w:cstheme="minorHAnsi"/>
        </w:rPr>
        <w:t>“). Očekávaným</w:t>
      </w:r>
      <w:r w:rsidRPr="004C4605">
        <w:rPr>
          <w:rFonts w:asciiTheme="minorHAnsi" w:hAnsiTheme="minorHAnsi" w:cstheme="minorHAnsi"/>
        </w:rPr>
        <w:t xml:space="preserve"> výsledkem podpory</w:t>
      </w:r>
      <w:r>
        <w:t xml:space="preserve"> </w:t>
      </w:r>
      <w:r w:rsidRPr="004C4605">
        <w:t>byla vy</w:t>
      </w:r>
      <w:r>
        <w:t xml:space="preserve">šší dostupnost a kvalita služeb vedoucí k sociální inkluzi, sociální bydlení dostupné potřebným a snížení počtu osob sociálně vyloučených a osob sociálním vyloučením ohrožených. </w:t>
      </w:r>
    </w:p>
    <w:p w14:paraId="4E65F9B9" w14:textId="77777777" w:rsidR="00FB01BF" w:rsidRDefault="00FB01BF" w:rsidP="00FB01BF">
      <w:pPr>
        <w:pStyle w:val="JK2"/>
        <w:keepNext/>
        <w:tabs>
          <w:tab w:val="clear" w:pos="567"/>
          <w:tab w:val="left" w:pos="482"/>
        </w:tabs>
        <w:spacing w:after="0"/>
        <w:ind w:left="0" w:firstLine="0"/>
      </w:pPr>
      <w:r>
        <w:t>V důsledku pandemie covid</w:t>
      </w:r>
      <w:r w:rsidR="001F09CE">
        <w:t>u</w:t>
      </w:r>
      <w:r>
        <w:t xml:space="preserve">-19 byl do IROP 1 nově přidán specifický cíl 6.1 </w:t>
      </w:r>
      <w:r>
        <w:rPr>
          <w:i/>
        </w:rPr>
        <w:t>REACT-EU</w:t>
      </w:r>
      <w:r>
        <w:t xml:space="preserve"> (dále také </w:t>
      </w:r>
      <w:r w:rsidRPr="00C351C4">
        <w:t>„SC 6.1 IROP 1“), jehož</w:t>
      </w:r>
      <w:r>
        <w:t xml:space="preserve"> prostřednictvím byly podporovány projekty z oblasti integrovaného záchranného systému a sociální infrastruktury. Pandemie covid</w:t>
      </w:r>
      <w:r w:rsidR="00D70E20">
        <w:t>u</w:t>
      </w:r>
      <w:r>
        <w:t xml:space="preserve">-19 ukázala nedostatečnou materiálně-technickou připravenost v oblasti sociálních služeb. Aktivity podpořené v rámci SC 6.1 IROP </w:t>
      </w:r>
      <w:r w:rsidR="00D70E20">
        <w:t xml:space="preserve">1 </w:t>
      </w:r>
      <w:r>
        <w:t>měly vést ke zkvalitnění poskytování sociálních služeb,</w:t>
      </w:r>
      <w:r w:rsidR="00A43935">
        <w:t xml:space="preserve"> </w:t>
      </w:r>
      <w:r>
        <w:t>k jejich celkovému zodolnění a k zajištění nových potřebných kapacit a vybavení novými technologiemi.</w:t>
      </w:r>
      <w:r w:rsidR="00A43935">
        <w:t xml:space="preserve"> </w:t>
      </w:r>
    </w:p>
    <w:p w14:paraId="392A03ED" w14:textId="647AD54F" w:rsidR="00FB01BF" w:rsidRPr="00C351C4" w:rsidRDefault="00FB01BF" w:rsidP="00FB01BF">
      <w:pPr>
        <w:pStyle w:val="JK2"/>
        <w:keepNext/>
        <w:tabs>
          <w:tab w:val="clear" w:pos="567"/>
          <w:tab w:val="left" w:pos="482"/>
        </w:tabs>
        <w:spacing w:after="0"/>
        <w:ind w:left="0" w:firstLine="0"/>
      </w:pPr>
      <w:r>
        <w:t xml:space="preserve">V rámci IROP </w:t>
      </w:r>
      <w:r w:rsidR="00826A08">
        <w:t xml:space="preserve">2 </w:t>
      </w:r>
      <w:r w:rsidRPr="00C351C4">
        <w:t>je infrastruktura</w:t>
      </w:r>
      <w:r>
        <w:t xml:space="preserve"> sociálních služeb podporována prostřednictvím specifického cíle 4.2 </w:t>
      </w:r>
      <w:r>
        <w:rPr>
          <w:i/>
        </w:rPr>
        <w:t>Podpora socioekonomického začlenění marginalizovaných komunit, domácností s nízkými příjmy a znevýhodněných skupin včetně osob se zvláštními potřebami, pomocí integrovaných opatření, včetně bydlení a</w:t>
      </w:r>
      <w:r w:rsidR="0034725D">
        <w:rPr>
          <w:i/>
        </w:rPr>
        <w:t> </w:t>
      </w:r>
      <w:r>
        <w:rPr>
          <w:i/>
        </w:rPr>
        <w:t>sociálních služeb</w:t>
      </w:r>
      <w:r>
        <w:t xml:space="preserve"> (dále </w:t>
      </w:r>
      <w:r w:rsidRPr="00C351C4">
        <w:t>také „SC 4.2 IROP 2“). Kromě</w:t>
      </w:r>
      <w:r>
        <w:t xml:space="preserve"> zajištění vyšší kvality a dostupnosti sociálních služeb a podpory vzniku bytů pro sociální bydlení je dalším očekávaným výsledkem podpory dokončení deinstitucionalizace sociálních služeb. IROP 2 se přímou podporou deinstitucionalizace podílí na plnění cílů </w:t>
      </w:r>
      <w:r>
        <w:rPr>
          <w:i/>
        </w:rPr>
        <w:t>Akčního plánu k přechodu sociálních služeb k péči poskytované na komunitní bázi a k větší individualizaci péče a k</w:t>
      </w:r>
      <w:r w:rsidR="00D70E20">
        <w:rPr>
          <w:i/>
        </w:rPr>
        <w:t xml:space="preserve"> </w:t>
      </w:r>
      <w:r>
        <w:rPr>
          <w:i/>
        </w:rPr>
        <w:t>podpoře deinstitucionalizace sociálních služeb v</w:t>
      </w:r>
      <w:r w:rsidR="00D70E20">
        <w:rPr>
          <w:i/>
        </w:rPr>
        <w:t xml:space="preserve"> </w:t>
      </w:r>
      <w:r>
        <w:rPr>
          <w:i/>
        </w:rPr>
        <w:t>ČR pro období 2023</w:t>
      </w:r>
      <w:r w:rsidR="00D70E20">
        <w:rPr>
          <w:rFonts w:cs="Calibri"/>
          <w:i/>
        </w:rPr>
        <w:t>–</w:t>
      </w:r>
      <w:r>
        <w:rPr>
          <w:i/>
        </w:rPr>
        <w:t>2025</w:t>
      </w:r>
      <w:r>
        <w:t xml:space="preserve"> </w:t>
      </w:r>
      <w:r w:rsidRPr="00C351C4">
        <w:t>(dále také „</w:t>
      </w:r>
      <w:r w:rsidRPr="007539C2">
        <w:rPr>
          <w:i/>
          <w:iCs/>
        </w:rPr>
        <w:t>Akční plán pro DI</w:t>
      </w:r>
      <w:r w:rsidRPr="00C351C4">
        <w:t>“)</w:t>
      </w:r>
      <w:r w:rsidRPr="00C351C4">
        <w:rPr>
          <w:rStyle w:val="Znakapoznpodarou"/>
        </w:rPr>
        <w:footnoteReference w:id="13"/>
      </w:r>
      <w:r w:rsidRPr="00C351C4">
        <w:t xml:space="preserve">. </w:t>
      </w:r>
    </w:p>
    <w:p w14:paraId="1BE56D26" w14:textId="146C229F" w:rsidR="00FB01BF" w:rsidRDefault="00FB01BF" w:rsidP="00153FB1">
      <w:pPr>
        <w:pStyle w:val="JK2"/>
        <w:tabs>
          <w:tab w:val="clear" w:pos="567"/>
          <w:tab w:val="left" w:pos="482"/>
        </w:tabs>
        <w:spacing w:after="0"/>
        <w:ind w:left="0" w:firstLine="0"/>
      </w:pPr>
      <w:r>
        <w:t xml:space="preserve">Výše poskytnutých dotačních prostředků u jednotlivých projektů se pohybovala v rozmezí od jednotek do vyšších desítek milionů </w:t>
      </w:r>
      <w:r w:rsidR="00D70E20">
        <w:t>korun</w:t>
      </w:r>
      <w:r>
        <w:t xml:space="preserve">. </w:t>
      </w:r>
      <w:r w:rsidR="00AC2C8E">
        <w:t>V rámci SC 2.</w:t>
      </w:r>
      <w:r w:rsidR="0081072B">
        <w:t>1</w:t>
      </w:r>
      <w:r w:rsidR="00417683">
        <w:t xml:space="preserve"> IROP 1,</w:t>
      </w:r>
      <w:r w:rsidR="0081072B">
        <w:t xml:space="preserve"> </w:t>
      </w:r>
      <w:r w:rsidR="00417683">
        <w:t xml:space="preserve">SC </w:t>
      </w:r>
      <w:r w:rsidR="0081072B">
        <w:t>6.1 IROP 1 a</w:t>
      </w:r>
      <w:r w:rsidR="00694B30">
        <w:t xml:space="preserve"> </w:t>
      </w:r>
      <w:r w:rsidR="0081072B">
        <w:t>SC</w:t>
      </w:r>
      <w:r w:rsidR="00694B30">
        <w:t xml:space="preserve"> </w:t>
      </w:r>
      <w:r w:rsidR="0081072B">
        <w:t xml:space="preserve">4.2 IROP 2 bylo </w:t>
      </w:r>
      <w:r w:rsidR="0068480F">
        <w:t xml:space="preserve">dosud </w:t>
      </w:r>
      <w:r w:rsidR="0081072B">
        <w:t xml:space="preserve">podpořeno </w:t>
      </w:r>
      <w:r w:rsidR="004E243F">
        <w:t>664</w:t>
      </w:r>
      <w:r w:rsidR="0081072B">
        <w:t xml:space="preserve"> projektů. </w:t>
      </w:r>
      <w:r>
        <w:t xml:space="preserve">Souhrnný přehled prostředků </w:t>
      </w:r>
      <w:r w:rsidR="00D70E20">
        <w:t xml:space="preserve">vynaložených </w:t>
      </w:r>
      <w:r>
        <w:t xml:space="preserve">na podporu infrastruktury sociálních služeb z jednotlivých specifických cílů uvádí tabulka č. 1. </w:t>
      </w:r>
    </w:p>
    <w:p w14:paraId="4B98FA4F" w14:textId="1378F818" w:rsidR="00FB01BF" w:rsidRDefault="00FB01BF" w:rsidP="007539C2">
      <w:pPr>
        <w:pStyle w:val="JK2"/>
        <w:numPr>
          <w:ilvl w:val="0"/>
          <w:numId w:val="0"/>
        </w:numPr>
        <w:tabs>
          <w:tab w:val="clear" w:pos="567"/>
          <w:tab w:val="left" w:pos="482"/>
        </w:tabs>
        <w:ind w:left="1304" w:hanging="1304"/>
        <w:rPr>
          <w:b/>
        </w:rPr>
      </w:pPr>
      <w:r>
        <w:rPr>
          <w:b/>
        </w:rPr>
        <w:t xml:space="preserve">Tabulka č. 1: </w:t>
      </w:r>
      <w:r w:rsidR="00153FB1">
        <w:rPr>
          <w:b/>
        </w:rPr>
        <w:tab/>
      </w:r>
      <w:r w:rsidR="00FF4A82">
        <w:rPr>
          <w:b/>
        </w:rPr>
        <w:t xml:space="preserve">Peněžní </w:t>
      </w:r>
      <w:r>
        <w:rPr>
          <w:b/>
        </w:rPr>
        <w:t>prostředky na podporu infrast</w:t>
      </w:r>
      <w:r w:rsidR="0072510E">
        <w:rPr>
          <w:b/>
        </w:rPr>
        <w:t>r</w:t>
      </w:r>
      <w:r>
        <w:rPr>
          <w:b/>
        </w:rPr>
        <w:t>uktury sociálních služeb poskytnuté z jednotlivých specifických cílů</w:t>
      </w:r>
      <w:r w:rsidR="001D75DF">
        <w:rPr>
          <w:b/>
        </w:rPr>
        <w:t xml:space="preserve"> v období 2014</w:t>
      </w:r>
      <w:r w:rsidR="00D70E20">
        <w:rPr>
          <w:rFonts w:cs="Calibri"/>
          <w:b/>
        </w:rPr>
        <w:t>–</w:t>
      </w:r>
      <w:r w:rsidR="001D75DF">
        <w:rPr>
          <w:b/>
        </w:rPr>
        <w:t>2024</w:t>
      </w:r>
      <w:r>
        <w:rPr>
          <w:rStyle w:val="Znakapoznpodarou"/>
          <w:b/>
        </w:rPr>
        <w:footnoteReference w:id="1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454"/>
        <w:gridCol w:w="2455"/>
        <w:gridCol w:w="2455"/>
      </w:tblGrid>
      <w:tr w:rsidR="00FB01BF" w14:paraId="5483437D" w14:textId="77777777" w:rsidTr="00256C3A">
        <w:trPr>
          <w:trHeight w:val="720"/>
        </w:trPr>
        <w:tc>
          <w:tcPr>
            <w:tcW w:w="1696" w:type="dxa"/>
            <w:vAlign w:val="center"/>
          </w:tcPr>
          <w:p w14:paraId="46C788AF" w14:textId="22D26B64" w:rsidR="00FB01BF" w:rsidRPr="00F16D92" w:rsidRDefault="00FB01BF" w:rsidP="00F95A40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4" w:type="dxa"/>
            <w:vAlign w:val="center"/>
          </w:tcPr>
          <w:p w14:paraId="6FD36F33" w14:textId="77777777" w:rsidR="00F86F96" w:rsidRPr="00F16D92" w:rsidRDefault="00FB01BF" w:rsidP="00F95A40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Proplaceno z prostředků EU </w:t>
            </w:r>
            <w:r w:rsidR="0072510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v</w:t>
            </w:r>
            <w:r w:rsidR="0072510E">
              <w:rPr>
                <w:b/>
                <w:sz w:val="20"/>
                <w:szCs w:val="20"/>
              </w:rPr>
              <w:t xml:space="preserve"> mil. </w:t>
            </w:r>
            <w:r>
              <w:rPr>
                <w:b/>
                <w:sz w:val="20"/>
                <w:szCs w:val="20"/>
              </w:rPr>
              <w:t>Kč</w:t>
            </w:r>
            <w:r w:rsidR="0072510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55" w:type="dxa"/>
            <w:vAlign w:val="center"/>
          </w:tcPr>
          <w:p w14:paraId="1D5DD843" w14:textId="77777777" w:rsidR="0072510E" w:rsidRPr="00F16D92" w:rsidRDefault="00FB01BF" w:rsidP="00F95A40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Proplaceno z prostředků </w:t>
            </w:r>
            <w:r w:rsidR="0072510E">
              <w:rPr>
                <w:b/>
                <w:sz w:val="20"/>
                <w:szCs w:val="20"/>
              </w:rPr>
              <w:t>SR (</w:t>
            </w:r>
            <w:r>
              <w:rPr>
                <w:b/>
                <w:sz w:val="20"/>
                <w:szCs w:val="20"/>
              </w:rPr>
              <w:t>v</w:t>
            </w:r>
            <w:r w:rsidR="0072510E">
              <w:rPr>
                <w:b/>
                <w:sz w:val="20"/>
                <w:szCs w:val="20"/>
              </w:rPr>
              <w:t xml:space="preserve"> mil. </w:t>
            </w:r>
            <w:r>
              <w:rPr>
                <w:b/>
                <w:sz w:val="20"/>
                <w:szCs w:val="20"/>
              </w:rPr>
              <w:t>Kč</w:t>
            </w:r>
            <w:r w:rsidR="0072510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55" w:type="dxa"/>
            <w:vAlign w:val="center"/>
          </w:tcPr>
          <w:p w14:paraId="343E4900" w14:textId="7D6E976B" w:rsidR="00FB01BF" w:rsidRPr="00F16D92" w:rsidRDefault="00FB01BF" w:rsidP="00F95A40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Proplaceno celkem </w:t>
            </w:r>
            <w:r w:rsidR="00D70E20">
              <w:rPr>
                <w:rFonts w:cs="Calibri"/>
                <w:b/>
                <w:sz w:val="20"/>
                <w:szCs w:val="20"/>
              </w:rPr>
              <w:t>–</w:t>
            </w:r>
            <w:r w:rsidR="005D7C2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dotace </w:t>
            </w:r>
            <w:r w:rsidR="0072510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v</w:t>
            </w:r>
            <w:r w:rsidR="0072510E">
              <w:rPr>
                <w:b/>
                <w:sz w:val="20"/>
                <w:szCs w:val="20"/>
              </w:rPr>
              <w:t xml:space="preserve"> mil. </w:t>
            </w:r>
            <w:r>
              <w:rPr>
                <w:b/>
                <w:sz w:val="20"/>
                <w:szCs w:val="20"/>
              </w:rPr>
              <w:t>Kč</w:t>
            </w:r>
            <w:r w:rsidR="0072510E">
              <w:rPr>
                <w:b/>
                <w:sz w:val="20"/>
                <w:szCs w:val="20"/>
              </w:rPr>
              <w:t>)</w:t>
            </w:r>
          </w:p>
        </w:tc>
      </w:tr>
      <w:tr w:rsidR="00FB01BF" w14:paraId="67F54132" w14:textId="77777777" w:rsidTr="007539C2">
        <w:tc>
          <w:tcPr>
            <w:tcW w:w="1696" w:type="dxa"/>
            <w:vAlign w:val="center"/>
          </w:tcPr>
          <w:p w14:paraId="4AC0FEFB" w14:textId="77777777" w:rsidR="006306EE" w:rsidRPr="00F16D92" w:rsidRDefault="00D70E20" w:rsidP="007539C2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ind w:left="5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 </w:t>
            </w:r>
            <w:r w:rsidR="00FB01BF">
              <w:rPr>
                <w:b/>
                <w:sz w:val="20"/>
                <w:szCs w:val="20"/>
              </w:rPr>
              <w:t>2.1 IROP 1</w:t>
            </w:r>
          </w:p>
        </w:tc>
        <w:tc>
          <w:tcPr>
            <w:tcW w:w="2454" w:type="dxa"/>
            <w:vAlign w:val="center"/>
          </w:tcPr>
          <w:p w14:paraId="6902C497" w14:textId="77777777" w:rsidR="00FB01BF" w:rsidRPr="00F16D92" w:rsidRDefault="00FB01BF" w:rsidP="00F95A40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908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505</w:t>
            </w:r>
            <w:r w:rsidR="006908A3">
              <w:rPr>
                <w:sz w:val="20"/>
                <w:szCs w:val="20"/>
              </w:rPr>
              <w:t>,</w:t>
            </w:r>
            <w:r w:rsidR="003C7EED">
              <w:rPr>
                <w:sz w:val="20"/>
                <w:szCs w:val="20"/>
              </w:rPr>
              <w:t>4</w:t>
            </w:r>
          </w:p>
        </w:tc>
        <w:tc>
          <w:tcPr>
            <w:tcW w:w="2455" w:type="dxa"/>
            <w:vAlign w:val="center"/>
          </w:tcPr>
          <w:p w14:paraId="2A3CB3CB" w14:textId="77777777" w:rsidR="00FB01BF" w:rsidRPr="00F16D92" w:rsidRDefault="00FB01BF" w:rsidP="00F95A40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  <w:r w:rsidR="009D2A7A">
              <w:rPr>
                <w:sz w:val="20"/>
                <w:szCs w:val="20"/>
              </w:rPr>
              <w:t>,3</w:t>
            </w:r>
          </w:p>
        </w:tc>
        <w:tc>
          <w:tcPr>
            <w:tcW w:w="2455" w:type="dxa"/>
            <w:vAlign w:val="center"/>
          </w:tcPr>
          <w:p w14:paraId="75CA2B8A" w14:textId="77777777" w:rsidR="00FB01BF" w:rsidRPr="00F16D92" w:rsidRDefault="00FB01BF" w:rsidP="00F95A40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D2A7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791</w:t>
            </w:r>
            <w:r w:rsidR="009D2A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FB01BF" w14:paraId="5C9E3625" w14:textId="77777777" w:rsidTr="007539C2">
        <w:tc>
          <w:tcPr>
            <w:tcW w:w="1696" w:type="dxa"/>
            <w:vAlign w:val="center"/>
          </w:tcPr>
          <w:p w14:paraId="46D302F1" w14:textId="77777777" w:rsidR="00FB01BF" w:rsidRPr="00F16D92" w:rsidRDefault="00D70E20" w:rsidP="007539C2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ind w:left="5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 </w:t>
            </w:r>
            <w:r w:rsidR="00FB01BF">
              <w:rPr>
                <w:b/>
                <w:sz w:val="20"/>
                <w:szCs w:val="20"/>
              </w:rPr>
              <w:t>6.1 IROP 1</w:t>
            </w:r>
          </w:p>
        </w:tc>
        <w:tc>
          <w:tcPr>
            <w:tcW w:w="2454" w:type="dxa"/>
            <w:vAlign w:val="center"/>
          </w:tcPr>
          <w:p w14:paraId="2824A0FB" w14:textId="77777777" w:rsidR="00FB01BF" w:rsidRPr="00F16D92" w:rsidRDefault="00FB01BF" w:rsidP="00F95A40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510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694</w:t>
            </w:r>
            <w:r w:rsidR="007251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55" w:type="dxa"/>
            <w:vAlign w:val="center"/>
          </w:tcPr>
          <w:p w14:paraId="20409753" w14:textId="77777777" w:rsidR="00FB01BF" w:rsidRPr="00F16D92" w:rsidRDefault="00FB01BF" w:rsidP="00F95A40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  <w:r w:rsidR="009D2A7A">
              <w:rPr>
                <w:sz w:val="20"/>
                <w:szCs w:val="20"/>
              </w:rPr>
              <w:t>,</w:t>
            </w:r>
            <w:r w:rsidR="003C7EED">
              <w:rPr>
                <w:sz w:val="20"/>
                <w:szCs w:val="20"/>
              </w:rPr>
              <w:t>5</w:t>
            </w:r>
          </w:p>
        </w:tc>
        <w:tc>
          <w:tcPr>
            <w:tcW w:w="2455" w:type="dxa"/>
            <w:vAlign w:val="center"/>
          </w:tcPr>
          <w:p w14:paraId="68FA1255" w14:textId="77777777" w:rsidR="00FB01BF" w:rsidRPr="00F16D92" w:rsidRDefault="00FB01BF" w:rsidP="00F95A40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D2A7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858</w:t>
            </w:r>
            <w:r w:rsidR="009D2A7A">
              <w:rPr>
                <w:sz w:val="20"/>
                <w:szCs w:val="20"/>
              </w:rPr>
              <w:t>,</w:t>
            </w:r>
            <w:r w:rsidR="003C7EED">
              <w:rPr>
                <w:sz w:val="20"/>
                <w:szCs w:val="20"/>
              </w:rPr>
              <w:t>7</w:t>
            </w:r>
          </w:p>
        </w:tc>
      </w:tr>
      <w:tr w:rsidR="00FB01BF" w14:paraId="13162C4E" w14:textId="77777777" w:rsidTr="007539C2">
        <w:tc>
          <w:tcPr>
            <w:tcW w:w="1696" w:type="dxa"/>
            <w:vAlign w:val="center"/>
          </w:tcPr>
          <w:p w14:paraId="3C901F87" w14:textId="77777777" w:rsidR="00FB01BF" w:rsidRPr="00F16D92" w:rsidRDefault="00D70E20" w:rsidP="007539C2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ind w:left="5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 </w:t>
            </w:r>
            <w:r w:rsidR="00FB01BF">
              <w:rPr>
                <w:b/>
                <w:sz w:val="20"/>
                <w:szCs w:val="20"/>
              </w:rPr>
              <w:t>4.2 IROP 2</w:t>
            </w:r>
          </w:p>
        </w:tc>
        <w:tc>
          <w:tcPr>
            <w:tcW w:w="2454" w:type="dxa"/>
            <w:vAlign w:val="center"/>
          </w:tcPr>
          <w:p w14:paraId="00166214" w14:textId="77777777" w:rsidR="00FB01BF" w:rsidRPr="00F16D92" w:rsidRDefault="00FB01BF" w:rsidP="00F95A40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  <w:r w:rsidR="0072510E">
              <w:rPr>
                <w:sz w:val="20"/>
                <w:szCs w:val="20"/>
              </w:rPr>
              <w:t>,1</w:t>
            </w:r>
          </w:p>
        </w:tc>
        <w:tc>
          <w:tcPr>
            <w:tcW w:w="2455" w:type="dxa"/>
            <w:vAlign w:val="center"/>
          </w:tcPr>
          <w:p w14:paraId="75BD392F" w14:textId="77777777" w:rsidR="00FB01BF" w:rsidRPr="00F16D92" w:rsidRDefault="00FB01BF" w:rsidP="00F95A40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9D2A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455" w:type="dxa"/>
            <w:vAlign w:val="center"/>
          </w:tcPr>
          <w:p w14:paraId="7747A873" w14:textId="77777777" w:rsidR="00FB01BF" w:rsidRPr="00F16D92" w:rsidRDefault="00FB01BF" w:rsidP="00F95A40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  <w:r w:rsidR="009D2A7A">
              <w:rPr>
                <w:sz w:val="20"/>
                <w:szCs w:val="20"/>
              </w:rPr>
              <w:t>,7</w:t>
            </w:r>
          </w:p>
        </w:tc>
      </w:tr>
      <w:tr w:rsidR="00FB01BF" w14:paraId="7AE5794E" w14:textId="77777777" w:rsidTr="007539C2">
        <w:tc>
          <w:tcPr>
            <w:tcW w:w="1696" w:type="dxa"/>
            <w:vAlign w:val="center"/>
          </w:tcPr>
          <w:p w14:paraId="54AE6ECC" w14:textId="77777777" w:rsidR="00FB01BF" w:rsidRPr="00F16D92" w:rsidRDefault="006306EE" w:rsidP="007539C2">
            <w:pPr>
              <w:pStyle w:val="JK2"/>
              <w:numPr>
                <w:ilvl w:val="0"/>
                <w:numId w:val="0"/>
              </w:numPr>
              <w:tabs>
                <w:tab w:val="clear" w:pos="567"/>
              </w:tabs>
              <w:spacing w:before="0" w:after="0"/>
              <w:ind w:left="5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2454" w:type="dxa"/>
            <w:vAlign w:val="center"/>
          </w:tcPr>
          <w:p w14:paraId="42DD665F" w14:textId="77777777" w:rsidR="00FB01BF" w:rsidRPr="00F16D92" w:rsidRDefault="00FB01BF" w:rsidP="00F95A40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2510E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480</w:t>
            </w:r>
            <w:r w:rsidR="0072510E">
              <w:rPr>
                <w:b/>
                <w:sz w:val="20"/>
                <w:szCs w:val="20"/>
              </w:rPr>
              <w:t>,</w:t>
            </w:r>
            <w:r w:rsidR="003C7EE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55" w:type="dxa"/>
            <w:vAlign w:val="center"/>
          </w:tcPr>
          <w:p w14:paraId="42AD1152" w14:textId="77777777" w:rsidR="00FB01BF" w:rsidRPr="00F16D92" w:rsidRDefault="00FB01BF" w:rsidP="00F95A40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489</w:t>
            </w:r>
            <w:r w:rsidR="009D2A7A">
              <w:rPr>
                <w:b/>
                <w:sz w:val="20"/>
                <w:szCs w:val="20"/>
              </w:rPr>
              <w:t>,4</w:t>
            </w:r>
          </w:p>
        </w:tc>
        <w:tc>
          <w:tcPr>
            <w:tcW w:w="2455" w:type="dxa"/>
            <w:vAlign w:val="center"/>
          </w:tcPr>
          <w:p w14:paraId="047E4338" w14:textId="77777777" w:rsidR="00FB01BF" w:rsidRPr="00F16D92" w:rsidRDefault="00FB01BF" w:rsidP="00F95A40">
            <w:pPr>
              <w:pStyle w:val="JK2"/>
              <w:numPr>
                <w:ilvl w:val="0"/>
                <w:numId w:val="0"/>
              </w:numPr>
              <w:tabs>
                <w:tab w:val="clear" w:pos="567"/>
                <w:tab w:val="left" w:pos="482"/>
              </w:tabs>
              <w:spacing w:before="0"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9D2A7A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970</w:t>
            </w:r>
            <w:r w:rsidR="009D2A7A">
              <w:rPr>
                <w:b/>
                <w:sz w:val="20"/>
                <w:szCs w:val="20"/>
              </w:rPr>
              <w:t>,0</w:t>
            </w:r>
          </w:p>
        </w:tc>
      </w:tr>
    </w:tbl>
    <w:p w14:paraId="506BADDB" w14:textId="16B3D7A3" w:rsidR="00FB01BF" w:rsidRPr="007539C2" w:rsidRDefault="00FB01BF" w:rsidP="00F95A40">
      <w:pPr>
        <w:pStyle w:val="JK2"/>
        <w:numPr>
          <w:ilvl w:val="0"/>
          <w:numId w:val="0"/>
        </w:numPr>
        <w:tabs>
          <w:tab w:val="clear" w:pos="567"/>
          <w:tab w:val="left" w:pos="482"/>
        </w:tabs>
        <w:spacing w:before="0"/>
        <w:contextualSpacing/>
        <w:rPr>
          <w:sz w:val="20"/>
          <w:szCs w:val="20"/>
        </w:rPr>
      </w:pPr>
      <w:r w:rsidRPr="007539C2">
        <w:rPr>
          <w:b/>
          <w:sz w:val="20"/>
          <w:szCs w:val="20"/>
        </w:rPr>
        <w:t>Zdroj:</w:t>
      </w:r>
      <w:r w:rsidRPr="007539C2">
        <w:rPr>
          <w:sz w:val="20"/>
          <w:szCs w:val="20"/>
        </w:rPr>
        <w:t xml:space="preserve"> </w:t>
      </w:r>
      <w:r w:rsidR="00E47EB9">
        <w:rPr>
          <w:sz w:val="20"/>
          <w:szCs w:val="20"/>
        </w:rPr>
        <w:t>m</w:t>
      </w:r>
      <w:r w:rsidRPr="007539C2">
        <w:rPr>
          <w:sz w:val="20"/>
          <w:szCs w:val="20"/>
        </w:rPr>
        <w:t>onitorovací systém</w:t>
      </w:r>
      <w:r w:rsidR="00E47EB9">
        <w:rPr>
          <w:sz w:val="20"/>
          <w:szCs w:val="20"/>
        </w:rPr>
        <w:t>y</w:t>
      </w:r>
      <w:r w:rsidRPr="007539C2">
        <w:rPr>
          <w:sz w:val="20"/>
          <w:szCs w:val="20"/>
        </w:rPr>
        <w:t xml:space="preserve"> MS2014+ a MS2021+</w:t>
      </w:r>
      <w:r w:rsidR="0072510E" w:rsidRPr="007539C2">
        <w:rPr>
          <w:sz w:val="20"/>
          <w:szCs w:val="20"/>
        </w:rPr>
        <w:t>.</w:t>
      </w:r>
    </w:p>
    <w:p w14:paraId="4DF98299" w14:textId="77777777" w:rsidR="006306EE" w:rsidRPr="007539C2" w:rsidRDefault="006306EE" w:rsidP="00F95A40">
      <w:pPr>
        <w:pStyle w:val="JK2"/>
        <w:numPr>
          <w:ilvl w:val="0"/>
          <w:numId w:val="0"/>
        </w:numPr>
        <w:tabs>
          <w:tab w:val="clear" w:pos="567"/>
          <w:tab w:val="left" w:pos="482"/>
        </w:tabs>
        <w:spacing w:before="0"/>
        <w:contextualSpacing/>
        <w:rPr>
          <w:sz w:val="20"/>
          <w:szCs w:val="20"/>
        </w:rPr>
      </w:pPr>
      <w:r w:rsidRPr="007539C2">
        <w:rPr>
          <w:b/>
          <w:sz w:val="20"/>
          <w:szCs w:val="20"/>
        </w:rPr>
        <w:t>Poznámka:</w:t>
      </w:r>
      <w:r w:rsidRPr="007539C2">
        <w:rPr>
          <w:sz w:val="20"/>
          <w:szCs w:val="20"/>
        </w:rPr>
        <w:t xml:space="preserve"> Uváděné částky jsou zaokrouhleny.</w:t>
      </w:r>
    </w:p>
    <w:p w14:paraId="781411D4" w14:textId="77777777" w:rsidR="00F95A40" w:rsidRPr="007539C2" w:rsidRDefault="00F95A40" w:rsidP="00F95A40">
      <w:pPr>
        <w:pStyle w:val="JK2"/>
        <w:numPr>
          <w:ilvl w:val="0"/>
          <w:numId w:val="0"/>
        </w:numPr>
        <w:tabs>
          <w:tab w:val="clear" w:pos="567"/>
          <w:tab w:val="left" w:pos="482"/>
        </w:tabs>
        <w:spacing w:before="0"/>
        <w:contextualSpacing/>
        <w:rPr>
          <w:sz w:val="20"/>
          <w:szCs w:val="20"/>
        </w:rPr>
      </w:pPr>
    </w:p>
    <w:p w14:paraId="34FCE196" w14:textId="77777777" w:rsidR="00F95A40" w:rsidRPr="007539C2" w:rsidRDefault="00F95A40" w:rsidP="00F95A40">
      <w:pPr>
        <w:pStyle w:val="JK2"/>
        <w:numPr>
          <w:ilvl w:val="0"/>
          <w:numId w:val="0"/>
        </w:numPr>
        <w:tabs>
          <w:tab w:val="clear" w:pos="567"/>
          <w:tab w:val="left" w:pos="482"/>
        </w:tabs>
        <w:spacing w:before="0"/>
        <w:contextualSpacing/>
        <w:rPr>
          <w:sz w:val="20"/>
          <w:szCs w:val="20"/>
        </w:rPr>
      </w:pPr>
    </w:p>
    <w:p w14:paraId="6466FCCD" w14:textId="77777777" w:rsidR="00F95A40" w:rsidRPr="007539C2" w:rsidRDefault="00F95A40" w:rsidP="00F95A40">
      <w:pPr>
        <w:pStyle w:val="JK2"/>
        <w:numPr>
          <w:ilvl w:val="0"/>
          <w:numId w:val="0"/>
        </w:numPr>
        <w:tabs>
          <w:tab w:val="clear" w:pos="567"/>
          <w:tab w:val="left" w:pos="482"/>
        </w:tabs>
        <w:spacing w:before="0"/>
        <w:contextualSpacing/>
        <w:rPr>
          <w:sz w:val="20"/>
          <w:szCs w:val="20"/>
        </w:rPr>
      </w:pPr>
    </w:p>
    <w:p w14:paraId="5DFD1EFC" w14:textId="77777777" w:rsidR="00FB01BF" w:rsidRPr="00972A4E" w:rsidRDefault="00FB01BF" w:rsidP="00F95A40">
      <w:pPr>
        <w:pStyle w:val="Kontrolnprotokol"/>
        <w:keepNext/>
        <w:spacing w:before="120" w:after="120"/>
        <w:rPr>
          <w:b/>
          <w:color w:val="00ADDB"/>
        </w:rPr>
      </w:pPr>
      <w:r w:rsidRPr="00972A4E">
        <w:rPr>
          <w:b/>
          <w:color w:val="00ADDB"/>
        </w:rPr>
        <w:t>Zacílení výzev, povinnosti žadatelů</w:t>
      </w:r>
    </w:p>
    <w:p w14:paraId="529A9392" w14:textId="7517CD66" w:rsidR="00FB01BF" w:rsidRPr="00DB050F" w:rsidRDefault="00FB01BF" w:rsidP="00F95A40">
      <w:pPr>
        <w:pStyle w:val="JK2"/>
        <w:tabs>
          <w:tab w:val="clear" w:pos="567"/>
          <w:tab w:val="left" w:pos="482"/>
        </w:tabs>
        <w:ind w:left="0" w:firstLine="0"/>
      </w:pPr>
      <w:r>
        <w:t>MMR vymezilo obecné i věcné zacílení podpory infrastruktury sociálních služeb v IROP 1 i v IROP 2 především podle typu podporovaných operací (deinstitucionalizace, dostupnost a</w:t>
      </w:r>
      <w:r w:rsidR="0034725D">
        <w:t> </w:t>
      </w:r>
      <w:r>
        <w:t>rozvoj sociálních služeb), podporovaných aktivit a cílových skupin. Cílů mělo být dosaženo takovým způsobem, aby zamýšlená podpora vedla ke zvýšení dostupnosti a kvality podpořených sociálních služeb. V</w:t>
      </w:r>
      <w:r w:rsidR="00E900CC">
        <w:t xml:space="preserve"> </w:t>
      </w:r>
      <w:r>
        <w:t xml:space="preserve">každé výzvě byly ke sledování </w:t>
      </w:r>
      <w:r w:rsidRPr="00DB050F">
        <w:t>poskytnuté podpory</w:t>
      </w:r>
      <w:r w:rsidR="00D70E20">
        <w:t xml:space="preserve"> stanoveny rovněž indikátory</w:t>
      </w:r>
      <w:r w:rsidRPr="00DB050F">
        <w:t xml:space="preserve">, z nichž si žadatelé vybírali ty, které se zavázali realizací projektu naplnit. </w:t>
      </w:r>
    </w:p>
    <w:p w14:paraId="0F1C22B5" w14:textId="5431360D" w:rsidR="00FB01BF" w:rsidRDefault="00FB01BF" w:rsidP="00F95A40">
      <w:pPr>
        <w:pStyle w:val="JK2"/>
        <w:ind w:left="0" w:firstLine="0"/>
      </w:pPr>
      <w:r>
        <w:t>Žadatelé o podporu byli povinni kromě vlastní žádosti předložit i přílohy, z</w:t>
      </w:r>
      <w:r w:rsidR="002B59F8">
        <w:t xml:space="preserve"> </w:t>
      </w:r>
      <w:r>
        <w:t xml:space="preserve">nichž nejdůležitější byla </w:t>
      </w:r>
      <w:r w:rsidR="00440561">
        <w:t>„</w:t>
      </w:r>
      <w:r w:rsidR="00D70E20" w:rsidRPr="00440561">
        <w:t>s</w:t>
      </w:r>
      <w:r w:rsidRPr="00440561">
        <w:t>tudie proveditelnosti</w:t>
      </w:r>
      <w:r w:rsidR="00440561" w:rsidRPr="007539C2">
        <w:t>“</w:t>
      </w:r>
      <w:r>
        <w:t>, zpracovaná podle</w:t>
      </w:r>
      <w:r w:rsidR="00A43935">
        <w:t xml:space="preserve"> </w:t>
      </w:r>
      <w:r>
        <w:t>osnovy</w:t>
      </w:r>
      <w:r w:rsidR="008117A4">
        <w:t xml:space="preserve"> předepsané ze strany MMR</w:t>
      </w:r>
      <w:r>
        <w:t xml:space="preserve">. V ní žadatelé podrobně rozváděli skutečnosti uvedené v žádosti o podporu, zejména </w:t>
      </w:r>
      <w:r w:rsidR="00440561">
        <w:t xml:space="preserve">předkládali </w:t>
      </w:r>
      <w:r>
        <w:t xml:space="preserve">podrobný popis projektu, zdůvodnění jeho potřebnosti, informace o plánovaných výstupech projektu, analýzu rozvoje sociálních služeb v místě realizace projektu a další. Studie sloužila k posouzení realizovatelnosti a potřebnosti projektu. </w:t>
      </w:r>
    </w:p>
    <w:p w14:paraId="456C24FD" w14:textId="74A95966" w:rsidR="00FB01BF" w:rsidRDefault="00FB01BF" w:rsidP="00FB01BF">
      <w:pPr>
        <w:pStyle w:val="JK2"/>
        <w:ind w:left="0" w:firstLine="0"/>
      </w:pPr>
      <w:r>
        <w:t>Zaregistrovan</w:t>
      </w:r>
      <w:r w:rsidR="00F85227">
        <w:t>é</w:t>
      </w:r>
      <w:r>
        <w:t xml:space="preserve"> žádost</w:t>
      </w:r>
      <w:r w:rsidR="00F85227">
        <w:t>i</w:t>
      </w:r>
      <w:r>
        <w:t xml:space="preserve"> o podporu hodnotilo podle předem stanovených kritérií</w:t>
      </w:r>
      <w:r>
        <w:rPr>
          <w:rStyle w:val="Znakapoznpodarou"/>
        </w:rPr>
        <w:footnoteReference w:id="15"/>
      </w:r>
      <w:r>
        <w:t xml:space="preserve"> Centrum pro regionální rozvoj </w:t>
      </w:r>
      <w:r w:rsidRPr="00C351C4">
        <w:t xml:space="preserve">(dále také „CRR“), s cílem </w:t>
      </w:r>
      <w:r w:rsidR="008117A4" w:rsidRPr="00C351C4">
        <w:t>posoudit</w:t>
      </w:r>
      <w:r>
        <w:t xml:space="preserve"> jejich kvalitu a naplnění administrativních požadavků. Kladně vyhodnocené projekty doporučilo </w:t>
      </w:r>
      <w:r w:rsidR="00440561">
        <w:t xml:space="preserve">CRR </w:t>
      </w:r>
      <w:r>
        <w:t>k</w:t>
      </w:r>
      <w:r w:rsidR="00E900CC">
        <w:t xml:space="preserve"> </w:t>
      </w:r>
      <w:r>
        <w:t xml:space="preserve">financování. Projekty doporučené k financování schválil ŘO IROP a vydal k nim </w:t>
      </w:r>
      <w:r w:rsidR="00440561">
        <w:t>„r</w:t>
      </w:r>
      <w:r>
        <w:t>ozhodnutí o poskytnutí dotace</w:t>
      </w:r>
      <w:r w:rsidR="00440561">
        <w:t>“</w:t>
      </w:r>
      <w:r w:rsidR="00142D73">
        <w:t xml:space="preserve"> (dále t</w:t>
      </w:r>
      <w:r w:rsidR="00AC1BE7">
        <w:t>aké</w:t>
      </w:r>
      <w:r w:rsidR="00142D73">
        <w:t xml:space="preserve"> „RoPD“)</w:t>
      </w:r>
      <w:r>
        <w:t xml:space="preserve">, jejichž nedílnou součástí byly </w:t>
      </w:r>
      <w:r w:rsidR="00440561">
        <w:t>„p</w:t>
      </w:r>
      <w:r>
        <w:t>odmínky</w:t>
      </w:r>
      <w:r w:rsidR="00440561">
        <w:t>“</w:t>
      </w:r>
      <w:r>
        <w:t xml:space="preserve">, v nichž byl stanoven finanční rámec projektu a hlavně podmínky, na které je poskytnutí dotace vázáno, včetně informací o případných sankcích při jejich nedodržení. Podpora byla poskytována formou </w:t>
      </w:r>
      <w:r w:rsidR="008E6C5A">
        <w:br/>
      </w:r>
      <w:r>
        <w:t>ex-post financování.</w:t>
      </w:r>
    </w:p>
    <w:p w14:paraId="60D3D054" w14:textId="5C08ED24" w:rsidR="00FB01BF" w:rsidRDefault="00FB01BF" w:rsidP="00FB01BF">
      <w:pPr>
        <w:pStyle w:val="JK2"/>
        <w:ind w:left="0" w:firstLine="0"/>
        <w:contextualSpacing/>
      </w:pPr>
      <w:r>
        <w:t>Nejčastěji podporovanými aktivitami v rámci specifických cílů IROP 1 a IROP 2 byly:</w:t>
      </w:r>
    </w:p>
    <w:p w14:paraId="5576BF72" w14:textId="2FD26D32" w:rsidR="00A43935" w:rsidRDefault="00A20099" w:rsidP="007539C2">
      <w:pPr>
        <w:pStyle w:val="JK2"/>
        <w:numPr>
          <w:ilvl w:val="0"/>
          <w:numId w:val="33"/>
        </w:numPr>
        <w:tabs>
          <w:tab w:val="clear" w:pos="567"/>
        </w:tabs>
        <w:ind w:left="851" w:hanging="284"/>
        <w:contextualSpacing/>
      </w:pPr>
      <w:r>
        <w:t>n</w:t>
      </w:r>
      <w:r w:rsidR="00FB01BF">
        <w:t>ákup objektů, zařízení a vybavení</w:t>
      </w:r>
      <w:r w:rsidR="00440561">
        <w:t>;</w:t>
      </w:r>
      <w:r w:rsidR="00FB01BF">
        <w:t xml:space="preserve"> výstavba a stavební úpravy, které vytvoří podmínky pro kvalitní poskytování sociálních služeb, obnovu a zkvalitnění materiálně technické základny stávajících služeb sociální práce s cílovými skupinami</w:t>
      </w:r>
      <w:r w:rsidR="00440561">
        <w:t xml:space="preserve">; pořízení </w:t>
      </w:r>
      <w:r w:rsidR="00DA4215">
        <w:t xml:space="preserve">vybavení </w:t>
      </w:r>
      <w:r>
        <w:t>z</w:t>
      </w:r>
      <w:r w:rsidR="00FB01BF">
        <w:t>ázemí pro sociální služby</w:t>
      </w:r>
      <w:r w:rsidR="00440561">
        <w:t>;</w:t>
      </w:r>
      <w:r w:rsidR="00A01D5F">
        <w:t xml:space="preserve"> </w:t>
      </w:r>
      <w:r w:rsidR="00DA4215">
        <w:t>vybudování</w:t>
      </w:r>
      <w:r w:rsidR="001241FA">
        <w:t xml:space="preserve"> </w:t>
      </w:r>
      <w:r>
        <w:t>i</w:t>
      </w:r>
      <w:r w:rsidR="00FB01BF">
        <w:t>nfrastruktur</w:t>
      </w:r>
      <w:r w:rsidR="001241FA">
        <w:t>y</w:t>
      </w:r>
      <w:r w:rsidR="00FB01BF">
        <w:t xml:space="preserve"> pro dostupnost </w:t>
      </w:r>
      <w:r w:rsidR="008E6C5A">
        <w:br/>
      </w:r>
      <w:r w:rsidR="00FB01BF">
        <w:t>a</w:t>
      </w:r>
      <w:r w:rsidR="008E6C5A">
        <w:t xml:space="preserve"> </w:t>
      </w:r>
      <w:r w:rsidR="00FB01BF">
        <w:t xml:space="preserve">rozvoj sociální služby se </w:t>
      </w:r>
      <w:r w:rsidR="000D005E">
        <w:t xml:space="preserve">zvýšenou </w:t>
      </w:r>
      <w:r w:rsidR="00FB01BF">
        <w:t>energetickou účinností (pouze pro projekty realizované v rámci SC 6.1 IROP 1)</w:t>
      </w:r>
      <w:r w:rsidR="003B4997" w:rsidRPr="00A43935">
        <w:rPr>
          <w:vertAlign w:val="superscript"/>
        </w:rPr>
        <w:footnoteReference w:id="16"/>
      </w:r>
      <w:r w:rsidR="00FB01BF">
        <w:t>.</w:t>
      </w:r>
    </w:p>
    <w:p w14:paraId="479B6E47" w14:textId="77777777" w:rsidR="0060445A" w:rsidRDefault="0060445A" w:rsidP="0060445A">
      <w:pPr>
        <w:pStyle w:val="JK2"/>
        <w:numPr>
          <w:ilvl w:val="0"/>
          <w:numId w:val="0"/>
        </w:numPr>
        <w:tabs>
          <w:tab w:val="clear" w:pos="567"/>
        </w:tabs>
        <w:spacing w:after="240"/>
        <w:ind w:left="720"/>
        <w:contextualSpacing/>
      </w:pPr>
    </w:p>
    <w:p w14:paraId="30E268EB" w14:textId="77777777" w:rsidR="00504F32" w:rsidRPr="00E40071" w:rsidRDefault="00504F32" w:rsidP="0068554B">
      <w:pPr>
        <w:pStyle w:val="Nadpis1"/>
        <w:keepNext w:val="0"/>
        <w:widowControl w:val="0"/>
        <w:spacing w:before="360" w:after="120"/>
        <w:rPr>
          <w:sz w:val="20"/>
          <w:szCs w:val="20"/>
        </w:rPr>
      </w:pPr>
      <w:bookmarkStart w:id="13" w:name="_Hlk97728594"/>
      <w:r>
        <w:t xml:space="preserve">III. </w:t>
      </w:r>
      <w:r w:rsidRPr="00D96C84">
        <w:t>Rozsah kontroly</w:t>
      </w:r>
      <w:r w:rsidR="00E40071">
        <w:t xml:space="preserve"> </w:t>
      </w:r>
    </w:p>
    <w:p w14:paraId="78DFD204" w14:textId="237E72C9" w:rsidR="00504F32" w:rsidRPr="00DA5431" w:rsidRDefault="00504F32" w:rsidP="00B910FC">
      <w:pPr>
        <w:pStyle w:val="JK3"/>
      </w:pPr>
      <w:bookmarkStart w:id="14" w:name="_Hlk97729707"/>
      <w:bookmarkEnd w:id="13"/>
      <w:r w:rsidRPr="00364E88">
        <w:t>Cílem kontrolní</w:t>
      </w:r>
      <w:r w:rsidRPr="0010562A">
        <w:t xml:space="preserve"> akce bylo prověřit, zda </w:t>
      </w:r>
      <w:r w:rsidR="00B80F2B">
        <w:t xml:space="preserve">peněžní prostředky poskytované Ministerstvem pro místní rozvoj </w:t>
      </w:r>
      <w:r w:rsidR="00750A8B">
        <w:t>na infrastrukturu sociálních služeb byly vynakládány účelně a v</w:t>
      </w:r>
      <w:r w:rsidR="002B59F8">
        <w:t xml:space="preserve"> </w:t>
      </w:r>
      <w:r w:rsidR="00750A8B">
        <w:t xml:space="preserve">souladu </w:t>
      </w:r>
      <w:r w:rsidR="002B59F8">
        <w:br/>
      </w:r>
      <w:r w:rsidR="00750A8B">
        <w:t>s</w:t>
      </w:r>
      <w:r w:rsidR="002B59F8">
        <w:t xml:space="preserve"> </w:t>
      </w:r>
      <w:r w:rsidR="00750A8B">
        <w:t>právními předpisy.</w:t>
      </w:r>
      <w:r w:rsidR="002B2994">
        <w:t xml:space="preserve"> </w:t>
      </w:r>
      <w:r w:rsidRPr="00DA5431">
        <w:t>NKÚ provedl kontrolu u MMR jako</w:t>
      </w:r>
      <w:r w:rsidR="00C70306">
        <w:t xml:space="preserve"> ř</w:t>
      </w:r>
      <w:r w:rsidRPr="00DA5431">
        <w:t xml:space="preserve">ídicího orgánu </w:t>
      </w:r>
      <w:r w:rsidRPr="00DA5431">
        <w:rPr>
          <w:i/>
        </w:rPr>
        <w:t>Integrovaného regionálního operačního programu</w:t>
      </w:r>
      <w:r>
        <w:t xml:space="preserve"> a u</w:t>
      </w:r>
      <w:r w:rsidR="00B910FC">
        <w:t xml:space="preserve"> </w:t>
      </w:r>
      <w:r w:rsidRPr="00DA5431">
        <w:t xml:space="preserve">vybraných příjemců podpory </w:t>
      </w:r>
      <w:r>
        <w:t>poskytnuté ze SC</w:t>
      </w:r>
      <w:r w:rsidR="00B910FC">
        <w:t> </w:t>
      </w:r>
      <w:r>
        <w:t>2.</w:t>
      </w:r>
      <w:r w:rsidR="00173B9B">
        <w:t>1</w:t>
      </w:r>
      <w:r w:rsidR="00B910FC">
        <w:t xml:space="preserve"> IROP 1, </w:t>
      </w:r>
      <w:r w:rsidR="00173B9B">
        <w:t>SC</w:t>
      </w:r>
      <w:r w:rsidR="00710A4A">
        <w:t> </w:t>
      </w:r>
      <w:r w:rsidR="00173B9B">
        <w:t>6.1</w:t>
      </w:r>
      <w:r>
        <w:t xml:space="preserve"> IROP</w:t>
      </w:r>
      <w:r w:rsidR="00173B9B">
        <w:t xml:space="preserve"> 1 a SC 4.2 IROP 2</w:t>
      </w:r>
      <w:r w:rsidRPr="00DA5431">
        <w:t>.</w:t>
      </w:r>
      <w:r>
        <w:t xml:space="preserve"> </w:t>
      </w:r>
    </w:p>
    <w:p w14:paraId="3D88CAB4" w14:textId="4150F91A" w:rsidR="00C554B2" w:rsidRPr="00A44D58" w:rsidRDefault="00504F32" w:rsidP="00B910FC">
      <w:pPr>
        <w:pStyle w:val="JK3"/>
      </w:pPr>
      <w:r w:rsidRPr="00056601">
        <w:t xml:space="preserve">Kontrolou </w:t>
      </w:r>
      <w:r>
        <w:t xml:space="preserve">u MMR </w:t>
      </w:r>
      <w:r w:rsidRPr="00056601">
        <w:t>bylo posouzeno</w:t>
      </w:r>
      <w:r w:rsidR="002B2994">
        <w:t xml:space="preserve">, zda </w:t>
      </w:r>
      <w:r w:rsidR="00B910FC">
        <w:t xml:space="preserve">má </w:t>
      </w:r>
      <w:r w:rsidR="002B2994">
        <w:t>nastavený systém poskytování podpory předpoklady</w:t>
      </w:r>
      <w:r w:rsidRPr="00056601">
        <w:t xml:space="preserve"> </w:t>
      </w:r>
      <w:r w:rsidR="002B2994">
        <w:t xml:space="preserve">k účelnému poskytování podpory </w:t>
      </w:r>
      <w:r>
        <w:t>na infrastruktur</w:t>
      </w:r>
      <w:r w:rsidR="002B2994">
        <w:t>u</w:t>
      </w:r>
      <w:r>
        <w:t xml:space="preserve"> sociálních služeb</w:t>
      </w:r>
      <w:r w:rsidR="00C51249">
        <w:rPr>
          <w:rStyle w:val="Znakapoznpodarou"/>
        </w:rPr>
        <w:footnoteReference w:id="17"/>
      </w:r>
      <w:r w:rsidR="002D3477">
        <w:t>; podrobné skutečnosti zjištěné kontrolou jsou uvedeny v kapitole A. části IV</w:t>
      </w:r>
      <w:r w:rsidR="002B2994">
        <w:t>.</w:t>
      </w:r>
      <w:r>
        <w:t xml:space="preserve"> </w:t>
      </w:r>
      <w:r w:rsidR="00C51249">
        <w:t xml:space="preserve">Účelnost vynaložených </w:t>
      </w:r>
      <w:r w:rsidR="009C0A1B">
        <w:t xml:space="preserve">peněžních </w:t>
      </w:r>
      <w:r w:rsidR="00C51249">
        <w:t xml:space="preserve">prostředků kontroloval NKÚ na vzorku </w:t>
      </w:r>
      <w:r w:rsidR="00696ACA">
        <w:t xml:space="preserve">14 </w:t>
      </w:r>
      <w:r w:rsidRPr="00A44D58">
        <w:t>projektů realizovaných osmi příjemc</w:t>
      </w:r>
      <w:r>
        <w:t>i</w:t>
      </w:r>
      <w:r w:rsidRPr="00A44D58">
        <w:t xml:space="preserve"> podpory (dále </w:t>
      </w:r>
      <w:r w:rsidRPr="002500D2">
        <w:t>také „vybrané projekty“)</w:t>
      </w:r>
      <w:r w:rsidR="00B006BB" w:rsidRPr="002500D2">
        <w:rPr>
          <w:rStyle w:val="Znakapoznpodarou"/>
        </w:rPr>
        <w:footnoteReference w:id="18"/>
      </w:r>
      <w:r w:rsidR="002D3477" w:rsidRPr="002500D2">
        <w:t>; podrobné</w:t>
      </w:r>
      <w:r w:rsidR="002D3477">
        <w:t xml:space="preserve"> skutečnosti zjištěné kontrolou u příjemců jsou obsaženy v kapitole B. části IV</w:t>
      </w:r>
      <w:r w:rsidRPr="00A44D58">
        <w:t xml:space="preserve">. </w:t>
      </w:r>
      <w:r w:rsidR="002D3477">
        <w:t>N</w:t>
      </w:r>
      <w:r w:rsidR="002D3477" w:rsidRPr="00954086">
        <w:t xml:space="preserve">KÚ </w:t>
      </w:r>
      <w:r w:rsidR="002D3477">
        <w:t xml:space="preserve">v rámci provedené kontroly </w:t>
      </w:r>
      <w:r w:rsidR="002D3477" w:rsidRPr="00954086">
        <w:t>hodnotil</w:t>
      </w:r>
      <w:r w:rsidR="002D3477">
        <w:t xml:space="preserve"> v relevantních případech</w:t>
      </w:r>
      <w:r w:rsidR="002D3477" w:rsidRPr="00954086">
        <w:t xml:space="preserve"> dopady nedostatků zjištěných na úrovni systému u MMR na samotnou realizaci vybraných projektů.</w:t>
      </w:r>
    </w:p>
    <w:p w14:paraId="43D540EB" w14:textId="5A7135C8" w:rsidR="00AD41B3" w:rsidRPr="006306EE" w:rsidRDefault="007B58A1" w:rsidP="00B910FC">
      <w:pPr>
        <w:pStyle w:val="JK3"/>
      </w:pPr>
      <w:r w:rsidRPr="006306EE">
        <w:t>Při výběru projektů ke kontrole zohlednil</w:t>
      </w:r>
      <w:r w:rsidR="001B5EA7" w:rsidRPr="006306EE">
        <w:t xml:space="preserve"> </w:t>
      </w:r>
      <w:r w:rsidR="00B910FC" w:rsidRPr="006306EE">
        <w:t xml:space="preserve">NKÚ </w:t>
      </w:r>
      <w:r w:rsidRPr="006306EE">
        <w:t>míru věcného pokroku v realizaci projektů (všechny</w:t>
      </w:r>
      <w:r w:rsidR="00AD41B3" w:rsidRPr="006306EE">
        <w:t xml:space="preserve"> vybrané projekty </w:t>
      </w:r>
      <w:r w:rsidRPr="006306EE">
        <w:t>jsou</w:t>
      </w:r>
      <w:r w:rsidR="00AD41B3" w:rsidRPr="006306EE">
        <w:t xml:space="preserve"> již ukončeny</w:t>
      </w:r>
      <w:r w:rsidRPr="006306EE">
        <w:t>), variabilitu aktivit projektu</w:t>
      </w:r>
      <w:r w:rsidR="001B5EA7" w:rsidRPr="006306EE">
        <w:t xml:space="preserve"> a </w:t>
      </w:r>
      <w:r w:rsidRPr="006306EE">
        <w:t xml:space="preserve">druhů a forem poskytovaných sociálních služeb a objem vyčerpaných </w:t>
      </w:r>
      <w:r w:rsidR="00DD2FC8">
        <w:t>peněžních</w:t>
      </w:r>
      <w:r w:rsidRPr="006306EE">
        <w:t xml:space="preserve"> prostředků. Dva z poskytovatelů zároveň čerpali podporu z IROP 1 i IROP 2.</w:t>
      </w:r>
      <w:r w:rsidR="001B5EA7" w:rsidRPr="006306EE">
        <w:t xml:space="preserve"> </w:t>
      </w:r>
      <w:r w:rsidR="00235717" w:rsidRPr="006306EE">
        <w:t xml:space="preserve">Šest z osmi příjemců podpory </w:t>
      </w:r>
      <w:r w:rsidR="001B5EA7" w:rsidRPr="006306EE">
        <w:t>u</w:t>
      </w:r>
      <w:r w:rsidR="0034725D">
        <w:t> </w:t>
      </w:r>
      <w:r w:rsidR="001B5EA7" w:rsidRPr="006306EE">
        <w:t xml:space="preserve">vybraných projektů bylo zároveň poskytovateli sociálních služeb, zbývající dva měli uzavřenou smlouvu s dalším subjektem, který poskytoval sociální služby. </w:t>
      </w:r>
      <w:r w:rsidRPr="006306EE">
        <w:t xml:space="preserve">Mezi vybranými příjemci podpory </w:t>
      </w:r>
      <w:r w:rsidR="00DD2FC8">
        <w:t>byly</w:t>
      </w:r>
      <w:r w:rsidRPr="006306EE">
        <w:t xml:space="preserve"> tři zapsané spolky, tři evidované církevní právnické osoby, jedna příspěvková organizace</w:t>
      </w:r>
      <w:r w:rsidR="00DD2FC8">
        <w:t xml:space="preserve"> zřízená krajem</w:t>
      </w:r>
      <w:r w:rsidRPr="006306EE">
        <w:t xml:space="preserve"> a jedna obec. </w:t>
      </w:r>
      <w:r w:rsidR="001B5EA7" w:rsidRPr="006306EE">
        <w:t xml:space="preserve">Kontrolovaný objem </w:t>
      </w:r>
      <w:r w:rsidR="00DD2FC8">
        <w:t xml:space="preserve">peněžních </w:t>
      </w:r>
      <w:r w:rsidR="001B5EA7" w:rsidRPr="006306EE">
        <w:t>prostředků ve vybraných projektech činil 35</w:t>
      </w:r>
      <w:r w:rsidR="00B3371F" w:rsidRPr="006306EE">
        <w:t>7,6</w:t>
      </w:r>
      <w:r w:rsidR="00B32C8D" w:rsidRPr="006306EE">
        <w:t> </w:t>
      </w:r>
      <w:r w:rsidR="001B5EA7" w:rsidRPr="006306EE">
        <w:t xml:space="preserve">mil. Kč, což představuje </w:t>
      </w:r>
      <w:r w:rsidR="00B3371F" w:rsidRPr="006306EE">
        <w:t>cca 6</w:t>
      </w:r>
      <w:r w:rsidR="001B5EA7" w:rsidRPr="006306EE">
        <w:t xml:space="preserve"> % podpory infrastruktury sociálních služeb ze SC 2.1 IROP 1, SC 6.1 IROP 1 a SC 4.2 IROP 2.</w:t>
      </w:r>
      <w:r w:rsidR="00B82A02" w:rsidRPr="006306EE">
        <w:t xml:space="preserve"> </w:t>
      </w:r>
      <w:r w:rsidR="00E539FD" w:rsidRPr="006306EE">
        <w:t>Přesné vyčíslení podpory vynaložené na vybrané projekty je uvedeno v příloze č. 1.</w:t>
      </w:r>
    </w:p>
    <w:p w14:paraId="672855EE" w14:textId="7947C500" w:rsidR="00AF0E7E" w:rsidRDefault="00266D78" w:rsidP="00B910FC">
      <w:pPr>
        <w:pStyle w:val="JK3"/>
      </w:pPr>
      <w:r w:rsidRPr="00434E24">
        <w:t>U vybraných příjemců</w:t>
      </w:r>
      <w:r>
        <w:t xml:space="preserve"> podpory bylo kontrolou NKÚ zejména posouzeno, zda použili poskytnuté </w:t>
      </w:r>
      <w:r w:rsidR="00DD2FC8">
        <w:t>peněžní</w:t>
      </w:r>
      <w:r>
        <w:t xml:space="preserve"> prostředky na zvýšení dostupnosti a kvality sociálních služeb</w:t>
      </w:r>
      <w:r w:rsidR="004F5A62">
        <w:t xml:space="preserve"> účelně a</w:t>
      </w:r>
      <w:r w:rsidR="0034725D">
        <w:t> </w:t>
      </w:r>
      <w:r w:rsidR="004F5A62">
        <w:t>v souladu s právními předpisy</w:t>
      </w:r>
      <w:r>
        <w:t xml:space="preserve">. </w:t>
      </w:r>
      <w:r w:rsidR="00DC3DC7" w:rsidRPr="00E6602B">
        <w:t xml:space="preserve">Za účelné se považuje takové použití veřejných prostředků, které </w:t>
      </w:r>
      <w:bookmarkStart w:id="15" w:name="_Hlk191831032"/>
      <w:r w:rsidR="00DC3DC7" w:rsidRPr="00E6602B">
        <w:t>zajistí optimální míru dosažení cílů při plnění stanovených úkolů</w:t>
      </w:r>
      <w:bookmarkEnd w:id="15"/>
      <w:r w:rsidR="00B910FC">
        <w:t>.</w:t>
      </w:r>
      <w:r w:rsidR="00DC3DC7">
        <w:rPr>
          <w:vertAlign w:val="superscript"/>
        </w:rPr>
        <w:footnoteReference w:id="19"/>
      </w:r>
      <w:r w:rsidR="00DC3DC7" w:rsidRPr="00E6602B">
        <w:t xml:space="preserve"> Poskytování a čerpání peněžních prostředků bylo tedy účelné, </w:t>
      </w:r>
      <w:r w:rsidR="00DC3DC7">
        <w:t>pokud</w:t>
      </w:r>
      <w:r w:rsidR="00DC3DC7" w:rsidRPr="00E6602B">
        <w:t xml:space="preserve"> došlo k naplnění stanovených cílů, </w:t>
      </w:r>
      <w:r w:rsidR="00DC3DC7">
        <w:t>tj.</w:t>
      </w:r>
      <w:r w:rsidR="00DC3DC7" w:rsidRPr="00E6602B">
        <w:t xml:space="preserve"> došlo ke</w:t>
      </w:r>
      <w:r w:rsidR="007A4BEF">
        <w:t> </w:t>
      </w:r>
      <w:r w:rsidR="00DC3DC7">
        <w:t xml:space="preserve">zvýšení dostupnosti a kvality sociálních služeb, nebo existuje reálný předpoklad, že k těmto změnám </w:t>
      </w:r>
      <w:r w:rsidR="00B3371F">
        <w:t>dojde</w:t>
      </w:r>
      <w:r w:rsidR="00DC3DC7">
        <w:t>.</w:t>
      </w:r>
      <w:r w:rsidR="00A43935">
        <w:t xml:space="preserve"> </w:t>
      </w:r>
      <w:r w:rsidR="00DC549B">
        <w:t>K</w:t>
      </w:r>
      <w:r w:rsidR="00AF0E7E">
        <w:t xml:space="preserve"> posouzení účelnosti vynaložených prostředků u jednotlivých projektů </w:t>
      </w:r>
      <w:r w:rsidR="00C00703">
        <w:t xml:space="preserve">zpracoval </w:t>
      </w:r>
      <w:r w:rsidR="00B910FC">
        <w:t xml:space="preserve">NKÚ </w:t>
      </w:r>
      <w:r w:rsidR="00B3371F">
        <w:t>podrobná kritéria hodnocení</w:t>
      </w:r>
      <w:r w:rsidR="00983A89">
        <w:t>, na jej</w:t>
      </w:r>
      <w:r w:rsidR="00671503">
        <w:t>i</w:t>
      </w:r>
      <w:r w:rsidR="00B3371F">
        <w:t>chž</w:t>
      </w:r>
      <w:r w:rsidR="00983A89">
        <w:t xml:space="preserve"> základě zařadil vynaložen</w:t>
      </w:r>
      <w:r w:rsidR="00DD2FC8">
        <w:t>í</w:t>
      </w:r>
      <w:r w:rsidR="00983A89">
        <w:t xml:space="preserve"> </w:t>
      </w:r>
      <w:r w:rsidR="008A328E">
        <w:t xml:space="preserve">peněžních </w:t>
      </w:r>
      <w:r w:rsidR="00983A89">
        <w:t>prostředk</w:t>
      </w:r>
      <w:r w:rsidR="00DD2FC8">
        <w:t>ů</w:t>
      </w:r>
      <w:r w:rsidR="00983A89">
        <w:t xml:space="preserve"> do jednoho ze čtyř stupňů. NKÚ</w:t>
      </w:r>
      <w:r w:rsidR="00D01DC0">
        <w:t xml:space="preserve"> </w:t>
      </w:r>
      <w:r w:rsidR="00AF0E7E">
        <w:t>zejména ověřoval, zda:</w:t>
      </w:r>
    </w:p>
    <w:p w14:paraId="11756E25" w14:textId="77777777" w:rsidR="009E27CE" w:rsidRDefault="009E27CE" w:rsidP="00F7776C">
      <w:pPr>
        <w:pStyle w:val="JK2"/>
        <w:numPr>
          <w:ilvl w:val="0"/>
          <w:numId w:val="9"/>
        </w:numPr>
        <w:contextualSpacing/>
      </w:pPr>
      <w:r>
        <w:t>bylo re</w:t>
      </w:r>
      <w:r w:rsidR="00372630">
        <w:t>a</w:t>
      </w:r>
      <w:r>
        <w:t>lizací projektu dosaženo stanovených cílů a předpokládaných přínosů,</w:t>
      </w:r>
    </w:p>
    <w:p w14:paraId="610F3D62" w14:textId="77777777" w:rsidR="009E27CE" w:rsidRDefault="009E27CE" w:rsidP="00F7776C">
      <w:pPr>
        <w:pStyle w:val="JK2"/>
        <w:numPr>
          <w:ilvl w:val="0"/>
          <w:numId w:val="9"/>
        </w:numPr>
        <w:contextualSpacing/>
      </w:pPr>
      <w:r>
        <w:t>byly naplněny všechny aktivity nezbytné pro dosažení cíle,</w:t>
      </w:r>
    </w:p>
    <w:p w14:paraId="20B2BE6E" w14:textId="77777777" w:rsidR="009E27CE" w:rsidRDefault="009E27CE" w:rsidP="00F7776C">
      <w:pPr>
        <w:pStyle w:val="JK2"/>
        <w:numPr>
          <w:ilvl w:val="0"/>
          <w:numId w:val="9"/>
        </w:numPr>
        <w:contextualSpacing/>
      </w:pPr>
      <w:r>
        <w:t>výstupy projektu jsou využívány v předpokládaném rozsahu, ke stanovenému účelu, cílovou skupinou,</w:t>
      </w:r>
    </w:p>
    <w:p w14:paraId="04405609" w14:textId="77777777" w:rsidR="009E27CE" w:rsidRDefault="009E27CE" w:rsidP="00F7776C">
      <w:pPr>
        <w:pStyle w:val="JK2"/>
        <w:numPr>
          <w:ilvl w:val="0"/>
          <w:numId w:val="9"/>
        </w:numPr>
        <w:contextualSpacing/>
      </w:pPr>
      <w:r>
        <w:t xml:space="preserve">všechny zkontrolované výdaje vynaložené na projekt byly způsobilé k proplacení, </w:t>
      </w:r>
    </w:p>
    <w:p w14:paraId="3331431B" w14:textId="0CFA30AE" w:rsidR="009E27CE" w:rsidRDefault="009E27CE" w:rsidP="0060445A">
      <w:pPr>
        <w:pStyle w:val="JK2"/>
        <w:numPr>
          <w:ilvl w:val="0"/>
          <w:numId w:val="9"/>
        </w:numPr>
        <w:ind w:left="1338" w:hanging="357"/>
      </w:pPr>
      <w:r>
        <w:t>bylo dosaženo přínosů vedoucích ke zvýšení kvality a dostupnosti podpořené sociální služby nebo existuje předpoklad k dosažení těchto přínosů.</w:t>
      </w:r>
    </w:p>
    <w:p w14:paraId="03E82041" w14:textId="77777777" w:rsidR="00C00703" w:rsidRDefault="00C00703" w:rsidP="00C00703">
      <w:pPr>
        <w:pStyle w:val="JK2"/>
        <w:numPr>
          <w:ilvl w:val="0"/>
          <w:numId w:val="0"/>
        </w:numPr>
        <w:contextualSpacing/>
      </w:pPr>
      <w:r>
        <w:t xml:space="preserve">Podrobnosti k jednotlivým kritériím pro vyhodnocení účelnosti na stanovené čtyřstupňové </w:t>
      </w:r>
      <w:r w:rsidRPr="002500D2">
        <w:t xml:space="preserve">škále uvádí příloha č. </w:t>
      </w:r>
      <w:r w:rsidR="0091122A" w:rsidRPr="002500D2">
        <w:t>2</w:t>
      </w:r>
      <w:r w:rsidRPr="002500D2">
        <w:t>.</w:t>
      </w:r>
    </w:p>
    <w:p w14:paraId="7B2A0EFD" w14:textId="77777777" w:rsidR="00504F32" w:rsidRDefault="00154E2B" w:rsidP="00B910FC">
      <w:pPr>
        <w:pStyle w:val="JK3"/>
      </w:pPr>
      <w:r>
        <w:t>V rámci kontroly dodržování souladu s právními pře</w:t>
      </w:r>
      <w:r w:rsidR="00964335">
        <w:t>d</w:t>
      </w:r>
      <w:r>
        <w:t>pisy</w:t>
      </w:r>
      <w:r w:rsidR="00A43935">
        <w:t xml:space="preserve"> </w:t>
      </w:r>
      <w:r w:rsidR="005D3A60">
        <w:t xml:space="preserve">NKÚ především </w:t>
      </w:r>
      <w:r w:rsidR="00B3371F">
        <w:t>ověřoval</w:t>
      </w:r>
      <w:r w:rsidR="00935844">
        <w:t>, zda vybraní příjemci</w:t>
      </w:r>
      <w:r w:rsidR="007B58A1">
        <w:t xml:space="preserve"> podpory </w:t>
      </w:r>
      <w:r w:rsidR="00935844">
        <w:t>uplatnili k proplacení pouze způsobilé výdaje</w:t>
      </w:r>
      <w:r w:rsidR="007B58A1">
        <w:t xml:space="preserve"> a </w:t>
      </w:r>
      <w:r w:rsidR="00935844">
        <w:t xml:space="preserve">zadávali veřejné zakázky podle zákona č. 134/2016 Sb., o </w:t>
      </w:r>
      <w:r w:rsidR="007B58A1">
        <w:t>zadávání veřejných zakázek</w:t>
      </w:r>
      <w:r w:rsidR="00935844" w:rsidRPr="002500D2">
        <w:t>.</w:t>
      </w:r>
      <w:r w:rsidR="007B58A1">
        <w:t xml:space="preserve"> </w:t>
      </w:r>
      <w:r w:rsidR="00696EC7">
        <w:t>K ověření způsobilosti výdajů vybral NKÚ u každého z vybraných projektů takové položky</w:t>
      </w:r>
      <w:r w:rsidR="00935844">
        <w:t xml:space="preserve"> z předložených účetních dokladů</w:t>
      </w:r>
      <w:r w:rsidR="00696EC7">
        <w:t>, na nichž bylo možné ověřit dosažení výsledků, cílů a přínosů projektu. Pro kontrolu zadávání veřejných zakázek vybral NKÚ z každého kontrolovaného projektu zakázku s nejvyšší předpokládanou hodnotou.</w:t>
      </w:r>
      <w:r w:rsidR="007B58A1">
        <w:t xml:space="preserve"> </w:t>
      </w:r>
    </w:p>
    <w:p w14:paraId="178DF4A7" w14:textId="25A0B5FF" w:rsidR="004F57B5" w:rsidRPr="002500D2" w:rsidRDefault="004F57B5" w:rsidP="00B910FC">
      <w:pPr>
        <w:pStyle w:val="JK3"/>
      </w:pPr>
      <w:r>
        <w:t>Kontrolovaný objem na úrovni systému činil 5</w:t>
      </w:r>
      <w:r w:rsidR="00B910FC">
        <w:t xml:space="preserve"> </w:t>
      </w:r>
      <w:r>
        <w:t>970</w:t>
      </w:r>
      <w:r w:rsidR="00B910FC">
        <w:t xml:space="preserve"> </w:t>
      </w:r>
      <w:r>
        <w:t>mil. Kč, z</w:t>
      </w:r>
      <w:r w:rsidR="00B910FC">
        <w:t xml:space="preserve"> </w:t>
      </w:r>
      <w:r>
        <w:t>toho ze zdrojů EU 5 481</w:t>
      </w:r>
      <w:r w:rsidR="00B910FC">
        <w:t> </w:t>
      </w:r>
      <w:r>
        <w:t>mil.</w:t>
      </w:r>
      <w:r w:rsidR="00B910FC">
        <w:t> </w:t>
      </w:r>
      <w:r>
        <w:t>Kč a ze zdrojů státního rozpočtu 489 mil. Kč</w:t>
      </w:r>
      <w:r w:rsidR="0079463E">
        <w:t>,</w:t>
      </w:r>
      <w:r w:rsidR="00A43935">
        <w:t xml:space="preserve"> </w:t>
      </w:r>
      <w:r w:rsidR="0079463E">
        <w:t xml:space="preserve">viz </w:t>
      </w:r>
      <w:r w:rsidR="00040CDB" w:rsidRPr="002500D2">
        <w:t xml:space="preserve">tabulka č. </w:t>
      </w:r>
      <w:r w:rsidR="0079463E" w:rsidRPr="002500D2">
        <w:t>1</w:t>
      </w:r>
      <w:r w:rsidR="00B006BB" w:rsidRPr="002500D2">
        <w:t xml:space="preserve"> v odst</w:t>
      </w:r>
      <w:r w:rsidR="00B910FC">
        <w:t>avci</w:t>
      </w:r>
      <w:r w:rsidR="00B006BB" w:rsidRPr="002500D2">
        <w:t xml:space="preserve"> 2.</w:t>
      </w:r>
      <w:r w:rsidR="0079463E" w:rsidRPr="002500D2">
        <w:t>1</w:t>
      </w:r>
      <w:r w:rsidR="001959A5" w:rsidRPr="002500D2">
        <w:t>0</w:t>
      </w:r>
      <w:r w:rsidRPr="002500D2">
        <w:t xml:space="preserve">. </w:t>
      </w:r>
    </w:p>
    <w:p w14:paraId="3BEF5E25" w14:textId="77777777" w:rsidR="00504F32" w:rsidRDefault="00504F32" w:rsidP="00B910FC">
      <w:pPr>
        <w:pStyle w:val="JK3"/>
      </w:pPr>
      <w:r w:rsidRPr="00DA5431">
        <w:t>Kontrolovaným obdobím byly roky 201</w:t>
      </w:r>
      <w:r>
        <w:t>4</w:t>
      </w:r>
      <w:r w:rsidRPr="00DA5431">
        <w:t xml:space="preserve"> až 202</w:t>
      </w:r>
      <w:r>
        <w:t>3</w:t>
      </w:r>
      <w:r w:rsidRPr="00DA5431">
        <w:t>, v případě věcných souvislostí i období předcházející</w:t>
      </w:r>
      <w:r w:rsidR="00372630">
        <w:t xml:space="preserve"> a následující</w:t>
      </w:r>
      <w:r w:rsidRPr="00DA5431">
        <w:t xml:space="preserve">. </w:t>
      </w:r>
    </w:p>
    <w:p w14:paraId="68FB831C" w14:textId="77777777" w:rsidR="00BA5466" w:rsidRDefault="00504F32" w:rsidP="0068554B">
      <w:pPr>
        <w:spacing w:after="120"/>
        <w:ind w:left="567" w:hanging="567"/>
        <w:rPr>
          <w:sz w:val="20"/>
        </w:rPr>
      </w:pPr>
      <w:bookmarkStart w:id="16" w:name="_Hlk194336751"/>
      <w:r w:rsidRPr="00BF1670">
        <w:rPr>
          <w:b/>
          <w:sz w:val="20"/>
        </w:rPr>
        <w:t>Pozn.:</w:t>
      </w:r>
      <w:r>
        <w:rPr>
          <w:sz w:val="20"/>
        </w:rPr>
        <w:tab/>
      </w:r>
      <w:r w:rsidRPr="005846CC">
        <w:rPr>
          <w:sz w:val="20"/>
        </w:rPr>
        <w:t>Právní předpisy uvedené v tomto kontrolním závěru jsou aplikovány ve znění účinném pro kontrolované období.</w:t>
      </w:r>
    </w:p>
    <w:bookmarkEnd w:id="16"/>
    <w:p w14:paraId="13E1C8ED" w14:textId="77777777" w:rsidR="0060445A" w:rsidRDefault="0060445A" w:rsidP="0060445A">
      <w:pPr>
        <w:spacing w:before="0" w:after="240"/>
        <w:ind w:left="567" w:hanging="567"/>
        <w:rPr>
          <w:sz w:val="20"/>
        </w:rPr>
      </w:pPr>
    </w:p>
    <w:bookmarkEnd w:id="14"/>
    <w:p w14:paraId="57E5FA52" w14:textId="77777777" w:rsidR="00504F32" w:rsidRPr="00C65949" w:rsidRDefault="00504F32" w:rsidP="0068554B">
      <w:pPr>
        <w:pStyle w:val="Nadpis1"/>
        <w:spacing w:before="360" w:after="120"/>
        <w:rPr>
          <w:color w:val="auto"/>
        </w:rPr>
      </w:pPr>
      <w:r>
        <w:t xml:space="preserve">IV. </w:t>
      </w:r>
      <w:r w:rsidRPr="00513AE2">
        <w:t>Podrobné skutečnosti zjištěné kontrolou</w:t>
      </w:r>
    </w:p>
    <w:p w14:paraId="2CC10DE8" w14:textId="77777777" w:rsidR="00E150C2" w:rsidRPr="00A934D2" w:rsidRDefault="00504F32" w:rsidP="003F2FB2">
      <w:pPr>
        <w:pStyle w:val="PodkapitolystiIVKZ"/>
        <w:spacing w:before="240" w:after="120"/>
        <w:ind w:left="284" w:hanging="284"/>
        <w:rPr>
          <w:i w:val="0"/>
          <w:iCs/>
          <w:color w:val="C00000"/>
        </w:rPr>
      </w:pPr>
      <w:r w:rsidRPr="00A934D2">
        <w:rPr>
          <w:i w:val="0"/>
          <w:iCs/>
          <w:color w:val="C00000"/>
        </w:rPr>
        <w:t>Systém poskytování podpory na infrastrukturu sociálních služeb</w:t>
      </w:r>
      <w:r w:rsidR="00161965" w:rsidRPr="00A934D2">
        <w:rPr>
          <w:i w:val="0"/>
          <w:iCs/>
          <w:color w:val="C00000"/>
        </w:rPr>
        <w:t xml:space="preserve"> </w:t>
      </w:r>
      <w:r w:rsidR="00343003" w:rsidRPr="00A934D2">
        <w:rPr>
          <w:i w:val="0"/>
          <w:iCs/>
          <w:color w:val="C00000"/>
        </w:rPr>
        <w:t>na úrovni MMR</w:t>
      </w:r>
    </w:p>
    <w:p w14:paraId="053F4943" w14:textId="4A0F52B2" w:rsidR="00803365" w:rsidRPr="00063DFA" w:rsidRDefault="00C8303B" w:rsidP="00937309">
      <w:pPr>
        <w:pStyle w:val="Kontrolnprotokol"/>
        <w:keepNext/>
        <w:spacing w:before="120" w:after="120"/>
        <w:ind w:left="284" w:hanging="284"/>
        <w:rPr>
          <w:b/>
          <w:bCs/>
          <w:i/>
          <w:color w:val="00ADDB"/>
        </w:rPr>
      </w:pPr>
      <w:bookmarkStart w:id="17" w:name="_Hlk118030769"/>
      <w:r w:rsidRPr="00063DFA">
        <w:rPr>
          <w:b/>
          <w:i/>
          <w:color w:val="00ADDB"/>
        </w:rPr>
        <w:t>→</w:t>
      </w:r>
      <w:r w:rsidR="00063DFA" w:rsidRPr="00063DFA">
        <w:rPr>
          <w:b/>
          <w:i/>
          <w:color w:val="00ADDB"/>
        </w:rPr>
        <w:t xml:space="preserve"> </w:t>
      </w:r>
      <w:r w:rsidR="005C254D" w:rsidRPr="00063DFA">
        <w:rPr>
          <w:b/>
          <w:i/>
          <w:color w:val="00ADDB"/>
        </w:rPr>
        <w:t>N</w:t>
      </w:r>
      <w:r w:rsidR="00D85E47" w:rsidRPr="00063DFA">
        <w:rPr>
          <w:b/>
          <w:i/>
          <w:color w:val="00ADDB"/>
        </w:rPr>
        <w:t>astav</w:t>
      </w:r>
      <w:r w:rsidR="00C62922" w:rsidRPr="00063DFA">
        <w:rPr>
          <w:b/>
          <w:i/>
          <w:color w:val="00ADDB"/>
        </w:rPr>
        <w:t>ením podmínek pro podporu poskytovanou z IROP 1 a IROP 2 vytvořilo MMR</w:t>
      </w:r>
      <w:r w:rsidR="00B92F06">
        <w:rPr>
          <w:b/>
          <w:i/>
          <w:color w:val="00ADDB"/>
        </w:rPr>
        <w:t xml:space="preserve"> </w:t>
      </w:r>
      <w:r w:rsidR="00C62922" w:rsidRPr="00063DFA">
        <w:rPr>
          <w:b/>
          <w:i/>
          <w:color w:val="00ADDB"/>
        </w:rPr>
        <w:t>předpoklady ke zvýšení kvality a dostupnosti sociálních služeb, včetně předpokladů k úspěšné deinstitucionalizaci pobytových služeb u vybraných zařízení.</w:t>
      </w:r>
      <w:bookmarkStart w:id="18" w:name="_Hlk191836446"/>
    </w:p>
    <w:p w14:paraId="67EA49DB" w14:textId="48E45509" w:rsidR="00063BBA" w:rsidRDefault="00063BBA" w:rsidP="00937309">
      <w:pPr>
        <w:pStyle w:val="JK4"/>
        <w:keepNext/>
        <w:ind w:left="0" w:firstLine="0"/>
      </w:pPr>
      <w:bookmarkStart w:id="19" w:name="_Hlk191839804"/>
      <w:bookmarkEnd w:id="18"/>
      <w:r w:rsidRPr="003E69DD">
        <w:t xml:space="preserve">Pro účelné vynakládání peněžních prostředků je klíčové, aby byly </w:t>
      </w:r>
      <w:r w:rsidR="00ED656C">
        <w:t xml:space="preserve">k podpoře </w:t>
      </w:r>
      <w:r w:rsidRPr="003E69DD">
        <w:t xml:space="preserve">vybrány projekty s největším předpokladem pro dosažení </w:t>
      </w:r>
      <w:r w:rsidR="00454008">
        <w:t xml:space="preserve">očekávaných </w:t>
      </w:r>
      <w:r w:rsidRPr="003E69DD">
        <w:t>přínosů. NKÚ prověřil u MMR jako poskytovatele dotac</w:t>
      </w:r>
      <w:r w:rsidR="00B910FC">
        <w:t>í</w:t>
      </w:r>
      <w:r w:rsidRPr="003E69DD">
        <w:t xml:space="preserve"> z IROP 1 a IROP 2 nastavení podmínek pro poskytování podpory, hodnocení a výběr projektů, oblast monitorování podpory a sledování a vyhodnocování kvalitativních změn. </w:t>
      </w:r>
    </w:p>
    <w:p w14:paraId="22205171" w14:textId="7A9F1EAC" w:rsidR="00063BBA" w:rsidRDefault="00063BBA" w:rsidP="00063BBA">
      <w:pPr>
        <w:pStyle w:val="JK4"/>
        <w:ind w:left="0" w:firstLine="0"/>
      </w:pPr>
      <w:r w:rsidRPr="003E69DD">
        <w:t xml:space="preserve">NKÚ </w:t>
      </w:r>
      <w:r w:rsidR="004363E1">
        <w:t>zároveň</w:t>
      </w:r>
      <w:r w:rsidR="004B4426">
        <w:t xml:space="preserve"> </w:t>
      </w:r>
      <w:r w:rsidR="00454008">
        <w:t>u MMR</w:t>
      </w:r>
      <w:r w:rsidRPr="003E69DD">
        <w:t xml:space="preserve"> prověřil, zda při nastavování podpory vycházelo ze strategických dokumentů, předpokládaného demografického vývoje a zda využilo </w:t>
      </w:r>
      <w:r w:rsidR="004F170F">
        <w:t>také údaje</w:t>
      </w:r>
      <w:r w:rsidR="00B3371F">
        <w:t xml:space="preserve"> dostupné</w:t>
      </w:r>
      <w:r w:rsidRPr="003E69DD">
        <w:t xml:space="preserve"> z jednotlivých regionů</w:t>
      </w:r>
      <w:r w:rsidR="00373FE3">
        <w:t>.</w:t>
      </w:r>
      <w:r>
        <w:t xml:space="preserve"> Všechny tyto informace jsou zásadní pro správné nastavení podpory</w:t>
      </w:r>
      <w:r w:rsidR="00B3371F">
        <w:t xml:space="preserve"> ze</w:t>
      </w:r>
      <w:r w:rsidR="007A4BEF">
        <w:t> </w:t>
      </w:r>
      <w:r w:rsidR="00B3371F">
        <w:t>strany poskytovatele</w:t>
      </w:r>
      <w:r>
        <w:t>.</w:t>
      </w:r>
    </w:p>
    <w:bookmarkEnd w:id="19"/>
    <w:p w14:paraId="4CE131B1" w14:textId="77777777" w:rsidR="0094261D" w:rsidRDefault="00E863CB" w:rsidP="00017EBB">
      <w:pPr>
        <w:pStyle w:val="JK4"/>
        <w:ind w:left="0" w:firstLine="0"/>
      </w:pPr>
      <w:r w:rsidRPr="00E863CB">
        <w:t xml:space="preserve">Nastavení podmínek pro podporu infrastruktury sociálních služeb ze strany MMR je zakotveno v NSRSS a </w:t>
      </w:r>
      <w:r w:rsidR="005226C3">
        <w:t>mě</w:t>
      </w:r>
      <w:r w:rsidR="0033029A">
        <w:t xml:space="preserve">lo být realizováno </w:t>
      </w:r>
      <w:r w:rsidRPr="00E863CB">
        <w:t xml:space="preserve">plněním </w:t>
      </w:r>
      <w:r w:rsidR="005226C3">
        <w:t>dvou opatření</w:t>
      </w:r>
      <w:r w:rsidR="00F433A4">
        <w:rPr>
          <w:rStyle w:val="Znakapoznpodarou"/>
        </w:rPr>
        <w:footnoteReference w:id="20"/>
      </w:r>
      <w:r w:rsidR="0033029A">
        <w:t xml:space="preserve"> </w:t>
      </w:r>
      <w:r w:rsidR="00E815C6" w:rsidRPr="00E815C6">
        <w:t>v</w:t>
      </w:r>
      <w:r w:rsidR="00E815C6">
        <w:t xml:space="preserve"> samostatné </w:t>
      </w:r>
      <w:r w:rsidR="00E815C6" w:rsidRPr="00E815C6">
        <w:t>odpovědnosti MMR</w:t>
      </w:r>
      <w:r w:rsidR="0033029A">
        <w:t xml:space="preserve"> </w:t>
      </w:r>
      <w:r w:rsidR="00797622">
        <w:t>i</w:t>
      </w:r>
      <w:r w:rsidR="002643F5">
        <w:t xml:space="preserve"> </w:t>
      </w:r>
      <w:r w:rsidR="00E815C6" w:rsidRPr="00E815C6">
        <w:t>v</w:t>
      </w:r>
      <w:r w:rsidR="00797622">
        <w:t> </w:t>
      </w:r>
      <w:r w:rsidR="00E815C6" w:rsidRPr="00E815C6">
        <w:t>součinnosti s</w:t>
      </w:r>
      <w:r w:rsidR="00797622">
        <w:t> </w:t>
      </w:r>
      <w:r w:rsidR="00E815C6" w:rsidRPr="00E815C6">
        <w:t>MPSV.</w:t>
      </w:r>
      <w:r w:rsidR="00E815C6">
        <w:t xml:space="preserve"> </w:t>
      </w:r>
      <w:r w:rsidR="00F433A4" w:rsidRPr="00F433A4">
        <w:t xml:space="preserve">NKÚ ověřil, že MMR přijalo a naplnilo </w:t>
      </w:r>
      <w:r w:rsidR="00BC7E8F">
        <w:t xml:space="preserve">obě </w:t>
      </w:r>
      <w:r w:rsidR="00F433A4" w:rsidRPr="00F433A4">
        <w:t xml:space="preserve">uvedená opatření </w:t>
      </w:r>
      <w:r w:rsidR="000F3BD3">
        <w:t>a</w:t>
      </w:r>
      <w:r w:rsidR="00F433A4">
        <w:t xml:space="preserve"> též nastavilo </w:t>
      </w:r>
      <w:r w:rsidR="00F433A4" w:rsidRPr="00F433A4">
        <w:t>podmínk</w:t>
      </w:r>
      <w:r w:rsidR="00F433A4">
        <w:t>y</w:t>
      </w:r>
      <w:r w:rsidR="00F433A4" w:rsidRPr="00F433A4">
        <w:t xml:space="preserve"> pro delší udržitelnost podpořených aktivit při výkonu služeb obecného hospodářského zájmu</w:t>
      </w:r>
      <w:r w:rsidR="00075332">
        <w:rPr>
          <w:rStyle w:val="Znakapoznpodarou"/>
        </w:rPr>
        <w:footnoteReference w:id="21"/>
      </w:r>
      <w:r w:rsidR="00F433A4" w:rsidRPr="00F433A4">
        <w:t xml:space="preserve">. </w:t>
      </w:r>
    </w:p>
    <w:p w14:paraId="763C44BD" w14:textId="03A8067B" w:rsidR="00FE5296" w:rsidRDefault="0094261D" w:rsidP="00B07481">
      <w:pPr>
        <w:pStyle w:val="JK4"/>
        <w:ind w:left="0" w:firstLine="0"/>
      </w:pPr>
      <w:r>
        <w:t xml:space="preserve">NKÚ dále ověřil, že </w:t>
      </w:r>
      <w:r w:rsidR="00F433A4" w:rsidRPr="00F433A4">
        <w:t xml:space="preserve">MMR při nastavování systému podpory z IROP 1 i z IROP 2 </w:t>
      </w:r>
      <w:r w:rsidR="00DE26CB">
        <w:t xml:space="preserve">zároveň </w:t>
      </w:r>
      <w:r w:rsidR="00F433A4" w:rsidRPr="00F433A4">
        <w:t>vycházelo z</w:t>
      </w:r>
      <w:r w:rsidR="00426BC6">
        <w:t xml:space="preserve"> </w:t>
      </w:r>
      <w:r w:rsidR="00BC7E8F">
        <w:t xml:space="preserve">dokumentace mapující potřebnost rozvoje sociálních služeb a navazovalo </w:t>
      </w:r>
      <w:r w:rsidR="00426BC6">
        <w:br/>
      </w:r>
      <w:r w:rsidR="00BC7E8F">
        <w:t>na</w:t>
      </w:r>
      <w:r w:rsidR="00426BC6">
        <w:t xml:space="preserve"> </w:t>
      </w:r>
      <w:r w:rsidR="00B16F71">
        <w:t xml:space="preserve">strategické </w:t>
      </w:r>
      <w:r w:rsidR="00BC7E8F">
        <w:t>dokumenty sociálního začleňování a rozvoje sociálních služeb</w:t>
      </w:r>
      <w:r w:rsidR="00B07481">
        <w:rPr>
          <w:rStyle w:val="Znakapoznpodarou"/>
        </w:rPr>
        <w:footnoteReference w:id="22"/>
      </w:r>
      <w:r w:rsidR="00E2476B">
        <w:t>.</w:t>
      </w:r>
      <w:r w:rsidR="00BC7E8F">
        <w:t xml:space="preserve"> </w:t>
      </w:r>
      <w:r w:rsidR="00FE5296">
        <w:t xml:space="preserve">NKÚ také ověřil, že při nastavení podpory </w:t>
      </w:r>
      <w:r w:rsidR="00426BC6">
        <w:t xml:space="preserve">z </w:t>
      </w:r>
      <w:r w:rsidR="00FE5296">
        <w:t xml:space="preserve">IROP zohlednilo MMR i konkrétní data </w:t>
      </w:r>
      <w:r w:rsidR="00426BC6">
        <w:t>získaná</w:t>
      </w:r>
      <w:r w:rsidR="00FE5296">
        <w:t xml:space="preserve"> prostřednictvím MPSV od krajů, které na svém území vytipovaly projekty zaměřené na</w:t>
      </w:r>
      <w:r w:rsidR="008D38A8">
        <w:t xml:space="preserve"> </w:t>
      </w:r>
      <w:r w:rsidR="00FE5296">
        <w:t>podporu deinstitucionalizace.</w:t>
      </w:r>
    </w:p>
    <w:p w14:paraId="01260704" w14:textId="600D4CF0" w:rsidR="00C21ACE" w:rsidRPr="00DB7361" w:rsidRDefault="00C21ACE" w:rsidP="00C21ACE">
      <w:pPr>
        <w:pStyle w:val="JK4"/>
        <w:ind w:left="0" w:firstLine="0"/>
      </w:pPr>
      <w:r w:rsidRPr="00DB7361">
        <w:t xml:space="preserve">NKÚ vyhodnotil, že podporou, kterou poskytuje MMR </w:t>
      </w:r>
      <w:r>
        <w:t xml:space="preserve">na </w:t>
      </w:r>
      <w:r w:rsidRPr="00DB7361">
        <w:t>infrastruktur</w:t>
      </w:r>
      <w:r>
        <w:t>u</w:t>
      </w:r>
      <w:r w:rsidRPr="00DB7361">
        <w:t xml:space="preserve"> sociálních služeb, byly vytvořeny předpoklady pro dosažení cíl</w:t>
      </w:r>
      <w:r w:rsidR="004D57ED">
        <w:t>e</w:t>
      </w:r>
      <w:r w:rsidRPr="00DB7361">
        <w:t xml:space="preserve">, </w:t>
      </w:r>
      <w:r w:rsidR="004D57ED">
        <w:t xml:space="preserve">kterým je </w:t>
      </w:r>
      <w:r w:rsidRPr="00DB7361">
        <w:t>vyšší dostupnost a kvalit</w:t>
      </w:r>
      <w:r w:rsidR="004D57ED">
        <w:t>a</w:t>
      </w:r>
      <w:r w:rsidRPr="00DB7361">
        <w:t xml:space="preserve"> sociálních služeb</w:t>
      </w:r>
      <w:r>
        <w:t>. To se týká zej</w:t>
      </w:r>
      <w:r w:rsidRPr="00DB7361">
        <w:t>ména procesu transformac</w:t>
      </w:r>
      <w:r>
        <w:t>e</w:t>
      </w:r>
      <w:r w:rsidRPr="00DB7361">
        <w:t xml:space="preserve"> ústavních pobytových služeb na služby komunitního typu</w:t>
      </w:r>
      <w:r w:rsidR="00426BC6">
        <w:t>.</w:t>
      </w:r>
      <w:r w:rsidR="008E58B8">
        <w:rPr>
          <w:rStyle w:val="Znakapoznpodarou"/>
        </w:rPr>
        <w:footnoteReference w:id="23"/>
      </w:r>
      <w:r w:rsidRPr="00DB7361">
        <w:t xml:space="preserve"> NKÚ hodnotí </w:t>
      </w:r>
      <w:r w:rsidR="00B3371F">
        <w:t>takto nastavenou a</w:t>
      </w:r>
      <w:r w:rsidR="0034725D">
        <w:t> </w:t>
      </w:r>
      <w:r w:rsidR="00B3371F">
        <w:t xml:space="preserve">poskytovanou </w:t>
      </w:r>
      <w:r w:rsidRPr="00DB7361">
        <w:t>podporu infrastruktury sociálních služeb z IROP jako potřebnou a přínosnou</w:t>
      </w:r>
      <w:r>
        <w:t xml:space="preserve">. Vzhledem k demografickému vývoji, kdy dochází k navyšování počtu osob využívajících sociální služby, je tato podpora v zájmu vyššího počtu </w:t>
      </w:r>
      <w:r w:rsidR="00B3371F">
        <w:t xml:space="preserve">obsloužených </w:t>
      </w:r>
      <w:r>
        <w:t xml:space="preserve">klientů a vyšší kvality </w:t>
      </w:r>
      <w:r w:rsidR="00B3371F">
        <w:t>těchto s</w:t>
      </w:r>
      <w:r>
        <w:t>lužeb</w:t>
      </w:r>
      <w:r>
        <w:rPr>
          <w:rStyle w:val="Znakapoznpodarou"/>
        </w:rPr>
        <w:footnoteReference w:id="24"/>
      </w:r>
      <w:r w:rsidRPr="00DB7361">
        <w:t>.</w:t>
      </w:r>
      <w:r>
        <w:t xml:space="preserve"> </w:t>
      </w:r>
    </w:p>
    <w:p w14:paraId="2AE7DDC6" w14:textId="77777777" w:rsidR="00054D67" w:rsidRPr="00D56926" w:rsidRDefault="00054D67" w:rsidP="00937309">
      <w:pPr>
        <w:pStyle w:val="Kontrolnprotokol"/>
        <w:keepNext/>
        <w:spacing w:before="120" w:after="120"/>
        <w:ind w:left="284" w:hanging="284"/>
        <w:rPr>
          <w:b/>
          <w:i/>
          <w:color w:val="00ADDB"/>
        </w:rPr>
      </w:pPr>
      <w:r w:rsidRPr="00D56926">
        <w:rPr>
          <w:b/>
          <w:i/>
          <w:color w:val="00ADDB"/>
        </w:rPr>
        <w:t>→</w:t>
      </w:r>
      <w:r w:rsidR="00B92F06">
        <w:rPr>
          <w:b/>
          <w:i/>
          <w:color w:val="00ADDB"/>
        </w:rPr>
        <w:t xml:space="preserve"> </w:t>
      </w:r>
      <w:bookmarkStart w:id="20" w:name="_Hlk191919663"/>
      <w:r w:rsidRPr="00D56926">
        <w:rPr>
          <w:b/>
          <w:i/>
          <w:color w:val="00ADDB"/>
        </w:rPr>
        <w:t>MMR spolupracovalo s MPSV při nastavování podmínek podpory</w:t>
      </w:r>
      <w:r w:rsidR="00D44B66" w:rsidRPr="00D56926">
        <w:rPr>
          <w:b/>
          <w:i/>
          <w:color w:val="00ADDB"/>
        </w:rPr>
        <w:t xml:space="preserve"> </w:t>
      </w:r>
      <w:r w:rsidR="00426BC6">
        <w:rPr>
          <w:b/>
          <w:i/>
          <w:color w:val="00ADDB"/>
        </w:rPr>
        <w:t xml:space="preserve">z </w:t>
      </w:r>
      <w:r w:rsidR="00D44B66" w:rsidRPr="00D56926">
        <w:rPr>
          <w:b/>
          <w:i/>
          <w:color w:val="00ADDB"/>
        </w:rPr>
        <w:t>IROP 1 i IROP 2</w:t>
      </w:r>
      <w:r w:rsidR="00BC32E2" w:rsidRPr="00D56926">
        <w:rPr>
          <w:b/>
          <w:i/>
          <w:color w:val="00ADDB"/>
        </w:rPr>
        <w:t>,</w:t>
      </w:r>
      <w:bookmarkEnd w:id="20"/>
      <w:r w:rsidR="00BC32E2" w:rsidRPr="00D56926">
        <w:rPr>
          <w:b/>
          <w:i/>
          <w:color w:val="00ADDB"/>
        </w:rPr>
        <w:t xml:space="preserve"> </w:t>
      </w:r>
      <w:r w:rsidRPr="00D56926">
        <w:rPr>
          <w:b/>
          <w:i/>
          <w:color w:val="00ADDB"/>
        </w:rPr>
        <w:t>...</w:t>
      </w:r>
    </w:p>
    <w:p w14:paraId="1C33CD0D" w14:textId="3283E792" w:rsidR="000700D8" w:rsidRDefault="0052793B" w:rsidP="00937309">
      <w:pPr>
        <w:pStyle w:val="JK4"/>
        <w:keepNext/>
        <w:ind w:left="0" w:firstLine="0"/>
      </w:pPr>
      <w:r>
        <w:t>Z důvodu odlišného vymezení kompetencí re</w:t>
      </w:r>
      <w:r w:rsidR="00426BC6">
        <w:t>s</w:t>
      </w:r>
      <w:r>
        <w:t>ort</w:t>
      </w:r>
      <w:r w:rsidR="004D57ED">
        <w:t>u</w:t>
      </w:r>
      <w:r>
        <w:t xml:space="preserve"> MMR a </w:t>
      </w:r>
      <w:r w:rsidR="004D57ED">
        <w:t>re</w:t>
      </w:r>
      <w:r w:rsidR="00426BC6">
        <w:t>s</w:t>
      </w:r>
      <w:r w:rsidR="004D57ED">
        <w:t xml:space="preserve">ortu </w:t>
      </w:r>
      <w:r>
        <w:t xml:space="preserve">MPSV, které je věcným garantem pro oblast sociálních služeb, </w:t>
      </w:r>
      <w:r w:rsidR="003C4710">
        <w:t xml:space="preserve">je nezbytná </w:t>
      </w:r>
      <w:r w:rsidR="00F72769">
        <w:t xml:space="preserve">účinná </w:t>
      </w:r>
      <w:r w:rsidR="003C4710">
        <w:t>spolupráce MMR s</w:t>
      </w:r>
      <w:r w:rsidR="00F72769">
        <w:t> </w:t>
      </w:r>
      <w:r w:rsidR="003C4710">
        <w:t>MPSV</w:t>
      </w:r>
      <w:r w:rsidR="00F72769">
        <w:t xml:space="preserve"> v této oblasti</w:t>
      </w:r>
      <w:r w:rsidR="00B069F1">
        <w:t>. O</w:t>
      </w:r>
      <w:r w:rsidR="005073BE">
        <w:t xml:space="preserve">becný rámec pro spolupráci </w:t>
      </w:r>
      <w:r w:rsidR="00B069F1">
        <w:t xml:space="preserve">byl </w:t>
      </w:r>
      <w:r>
        <w:t>stanoven již v programov</w:t>
      </w:r>
      <w:r w:rsidR="000E6CB7">
        <w:t xml:space="preserve">ých </w:t>
      </w:r>
      <w:r>
        <w:t>dokument</w:t>
      </w:r>
      <w:r w:rsidR="000E6CB7">
        <w:t>ech</w:t>
      </w:r>
      <w:r>
        <w:t xml:space="preserve"> IROP 1 a</w:t>
      </w:r>
      <w:r w:rsidR="0034725D">
        <w:t> </w:t>
      </w:r>
      <w:r>
        <w:t>IROP 2.</w:t>
      </w:r>
      <w:r w:rsidR="005073BE">
        <w:t xml:space="preserve"> </w:t>
      </w:r>
      <w:r w:rsidR="009156BD">
        <w:t>NKÚ ověřil, že p</w:t>
      </w:r>
      <w:r w:rsidR="005073BE">
        <w:t xml:space="preserve">odmínky spolupráce </w:t>
      </w:r>
      <w:r w:rsidR="009156BD">
        <w:t>byly</w:t>
      </w:r>
      <w:r w:rsidR="005073BE">
        <w:t xml:space="preserve"> konkretizovány </w:t>
      </w:r>
      <w:r w:rsidR="00426BC6" w:rsidRPr="00426BC6">
        <w:t>„</w:t>
      </w:r>
      <w:r w:rsidR="00426BC6" w:rsidRPr="00855933">
        <w:t>d</w:t>
      </w:r>
      <w:r w:rsidR="005073BE" w:rsidRPr="00855933">
        <w:t>ohodou o spolupráci</w:t>
      </w:r>
      <w:r w:rsidR="00426BC6" w:rsidRPr="00855933">
        <w:t>“</w:t>
      </w:r>
      <w:r w:rsidR="004D57ED" w:rsidRPr="00855933">
        <w:rPr>
          <w:rStyle w:val="Znakapoznpodarou"/>
        </w:rPr>
        <w:footnoteReference w:id="25"/>
      </w:r>
      <w:r w:rsidR="005073BE" w:rsidRPr="00855933">
        <w:t>,</w:t>
      </w:r>
      <w:r w:rsidR="005073BE" w:rsidRPr="000700D8">
        <w:rPr>
          <w:i/>
        </w:rPr>
        <w:t xml:space="preserve"> </w:t>
      </w:r>
      <w:r w:rsidR="005073BE">
        <w:t>jež pro IROP 1 vymez</w:t>
      </w:r>
      <w:r w:rsidR="009156BD">
        <w:t>ila</w:t>
      </w:r>
      <w:r w:rsidR="005073BE">
        <w:t xml:space="preserve"> spolupráci </w:t>
      </w:r>
      <w:r w:rsidR="00894729">
        <w:t>pro</w:t>
      </w:r>
      <w:r w:rsidR="005073BE">
        <w:t xml:space="preserve"> nastavování podmínek podpory; pro IROP 2 </w:t>
      </w:r>
      <w:r w:rsidR="009156BD">
        <w:t>byla</w:t>
      </w:r>
      <w:r w:rsidR="005073BE">
        <w:t xml:space="preserve"> spolupráce specifikována jak pro fáz</w:t>
      </w:r>
      <w:r w:rsidR="00254848">
        <w:t>i</w:t>
      </w:r>
      <w:r w:rsidR="005073BE">
        <w:t xml:space="preserve"> nastavování podpory, tak pro fázi realizace programu.</w:t>
      </w:r>
      <w:r w:rsidR="00696DCD">
        <w:t xml:space="preserve"> </w:t>
      </w:r>
    </w:p>
    <w:p w14:paraId="0A4E1BB8" w14:textId="4DD79CF9" w:rsidR="000700D8" w:rsidRPr="00B90078" w:rsidRDefault="000700D8" w:rsidP="00DA3F9D">
      <w:pPr>
        <w:pStyle w:val="JK4"/>
        <w:ind w:left="0" w:firstLine="0"/>
        <w:rPr>
          <w:rFonts w:cstheme="minorHAnsi"/>
          <w:iCs/>
        </w:rPr>
      </w:pPr>
      <w:r w:rsidRPr="00855933">
        <w:rPr>
          <w:rFonts w:cstheme="minorHAnsi"/>
        </w:rPr>
        <w:t xml:space="preserve">Dohoda </w:t>
      </w:r>
      <w:r w:rsidR="00251CCB" w:rsidRPr="00855933">
        <w:rPr>
          <w:rFonts w:cstheme="minorHAnsi"/>
        </w:rPr>
        <w:t>o spolupráci</w:t>
      </w:r>
      <w:r w:rsidR="00251CCB" w:rsidRPr="0061505A">
        <w:rPr>
          <w:rFonts w:cstheme="minorHAnsi"/>
          <w:i/>
          <w:iCs/>
        </w:rPr>
        <w:t xml:space="preserve"> </w:t>
      </w:r>
      <w:r w:rsidRPr="00DA3F9D">
        <w:rPr>
          <w:rFonts w:cstheme="minorHAnsi"/>
          <w:iCs/>
        </w:rPr>
        <w:t xml:space="preserve">vymezuje </w:t>
      </w:r>
      <w:r w:rsidR="00251CCB" w:rsidRPr="00DA3F9D">
        <w:rPr>
          <w:rFonts w:cstheme="minorHAnsi"/>
          <w:iCs/>
        </w:rPr>
        <w:t>kooperaci</w:t>
      </w:r>
      <w:r w:rsidRPr="00DA3F9D">
        <w:rPr>
          <w:rFonts w:cstheme="minorHAnsi"/>
          <w:iCs/>
        </w:rPr>
        <w:t xml:space="preserve"> MMR s MPSV při nastavení harmonogram</w:t>
      </w:r>
      <w:r w:rsidR="00426BC6">
        <w:rPr>
          <w:rFonts w:cstheme="minorHAnsi"/>
          <w:iCs/>
        </w:rPr>
        <w:t>ů</w:t>
      </w:r>
      <w:r w:rsidRPr="00DA3F9D">
        <w:rPr>
          <w:rFonts w:cstheme="minorHAnsi"/>
          <w:iCs/>
        </w:rPr>
        <w:t xml:space="preserve"> výzev, věcného obsahu </w:t>
      </w:r>
      <w:r w:rsidR="00426BC6">
        <w:rPr>
          <w:rFonts w:cstheme="minorHAnsi"/>
          <w:iCs/>
        </w:rPr>
        <w:t xml:space="preserve">výzev </w:t>
      </w:r>
      <w:r w:rsidRPr="00DA3F9D">
        <w:rPr>
          <w:rFonts w:cstheme="minorHAnsi"/>
          <w:iCs/>
        </w:rPr>
        <w:t>a jejich technických parametrů, dále stanoví součinnost při</w:t>
      </w:r>
      <w:r w:rsidR="00481FC0">
        <w:rPr>
          <w:rFonts w:cstheme="minorHAnsi"/>
          <w:iCs/>
        </w:rPr>
        <w:t xml:space="preserve"> </w:t>
      </w:r>
      <w:r w:rsidRPr="00DA3F9D">
        <w:rPr>
          <w:rFonts w:cstheme="minorHAnsi"/>
          <w:iCs/>
        </w:rPr>
        <w:t xml:space="preserve">tematických evaluacích a spolupráci při analýze absorpční kapacity. </w:t>
      </w:r>
      <w:r w:rsidR="003A4CA2" w:rsidRPr="00DA3F9D">
        <w:rPr>
          <w:rFonts w:cstheme="minorHAnsi"/>
          <w:iCs/>
        </w:rPr>
        <w:t>Co se týče předávání informací</w:t>
      </w:r>
      <w:r w:rsidR="000F37BF">
        <w:rPr>
          <w:rFonts w:cstheme="minorHAnsi"/>
          <w:iCs/>
        </w:rPr>
        <w:t xml:space="preserve"> </w:t>
      </w:r>
      <w:r w:rsidR="00481FC0">
        <w:rPr>
          <w:rFonts w:cstheme="minorHAnsi"/>
          <w:iCs/>
        </w:rPr>
        <w:t>Ministerstvu práce a sociálních věcí</w:t>
      </w:r>
      <w:r w:rsidR="003A4CA2" w:rsidRPr="006D002C">
        <w:rPr>
          <w:rFonts w:cstheme="minorHAnsi"/>
          <w:iCs/>
        </w:rPr>
        <w:t xml:space="preserve">, </w:t>
      </w:r>
      <w:r w:rsidR="000F37BF">
        <w:rPr>
          <w:rFonts w:cstheme="minorHAnsi"/>
          <w:iCs/>
        </w:rPr>
        <w:t xml:space="preserve">je </w:t>
      </w:r>
      <w:r w:rsidR="003A4CA2" w:rsidRPr="00B90078">
        <w:rPr>
          <w:rFonts w:cstheme="minorHAnsi"/>
          <w:iCs/>
        </w:rPr>
        <w:t xml:space="preserve">využíván jediný mechanismus a tím je zpřístupnění dat </w:t>
      </w:r>
      <w:r w:rsidR="003034F5" w:rsidRPr="00B90078">
        <w:rPr>
          <w:rFonts w:cstheme="minorHAnsi"/>
          <w:iCs/>
        </w:rPr>
        <w:t xml:space="preserve">SC 2.1 </w:t>
      </w:r>
      <w:r w:rsidR="003A4CA2" w:rsidRPr="00B90078">
        <w:rPr>
          <w:rFonts w:cstheme="minorHAnsi"/>
          <w:iCs/>
        </w:rPr>
        <w:t>IROP</w:t>
      </w:r>
      <w:r w:rsidR="003034F5" w:rsidRPr="00B90078">
        <w:rPr>
          <w:rFonts w:cstheme="minorHAnsi"/>
          <w:iCs/>
        </w:rPr>
        <w:t xml:space="preserve"> 1 a</w:t>
      </w:r>
      <w:r w:rsidR="00481FC0">
        <w:rPr>
          <w:rFonts w:cstheme="minorHAnsi"/>
          <w:iCs/>
        </w:rPr>
        <w:t xml:space="preserve"> </w:t>
      </w:r>
      <w:r w:rsidR="003034F5" w:rsidRPr="00B90078">
        <w:rPr>
          <w:rFonts w:cstheme="minorHAnsi"/>
          <w:iCs/>
        </w:rPr>
        <w:t>SC</w:t>
      </w:r>
      <w:r w:rsidR="00481FC0">
        <w:rPr>
          <w:rFonts w:cstheme="minorHAnsi"/>
          <w:iCs/>
        </w:rPr>
        <w:t xml:space="preserve"> </w:t>
      </w:r>
      <w:r w:rsidR="003034F5" w:rsidRPr="00B90078">
        <w:rPr>
          <w:rFonts w:cstheme="minorHAnsi"/>
          <w:iCs/>
        </w:rPr>
        <w:t>4.2 IROP 2</w:t>
      </w:r>
      <w:r w:rsidR="003A4CA2" w:rsidRPr="00B90078">
        <w:rPr>
          <w:rFonts w:cstheme="minorHAnsi"/>
          <w:iCs/>
        </w:rPr>
        <w:t xml:space="preserve"> </w:t>
      </w:r>
      <w:r w:rsidR="00251CCB" w:rsidRPr="00B90078">
        <w:rPr>
          <w:rFonts w:cstheme="minorHAnsi"/>
          <w:iCs/>
        </w:rPr>
        <w:t>k</w:t>
      </w:r>
      <w:r w:rsidR="00481FC0">
        <w:rPr>
          <w:rFonts w:cstheme="minorHAnsi"/>
          <w:iCs/>
        </w:rPr>
        <w:t xml:space="preserve"> </w:t>
      </w:r>
      <w:r w:rsidR="00251CCB" w:rsidRPr="00B90078">
        <w:rPr>
          <w:rFonts w:cstheme="minorHAnsi"/>
          <w:iCs/>
        </w:rPr>
        <w:t xml:space="preserve">náhledu </w:t>
      </w:r>
      <w:r w:rsidR="003A4CA2" w:rsidRPr="00B90078">
        <w:rPr>
          <w:rFonts w:cstheme="minorHAnsi"/>
          <w:iCs/>
        </w:rPr>
        <w:t>v</w:t>
      </w:r>
      <w:r w:rsidR="003034F5" w:rsidRPr="00B90078">
        <w:rPr>
          <w:rFonts w:cstheme="minorHAnsi"/>
          <w:iCs/>
        </w:rPr>
        <w:t xml:space="preserve"> monitorovacích systémech </w:t>
      </w:r>
      <w:r w:rsidR="003A4CA2" w:rsidRPr="00B90078">
        <w:rPr>
          <w:rFonts w:cstheme="minorHAnsi"/>
          <w:iCs/>
        </w:rPr>
        <w:t xml:space="preserve">MS2014+ </w:t>
      </w:r>
      <w:r w:rsidR="003034F5" w:rsidRPr="00B90078">
        <w:rPr>
          <w:rFonts w:cstheme="minorHAnsi"/>
          <w:iCs/>
        </w:rPr>
        <w:t>a MS2021+.</w:t>
      </w:r>
      <w:r w:rsidR="000F37BF">
        <w:rPr>
          <w:rFonts w:cstheme="minorHAnsi"/>
          <w:iCs/>
        </w:rPr>
        <w:t xml:space="preserve"> </w:t>
      </w:r>
    </w:p>
    <w:p w14:paraId="718A0F36" w14:textId="15AA65B0" w:rsidR="00302ADF" w:rsidRPr="00853B2E" w:rsidRDefault="002417D4" w:rsidP="00B71528">
      <w:pPr>
        <w:pStyle w:val="JK4"/>
        <w:ind w:left="0" w:firstLine="0"/>
      </w:pPr>
      <w:r>
        <w:rPr>
          <w:rFonts w:cstheme="minorHAnsi"/>
          <w:iCs/>
        </w:rPr>
        <w:t xml:space="preserve">NKÚ </w:t>
      </w:r>
      <w:r w:rsidR="000700D8">
        <w:rPr>
          <w:rFonts w:cstheme="minorHAnsi"/>
          <w:iCs/>
        </w:rPr>
        <w:t xml:space="preserve">ověřil, že </w:t>
      </w:r>
      <w:r>
        <w:rPr>
          <w:rFonts w:cstheme="minorHAnsi"/>
          <w:iCs/>
        </w:rPr>
        <w:t>k</w:t>
      </w:r>
      <w:r w:rsidR="00B71528" w:rsidRPr="00A66631">
        <w:rPr>
          <w:rFonts w:cstheme="minorHAnsi"/>
          <w:iCs/>
        </w:rPr>
        <w:t>oordinace podpor</w:t>
      </w:r>
      <w:r w:rsidR="001C4095">
        <w:rPr>
          <w:rFonts w:cstheme="minorHAnsi"/>
          <w:iCs/>
        </w:rPr>
        <w:t xml:space="preserve">y z IROP a z OPZ v </w:t>
      </w:r>
      <w:r w:rsidR="00B71528" w:rsidRPr="00A66631">
        <w:rPr>
          <w:rFonts w:cstheme="minorHAnsi"/>
          <w:iCs/>
        </w:rPr>
        <w:t xml:space="preserve">oblasti sociálních služeb </w:t>
      </w:r>
      <w:r w:rsidR="006728DB" w:rsidRPr="006728DB">
        <w:rPr>
          <w:rFonts w:cstheme="minorHAnsi"/>
          <w:iCs/>
        </w:rPr>
        <w:t xml:space="preserve">v obou programových obdobích </w:t>
      </w:r>
      <w:r w:rsidR="00B71528" w:rsidRPr="00A66631">
        <w:rPr>
          <w:rFonts w:cstheme="minorHAnsi"/>
          <w:iCs/>
        </w:rPr>
        <w:t>probíh</w:t>
      </w:r>
      <w:r w:rsidR="00E97C63">
        <w:rPr>
          <w:rFonts w:cstheme="minorHAnsi"/>
          <w:iCs/>
        </w:rPr>
        <w:t>ala</w:t>
      </w:r>
      <w:r w:rsidR="00B71528">
        <w:rPr>
          <w:rFonts w:cstheme="minorHAnsi"/>
          <w:iCs/>
        </w:rPr>
        <w:t xml:space="preserve"> zejména </w:t>
      </w:r>
      <w:r w:rsidR="00E97C63">
        <w:rPr>
          <w:rFonts w:cstheme="minorHAnsi"/>
          <w:iCs/>
        </w:rPr>
        <w:t>za účelem sjednocení</w:t>
      </w:r>
      <w:r w:rsidR="00B71528" w:rsidRPr="00A66631">
        <w:rPr>
          <w:rFonts w:cstheme="minorHAnsi"/>
          <w:iCs/>
        </w:rPr>
        <w:t xml:space="preserve"> některých parametrů výzev</w:t>
      </w:r>
      <w:r w:rsidR="00797622">
        <w:rPr>
          <w:rFonts w:cstheme="minorHAnsi"/>
          <w:iCs/>
        </w:rPr>
        <w:t>.</w:t>
      </w:r>
      <w:r w:rsidR="00B71528" w:rsidRPr="00A66631">
        <w:rPr>
          <w:rFonts w:cstheme="minorHAnsi"/>
          <w:iCs/>
        </w:rPr>
        <w:t xml:space="preserve"> </w:t>
      </w:r>
      <w:r w:rsidR="005E2D54">
        <w:rPr>
          <w:rFonts w:cstheme="minorHAnsi"/>
          <w:iCs/>
        </w:rPr>
        <w:t xml:space="preserve">NKÚ </w:t>
      </w:r>
      <w:r w:rsidR="000700D8">
        <w:rPr>
          <w:rFonts w:cstheme="minorHAnsi"/>
          <w:iCs/>
        </w:rPr>
        <w:t xml:space="preserve">také </w:t>
      </w:r>
      <w:r w:rsidR="005E2D54">
        <w:rPr>
          <w:rFonts w:cstheme="minorHAnsi"/>
          <w:iCs/>
        </w:rPr>
        <w:t>ověřil, že v</w:t>
      </w:r>
      <w:r w:rsidR="006728DB" w:rsidRPr="006728DB">
        <w:rPr>
          <w:rFonts w:cstheme="minorHAnsi"/>
          <w:iCs/>
        </w:rPr>
        <w:t xml:space="preserve">ýzvy </w:t>
      </w:r>
      <w:r w:rsidR="006728DB">
        <w:rPr>
          <w:rFonts w:cstheme="minorHAnsi"/>
          <w:iCs/>
        </w:rPr>
        <w:t>v</w:t>
      </w:r>
      <w:r w:rsidR="00576EA4">
        <w:rPr>
          <w:rFonts w:cstheme="minorHAnsi"/>
          <w:iCs/>
        </w:rPr>
        <w:t xml:space="preserve"> </w:t>
      </w:r>
      <w:r w:rsidR="006728DB">
        <w:rPr>
          <w:rFonts w:cstheme="minorHAnsi"/>
          <w:iCs/>
        </w:rPr>
        <w:t xml:space="preserve">rámci SC 4.2 </w:t>
      </w:r>
      <w:r w:rsidR="006728DB" w:rsidRPr="006728DB">
        <w:rPr>
          <w:rFonts w:cstheme="minorHAnsi"/>
          <w:iCs/>
        </w:rPr>
        <w:t>IROP 2</w:t>
      </w:r>
      <w:r w:rsidR="006728DB">
        <w:rPr>
          <w:rFonts w:cstheme="minorHAnsi"/>
          <w:iCs/>
        </w:rPr>
        <w:t>, které ma</w:t>
      </w:r>
      <w:r w:rsidR="006728DB" w:rsidRPr="006728DB">
        <w:rPr>
          <w:rFonts w:cstheme="minorHAnsi"/>
          <w:iCs/>
        </w:rPr>
        <w:t>jí přispět k</w:t>
      </w:r>
      <w:r w:rsidR="00576EA4">
        <w:rPr>
          <w:rFonts w:cstheme="minorHAnsi"/>
          <w:iCs/>
        </w:rPr>
        <w:t xml:space="preserve"> </w:t>
      </w:r>
      <w:r w:rsidR="006728DB" w:rsidRPr="006728DB">
        <w:rPr>
          <w:rFonts w:cstheme="minorHAnsi"/>
          <w:iCs/>
        </w:rPr>
        <w:t xml:space="preserve">naplňování </w:t>
      </w:r>
      <w:r w:rsidR="00576EA4">
        <w:rPr>
          <w:rFonts w:cstheme="minorHAnsi"/>
          <w:iCs/>
        </w:rPr>
        <w:br/>
      </w:r>
      <w:r w:rsidR="006728DB" w:rsidRPr="006728DB">
        <w:rPr>
          <w:rFonts w:cstheme="minorHAnsi"/>
          <w:iCs/>
        </w:rPr>
        <w:t>40</w:t>
      </w:r>
      <w:r w:rsidR="00576EA4">
        <w:rPr>
          <w:rFonts w:cstheme="minorHAnsi"/>
          <w:iCs/>
        </w:rPr>
        <w:t xml:space="preserve"> </w:t>
      </w:r>
      <w:r w:rsidR="006728DB" w:rsidRPr="006728DB">
        <w:rPr>
          <w:rFonts w:cstheme="minorHAnsi"/>
          <w:iCs/>
        </w:rPr>
        <w:t>transformačních plánů, byly vyhlášeny v</w:t>
      </w:r>
      <w:r w:rsidR="00576EA4">
        <w:rPr>
          <w:rFonts w:cstheme="minorHAnsi"/>
          <w:iCs/>
        </w:rPr>
        <w:t xml:space="preserve"> </w:t>
      </w:r>
      <w:r w:rsidR="005E2D54">
        <w:rPr>
          <w:rFonts w:cstheme="minorHAnsi"/>
          <w:iCs/>
        </w:rPr>
        <w:t xml:space="preserve">souladu </w:t>
      </w:r>
      <w:r w:rsidR="006728DB" w:rsidRPr="006728DB">
        <w:rPr>
          <w:rFonts w:cstheme="minorHAnsi"/>
          <w:iCs/>
        </w:rPr>
        <w:t>s</w:t>
      </w:r>
      <w:r w:rsidR="00576EA4">
        <w:rPr>
          <w:rFonts w:cstheme="minorHAnsi"/>
          <w:iCs/>
        </w:rPr>
        <w:t xml:space="preserve"> </w:t>
      </w:r>
      <w:r w:rsidR="006728DB" w:rsidRPr="006728DB">
        <w:rPr>
          <w:rFonts w:cstheme="minorHAnsi"/>
          <w:iCs/>
        </w:rPr>
        <w:t xml:space="preserve">procesem přechodu </w:t>
      </w:r>
      <w:r w:rsidR="005E2D54">
        <w:rPr>
          <w:rFonts w:cstheme="minorHAnsi"/>
          <w:iCs/>
        </w:rPr>
        <w:t xml:space="preserve">od </w:t>
      </w:r>
      <w:r w:rsidR="00834AF5">
        <w:t xml:space="preserve">ústavní pobytové </w:t>
      </w:r>
      <w:r w:rsidR="00576EA4">
        <w:t xml:space="preserve">péče </w:t>
      </w:r>
      <w:r w:rsidR="00834AF5">
        <w:t>na komunitní péči</w:t>
      </w:r>
      <w:r w:rsidR="006728DB">
        <w:t xml:space="preserve">, </w:t>
      </w:r>
      <w:r w:rsidR="00576EA4">
        <w:t>tj. v souladu s</w:t>
      </w:r>
      <w:r w:rsidR="00F206E5">
        <w:t xml:space="preserve"> </w:t>
      </w:r>
      <w:r w:rsidR="00F206E5" w:rsidRPr="006728DB">
        <w:rPr>
          <w:i/>
        </w:rPr>
        <w:t xml:space="preserve">Akčním plánem </w:t>
      </w:r>
      <w:r w:rsidR="000F3BD3" w:rsidRPr="006728DB">
        <w:rPr>
          <w:i/>
        </w:rPr>
        <w:t xml:space="preserve">pro </w:t>
      </w:r>
      <w:r w:rsidR="00F206E5" w:rsidRPr="006728DB">
        <w:rPr>
          <w:i/>
        </w:rPr>
        <w:t>DI</w:t>
      </w:r>
      <w:r w:rsidR="00576EA4">
        <w:rPr>
          <w:iCs/>
        </w:rPr>
        <w:t>.</w:t>
      </w:r>
      <w:r w:rsidR="00AB06B6">
        <w:rPr>
          <w:rStyle w:val="Znakapoznpodarou"/>
          <w:i/>
        </w:rPr>
        <w:footnoteReference w:id="26"/>
      </w:r>
    </w:p>
    <w:p w14:paraId="58767700" w14:textId="77777777" w:rsidR="00814CED" w:rsidRPr="00D56926" w:rsidRDefault="00814CED" w:rsidP="0060445A">
      <w:pPr>
        <w:pStyle w:val="Kontrolnprotokol"/>
        <w:keepNext/>
        <w:spacing w:before="120" w:after="120"/>
        <w:ind w:left="284" w:hanging="284"/>
        <w:rPr>
          <w:b/>
          <w:i/>
          <w:color w:val="00ADDB"/>
        </w:rPr>
      </w:pPr>
      <w:bookmarkStart w:id="21" w:name="_Hlk190161576"/>
      <w:r w:rsidRPr="00D56926">
        <w:rPr>
          <w:b/>
          <w:i/>
          <w:color w:val="00ADDB"/>
        </w:rPr>
        <w:t>→</w:t>
      </w:r>
      <w:r w:rsidR="00B92F06">
        <w:rPr>
          <w:b/>
          <w:i/>
          <w:color w:val="00ADDB"/>
        </w:rPr>
        <w:t xml:space="preserve"> </w:t>
      </w:r>
      <w:r w:rsidR="00F11C2A" w:rsidRPr="00D56926">
        <w:rPr>
          <w:b/>
          <w:i/>
          <w:color w:val="00ADDB"/>
        </w:rPr>
        <w:t xml:space="preserve">... </w:t>
      </w:r>
      <w:bookmarkStart w:id="22" w:name="_Hlk191919754"/>
      <w:r w:rsidR="00054D67" w:rsidRPr="00D56926">
        <w:rPr>
          <w:b/>
          <w:i/>
          <w:color w:val="00ADDB"/>
        </w:rPr>
        <w:t>avšak v průběhu implementace</w:t>
      </w:r>
      <w:r w:rsidR="00FE450C" w:rsidRPr="00D56926">
        <w:rPr>
          <w:b/>
          <w:i/>
          <w:color w:val="00ADDB"/>
        </w:rPr>
        <w:t xml:space="preserve"> </w:t>
      </w:r>
      <w:r w:rsidR="006E1F51" w:rsidRPr="00D56926">
        <w:rPr>
          <w:b/>
          <w:i/>
          <w:color w:val="00ADDB"/>
        </w:rPr>
        <w:t>nesled</w:t>
      </w:r>
      <w:r w:rsidR="002037D0" w:rsidRPr="00D56926">
        <w:rPr>
          <w:b/>
          <w:i/>
          <w:color w:val="00ADDB"/>
        </w:rPr>
        <w:t xml:space="preserve">ovalo </w:t>
      </w:r>
      <w:r w:rsidR="006E1F51" w:rsidRPr="00D56926">
        <w:rPr>
          <w:b/>
          <w:i/>
          <w:color w:val="00ADDB"/>
        </w:rPr>
        <w:t xml:space="preserve">komplementaritu </w:t>
      </w:r>
      <w:r w:rsidR="00D44B66" w:rsidRPr="00D56926">
        <w:rPr>
          <w:b/>
          <w:i/>
          <w:color w:val="00ADDB"/>
        </w:rPr>
        <w:t xml:space="preserve">projektů </w:t>
      </w:r>
      <w:r w:rsidR="006E1F51" w:rsidRPr="00D56926">
        <w:rPr>
          <w:b/>
          <w:i/>
          <w:color w:val="00ADDB"/>
        </w:rPr>
        <w:t xml:space="preserve">podpořených </w:t>
      </w:r>
      <w:r w:rsidR="00D44B66" w:rsidRPr="00D56926">
        <w:rPr>
          <w:b/>
          <w:i/>
          <w:color w:val="00ADDB"/>
        </w:rPr>
        <w:t>z </w:t>
      </w:r>
      <w:r w:rsidR="006E1F51" w:rsidRPr="00D56926">
        <w:rPr>
          <w:b/>
          <w:i/>
          <w:color w:val="00ADDB"/>
        </w:rPr>
        <w:t>IROP s</w:t>
      </w:r>
      <w:r w:rsidR="00C241CC" w:rsidRPr="00D56926">
        <w:rPr>
          <w:b/>
          <w:i/>
          <w:color w:val="00ADDB"/>
        </w:rPr>
        <w:t> </w:t>
      </w:r>
      <w:r w:rsidR="006E1F51" w:rsidRPr="00D56926">
        <w:rPr>
          <w:b/>
          <w:i/>
          <w:color w:val="00ADDB"/>
        </w:rPr>
        <w:t>podporo</w:t>
      </w:r>
      <w:r w:rsidR="00C241CC" w:rsidRPr="00D56926">
        <w:rPr>
          <w:b/>
          <w:i/>
          <w:color w:val="00ADDB"/>
        </w:rPr>
        <w:t>u, kterou poskytuje MPSV</w:t>
      </w:r>
      <w:r w:rsidR="00113989" w:rsidRPr="00D56926">
        <w:rPr>
          <w:b/>
          <w:i/>
          <w:color w:val="00ADDB"/>
        </w:rPr>
        <w:t>.</w:t>
      </w:r>
    </w:p>
    <w:bookmarkEnd w:id="17"/>
    <w:bookmarkEnd w:id="21"/>
    <w:bookmarkEnd w:id="22"/>
    <w:p w14:paraId="53C01E47" w14:textId="77777777" w:rsidR="00BA63FA" w:rsidRDefault="00D87ED7" w:rsidP="00BA63FA">
      <w:pPr>
        <w:pStyle w:val="JK4"/>
        <w:ind w:left="0" w:firstLine="0"/>
      </w:pPr>
      <w:r>
        <w:t>NKÚ zjistil, že s</w:t>
      </w:r>
      <w:r w:rsidR="00484C8D">
        <w:t>pecifick</w:t>
      </w:r>
      <w:r w:rsidR="00AA515D">
        <w:t xml:space="preserve">é </w:t>
      </w:r>
      <w:r w:rsidR="00484C8D">
        <w:t>cíl</w:t>
      </w:r>
      <w:r w:rsidR="00AA515D">
        <w:t>e</w:t>
      </w:r>
      <w:r w:rsidR="00484C8D">
        <w:t xml:space="preserve"> </w:t>
      </w:r>
      <w:r w:rsidR="00F36131">
        <w:t xml:space="preserve">SC </w:t>
      </w:r>
      <w:r w:rsidR="00484C8D">
        <w:t>2.1</w:t>
      </w:r>
      <w:r w:rsidR="00284C41">
        <w:t xml:space="preserve"> IROP 1 a</w:t>
      </w:r>
      <w:r w:rsidR="00AA515D">
        <w:t xml:space="preserve"> SC 4.2 IROP 2 vykazují synergické vazby a</w:t>
      </w:r>
      <w:r w:rsidR="0034725D">
        <w:t> </w:t>
      </w:r>
      <w:r w:rsidR="00AA515D">
        <w:t>komplementaritu</w:t>
      </w:r>
      <w:r w:rsidR="003A30B5">
        <w:t xml:space="preserve"> s podporami poskytovanými </w:t>
      </w:r>
      <w:r w:rsidR="00484C8D">
        <w:t>v rámci OPZ</w:t>
      </w:r>
      <w:r w:rsidR="00AA515D">
        <w:t xml:space="preserve"> a OPZ+</w:t>
      </w:r>
      <w:r w:rsidR="00484C8D">
        <w:rPr>
          <w:rStyle w:val="Znakapoznpodarou"/>
        </w:rPr>
        <w:footnoteReference w:id="27"/>
      </w:r>
      <w:r w:rsidR="00490812">
        <w:t>, což znamená, že by se</w:t>
      </w:r>
      <w:r w:rsidR="002B309F">
        <w:t xml:space="preserve"> pr</w:t>
      </w:r>
      <w:r w:rsidR="00490812">
        <w:t>ojekty měly vzájemně doplňovat.</w:t>
      </w:r>
      <w:r w:rsidR="003A30B5">
        <w:rPr>
          <w:rStyle w:val="Znakapoznpodarou"/>
        </w:rPr>
        <w:footnoteReference w:id="28"/>
      </w:r>
      <w:bookmarkStart w:id="23" w:name="_Hlk190689258"/>
      <w:r w:rsidR="001E12EE">
        <w:t xml:space="preserve"> NKÚ proto ověřoval, zda je problematika komplementarity podpor </w:t>
      </w:r>
      <w:r>
        <w:t xml:space="preserve">z uvedených operačních programů </w:t>
      </w:r>
      <w:r w:rsidR="001E12EE">
        <w:t xml:space="preserve">sledována a </w:t>
      </w:r>
      <w:r w:rsidR="00FE06D6">
        <w:t>zohled</w:t>
      </w:r>
      <w:r w:rsidR="00D43EE8">
        <w:t>ňována.</w:t>
      </w:r>
    </w:p>
    <w:p w14:paraId="0C567D7C" w14:textId="29BF13E9" w:rsidR="00AE6C6F" w:rsidRPr="00855933" w:rsidRDefault="00AE6C6F" w:rsidP="00AE6C6F">
      <w:pPr>
        <w:pStyle w:val="JK4"/>
        <w:ind w:left="0" w:firstLine="0"/>
      </w:pPr>
      <w:r w:rsidRPr="00871BCE">
        <w:t>NKÚ zjistil</w:t>
      </w:r>
      <w:r w:rsidR="00FC7A0F" w:rsidRPr="00871BCE">
        <w:t>, že</w:t>
      </w:r>
      <w:r w:rsidR="00FC7A0F">
        <w:t xml:space="preserve"> </w:t>
      </w:r>
      <w:bookmarkEnd w:id="23"/>
      <w:r w:rsidR="00C53889" w:rsidRPr="00C53889">
        <w:t xml:space="preserve">IROP </w:t>
      </w:r>
      <w:r w:rsidR="00BA63FA">
        <w:t xml:space="preserve">sice </w:t>
      </w:r>
      <w:r w:rsidR="00C53889" w:rsidRPr="00C53889">
        <w:t xml:space="preserve">vytváří podporou infrastruktury </w:t>
      </w:r>
      <w:r w:rsidR="00BE4198">
        <w:t xml:space="preserve">sociálních služeb </w:t>
      </w:r>
      <w:r w:rsidR="00C53889" w:rsidRPr="00C53889">
        <w:t>podmínky pro</w:t>
      </w:r>
      <w:r w:rsidR="00871BCE">
        <w:t xml:space="preserve"> </w:t>
      </w:r>
      <w:r w:rsidR="00791C11">
        <w:t>jejich rozvoj,</w:t>
      </w:r>
      <w:r w:rsidR="00A43935">
        <w:t xml:space="preserve"> </w:t>
      </w:r>
      <w:r w:rsidR="00A53C7A">
        <w:t>avšak</w:t>
      </w:r>
      <w:r w:rsidR="00C53889" w:rsidRPr="00C53889">
        <w:t xml:space="preserve"> </w:t>
      </w:r>
      <w:r w:rsidR="00490812">
        <w:t xml:space="preserve">doplňkovost </w:t>
      </w:r>
      <w:r w:rsidR="00871BCE">
        <w:t>(</w:t>
      </w:r>
      <w:r w:rsidR="00490812">
        <w:t>provázanost</w:t>
      </w:r>
      <w:r w:rsidR="00871BCE">
        <w:t>)</w:t>
      </w:r>
      <w:r w:rsidR="00490812">
        <w:t xml:space="preserve"> </w:t>
      </w:r>
      <w:r w:rsidR="00C53889" w:rsidRPr="00C53889">
        <w:t>projektů IROP s</w:t>
      </w:r>
      <w:r w:rsidR="00871BCE">
        <w:t xml:space="preserve"> </w:t>
      </w:r>
      <w:r w:rsidR="00C53889" w:rsidRPr="00C53889">
        <w:t>projekty OPZ</w:t>
      </w:r>
      <w:r w:rsidR="003840FF">
        <w:t xml:space="preserve"> </w:t>
      </w:r>
      <w:r w:rsidR="00871BCE">
        <w:t xml:space="preserve">a </w:t>
      </w:r>
      <w:r w:rsidR="003840FF">
        <w:t>OPZ+</w:t>
      </w:r>
      <w:r w:rsidR="00C53889" w:rsidRPr="00C53889">
        <w:t xml:space="preserve"> </w:t>
      </w:r>
      <w:r w:rsidR="00E95E5C">
        <w:t>prostřednictvím</w:t>
      </w:r>
      <w:r w:rsidR="0047793C">
        <w:t xml:space="preserve"> </w:t>
      </w:r>
      <w:r w:rsidR="00C53889" w:rsidRPr="00C53889">
        <w:t>podpor</w:t>
      </w:r>
      <w:r w:rsidR="00E95E5C">
        <w:t>y</w:t>
      </w:r>
      <w:r w:rsidR="00C53889" w:rsidRPr="00C53889">
        <w:t xml:space="preserve"> kapacit pečovatelů v sociálních službách</w:t>
      </w:r>
      <w:r w:rsidR="00791C11">
        <w:t xml:space="preserve"> </w:t>
      </w:r>
      <w:r w:rsidR="00C53889" w:rsidRPr="00C53889">
        <w:t>ne</w:t>
      </w:r>
      <w:r w:rsidR="00BE4198">
        <w:t xml:space="preserve">byla </w:t>
      </w:r>
      <w:r w:rsidR="00C53889" w:rsidRPr="00C53889">
        <w:t>ze</w:t>
      </w:r>
      <w:r w:rsidR="00871BCE">
        <w:t xml:space="preserve"> </w:t>
      </w:r>
      <w:r w:rsidR="00C53889" w:rsidRPr="00C53889">
        <w:t xml:space="preserve">strany </w:t>
      </w:r>
      <w:r w:rsidR="00791C11">
        <w:t xml:space="preserve">MMR </w:t>
      </w:r>
      <w:r w:rsidR="00C53889" w:rsidRPr="00C53889">
        <w:t xml:space="preserve">sledována ani zohledňována </w:t>
      </w:r>
      <w:r w:rsidR="00FC7A0F">
        <w:t xml:space="preserve">např. </w:t>
      </w:r>
      <w:r w:rsidR="00C53889" w:rsidRPr="00C53889">
        <w:t>v</w:t>
      </w:r>
      <w:r w:rsidR="00531B6E">
        <w:t xml:space="preserve"> procesu </w:t>
      </w:r>
      <w:r w:rsidR="00C53889" w:rsidRPr="00C53889">
        <w:t xml:space="preserve">hodnocení </w:t>
      </w:r>
      <w:r w:rsidR="00531B6E">
        <w:t xml:space="preserve">a výběru </w:t>
      </w:r>
      <w:r w:rsidR="00C53889" w:rsidRPr="00C53889">
        <w:t>projektů.</w:t>
      </w:r>
      <w:r w:rsidR="00490812">
        <w:t xml:space="preserve"> </w:t>
      </w:r>
      <w:r w:rsidR="00BA63FA">
        <w:t xml:space="preserve">NKÚ </w:t>
      </w:r>
      <w:r w:rsidR="00467784">
        <w:t>vyhodnotil</w:t>
      </w:r>
      <w:r w:rsidR="00A43935">
        <w:t xml:space="preserve"> </w:t>
      </w:r>
      <w:r w:rsidR="00467784">
        <w:t xml:space="preserve">tento přístup jako riziko pro účelné a hospodárné vynakládání </w:t>
      </w:r>
      <w:r w:rsidR="00377AA0">
        <w:t xml:space="preserve">veřejných </w:t>
      </w:r>
      <w:r w:rsidR="00467784">
        <w:t>prostředků, neboť pouhou podporou infrastruktury z</w:t>
      </w:r>
      <w:r w:rsidR="00871BCE">
        <w:t xml:space="preserve"> </w:t>
      </w:r>
      <w:r w:rsidR="00467784">
        <w:t xml:space="preserve">IROP nemusí být vždy </w:t>
      </w:r>
      <w:r w:rsidR="00871BCE">
        <w:t>zajištěno</w:t>
      </w:r>
      <w:r w:rsidR="00467784">
        <w:t xml:space="preserve"> zvýšení kvality </w:t>
      </w:r>
      <w:r w:rsidR="00B13C4B">
        <w:br/>
      </w:r>
      <w:r w:rsidR="00BA63FA">
        <w:t>a</w:t>
      </w:r>
      <w:r w:rsidR="00B13C4B">
        <w:t xml:space="preserve"> </w:t>
      </w:r>
      <w:r w:rsidR="00BA63FA">
        <w:t xml:space="preserve">dostupnosti sociálních služeb, pokud bude </w:t>
      </w:r>
      <w:r w:rsidR="003D594D">
        <w:t xml:space="preserve">například </w:t>
      </w:r>
      <w:r w:rsidR="00BA63FA">
        <w:t xml:space="preserve">chybět </w:t>
      </w:r>
      <w:bookmarkStart w:id="24" w:name="_Hlk191968334"/>
      <w:r w:rsidR="00BA63FA">
        <w:t>navazující podpora personálního zajištění v</w:t>
      </w:r>
      <w:bookmarkEnd w:id="24"/>
      <w:r w:rsidR="00B13C4B">
        <w:t xml:space="preserve"> </w:t>
      </w:r>
      <w:r w:rsidR="00DC125C">
        <w:t>těchto</w:t>
      </w:r>
      <w:r w:rsidR="00BA63FA">
        <w:t xml:space="preserve"> službách</w:t>
      </w:r>
      <w:r w:rsidR="00E95E5C">
        <w:rPr>
          <w:rStyle w:val="Znakapoznpodarou"/>
        </w:rPr>
        <w:footnoteReference w:id="29"/>
      </w:r>
      <w:r w:rsidR="00BA63FA">
        <w:t>.</w:t>
      </w:r>
      <w:r w:rsidR="009A63BD">
        <w:t xml:space="preserve"> </w:t>
      </w:r>
      <w:r w:rsidR="00D34A34">
        <w:t xml:space="preserve">NKÚ </w:t>
      </w:r>
      <w:r w:rsidR="00377AA0">
        <w:t>k</w:t>
      </w:r>
      <w:r w:rsidR="00D34A34">
        <w:t>onstatuje, že s</w:t>
      </w:r>
      <w:r w:rsidR="00B13C4B">
        <w:t xml:space="preserve"> </w:t>
      </w:r>
      <w:r w:rsidR="00CF516C">
        <w:t>ohledem na</w:t>
      </w:r>
      <w:r w:rsidR="00871BCE">
        <w:t xml:space="preserve"> </w:t>
      </w:r>
      <w:r w:rsidR="00CF516C">
        <w:t>demografick</w:t>
      </w:r>
      <w:r w:rsidR="00DA60CB">
        <w:t>é trendy</w:t>
      </w:r>
      <w:r w:rsidR="00D34A34">
        <w:t xml:space="preserve"> </w:t>
      </w:r>
      <w:r w:rsidR="00DB60AB">
        <w:t xml:space="preserve">(viz </w:t>
      </w:r>
      <w:r w:rsidR="00B13C4B">
        <w:br/>
      </w:r>
      <w:r w:rsidR="00DB60AB">
        <w:t xml:space="preserve">odst. 2.3) </w:t>
      </w:r>
      <w:r w:rsidR="00377AA0">
        <w:t xml:space="preserve">uvedené </w:t>
      </w:r>
      <w:r w:rsidR="00D34A34">
        <w:t>riziko narůstá, a tak</w:t>
      </w:r>
      <w:r w:rsidR="00A43935">
        <w:t xml:space="preserve"> </w:t>
      </w:r>
      <w:r w:rsidR="00D34A34">
        <w:t xml:space="preserve">potřebná </w:t>
      </w:r>
      <w:r w:rsidR="00CF516C">
        <w:t xml:space="preserve">koordinace komplementární podpory </w:t>
      </w:r>
      <w:r w:rsidR="00B13C4B">
        <w:br/>
      </w:r>
      <w:r w:rsidR="00D34A34">
        <w:t>z IROP 2 a podpory, kterou poskytuje MPSV, nabývá na významu.</w:t>
      </w:r>
      <w:r w:rsidR="00CF516C">
        <w:t xml:space="preserve"> </w:t>
      </w:r>
    </w:p>
    <w:p w14:paraId="6D18C2E7" w14:textId="77777777" w:rsidR="00504F32" w:rsidRPr="00D56926" w:rsidRDefault="00504F32" w:rsidP="0060445A">
      <w:pPr>
        <w:pStyle w:val="Kontrolnprotokol"/>
        <w:keepNext/>
        <w:spacing w:before="120" w:after="120"/>
        <w:ind w:left="284" w:hanging="284"/>
        <w:rPr>
          <w:b/>
          <w:i/>
          <w:color w:val="00ADDB"/>
        </w:rPr>
      </w:pPr>
      <w:bookmarkStart w:id="26" w:name="_Hlk187736223"/>
      <w:r w:rsidRPr="00D56926">
        <w:rPr>
          <w:b/>
          <w:i/>
          <w:color w:val="00ADDB"/>
        </w:rPr>
        <w:t>→</w:t>
      </w:r>
      <w:r w:rsidR="00B92F06">
        <w:rPr>
          <w:b/>
          <w:i/>
          <w:color w:val="00ADDB"/>
        </w:rPr>
        <w:t xml:space="preserve"> </w:t>
      </w:r>
      <w:bookmarkStart w:id="27" w:name="_Hlk188940973"/>
      <w:r w:rsidR="00020616" w:rsidRPr="00D56926">
        <w:rPr>
          <w:b/>
          <w:i/>
          <w:color w:val="00ADDB"/>
        </w:rPr>
        <w:t xml:space="preserve">Kritéria nastavená pro hodnocení projektů </w:t>
      </w:r>
      <w:r w:rsidR="00E27F24" w:rsidRPr="00D56926">
        <w:rPr>
          <w:b/>
          <w:i/>
          <w:color w:val="00ADDB"/>
        </w:rPr>
        <w:t>v</w:t>
      </w:r>
      <w:r w:rsidR="00702339" w:rsidRPr="00D56926">
        <w:rPr>
          <w:b/>
          <w:i/>
          <w:color w:val="00ADDB"/>
        </w:rPr>
        <w:t>e</w:t>
      </w:r>
      <w:r w:rsidR="00E27F24" w:rsidRPr="00D56926">
        <w:rPr>
          <w:b/>
          <w:i/>
          <w:color w:val="00ADDB"/>
        </w:rPr>
        <w:t xml:space="preserve"> výzvách </w:t>
      </w:r>
      <w:r w:rsidR="00020616" w:rsidRPr="00D56926">
        <w:rPr>
          <w:b/>
          <w:i/>
          <w:color w:val="00ADDB"/>
        </w:rPr>
        <w:t>zohledňovala aspekt účelnosti a</w:t>
      </w:r>
      <w:r w:rsidR="000D3D66" w:rsidRPr="00D56926">
        <w:rPr>
          <w:b/>
          <w:i/>
          <w:color w:val="00ADDB"/>
        </w:rPr>
        <w:t> </w:t>
      </w:r>
      <w:r w:rsidR="00020616" w:rsidRPr="00D56926">
        <w:rPr>
          <w:b/>
          <w:i/>
          <w:color w:val="00ADDB"/>
        </w:rPr>
        <w:t>potřebnosti projektu i soulad žádostí o podporu</w:t>
      </w:r>
      <w:r w:rsidR="00193D68" w:rsidRPr="00D56926">
        <w:rPr>
          <w:b/>
          <w:i/>
          <w:color w:val="00ADDB"/>
        </w:rPr>
        <w:t xml:space="preserve"> s</w:t>
      </w:r>
      <w:r w:rsidR="00531B6E" w:rsidRPr="00D56926">
        <w:rPr>
          <w:b/>
          <w:i/>
          <w:color w:val="00ADDB"/>
        </w:rPr>
        <w:t> krajskými rozvojovými plány</w:t>
      </w:r>
      <w:r w:rsidR="00D11AA8" w:rsidRPr="00D56926">
        <w:rPr>
          <w:b/>
          <w:i/>
          <w:color w:val="00ADDB"/>
        </w:rPr>
        <w:t>,</w:t>
      </w:r>
      <w:r w:rsidR="00E27F24" w:rsidRPr="00D56926">
        <w:rPr>
          <w:b/>
          <w:i/>
          <w:color w:val="00ADDB"/>
        </w:rPr>
        <w:t xml:space="preserve"> ...</w:t>
      </w:r>
    </w:p>
    <w:bookmarkEnd w:id="26"/>
    <w:bookmarkEnd w:id="27"/>
    <w:p w14:paraId="69FA1559" w14:textId="77777777" w:rsidR="00504F32" w:rsidRDefault="00D044C1" w:rsidP="00B07481">
      <w:pPr>
        <w:pStyle w:val="JK4"/>
        <w:ind w:left="0" w:firstLine="0"/>
      </w:pPr>
      <w:r w:rsidRPr="008A632F">
        <w:t>Pro účelné</w:t>
      </w:r>
      <w:r>
        <w:t xml:space="preserve"> </w:t>
      </w:r>
      <w:r w:rsidR="00573827">
        <w:t>vynakládání peněžních prostředků j</w:t>
      </w:r>
      <w:r>
        <w:t xml:space="preserve">e klíčové, aby byly </w:t>
      </w:r>
      <w:r w:rsidR="00573827">
        <w:t xml:space="preserve">k dotační podpoře z IROP </w:t>
      </w:r>
      <w:r>
        <w:t>vybrány projekty s největším předpokladem pro dosažení přínosů</w:t>
      </w:r>
      <w:r w:rsidR="00573827">
        <w:t xml:space="preserve"> ke zvýšení kvality </w:t>
      </w:r>
      <w:r w:rsidR="00B478D2">
        <w:t xml:space="preserve">zahrnující </w:t>
      </w:r>
      <w:r w:rsidR="00556167">
        <w:t>jak</w:t>
      </w:r>
      <w:r w:rsidR="00573827">
        <w:t xml:space="preserve"> </w:t>
      </w:r>
      <w:r w:rsidR="00B478D2">
        <w:t xml:space="preserve">poskytování služeb komunitního typu oproti </w:t>
      </w:r>
      <w:r w:rsidR="00B478D2" w:rsidRPr="00432BAA">
        <w:t>institucionálnímu uspořádání</w:t>
      </w:r>
      <w:r w:rsidR="00B478D2">
        <w:t xml:space="preserve">, tak </w:t>
      </w:r>
      <w:r w:rsidR="00B478D2" w:rsidRPr="00432BAA">
        <w:t xml:space="preserve">lepší dostupnost sociální služby. </w:t>
      </w:r>
      <w:r w:rsidR="00B478D2">
        <w:t xml:space="preserve">Účelnost </w:t>
      </w:r>
      <w:r w:rsidR="00D11AA8">
        <w:t>vynaložení peněžních prostředků</w:t>
      </w:r>
      <w:r w:rsidR="00432BAA">
        <w:t xml:space="preserve"> </w:t>
      </w:r>
      <w:r w:rsidR="00432BAA" w:rsidRPr="00432BAA">
        <w:t xml:space="preserve">je </w:t>
      </w:r>
      <w:r w:rsidR="00D11AA8">
        <w:t>podmíněna</w:t>
      </w:r>
      <w:r w:rsidR="00432BAA" w:rsidRPr="00432BAA">
        <w:t xml:space="preserve"> </w:t>
      </w:r>
      <w:r w:rsidR="00B478D2">
        <w:t xml:space="preserve">zejména </w:t>
      </w:r>
      <w:r w:rsidR="00432BAA" w:rsidRPr="00432BAA">
        <w:t>potřebností projekt</w:t>
      </w:r>
      <w:r w:rsidR="00AC41D2">
        <w:t>ů</w:t>
      </w:r>
      <w:r w:rsidR="00432BAA" w:rsidRPr="00432BAA">
        <w:t>.</w:t>
      </w:r>
      <w:r w:rsidR="00A43935">
        <w:t xml:space="preserve"> </w:t>
      </w:r>
      <w:r w:rsidR="00B478D2">
        <w:t xml:space="preserve">NKÚ prověřil u MMR </w:t>
      </w:r>
      <w:r w:rsidR="007F6644">
        <w:t>o</w:t>
      </w:r>
      <w:r w:rsidR="00853461">
        <w:t>blast hodnocení a výběru projektů</w:t>
      </w:r>
      <w:r w:rsidR="00DC125C">
        <w:t>, aby posoudil</w:t>
      </w:r>
      <w:r w:rsidR="00853461">
        <w:t>, zda MMR nastavilo podmínky ve výzvách a kritéria pro hodnocení žádostí o podporu tak, aby byly vytvořeny předpoklady k účelnému vynakládání peněžních prostředků.</w:t>
      </w:r>
    </w:p>
    <w:p w14:paraId="3A11D3DF" w14:textId="30B19998" w:rsidR="00DC125C" w:rsidRDefault="00DC125C" w:rsidP="007B3A71">
      <w:pPr>
        <w:pStyle w:val="JK4"/>
        <w:ind w:left="0" w:firstLine="0"/>
      </w:pPr>
      <w:r>
        <w:t>NKÚ ověřil, že</w:t>
      </w:r>
      <w:r w:rsidR="003E0B27">
        <w:t xml:space="preserve"> kritéria pro hodnocení projektů </w:t>
      </w:r>
      <w:r w:rsidR="00412C9F">
        <w:t>u většiny výzev</w:t>
      </w:r>
      <w:r w:rsidR="003E0B27">
        <w:t xml:space="preserve"> zahrnovala ověřovací otázky k</w:t>
      </w:r>
      <w:r w:rsidR="008D38A8">
        <w:t xml:space="preserve"> </w:t>
      </w:r>
      <w:r w:rsidR="003E0B27">
        <w:t>účelnosti</w:t>
      </w:r>
      <w:r w:rsidR="00D11AA8">
        <w:t xml:space="preserve"> vynaložených </w:t>
      </w:r>
      <w:r w:rsidR="00556167">
        <w:t xml:space="preserve">peněžních </w:t>
      </w:r>
      <w:r w:rsidR="00D11AA8">
        <w:t>prostředků</w:t>
      </w:r>
      <w:r w:rsidR="003E0B27">
        <w:t xml:space="preserve"> a potřebnosti projektů. Jedním z dalších kritérií k posouzení žádostí o podporu byl i soulad projektu s krajskými rozvojovými plány a</w:t>
      </w:r>
      <w:r w:rsidR="00C76CEF">
        <w:t xml:space="preserve"> s</w:t>
      </w:r>
      <w:r w:rsidR="000D3D66">
        <w:t> </w:t>
      </w:r>
      <w:r w:rsidR="003E0B27">
        <w:t xml:space="preserve">transformačními plány u projektů zaměřených na deinstitucionalizaci pobytových </w:t>
      </w:r>
      <w:r w:rsidR="003518F3">
        <w:t xml:space="preserve">sociálních </w:t>
      </w:r>
      <w:r w:rsidR="003E0B27">
        <w:t>služeb.</w:t>
      </w:r>
    </w:p>
    <w:p w14:paraId="58F9D200" w14:textId="4D302F3D" w:rsidR="00504F32" w:rsidRPr="00D56926" w:rsidRDefault="00504F32" w:rsidP="0060445A">
      <w:pPr>
        <w:pStyle w:val="Kontrolnprotokol"/>
        <w:keepNext/>
        <w:spacing w:before="120" w:after="120"/>
        <w:ind w:left="284" w:hanging="284"/>
        <w:rPr>
          <w:b/>
          <w:i/>
          <w:color w:val="00ADDB"/>
        </w:rPr>
      </w:pPr>
      <w:bookmarkStart w:id="28" w:name="_Hlk188943422"/>
      <w:r w:rsidRPr="00D56926">
        <w:rPr>
          <w:b/>
          <w:i/>
          <w:color w:val="00ADDB"/>
        </w:rPr>
        <w:t>→</w:t>
      </w:r>
      <w:r w:rsidR="006749C1" w:rsidRPr="00D56926">
        <w:rPr>
          <w:b/>
          <w:i/>
          <w:color w:val="00ADDB"/>
        </w:rPr>
        <w:t xml:space="preserve"> ...</w:t>
      </w:r>
      <w:r w:rsidR="00412C9F" w:rsidRPr="00D56926">
        <w:rPr>
          <w:b/>
          <w:i/>
          <w:color w:val="00ADDB"/>
        </w:rPr>
        <w:t xml:space="preserve"> </w:t>
      </w:r>
      <w:r w:rsidR="006749C1" w:rsidRPr="00D56926">
        <w:rPr>
          <w:b/>
          <w:i/>
          <w:color w:val="00ADDB"/>
        </w:rPr>
        <w:t xml:space="preserve">výjimku </w:t>
      </w:r>
      <w:bookmarkStart w:id="29" w:name="_Hlk188943403"/>
      <w:r w:rsidR="008A632F">
        <w:rPr>
          <w:b/>
          <w:i/>
          <w:color w:val="00ADDB"/>
        </w:rPr>
        <w:t xml:space="preserve">tvořila </w:t>
      </w:r>
      <w:r w:rsidR="006749C1" w:rsidRPr="00D56926">
        <w:rPr>
          <w:b/>
          <w:i/>
          <w:color w:val="00ADDB"/>
        </w:rPr>
        <w:t>v</w:t>
      </w:r>
      <w:r w:rsidRPr="00D56926">
        <w:rPr>
          <w:b/>
          <w:i/>
          <w:color w:val="00ADDB"/>
        </w:rPr>
        <w:t>ýzv</w:t>
      </w:r>
      <w:r w:rsidR="008A632F">
        <w:rPr>
          <w:b/>
          <w:i/>
          <w:color w:val="00ADDB"/>
        </w:rPr>
        <w:t>a</w:t>
      </w:r>
      <w:r w:rsidRPr="00D56926">
        <w:rPr>
          <w:b/>
          <w:i/>
          <w:color w:val="00ADDB"/>
        </w:rPr>
        <w:t xml:space="preserve"> č. 101 REACT-EU</w:t>
      </w:r>
      <w:r w:rsidR="006749C1" w:rsidRPr="00D56926">
        <w:rPr>
          <w:b/>
          <w:i/>
          <w:color w:val="00ADDB"/>
        </w:rPr>
        <w:t>, která</w:t>
      </w:r>
      <w:r w:rsidRPr="00D56926">
        <w:rPr>
          <w:b/>
          <w:i/>
          <w:color w:val="00ADDB"/>
        </w:rPr>
        <w:t xml:space="preserve"> umožnila žadatelům získat dota</w:t>
      </w:r>
      <w:r w:rsidR="00052589" w:rsidRPr="00D56926">
        <w:rPr>
          <w:b/>
          <w:i/>
          <w:color w:val="00ADDB"/>
        </w:rPr>
        <w:t>ční podporu</w:t>
      </w:r>
      <w:r w:rsidR="0097655F" w:rsidRPr="00D56926">
        <w:rPr>
          <w:b/>
          <w:i/>
          <w:color w:val="00ADDB"/>
        </w:rPr>
        <w:t xml:space="preserve"> </w:t>
      </w:r>
      <w:r w:rsidR="004432D2" w:rsidRPr="00D56926">
        <w:rPr>
          <w:b/>
          <w:i/>
          <w:color w:val="00ADDB"/>
        </w:rPr>
        <w:t xml:space="preserve">bez </w:t>
      </w:r>
      <w:r w:rsidR="0097655F" w:rsidRPr="00D56926">
        <w:rPr>
          <w:b/>
          <w:i/>
          <w:color w:val="00ADDB"/>
        </w:rPr>
        <w:t xml:space="preserve">dostatečného </w:t>
      </w:r>
      <w:r w:rsidR="004432D2" w:rsidRPr="00D56926">
        <w:rPr>
          <w:b/>
          <w:i/>
          <w:color w:val="00ADDB"/>
        </w:rPr>
        <w:t>doložení potřebnosti</w:t>
      </w:r>
      <w:r w:rsidR="0062387C" w:rsidRPr="00D56926">
        <w:rPr>
          <w:b/>
          <w:i/>
          <w:color w:val="00ADDB"/>
        </w:rPr>
        <w:t xml:space="preserve"> její </w:t>
      </w:r>
      <w:r w:rsidR="00944F49" w:rsidRPr="00D56926">
        <w:rPr>
          <w:b/>
          <w:i/>
          <w:color w:val="00ADDB"/>
        </w:rPr>
        <w:t>výše</w:t>
      </w:r>
      <w:r w:rsidR="00D11AA8" w:rsidRPr="00D56926">
        <w:rPr>
          <w:b/>
          <w:i/>
          <w:color w:val="00ADDB"/>
        </w:rPr>
        <w:t>.</w:t>
      </w:r>
    </w:p>
    <w:p w14:paraId="02FA287D" w14:textId="7748717F" w:rsidR="00504F32" w:rsidRPr="00A46159" w:rsidRDefault="00450675" w:rsidP="00504F32">
      <w:pPr>
        <w:pStyle w:val="JK4"/>
        <w:ind w:left="0" w:firstLine="0"/>
      </w:pPr>
      <w:bookmarkStart w:id="30" w:name="_Hlk187730125"/>
      <w:bookmarkEnd w:id="28"/>
      <w:bookmarkEnd w:id="29"/>
      <w:r>
        <w:t>V reakci na pandemii covid</w:t>
      </w:r>
      <w:r w:rsidR="00A238DE">
        <w:t>u</w:t>
      </w:r>
      <w:r>
        <w:t xml:space="preserve">-19 </w:t>
      </w:r>
      <w:r w:rsidR="00A46159" w:rsidRPr="00A46159">
        <w:t xml:space="preserve">vyhlásilo </w:t>
      </w:r>
      <w:r w:rsidR="00A238DE" w:rsidRPr="00A46159">
        <w:t xml:space="preserve">MMR </w:t>
      </w:r>
      <w:r w:rsidR="000C4DD9">
        <w:t xml:space="preserve">v rámci SC 6.1 IROP 1 </w:t>
      </w:r>
      <w:r w:rsidR="00A46159" w:rsidRPr="00A46159">
        <w:t>výzvu č. 101</w:t>
      </w:r>
      <w:r w:rsidR="00E20696">
        <w:t xml:space="preserve"> </w:t>
      </w:r>
      <w:r w:rsidR="00A238DE">
        <w:br/>
      </w:r>
      <w:r w:rsidR="00E20696" w:rsidRPr="00855933">
        <w:rPr>
          <w:i/>
          <w:iCs/>
        </w:rPr>
        <w:t>REACT-EU</w:t>
      </w:r>
      <w:r w:rsidR="005847EC">
        <w:t xml:space="preserve"> </w:t>
      </w:r>
      <w:r w:rsidR="00E20696">
        <w:t>na podporu infrastruktury sociálních služeb se zvýšenou energetickou účinností</w:t>
      </w:r>
      <w:r w:rsidR="00A46159" w:rsidRPr="00A46159">
        <w:t xml:space="preserve"> </w:t>
      </w:r>
      <w:r w:rsidR="00A238DE">
        <w:t xml:space="preserve">– výzva </w:t>
      </w:r>
      <w:r w:rsidR="00A46159" w:rsidRPr="00A46159">
        <w:t xml:space="preserve">měla vést ke zodolnění a dovybavení </w:t>
      </w:r>
      <w:r w:rsidR="003518F3">
        <w:t xml:space="preserve">této </w:t>
      </w:r>
      <w:r w:rsidR="001729F0">
        <w:t>infrastruktury</w:t>
      </w:r>
      <w:r w:rsidR="003518F3">
        <w:t xml:space="preserve">. </w:t>
      </w:r>
      <w:r w:rsidR="00FE6ED9">
        <w:t xml:space="preserve">Alokace </w:t>
      </w:r>
      <w:r w:rsidR="0016319E">
        <w:t xml:space="preserve">této </w:t>
      </w:r>
      <w:r w:rsidR="00FE6ED9">
        <w:t>výzvy z</w:t>
      </w:r>
      <w:r w:rsidR="00754255">
        <w:t>e</w:t>
      </w:r>
      <w:r w:rsidR="00FE6ED9">
        <w:t xml:space="preserve"> zdroj</w:t>
      </w:r>
      <w:r w:rsidR="00E64146">
        <w:t>ů</w:t>
      </w:r>
      <w:r w:rsidR="00FE6ED9">
        <w:t xml:space="preserve"> EU i SR činila 2 504,8 mil. Kč. </w:t>
      </w:r>
      <w:r w:rsidR="00A7491B">
        <w:t>H</w:t>
      </w:r>
      <w:r w:rsidR="00E20696">
        <w:t>lavními podporovanými aktivitami byl</w:t>
      </w:r>
      <w:r w:rsidR="00E50AC0">
        <w:t>y</w:t>
      </w:r>
      <w:r>
        <w:t xml:space="preserve"> </w:t>
      </w:r>
      <w:r w:rsidRPr="00450675">
        <w:t>nákup</w:t>
      </w:r>
      <w:r w:rsidR="00E50AC0">
        <w:t>y</w:t>
      </w:r>
      <w:r w:rsidRPr="00450675">
        <w:t xml:space="preserve"> budov, zařízení a vybavení, výstavba a stavební úpravy, obnova a zkvalitnění materiálně technické základny stávajících služeb</w:t>
      </w:r>
      <w:r w:rsidR="00A238DE">
        <w:t>,</w:t>
      </w:r>
      <w:r>
        <w:t xml:space="preserve"> jako např. obnova</w:t>
      </w:r>
      <w:r w:rsidR="008011E1" w:rsidRPr="00A46159">
        <w:t xml:space="preserve"> vozového parku, vybavení zázemí apod.</w:t>
      </w:r>
    </w:p>
    <w:bookmarkEnd w:id="30"/>
    <w:p w14:paraId="51EFF8C2" w14:textId="14687007" w:rsidR="00CA2BE4" w:rsidRPr="00CA2BE4" w:rsidRDefault="00450675" w:rsidP="00CA2BE4">
      <w:pPr>
        <w:pStyle w:val="JK4"/>
        <w:ind w:left="0" w:firstLine="0"/>
      </w:pPr>
      <w:r>
        <w:t xml:space="preserve">NKÚ kontrolou zjistil, že </w:t>
      </w:r>
      <w:r w:rsidR="00BB29C8">
        <w:t xml:space="preserve">MMR </w:t>
      </w:r>
      <w:r w:rsidR="00EB520B">
        <w:t xml:space="preserve">u výzvy č. </w:t>
      </w:r>
      <w:r w:rsidR="00027670" w:rsidRPr="004432D2">
        <w:t xml:space="preserve">101 </w:t>
      </w:r>
      <w:r w:rsidR="00027670" w:rsidRPr="00855933">
        <w:rPr>
          <w:i/>
          <w:iCs/>
        </w:rPr>
        <w:t>REACT-EU</w:t>
      </w:r>
      <w:r w:rsidR="00027670" w:rsidRPr="004432D2">
        <w:t xml:space="preserve"> </w:t>
      </w:r>
      <w:r w:rsidR="00BB29C8">
        <w:t>nastavilo</w:t>
      </w:r>
      <w:r w:rsidR="00AE0189">
        <w:t xml:space="preserve"> </w:t>
      </w:r>
      <w:r w:rsidR="00027670" w:rsidRPr="004432D2">
        <w:t>kritéri</w:t>
      </w:r>
      <w:r w:rsidR="00AE0189">
        <w:t>um</w:t>
      </w:r>
      <w:r w:rsidR="00027670" w:rsidRPr="004432D2">
        <w:t xml:space="preserve"> potřebnosti </w:t>
      </w:r>
      <w:r w:rsidR="00AE0189">
        <w:t>jen obecn</w:t>
      </w:r>
      <w:r w:rsidR="007C775A">
        <w:t xml:space="preserve">ě a hodnoticí otázky k potřebnosti projektu nebyly </w:t>
      </w:r>
      <w:r w:rsidR="00ED56D2">
        <w:t xml:space="preserve">dále </w:t>
      </w:r>
      <w:r w:rsidR="007C775A">
        <w:t>nijak rozvedeny. D</w:t>
      </w:r>
      <w:r w:rsidR="00AE0189">
        <w:t>otace tak</w:t>
      </w:r>
      <w:r w:rsidR="00A43935">
        <w:t xml:space="preserve"> </w:t>
      </w:r>
      <w:r w:rsidR="00AE0189">
        <w:t xml:space="preserve">některým žadatelům </w:t>
      </w:r>
      <w:r w:rsidR="00F435EB">
        <w:t>přiděl</w:t>
      </w:r>
      <w:r w:rsidR="00BB29C8">
        <w:t>ilo</w:t>
      </w:r>
      <w:r w:rsidR="00F435EB">
        <w:t xml:space="preserve"> </w:t>
      </w:r>
      <w:r w:rsidR="005F263C">
        <w:t xml:space="preserve">jen </w:t>
      </w:r>
      <w:r w:rsidR="00027670" w:rsidRPr="004432D2">
        <w:t xml:space="preserve">na základě odkazů na celospolečenské analýzy a </w:t>
      </w:r>
      <w:r w:rsidR="001729F0">
        <w:t xml:space="preserve">na </w:t>
      </w:r>
      <w:r w:rsidR="007C775A">
        <w:t xml:space="preserve">základě </w:t>
      </w:r>
      <w:r w:rsidR="00027670" w:rsidRPr="004432D2">
        <w:t>obecn</w:t>
      </w:r>
      <w:r>
        <w:t xml:space="preserve">ých </w:t>
      </w:r>
      <w:r w:rsidR="00F435EB">
        <w:t>popis</w:t>
      </w:r>
      <w:r w:rsidR="007C775A">
        <w:t xml:space="preserve">ů </w:t>
      </w:r>
      <w:r w:rsidR="00F435EB">
        <w:t>důsledků pan</w:t>
      </w:r>
      <w:r w:rsidR="005F263C">
        <w:t>d</w:t>
      </w:r>
      <w:r w:rsidR="00F435EB">
        <w:t>emické krize</w:t>
      </w:r>
      <w:r>
        <w:t xml:space="preserve">, </w:t>
      </w:r>
      <w:r w:rsidR="00027670" w:rsidRPr="004432D2">
        <w:t>aniž by byla</w:t>
      </w:r>
      <w:r>
        <w:t xml:space="preserve"> </w:t>
      </w:r>
      <w:r w:rsidR="005F263C">
        <w:t xml:space="preserve">prokázána </w:t>
      </w:r>
      <w:r>
        <w:t>skutečná</w:t>
      </w:r>
      <w:r w:rsidR="00027670" w:rsidRPr="004432D2">
        <w:t xml:space="preserve"> potřebnost pořízení </w:t>
      </w:r>
      <w:r w:rsidR="00F435EB">
        <w:t xml:space="preserve">konkrétního </w:t>
      </w:r>
      <w:r w:rsidR="00027670" w:rsidRPr="004432D2">
        <w:t>vybavení</w:t>
      </w:r>
      <w:r w:rsidR="00027670">
        <w:t xml:space="preserve"> </w:t>
      </w:r>
      <w:r>
        <w:t>pro subjekt,</w:t>
      </w:r>
      <w:r w:rsidR="00027670" w:rsidRPr="004432D2">
        <w:t xml:space="preserve"> který </w:t>
      </w:r>
      <w:r w:rsidR="00ED56D2">
        <w:t xml:space="preserve">by </w:t>
      </w:r>
      <w:r w:rsidR="00027670" w:rsidRPr="004432D2">
        <w:t xml:space="preserve">byl </w:t>
      </w:r>
      <w:r w:rsidR="00F435EB">
        <w:t xml:space="preserve">přímo </w:t>
      </w:r>
      <w:r w:rsidR="00027670">
        <w:t xml:space="preserve">zasažen </w:t>
      </w:r>
      <w:r w:rsidR="001729F0">
        <w:t xml:space="preserve">pandemickou, respektive postpandemickou </w:t>
      </w:r>
      <w:r w:rsidR="00027670" w:rsidRPr="004432D2">
        <w:t>krizí</w:t>
      </w:r>
      <w:r w:rsidR="006F1F3C">
        <w:t xml:space="preserve">. V důsledku </w:t>
      </w:r>
      <w:r w:rsidR="00344660">
        <w:t xml:space="preserve">toho, že MMR nevhodně nastavilo </w:t>
      </w:r>
      <w:r w:rsidR="006F1F3C">
        <w:t xml:space="preserve">systém výběru projektů na základě </w:t>
      </w:r>
      <w:r w:rsidR="00ED56D2">
        <w:t xml:space="preserve">příliš </w:t>
      </w:r>
      <w:r w:rsidR="006F1F3C">
        <w:t>obecného kritéria</w:t>
      </w:r>
      <w:r w:rsidR="00344660">
        <w:t>,</w:t>
      </w:r>
      <w:r w:rsidR="006F1F3C">
        <w:t xml:space="preserve"> </w:t>
      </w:r>
      <w:r w:rsidR="00237E7B">
        <w:t xml:space="preserve">se tento nedostatek projevil </w:t>
      </w:r>
      <w:r w:rsidR="00C62AF2">
        <w:t>u příjemc</w:t>
      </w:r>
      <w:r w:rsidR="00B870EA">
        <w:t>ů</w:t>
      </w:r>
      <w:r w:rsidR="00C62AF2">
        <w:t xml:space="preserve">, kde </w:t>
      </w:r>
      <w:r w:rsidR="00AE0189">
        <w:t>NKÚ zjistil případ</w:t>
      </w:r>
      <w:r w:rsidR="00D11AA8">
        <w:t>y</w:t>
      </w:r>
      <w:r w:rsidR="00AE0189">
        <w:t xml:space="preserve"> nákupu </w:t>
      </w:r>
      <w:r w:rsidR="001729F0">
        <w:t>neopodstatně</w:t>
      </w:r>
      <w:r w:rsidR="006F1F3C">
        <w:t>n</w:t>
      </w:r>
      <w:r w:rsidR="00344660">
        <w:t>ě</w:t>
      </w:r>
      <w:r w:rsidR="00CA2BE4" w:rsidRPr="00CA2BE4">
        <w:t xml:space="preserve"> </w:t>
      </w:r>
      <w:r w:rsidR="00AE0189">
        <w:t>vysokého počtu</w:t>
      </w:r>
      <w:r w:rsidR="00CA2BE4" w:rsidRPr="00CA2BE4">
        <w:t xml:space="preserve"> </w:t>
      </w:r>
      <w:r w:rsidR="00F65C7E">
        <w:t>automobilů</w:t>
      </w:r>
      <w:r w:rsidR="00C62AF2">
        <w:t xml:space="preserve">. </w:t>
      </w:r>
      <w:r w:rsidR="00AE0189">
        <w:t>Někter</w:t>
      </w:r>
      <w:r w:rsidR="00C652C3">
        <w:t>á</w:t>
      </w:r>
      <w:r w:rsidR="00AE0189">
        <w:t xml:space="preserve"> z pořízených vozidel byl</w:t>
      </w:r>
      <w:r w:rsidR="000116C4">
        <w:t>a</w:t>
      </w:r>
      <w:r w:rsidR="00AE0189">
        <w:t xml:space="preserve"> pro </w:t>
      </w:r>
      <w:r w:rsidR="00344660">
        <w:t>poskytování</w:t>
      </w:r>
      <w:r w:rsidR="00AE0189">
        <w:t xml:space="preserve"> sociálních služeb </w:t>
      </w:r>
      <w:r w:rsidR="000116C4">
        <w:t>vy</w:t>
      </w:r>
      <w:r w:rsidR="00AE0189">
        <w:t>užíván</w:t>
      </w:r>
      <w:r w:rsidR="00C652C3">
        <w:t>a</w:t>
      </w:r>
      <w:r w:rsidR="00AE0189">
        <w:t xml:space="preserve"> zcela minimálně a byl</w:t>
      </w:r>
      <w:r w:rsidR="000116C4">
        <w:t>a</w:t>
      </w:r>
      <w:r w:rsidR="00AE0189">
        <w:t xml:space="preserve"> nahraditeln</w:t>
      </w:r>
      <w:r w:rsidR="000116C4">
        <w:t>á jiným</w:t>
      </w:r>
      <w:r w:rsidR="008F1C58">
        <w:t>i</w:t>
      </w:r>
      <w:r w:rsidR="00251CCB">
        <w:t xml:space="preserve"> v</w:t>
      </w:r>
      <w:r w:rsidR="00D11AA8">
        <w:t>ozy</w:t>
      </w:r>
      <w:r w:rsidR="000116C4">
        <w:t xml:space="preserve"> pořízeným</w:t>
      </w:r>
      <w:r w:rsidR="00D11AA8">
        <w:t>i</w:t>
      </w:r>
      <w:r w:rsidR="000116C4">
        <w:t xml:space="preserve"> z poskytnuté dotace</w:t>
      </w:r>
      <w:r w:rsidR="00C652C3">
        <w:t xml:space="preserve">. Případ </w:t>
      </w:r>
      <w:r w:rsidR="00B870EA">
        <w:t xml:space="preserve">nedostatečného posouzení potřebnosti nákupu </w:t>
      </w:r>
      <w:r w:rsidR="00883F5B">
        <w:t xml:space="preserve">ze strany poskytovatele </w:t>
      </w:r>
      <w:r w:rsidR="008B3C86">
        <w:t xml:space="preserve">je patrný </w:t>
      </w:r>
      <w:r w:rsidR="00DC0CAF">
        <w:t>z</w:t>
      </w:r>
      <w:r w:rsidR="008B3C86">
        <w:t> </w:t>
      </w:r>
      <w:r w:rsidR="008B3C86" w:rsidRPr="0016292D">
        <w:rPr>
          <w:b/>
        </w:rPr>
        <w:t>příkladu č. 1</w:t>
      </w:r>
      <w:r w:rsidR="008B3C86">
        <w:t xml:space="preserve"> </w:t>
      </w:r>
      <w:r w:rsidR="000077CB" w:rsidRPr="002500D2">
        <w:t xml:space="preserve">v </w:t>
      </w:r>
      <w:r w:rsidR="008B3C86" w:rsidRPr="002500D2">
        <w:t xml:space="preserve">části IV.A a </w:t>
      </w:r>
      <w:r w:rsidR="00DC0CAF" w:rsidRPr="002500D2">
        <w:t>z</w:t>
      </w:r>
      <w:r w:rsidR="008B3C86" w:rsidRPr="002500D2">
        <w:t> </w:t>
      </w:r>
      <w:r w:rsidR="008B3C86" w:rsidRPr="002500D2">
        <w:rPr>
          <w:b/>
        </w:rPr>
        <w:t xml:space="preserve">příkladu </w:t>
      </w:r>
      <w:r w:rsidR="00CA2BE4" w:rsidRPr="002500D2">
        <w:rPr>
          <w:b/>
        </w:rPr>
        <w:t>č.</w:t>
      </w:r>
      <w:r w:rsidR="00177626" w:rsidRPr="002500D2">
        <w:rPr>
          <w:b/>
        </w:rPr>
        <w:t xml:space="preserve"> </w:t>
      </w:r>
      <w:r w:rsidR="00B23103" w:rsidRPr="002500D2">
        <w:rPr>
          <w:b/>
        </w:rPr>
        <w:t>2</w:t>
      </w:r>
      <w:r w:rsidR="00C652C3" w:rsidRPr="002500D2">
        <w:t xml:space="preserve"> v</w:t>
      </w:r>
      <w:r w:rsidR="00B23103" w:rsidRPr="002500D2">
        <w:t> části</w:t>
      </w:r>
      <w:r w:rsidR="00B23103" w:rsidRPr="00C4592F">
        <w:t xml:space="preserve"> </w:t>
      </w:r>
      <w:r w:rsidR="008B3C86" w:rsidRPr="00C4592F">
        <w:t>IV.</w:t>
      </w:r>
      <w:r w:rsidR="00B23103" w:rsidRPr="00C4592F">
        <w:t>B</w:t>
      </w:r>
      <w:r w:rsidR="00BA14AD" w:rsidRPr="008B3C86">
        <w:t xml:space="preserve"> </w:t>
      </w:r>
      <w:r w:rsidR="00A238DE">
        <w:t xml:space="preserve">tohoto </w:t>
      </w:r>
      <w:r w:rsidR="008B3C86">
        <w:t>kontrolního závěru.</w:t>
      </w:r>
    </w:p>
    <w:p w14:paraId="7E2710E7" w14:textId="24DC7DE9" w:rsidR="001D244B" w:rsidRDefault="001D244B" w:rsidP="00C21BFE">
      <w:pPr>
        <w:pStyle w:val="JK4"/>
        <w:ind w:left="0" w:firstLine="0"/>
      </w:pPr>
      <w:r>
        <w:t xml:space="preserve">NKÚ </w:t>
      </w:r>
      <w:r w:rsidR="0097655F">
        <w:t>zjistil z</w:t>
      </w:r>
      <w:r w:rsidR="000F26A1">
        <w:t xml:space="preserve"> </w:t>
      </w:r>
      <w:r w:rsidR="004868C0">
        <w:t xml:space="preserve">projektové </w:t>
      </w:r>
      <w:r w:rsidR="0097655F">
        <w:t xml:space="preserve">dokumentace u poskytovatele </w:t>
      </w:r>
      <w:r w:rsidR="00A238DE">
        <w:t>(</w:t>
      </w:r>
      <w:r w:rsidR="00C93293">
        <w:t>MMR</w:t>
      </w:r>
      <w:r w:rsidR="00A238DE">
        <w:t>)</w:t>
      </w:r>
      <w:r w:rsidR="00C93293">
        <w:t xml:space="preserve"> </w:t>
      </w:r>
      <w:r w:rsidR="0097655F">
        <w:t>případ</w:t>
      </w:r>
      <w:r w:rsidR="00DB60AB">
        <w:t xml:space="preserve"> (nad rámec </w:t>
      </w:r>
      <w:r w:rsidR="000D3D66">
        <w:br/>
      </w:r>
      <w:r w:rsidR="00DB60AB">
        <w:t>14 kontrolovaných projektů – viz odst. 3.2)</w:t>
      </w:r>
      <w:r w:rsidR="0097655F">
        <w:t xml:space="preserve">, kdy byla </w:t>
      </w:r>
      <w:r w:rsidR="004868C0">
        <w:t xml:space="preserve">projektu </w:t>
      </w:r>
      <w:r w:rsidR="0097655F">
        <w:t>původně poskytnuta podpora na pořízení více vozidel pro výkon sociálních služeb</w:t>
      </w:r>
      <w:r w:rsidR="00C652C3">
        <w:t>, než příjemce skutečně potřeboval. T</w:t>
      </w:r>
      <w:r w:rsidR="000E2FC7">
        <w:t>u</w:t>
      </w:r>
      <w:r w:rsidR="00C652C3">
        <w:t xml:space="preserve">to skutečnost poskytovatel, resp. CRR jako zprostředkující </w:t>
      </w:r>
      <w:r w:rsidR="00186B5C">
        <w:t>subjekt</w:t>
      </w:r>
      <w:r w:rsidR="00C652C3">
        <w:t xml:space="preserve">, odhalil až </w:t>
      </w:r>
      <w:r w:rsidR="00DB60AB">
        <w:t xml:space="preserve">teprve </w:t>
      </w:r>
      <w:r w:rsidR="00A238DE">
        <w:t xml:space="preserve">v okamžiku, </w:t>
      </w:r>
      <w:r w:rsidR="00C652C3">
        <w:t xml:space="preserve">kdy jej příjemce požádal o změnu v projektu, jak ukazuje </w:t>
      </w:r>
      <w:r w:rsidR="00C652C3" w:rsidRPr="0016292D">
        <w:rPr>
          <w:b/>
        </w:rPr>
        <w:t>příklad č. 1</w:t>
      </w:r>
      <w:r w:rsidR="00C652C3" w:rsidRPr="00855933">
        <w:rPr>
          <w:b/>
          <w:bCs/>
        </w:rPr>
        <w:t>.</w:t>
      </w:r>
      <w:bookmarkStart w:id="31" w:name="_Hlk190246226"/>
    </w:p>
    <w:p w14:paraId="3BC06A60" w14:textId="77777777" w:rsidR="001D244B" w:rsidRPr="000D0F43" w:rsidRDefault="001D244B" w:rsidP="00855933">
      <w:pPr>
        <w:pStyle w:val="Nadpispklad"/>
        <w:spacing w:after="60"/>
        <w:ind w:left="1247" w:hanging="1247"/>
        <w:jc w:val="left"/>
        <w:rPr>
          <w:i/>
        </w:rPr>
      </w:pPr>
      <w:bookmarkStart w:id="32" w:name="_Hlk190250438"/>
      <w:bookmarkEnd w:id="31"/>
      <w:r w:rsidRPr="000D0F43">
        <w:rPr>
          <w:i/>
        </w:rPr>
        <w:t>Příklad</w:t>
      </w:r>
      <w:r w:rsidR="00E6166D">
        <w:rPr>
          <w:i/>
        </w:rPr>
        <w:t xml:space="preserve"> č. 1:</w:t>
      </w:r>
      <w:r w:rsidR="00E6166D">
        <w:rPr>
          <w:i/>
          <w:color w:val="FF0000"/>
        </w:rPr>
        <w:tab/>
      </w:r>
      <w:r w:rsidR="000F2886">
        <w:rPr>
          <w:i/>
        </w:rPr>
        <w:t xml:space="preserve">Poskytovatel </w:t>
      </w:r>
      <w:r w:rsidR="00A97A20">
        <w:rPr>
          <w:i/>
        </w:rPr>
        <w:t xml:space="preserve">nedostatečně posoudil a nesprávně vyhodnotil </w:t>
      </w:r>
      <w:r w:rsidR="00237839">
        <w:rPr>
          <w:i/>
        </w:rPr>
        <w:t>požadavky žadatel</w:t>
      </w:r>
      <w:r w:rsidR="00125482">
        <w:rPr>
          <w:i/>
        </w:rPr>
        <w:t>e</w:t>
      </w:r>
      <w:r w:rsidR="00237839">
        <w:rPr>
          <w:i/>
        </w:rPr>
        <w:t xml:space="preserve"> na </w:t>
      </w:r>
      <w:r w:rsidR="008F3E34">
        <w:rPr>
          <w:i/>
        </w:rPr>
        <w:t xml:space="preserve">množství </w:t>
      </w:r>
      <w:r w:rsidR="00237839">
        <w:rPr>
          <w:i/>
        </w:rPr>
        <w:t>poř</w:t>
      </w:r>
      <w:r w:rsidR="008F3E34">
        <w:rPr>
          <w:i/>
        </w:rPr>
        <w:t>izovaných</w:t>
      </w:r>
      <w:r w:rsidR="00237839">
        <w:rPr>
          <w:i/>
        </w:rPr>
        <w:t xml:space="preserve"> </w:t>
      </w:r>
      <w:r w:rsidR="008F3E34">
        <w:rPr>
          <w:i/>
        </w:rPr>
        <w:t>vozidel.</w:t>
      </w:r>
    </w:p>
    <w:p w14:paraId="5FBDB379" w14:textId="77777777" w:rsidR="00B85260" w:rsidRPr="00855933" w:rsidRDefault="001D244B" w:rsidP="0060445A">
      <w:pPr>
        <w:pStyle w:val="Pkladyvrmeku"/>
        <w:keepNext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pacing w:after="120" w:line="240" w:lineRule="auto"/>
        <w:rPr>
          <w:sz w:val="22"/>
          <w:szCs w:val="22"/>
        </w:rPr>
      </w:pPr>
      <w:r w:rsidRPr="009E769C">
        <w:rPr>
          <w:iCs/>
          <w:sz w:val="22"/>
          <w:szCs w:val="22"/>
        </w:rPr>
        <w:t>V</w:t>
      </w:r>
      <w:r w:rsidR="00AD0D9C">
        <w:rPr>
          <w:iCs/>
          <w:sz w:val="22"/>
          <w:szCs w:val="22"/>
        </w:rPr>
        <w:t> </w:t>
      </w:r>
      <w:r w:rsidRPr="009E769C">
        <w:rPr>
          <w:iCs/>
          <w:sz w:val="22"/>
          <w:szCs w:val="22"/>
        </w:rPr>
        <w:t>projektu</w:t>
      </w:r>
      <w:r w:rsidR="00E43547">
        <w:rPr>
          <w:rStyle w:val="Znakapoznpodarou"/>
          <w:iCs/>
          <w:sz w:val="22"/>
          <w:szCs w:val="22"/>
        </w:rPr>
        <w:footnoteReference w:id="30"/>
      </w:r>
      <w:r w:rsidR="00CA25EC">
        <w:rPr>
          <w:iCs/>
          <w:sz w:val="22"/>
          <w:szCs w:val="22"/>
        </w:rPr>
        <w:t xml:space="preserve"> z výzvy č. 101 </w:t>
      </w:r>
      <w:r w:rsidR="00CA25EC" w:rsidRPr="00855933">
        <w:rPr>
          <w:i w:val="0"/>
          <w:sz w:val="22"/>
          <w:szCs w:val="22"/>
        </w:rPr>
        <w:t>REACT-EU</w:t>
      </w:r>
      <w:r w:rsidR="00B91DFD">
        <w:rPr>
          <w:iCs/>
          <w:sz w:val="22"/>
          <w:szCs w:val="22"/>
        </w:rPr>
        <w:t xml:space="preserve">, ve kterém měla být nakoupena a rekonstruována </w:t>
      </w:r>
      <w:r w:rsidRPr="009E769C">
        <w:rPr>
          <w:sz w:val="22"/>
          <w:szCs w:val="22"/>
        </w:rPr>
        <w:t>budov</w:t>
      </w:r>
      <w:r w:rsidR="00B91DFD">
        <w:rPr>
          <w:sz w:val="22"/>
          <w:szCs w:val="22"/>
        </w:rPr>
        <w:t>a</w:t>
      </w:r>
      <w:r w:rsidRPr="009E769C">
        <w:rPr>
          <w:sz w:val="22"/>
          <w:szCs w:val="22"/>
        </w:rPr>
        <w:t xml:space="preserve"> pro</w:t>
      </w:r>
      <w:r w:rsidR="00FA3AFD">
        <w:rPr>
          <w:sz w:val="22"/>
          <w:szCs w:val="22"/>
        </w:rPr>
        <w:t> </w:t>
      </w:r>
      <w:r w:rsidRPr="009E769C">
        <w:rPr>
          <w:sz w:val="22"/>
          <w:szCs w:val="22"/>
        </w:rPr>
        <w:t>sociální služby</w:t>
      </w:r>
      <w:r w:rsidR="00B91DFD">
        <w:rPr>
          <w:sz w:val="22"/>
          <w:szCs w:val="22"/>
        </w:rPr>
        <w:t xml:space="preserve"> a </w:t>
      </w:r>
      <w:r w:rsidR="00E43547">
        <w:rPr>
          <w:sz w:val="22"/>
          <w:szCs w:val="22"/>
        </w:rPr>
        <w:t xml:space="preserve">měly být </w:t>
      </w:r>
      <w:r w:rsidR="00B91DFD">
        <w:rPr>
          <w:sz w:val="22"/>
          <w:szCs w:val="22"/>
        </w:rPr>
        <w:t xml:space="preserve">zakoupeny </w:t>
      </w:r>
      <w:r w:rsidRPr="009E769C">
        <w:rPr>
          <w:sz w:val="22"/>
          <w:szCs w:val="22"/>
        </w:rPr>
        <w:t>automobil</w:t>
      </w:r>
      <w:r w:rsidR="00B91DFD">
        <w:rPr>
          <w:sz w:val="22"/>
          <w:szCs w:val="22"/>
        </w:rPr>
        <w:t xml:space="preserve">y, </w:t>
      </w:r>
      <w:r w:rsidR="00125482">
        <w:rPr>
          <w:sz w:val="22"/>
          <w:szCs w:val="22"/>
        </w:rPr>
        <w:t xml:space="preserve">příjemce obdržel dotaci na pořízení </w:t>
      </w:r>
      <w:r w:rsidR="00AC41D2">
        <w:rPr>
          <w:sz w:val="22"/>
          <w:szCs w:val="22"/>
        </w:rPr>
        <w:t>čtyř</w:t>
      </w:r>
      <w:r w:rsidR="0097226A">
        <w:rPr>
          <w:sz w:val="22"/>
          <w:szCs w:val="22"/>
        </w:rPr>
        <w:t xml:space="preserve"> </w:t>
      </w:r>
      <w:r w:rsidR="00125482">
        <w:rPr>
          <w:sz w:val="22"/>
          <w:szCs w:val="22"/>
        </w:rPr>
        <w:t xml:space="preserve">automobilů. V průběhu realizace projektu požádal </w:t>
      </w:r>
      <w:r w:rsidR="0082301D">
        <w:rPr>
          <w:sz w:val="22"/>
          <w:szCs w:val="22"/>
        </w:rPr>
        <w:t xml:space="preserve">poskytovatele </w:t>
      </w:r>
      <w:r w:rsidR="00125482">
        <w:rPr>
          <w:sz w:val="22"/>
          <w:szCs w:val="22"/>
        </w:rPr>
        <w:t>o změnu</w:t>
      </w:r>
      <w:r w:rsidR="0082301D">
        <w:rPr>
          <w:sz w:val="22"/>
          <w:szCs w:val="22"/>
        </w:rPr>
        <w:t xml:space="preserve"> v projektu</w:t>
      </w:r>
      <w:r w:rsidR="00125482">
        <w:rPr>
          <w:sz w:val="22"/>
          <w:szCs w:val="22"/>
        </w:rPr>
        <w:t xml:space="preserve"> </w:t>
      </w:r>
      <w:r w:rsidR="00900769">
        <w:rPr>
          <w:sz w:val="22"/>
          <w:szCs w:val="22"/>
        </w:rPr>
        <w:t xml:space="preserve">snížením </w:t>
      </w:r>
      <w:r w:rsidR="0085743F" w:rsidRPr="0085743F">
        <w:rPr>
          <w:sz w:val="22"/>
          <w:szCs w:val="22"/>
        </w:rPr>
        <w:t xml:space="preserve">původně požadovaného počtu pořizovaných automobilů ze </w:t>
      </w:r>
      <w:r w:rsidR="00AC41D2">
        <w:rPr>
          <w:sz w:val="22"/>
          <w:szCs w:val="22"/>
        </w:rPr>
        <w:t>čtyř</w:t>
      </w:r>
      <w:r w:rsidR="0097226A">
        <w:rPr>
          <w:sz w:val="22"/>
          <w:szCs w:val="22"/>
        </w:rPr>
        <w:t xml:space="preserve"> na</w:t>
      </w:r>
      <w:r w:rsidR="00AC41D2">
        <w:rPr>
          <w:sz w:val="22"/>
          <w:szCs w:val="22"/>
        </w:rPr>
        <w:t xml:space="preserve"> jeden</w:t>
      </w:r>
      <w:r w:rsidR="00900769">
        <w:rPr>
          <w:sz w:val="22"/>
          <w:szCs w:val="22"/>
        </w:rPr>
        <w:t xml:space="preserve">; </w:t>
      </w:r>
      <w:r w:rsidR="00125482">
        <w:rPr>
          <w:sz w:val="22"/>
          <w:szCs w:val="22"/>
        </w:rPr>
        <w:t xml:space="preserve">v odůvodnění </w:t>
      </w:r>
      <w:r w:rsidR="0097226A">
        <w:rPr>
          <w:sz w:val="22"/>
          <w:szCs w:val="22"/>
        </w:rPr>
        <w:t xml:space="preserve">příjemce </w:t>
      </w:r>
      <w:r w:rsidR="0085743F" w:rsidRPr="0085743F">
        <w:rPr>
          <w:sz w:val="22"/>
          <w:szCs w:val="22"/>
        </w:rPr>
        <w:t xml:space="preserve">uvedl </w:t>
      </w:r>
      <w:r w:rsidR="00125482">
        <w:rPr>
          <w:sz w:val="22"/>
          <w:szCs w:val="22"/>
        </w:rPr>
        <w:t xml:space="preserve">pouze </w:t>
      </w:r>
      <w:r w:rsidR="0085743F" w:rsidRPr="0085743F">
        <w:rPr>
          <w:sz w:val="22"/>
          <w:szCs w:val="22"/>
        </w:rPr>
        <w:t>navýšení cen stavebních prací a omezený rozpočet</w:t>
      </w:r>
      <w:r w:rsidR="00A03081">
        <w:rPr>
          <w:sz w:val="22"/>
          <w:szCs w:val="22"/>
        </w:rPr>
        <w:t xml:space="preserve"> projektu</w:t>
      </w:r>
      <w:r w:rsidR="00125482">
        <w:rPr>
          <w:sz w:val="22"/>
          <w:szCs w:val="22"/>
        </w:rPr>
        <w:t xml:space="preserve">. </w:t>
      </w:r>
      <w:r w:rsidR="00740C04">
        <w:rPr>
          <w:sz w:val="22"/>
          <w:szCs w:val="22"/>
        </w:rPr>
        <w:t>D</w:t>
      </w:r>
      <w:r w:rsidR="0082301D">
        <w:rPr>
          <w:sz w:val="22"/>
          <w:szCs w:val="22"/>
        </w:rPr>
        <w:t>otační prostředky</w:t>
      </w:r>
      <w:r w:rsidR="00740C04">
        <w:rPr>
          <w:sz w:val="22"/>
          <w:szCs w:val="22"/>
        </w:rPr>
        <w:t>, které příjemce nevyužil na</w:t>
      </w:r>
      <w:r w:rsidR="0082301D">
        <w:rPr>
          <w:sz w:val="22"/>
          <w:szCs w:val="22"/>
        </w:rPr>
        <w:t xml:space="preserve"> pořízen</w:t>
      </w:r>
      <w:r w:rsidR="00740C04">
        <w:rPr>
          <w:sz w:val="22"/>
          <w:szCs w:val="22"/>
        </w:rPr>
        <w:t>í</w:t>
      </w:r>
      <w:r w:rsidR="0082301D">
        <w:rPr>
          <w:sz w:val="22"/>
          <w:szCs w:val="22"/>
        </w:rPr>
        <w:t xml:space="preserve"> </w:t>
      </w:r>
      <w:r w:rsidR="00AC41D2">
        <w:rPr>
          <w:sz w:val="22"/>
          <w:szCs w:val="22"/>
        </w:rPr>
        <w:t>tř</w:t>
      </w:r>
      <w:r w:rsidR="00740C04">
        <w:rPr>
          <w:sz w:val="22"/>
          <w:szCs w:val="22"/>
        </w:rPr>
        <w:t>í</w:t>
      </w:r>
      <w:r w:rsidR="0097226A">
        <w:rPr>
          <w:sz w:val="22"/>
          <w:szCs w:val="22"/>
        </w:rPr>
        <w:t xml:space="preserve"> </w:t>
      </w:r>
      <w:r w:rsidR="0082301D">
        <w:rPr>
          <w:sz w:val="22"/>
          <w:szCs w:val="22"/>
        </w:rPr>
        <w:t>automobil</w:t>
      </w:r>
      <w:r w:rsidR="00740C04">
        <w:rPr>
          <w:sz w:val="22"/>
          <w:szCs w:val="22"/>
        </w:rPr>
        <w:t>ů,</w:t>
      </w:r>
      <w:r w:rsidR="0082301D">
        <w:rPr>
          <w:sz w:val="22"/>
          <w:szCs w:val="22"/>
        </w:rPr>
        <w:t xml:space="preserve"> zamýšlel využít na financování stavebních prací. </w:t>
      </w:r>
      <w:r w:rsidR="0082301D" w:rsidRPr="000059B2">
        <w:rPr>
          <w:sz w:val="22"/>
          <w:szCs w:val="22"/>
        </w:rPr>
        <w:t xml:space="preserve">Příjemce zároveň v žádosti o </w:t>
      </w:r>
      <w:r w:rsidR="00A03081" w:rsidRPr="000059B2">
        <w:rPr>
          <w:sz w:val="22"/>
          <w:szCs w:val="22"/>
        </w:rPr>
        <w:t>z</w:t>
      </w:r>
      <w:r w:rsidR="0082301D" w:rsidRPr="000059B2">
        <w:rPr>
          <w:sz w:val="22"/>
          <w:szCs w:val="22"/>
        </w:rPr>
        <w:t xml:space="preserve">měnu uvedl, že </w:t>
      </w:r>
      <w:r w:rsidR="00AC41D2" w:rsidRPr="000059B2">
        <w:rPr>
          <w:sz w:val="22"/>
          <w:szCs w:val="22"/>
        </w:rPr>
        <w:t>jeden</w:t>
      </w:r>
      <w:r w:rsidR="0097226A" w:rsidRPr="000059B2">
        <w:rPr>
          <w:sz w:val="22"/>
          <w:szCs w:val="22"/>
        </w:rPr>
        <w:t xml:space="preserve"> </w:t>
      </w:r>
      <w:r w:rsidR="0085743F" w:rsidRPr="000059B2">
        <w:rPr>
          <w:sz w:val="22"/>
          <w:szCs w:val="22"/>
        </w:rPr>
        <w:t>automobil bude zcela postačující pro všechny tři poskytované sociální služby.</w:t>
      </w:r>
      <w:r w:rsidR="0082301D">
        <w:rPr>
          <w:sz w:val="22"/>
          <w:szCs w:val="22"/>
        </w:rPr>
        <w:t xml:space="preserve"> Tato informace neodpovídá zdůvodnění </w:t>
      </w:r>
      <w:r w:rsidR="00C652C3">
        <w:rPr>
          <w:sz w:val="22"/>
          <w:szCs w:val="22"/>
        </w:rPr>
        <w:t xml:space="preserve">původně </w:t>
      </w:r>
      <w:r w:rsidR="0082301D">
        <w:rPr>
          <w:sz w:val="22"/>
          <w:szCs w:val="22"/>
        </w:rPr>
        <w:t xml:space="preserve">požadované výše dotace uvedené v žádosti o podporu. </w:t>
      </w:r>
      <w:r w:rsidR="005D3583">
        <w:rPr>
          <w:sz w:val="22"/>
          <w:szCs w:val="22"/>
        </w:rPr>
        <w:t>MMR</w:t>
      </w:r>
      <w:r w:rsidR="0085743F" w:rsidRPr="0085743F">
        <w:rPr>
          <w:sz w:val="22"/>
          <w:szCs w:val="22"/>
        </w:rPr>
        <w:t xml:space="preserve"> požadovanou změnu ve smyslu snížení počtu pořizovaných </w:t>
      </w:r>
      <w:r w:rsidR="008F3E34">
        <w:rPr>
          <w:sz w:val="22"/>
          <w:szCs w:val="22"/>
        </w:rPr>
        <w:t>vozidel</w:t>
      </w:r>
      <w:r w:rsidR="0082301D">
        <w:rPr>
          <w:sz w:val="22"/>
          <w:szCs w:val="22"/>
        </w:rPr>
        <w:t xml:space="preserve"> sc</w:t>
      </w:r>
      <w:r w:rsidR="00A03081">
        <w:rPr>
          <w:sz w:val="22"/>
          <w:szCs w:val="22"/>
        </w:rPr>
        <w:t>h</w:t>
      </w:r>
      <w:r w:rsidR="0082301D">
        <w:rPr>
          <w:sz w:val="22"/>
          <w:szCs w:val="22"/>
        </w:rPr>
        <w:t>válilo</w:t>
      </w:r>
      <w:r w:rsidR="00A03081">
        <w:rPr>
          <w:sz w:val="22"/>
          <w:szCs w:val="22"/>
        </w:rPr>
        <w:t xml:space="preserve"> a </w:t>
      </w:r>
      <w:r w:rsidR="0085743F" w:rsidRPr="0085743F">
        <w:rPr>
          <w:sz w:val="22"/>
          <w:szCs w:val="22"/>
        </w:rPr>
        <w:t xml:space="preserve">zároveň o uspořené </w:t>
      </w:r>
      <w:r w:rsidR="005D3583">
        <w:rPr>
          <w:sz w:val="22"/>
          <w:szCs w:val="22"/>
        </w:rPr>
        <w:t>peněžní</w:t>
      </w:r>
      <w:r w:rsidR="0085743F" w:rsidRPr="0085743F">
        <w:rPr>
          <w:sz w:val="22"/>
          <w:szCs w:val="22"/>
        </w:rPr>
        <w:t xml:space="preserve"> prostředky snížilo celkové způsobilé výdaje projektu.</w:t>
      </w:r>
      <w:r w:rsidR="00AD0D9C">
        <w:rPr>
          <w:sz w:val="22"/>
          <w:szCs w:val="22"/>
        </w:rPr>
        <w:t xml:space="preserve"> </w:t>
      </w:r>
    </w:p>
    <w:p w14:paraId="0B9B178E" w14:textId="15421525" w:rsidR="00A03081" w:rsidRPr="00E05AD0" w:rsidRDefault="00B85260" w:rsidP="0060445A">
      <w:pPr>
        <w:pStyle w:val="Pkladyvrmeku"/>
        <w:keepNext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pacing w:after="120" w:line="240" w:lineRule="auto"/>
        <w:rPr>
          <w:sz w:val="22"/>
          <w:szCs w:val="22"/>
        </w:rPr>
      </w:pPr>
      <w:r w:rsidRPr="00E05AD0">
        <w:rPr>
          <w:sz w:val="22"/>
          <w:szCs w:val="22"/>
        </w:rPr>
        <w:t xml:space="preserve">Poskytovatel tedy nadhodnocené množství </w:t>
      </w:r>
      <w:r w:rsidR="005D3583">
        <w:rPr>
          <w:sz w:val="22"/>
          <w:szCs w:val="22"/>
        </w:rPr>
        <w:t xml:space="preserve">potřebných </w:t>
      </w:r>
      <w:r w:rsidRPr="00E05AD0">
        <w:rPr>
          <w:sz w:val="22"/>
          <w:szCs w:val="22"/>
        </w:rPr>
        <w:t xml:space="preserve">automobilů zjistil až </w:t>
      </w:r>
      <w:r w:rsidR="005D3583">
        <w:rPr>
          <w:sz w:val="22"/>
          <w:szCs w:val="22"/>
        </w:rPr>
        <w:t>v důsledku</w:t>
      </w:r>
      <w:r w:rsidRPr="00E05AD0">
        <w:rPr>
          <w:sz w:val="22"/>
          <w:szCs w:val="22"/>
        </w:rPr>
        <w:t xml:space="preserve"> žádosti o</w:t>
      </w:r>
      <w:r w:rsidR="00FA3AFD">
        <w:rPr>
          <w:sz w:val="22"/>
          <w:szCs w:val="22"/>
        </w:rPr>
        <w:t> </w:t>
      </w:r>
      <w:r w:rsidRPr="00E05AD0">
        <w:rPr>
          <w:sz w:val="22"/>
          <w:szCs w:val="22"/>
        </w:rPr>
        <w:t xml:space="preserve">změnu </w:t>
      </w:r>
      <w:r w:rsidR="00E05AD0">
        <w:rPr>
          <w:sz w:val="22"/>
          <w:szCs w:val="22"/>
        </w:rPr>
        <w:t xml:space="preserve">podané příjemcem </w:t>
      </w:r>
      <w:r w:rsidRPr="00E05AD0">
        <w:rPr>
          <w:sz w:val="22"/>
          <w:szCs w:val="22"/>
        </w:rPr>
        <w:t xml:space="preserve">podpory. </w:t>
      </w:r>
      <w:r w:rsidR="00E05AD0">
        <w:rPr>
          <w:sz w:val="22"/>
          <w:szCs w:val="22"/>
        </w:rPr>
        <w:t xml:space="preserve">V návaznosti na </w:t>
      </w:r>
      <w:r w:rsidRPr="00E05AD0">
        <w:rPr>
          <w:sz w:val="22"/>
          <w:szCs w:val="22"/>
        </w:rPr>
        <w:t>informac</w:t>
      </w:r>
      <w:r w:rsidR="00E05AD0">
        <w:rPr>
          <w:sz w:val="22"/>
          <w:szCs w:val="22"/>
        </w:rPr>
        <w:t xml:space="preserve">e </w:t>
      </w:r>
      <w:r w:rsidRPr="00E05AD0">
        <w:rPr>
          <w:sz w:val="22"/>
          <w:szCs w:val="22"/>
        </w:rPr>
        <w:t>ze strany příjemce poskytovatel snížil původně schválenou výši dotace a k</w:t>
      </w:r>
      <w:r w:rsidR="002B59F8">
        <w:rPr>
          <w:sz w:val="22"/>
          <w:szCs w:val="22"/>
        </w:rPr>
        <w:t xml:space="preserve"> </w:t>
      </w:r>
      <w:r w:rsidRPr="00E05AD0">
        <w:rPr>
          <w:sz w:val="22"/>
          <w:szCs w:val="22"/>
        </w:rPr>
        <w:t xml:space="preserve">neúčelnému výdeji peněžních prostředků nedošlo. </w:t>
      </w:r>
      <w:r w:rsidR="00FA10D4">
        <w:rPr>
          <w:sz w:val="22"/>
          <w:szCs w:val="22"/>
        </w:rPr>
        <w:t>Z</w:t>
      </w:r>
      <w:r w:rsidR="002B59F8">
        <w:rPr>
          <w:sz w:val="22"/>
          <w:szCs w:val="22"/>
        </w:rPr>
        <w:t xml:space="preserve"> </w:t>
      </w:r>
      <w:r w:rsidR="00FA10D4">
        <w:rPr>
          <w:sz w:val="22"/>
          <w:szCs w:val="22"/>
        </w:rPr>
        <w:t xml:space="preserve">výše uvedeného </w:t>
      </w:r>
      <w:r w:rsidR="00323281">
        <w:rPr>
          <w:sz w:val="22"/>
          <w:szCs w:val="22"/>
        </w:rPr>
        <w:t xml:space="preserve">je </w:t>
      </w:r>
      <w:r w:rsidR="00672D54">
        <w:rPr>
          <w:sz w:val="22"/>
          <w:szCs w:val="22"/>
        </w:rPr>
        <w:t xml:space="preserve">však </w:t>
      </w:r>
      <w:r w:rsidRPr="00E05AD0">
        <w:rPr>
          <w:sz w:val="22"/>
          <w:szCs w:val="22"/>
        </w:rPr>
        <w:t>zřejmé, že nastavení výzvy</w:t>
      </w:r>
      <w:r w:rsidR="00B055D2">
        <w:rPr>
          <w:sz w:val="22"/>
          <w:szCs w:val="22"/>
        </w:rPr>
        <w:t xml:space="preserve">, zejména </w:t>
      </w:r>
      <w:r w:rsidR="00672D54">
        <w:rPr>
          <w:sz w:val="22"/>
          <w:szCs w:val="22"/>
        </w:rPr>
        <w:t xml:space="preserve">nedostatečné </w:t>
      </w:r>
      <w:r w:rsidRPr="00E05AD0">
        <w:rPr>
          <w:sz w:val="22"/>
          <w:szCs w:val="22"/>
        </w:rPr>
        <w:t>hodnocení projektů</w:t>
      </w:r>
      <w:r w:rsidR="00FA10D4">
        <w:rPr>
          <w:sz w:val="22"/>
          <w:szCs w:val="22"/>
        </w:rPr>
        <w:t xml:space="preserve"> </w:t>
      </w:r>
      <w:r w:rsidR="00672D54">
        <w:rPr>
          <w:sz w:val="22"/>
          <w:szCs w:val="22"/>
        </w:rPr>
        <w:t>v aspektu potřebnosti</w:t>
      </w:r>
      <w:r w:rsidR="00C62637">
        <w:rPr>
          <w:sz w:val="22"/>
          <w:szCs w:val="22"/>
        </w:rPr>
        <w:t>,</w:t>
      </w:r>
      <w:r w:rsidR="00672D54">
        <w:rPr>
          <w:sz w:val="22"/>
          <w:szCs w:val="22"/>
        </w:rPr>
        <w:t xml:space="preserve"> </w:t>
      </w:r>
      <w:r w:rsidR="00FA10D4">
        <w:rPr>
          <w:sz w:val="22"/>
          <w:szCs w:val="22"/>
        </w:rPr>
        <w:t xml:space="preserve">umožňovalo, aby poskytovatel schválil pořízení </w:t>
      </w:r>
      <w:r w:rsidR="00E05AD0">
        <w:rPr>
          <w:sz w:val="22"/>
          <w:szCs w:val="22"/>
        </w:rPr>
        <w:t>nepřiměřen</w:t>
      </w:r>
      <w:r w:rsidR="00FA10D4">
        <w:rPr>
          <w:sz w:val="22"/>
          <w:szCs w:val="22"/>
        </w:rPr>
        <w:t>ého</w:t>
      </w:r>
      <w:r w:rsidR="00E05AD0">
        <w:rPr>
          <w:sz w:val="22"/>
          <w:szCs w:val="22"/>
        </w:rPr>
        <w:t xml:space="preserve"> počt</w:t>
      </w:r>
      <w:r w:rsidR="00FA10D4">
        <w:rPr>
          <w:sz w:val="22"/>
          <w:szCs w:val="22"/>
        </w:rPr>
        <w:t>u</w:t>
      </w:r>
      <w:r w:rsidR="00E05AD0">
        <w:rPr>
          <w:sz w:val="22"/>
          <w:szCs w:val="22"/>
        </w:rPr>
        <w:t xml:space="preserve"> vozidel</w:t>
      </w:r>
      <w:r w:rsidRPr="00E05AD0">
        <w:rPr>
          <w:sz w:val="22"/>
          <w:szCs w:val="22"/>
        </w:rPr>
        <w:t>.</w:t>
      </w:r>
    </w:p>
    <w:p w14:paraId="57E359F5" w14:textId="0BDE97C2" w:rsidR="003E0E0D" w:rsidRPr="00CA0869" w:rsidRDefault="003E0E0D" w:rsidP="003E0E0D">
      <w:pPr>
        <w:pStyle w:val="JK4"/>
        <w:ind w:left="0" w:firstLine="0"/>
      </w:pPr>
      <w:bookmarkStart w:id="33" w:name="_Hlk190926467"/>
      <w:bookmarkEnd w:id="32"/>
      <w:r w:rsidRPr="00CA0869">
        <w:t xml:space="preserve">NKÚ </w:t>
      </w:r>
      <w:r w:rsidR="00C47AC1" w:rsidRPr="00CA0869">
        <w:t>v návaznosti na uveden</w:t>
      </w:r>
      <w:r w:rsidR="005C14D0">
        <w:t>ý</w:t>
      </w:r>
      <w:r w:rsidR="00C47AC1" w:rsidRPr="00CA0869">
        <w:t xml:space="preserve"> příklad </w:t>
      </w:r>
      <w:r w:rsidRPr="00CA0869">
        <w:t xml:space="preserve">upozorňuje, že zejména v souvislosti s procesem deinstitucionalizace </w:t>
      </w:r>
      <w:r w:rsidR="001256D3">
        <w:t xml:space="preserve">pobytových </w:t>
      </w:r>
      <w:r w:rsidRPr="00CA0869">
        <w:t xml:space="preserve">sociálních služeb jsou a pravděpodobně </w:t>
      </w:r>
      <w:r w:rsidR="004E4218">
        <w:t xml:space="preserve">nadále </w:t>
      </w:r>
      <w:r w:rsidRPr="00CA0869">
        <w:t xml:space="preserve">budou výdaje na pořizování vozidel jednou z často podporovaných aktivit. Je proto nezbytné, aby MMR </w:t>
      </w:r>
      <w:r w:rsidR="008D38A8">
        <w:br/>
      </w:r>
      <w:r w:rsidRPr="00CA0869">
        <w:t xml:space="preserve">jako poskytovatel </w:t>
      </w:r>
      <w:r w:rsidR="006F1F3C" w:rsidRPr="00CA0869">
        <w:t xml:space="preserve">podpory </w:t>
      </w:r>
      <w:r w:rsidRPr="00CA0869">
        <w:t>nastavil</w:t>
      </w:r>
      <w:r w:rsidR="006F1F3C" w:rsidRPr="00CA0869">
        <w:t>o</w:t>
      </w:r>
      <w:r w:rsidRPr="00CA0869">
        <w:t xml:space="preserve"> procesy hodnocení žádostí o podporu</w:t>
      </w:r>
      <w:r w:rsidR="006F1F3C" w:rsidRPr="00CA0869">
        <w:t>, zejména při p</w:t>
      </w:r>
      <w:r w:rsidRPr="00CA0869">
        <w:t>osuzování potřebnosti nakupovaných vozidel</w:t>
      </w:r>
      <w:r w:rsidR="00194C53">
        <w:t>,</w:t>
      </w:r>
      <w:r w:rsidRPr="00CA0869">
        <w:t xml:space="preserve"> tak, aby nedocházelo k</w:t>
      </w:r>
      <w:r w:rsidR="00234642">
        <w:t> </w:t>
      </w:r>
      <w:r w:rsidRPr="00CA0869">
        <w:t>neúčelnému</w:t>
      </w:r>
      <w:r w:rsidR="00234642">
        <w:t>,</w:t>
      </w:r>
      <w:r w:rsidRPr="00CA0869">
        <w:t xml:space="preserve"> a</w:t>
      </w:r>
      <w:r w:rsidR="008D38A8">
        <w:t xml:space="preserve"> </w:t>
      </w:r>
      <w:r w:rsidRPr="00CA0869">
        <w:t>tedy i</w:t>
      </w:r>
      <w:r w:rsidR="00FA3AFD">
        <w:t> </w:t>
      </w:r>
      <w:r w:rsidRPr="00CA0869">
        <w:t>nehospodárnému vynakládání peněžních prostředků.</w:t>
      </w:r>
      <w:r w:rsidR="004018B7" w:rsidRPr="00CA0869">
        <w:t xml:space="preserve"> </w:t>
      </w:r>
    </w:p>
    <w:p w14:paraId="47FEEEC2" w14:textId="75709929" w:rsidR="004A5A33" w:rsidRPr="00D56926" w:rsidRDefault="004A5A33" w:rsidP="0060445A">
      <w:pPr>
        <w:pStyle w:val="Kontrolnprotokol"/>
        <w:keepNext/>
        <w:spacing w:before="120" w:after="120"/>
        <w:ind w:left="284" w:hanging="284"/>
        <w:rPr>
          <w:b/>
          <w:i/>
          <w:color w:val="00ADDB"/>
        </w:rPr>
      </w:pPr>
      <w:r w:rsidRPr="00D56926">
        <w:rPr>
          <w:b/>
          <w:i/>
          <w:color w:val="00ADDB"/>
        </w:rPr>
        <w:t>→</w:t>
      </w:r>
      <w:r w:rsidR="00B92F06">
        <w:rPr>
          <w:b/>
          <w:i/>
          <w:color w:val="00ADDB"/>
        </w:rPr>
        <w:t xml:space="preserve"> </w:t>
      </w:r>
      <w:bookmarkStart w:id="34" w:name="_Hlk191919932"/>
      <w:bookmarkEnd w:id="33"/>
      <w:r w:rsidRPr="00D56926">
        <w:rPr>
          <w:b/>
          <w:i/>
          <w:color w:val="00ADDB"/>
        </w:rPr>
        <w:t>MMR nestanovilo ve výzvách IROP 1 cíle, které by měli příjemci realizací projektu naplňovat</w:t>
      </w:r>
      <w:bookmarkEnd w:id="34"/>
      <w:r w:rsidR="00A238DE">
        <w:rPr>
          <w:b/>
          <w:i/>
          <w:color w:val="00ADDB"/>
        </w:rPr>
        <w:t xml:space="preserve">, </w:t>
      </w:r>
      <w:r w:rsidRPr="00D56926">
        <w:rPr>
          <w:b/>
          <w:i/>
          <w:color w:val="00ADDB"/>
        </w:rPr>
        <w:t>...</w:t>
      </w:r>
      <w:bookmarkStart w:id="35" w:name="_Hlk190926444"/>
      <w:r w:rsidRPr="00D56926">
        <w:rPr>
          <w:b/>
          <w:i/>
          <w:color w:val="00ADDB"/>
        </w:rPr>
        <w:t xml:space="preserve"> </w:t>
      </w:r>
    </w:p>
    <w:bookmarkEnd w:id="35"/>
    <w:p w14:paraId="1A1A71C1" w14:textId="023BE9CE" w:rsidR="004A5A33" w:rsidRPr="00855933" w:rsidRDefault="004A5A33" w:rsidP="004A5A33">
      <w:pPr>
        <w:pStyle w:val="JK4"/>
        <w:ind w:left="0" w:firstLine="0"/>
        <w:rPr>
          <w:iCs/>
        </w:rPr>
      </w:pPr>
      <w:r>
        <w:t xml:space="preserve">Jedním z předpokladů k zajištění účelnosti vynakládaných peněžních prostředků je nastavení cílů projektů tak, aby poskytovatel mohl sledovat a vyhodnocovat, zda bylo cílů v projektech dosaženo a zda tyto cíle přispívají k naplnění specifických cílů </w:t>
      </w:r>
      <w:r w:rsidR="007458E0">
        <w:t xml:space="preserve">SC </w:t>
      </w:r>
      <w:r>
        <w:t xml:space="preserve">2.1 </w:t>
      </w:r>
      <w:r w:rsidR="007458E0">
        <w:t>IROP 1</w:t>
      </w:r>
      <w:r w:rsidR="00A238DE">
        <w:t>,</w:t>
      </w:r>
      <w:r w:rsidR="007458E0">
        <w:t xml:space="preserve"> SC </w:t>
      </w:r>
      <w:r>
        <w:t>6.1 IROP 1 a</w:t>
      </w:r>
      <w:r w:rsidR="000D3D66">
        <w:t> </w:t>
      </w:r>
      <w:r>
        <w:t>SC 4.2 IROP 2. Cíle by měly splňovat princip SMART</w:t>
      </w:r>
      <w:r>
        <w:rPr>
          <w:rStyle w:val="Znakapoznpodarou"/>
        </w:rPr>
        <w:footnoteReference w:id="31"/>
      </w:r>
      <w:r>
        <w:t xml:space="preserve">, to znamená, že by měly být konkrétní, měřitelné, dosažitelné, reálné a jejich dosažení by mělo být časově vymezeno. </w:t>
      </w:r>
    </w:p>
    <w:p w14:paraId="038AB476" w14:textId="76AA3A52" w:rsidR="004A5A33" w:rsidRPr="00855933" w:rsidRDefault="004A5A33" w:rsidP="004A5A33">
      <w:pPr>
        <w:pStyle w:val="JK4"/>
        <w:ind w:left="0" w:firstLine="0"/>
        <w:rPr>
          <w:iCs/>
        </w:rPr>
      </w:pPr>
      <w:r>
        <w:t>NKÚ zjistil, že ve výzvách IROP 1 ani v</w:t>
      </w:r>
      <w:r w:rsidR="00A238DE">
        <w:t xml:space="preserve"> </w:t>
      </w:r>
      <w:r>
        <w:t>pravidlech a pokynech určených žadatelům a</w:t>
      </w:r>
      <w:r w:rsidR="00A238DE">
        <w:t> </w:t>
      </w:r>
      <w:r>
        <w:t xml:space="preserve">příjemcům </w:t>
      </w:r>
      <w:r w:rsidR="00A238DE" w:rsidRPr="005575DA">
        <w:t xml:space="preserve">nestanovilo </w:t>
      </w:r>
      <w:r w:rsidR="00A238DE">
        <w:t xml:space="preserve">MMR </w:t>
      </w:r>
      <w:r>
        <w:t xml:space="preserve">žádné </w:t>
      </w:r>
      <w:r w:rsidRPr="005575DA">
        <w:t>cíle</w:t>
      </w:r>
      <w:r>
        <w:t xml:space="preserve">, </w:t>
      </w:r>
      <w:r w:rsidRPr="005575DA">
        <w:t>kter</w:t>
      </w:r>
      <w:r>
        <w:t>ých by mělo být v projektech dosaženo. MMR vymezilo</w:t>
      </w:r>
      <w:r w:rsidRPr="005575DA">
        <w:t xml:space="preserve"> ve výzvách</w:t>
      </w:r>
      <w:r>
        <w:t xml:space="preserve"> jen </w:t>
      </w:r>
      <w:r w:rsidRPr="005575DA">
        <w:t xml:space="preserve">podporované aktivity, kterými mělo dojít k naplnění </w:t>
      </w:r>
      <w:r>
        <w:t xml:space="preserve">specifických </w:t>
      </w:r>
      <w:r w:rsidRPr="005575DA">
        <w:t>cílů</w:t>
      </w:r>
      <w:r>
        <w:t xml:space="preserve"> 2.1 a 6.1 v rámci IROP 1. N</w:t>
      </w:r>
      <w:r w:rsidRPr="00A72B64">
        <w:t xml:space="preserve">astavení projektových cílů </w:t>
      </w:r>
      <w:r>
        <w:t xml:space="preserve">tak </w:t>
      </w:r>
      <w:r w:rsidRPr="00A72B64">
        <w:t>bylo zcela ponecháno na příjemcích</w:t>
      </w:r>
      <w:r>
        <w:t>, což vedlo k tomu, že si někteří z nich stanovili v žádostech o podporu cíle, které nebyly ani konkrétní, ani měřitelné. P</w:t>
      </w:r>
      <w:r w:rsidRPr="005575DA">
        <w:t xml:space="preserve">ro </w:t>
      </w:r>
      <w:r>
        <w:t xml:space="preserve">výzvy </w:t>
      </w:r>
      <w:r w:rsidRPr="005575DA">
        <w:t xml:space="preserve">IROP 2 již MMR </w:t>
      </w:r>
      <w:r>
        <w:t>příjemců</w:t>
      </w:r>
      <w:r w:rsidR="006C2C5F">
        <w:t>m</w:t>
      </w:r>
      <w:r>
        <w:t xml:space="preserve"> </w:t>
      </w:r>
      <w:r w:rsidRPr="005575DA">
        <w:t xml:space="preserve">účel a cíle projektu </w:t>
      </w:r>
      <w:r w:rsidR="00AC0E12">
        <w:t>z</w:t>
      </w:r>
      <w:r>
        <w:t>přesnilo</w:t>
      </w:r>
      <w:r w:rsidR="00B85260">
        <w:rPr>
          <w:rStyle w:val="Znakapoznpodarou"/>
        </w:rPr>
        <w:footnoteReference w:id="32"/>
      </w:r>
      <w:r w:rsidR="00B85260">
        <w:t>.</w:t>
      </w:r>
    </w:p>
    <w:p w14:paraId="7B39C0F2" w14:textId="4CFE0E58" w:rsidR="007D2F66" w:rsidRPr="00D56926" w:rsidRDefault="004A5A33" w:rsidP="0060445A">
      <w:pPr>
        <w:pStyle w:val="Kontrolnprotokol"/>
        <w:keepNext/>
        <w:spacing w:before="120" w:after="120"/>
        <w:ind w:left="284" w:hanging="284"/>
        <w:rPr>
          <w:b/>
          <w:i/>
          <w:color w:val="00ADDB"/>
        </w:rPr>
      </w:pPr>
      <w:r w:rsidRPr="00D56926">
        <w:rPr>
          <w:b/>
          <w:i/>
          <w:color w:val="00ADDB"/>
        </w:rPr>
        <w:t>→</w:t>
      </w:r>
      <w:r w:rsidR="00B92F06">
        <w:rPr>
          <w:b/>
          <w:i/>
          <w:color w:val="00ADDB"/>
        </w:rPr>
        <w:t xml:space="preserve"> </w:t>
      </w:r>
      <w:r w:rsidRPr="00D56926">
        <w:rPr>
          <w:b/>
          <w:i/>
          <w:color w:val="00ADDB"/>
        </w:rPr>
        <w:t>... ani vhodné indikátory k</w:t>
      </w:r>
      <w:r w:rsidR="00566C16" w:rsidRPr="00D56926">
        <w:rPr>
          <w:b/>
          <w:i/>
          <w:color w:val="00ADDB"/>
        </w:rPr>
        <w:t xml:space="preserve"> jejich měření a k </w:t>
      </w:r>
      <w:r w:rsidRPr="00D56926">
        <w:rPr>
          <w:b/>
          <w:i/>
          <w:color w:val="00ADDB"/>
        </w:rPr>
        <w:t>prokázání dosažení kvalitativních změn</w:t>
      </w:r>
      <w:r w:rsidR="007D2F66" w:rsidRPr="00D56926">
        <w:rPr>
          <w:b/>
          <w:i/>
          <w:color w:val="00ADDB"/>
        </w:rPr>
        <w:t xml:space="preserve">, a </w:t>
      </w:r>
      <w:r w:rsidR="00CC50AF" w:rsidRPr="00D56926">
        <w:rPr>
          <w:b/>
          <w:i/>
          <w:color w:val="00ADDB"/>
        </w:rPr>
        <w:t xml:space="preserve">tak </w:t>
      </w:r>
      <w:r w:rsidR="007D2F66" w:rsidRPr="00D56926">
        <w:rPr>
          <w:b/>
          <w:i/>
          <w:color w:val="00ADDB"/>
        </w:rPr>
        <w:t>MMR nesleduje a nevyhodnocuje přínosy</w:t>
      </w:r>
      <w:r w:rsidR="00CC50AF" w:rsidRPr="00D56926">
        <w:rPr>
          <w:b/>
          <w:i/>
          <w:color w:val="00ADDB"/>
        </w:rPr>
        <w:t>, ke kterým mělo d</w:t>
      </w:r>
      <w:r w:rsidR="007D2F66" w:rsidRPr="00D56926">
        <w:rPr>
          <w:b/>
          <w:i/>
          <w:color w:val="00ADDB"/>
        </w:rPr>
        <w:t>ojít díky podpoře z</w:t>
      </w:r>
      <w:r w:rsidR="00BF0D1D">
        <w:rPr>
          <w:b/>
          <w:i/>
          <w:color w:val="00ADDB"/>
        </w:rPr>
        <w:t> </w:t>
      </w:r>
      <w:r w:rsidR="007D2F66" w:rsidRPr="00D56926">
        <w:rPr>
          <w:b/>
          <w:i/>
          <w:color w:val="00ADDB"/>
        </w:rPr>
        <w:t>IROP</w:t>
      </w:r>
      <w:r w:rsidR="00BF0D1D">
        <w:rPr>
          <w:b/>
          <w:i/>
          <w:color w:val="00ADDB"/>
        </w:rPr>
        <w:t xml:space="preserve"> 1</w:t>
      </w:r>
      <w:r w:rsidR="007D2F66" w:rsidRPr="00D56926">
        <w:rPr>
          <w:b/>
          <w:i/>
          <w:color w:val="00ADDB"/>
        </w:rPr>
        <w:t xml:space="preserve">. </w:t>
      </w:r>
    </w:p>
    <w:p w14:paraId="71ABF8F3" w14:textId="481C2A7B" w:rsidR="00FE6E4B" w:rsidRDefault="004A5A33" w:rsidP="00972A4E">
      <w:pPr>
        <w:pStyle w:val="JK4"/>
        <w:keepNext/>
        <w:ind w:left="0" w:firstLine="0"/>
      </w:pPr>
      <w:r>
        <w:t>Správně nastavený systém monitorování s využitím vhodných indikátorů poskytuje průběžné informace o dosahování žádoucího stavu nebo plánované změny, pro poskytovatele představuje nástroj k</w:t>
      </w:r>
      <w:r w:rsidR="00BF0D1D">
        <w:t xml:space="preserve"> </w:t>
      </w:r>
      <w:r>
        <w:t>vhodn</w:t>
      </w:r>
      <w:r w:rsidR="00234521">
        <w:t xml:space="preserve">ému </w:t>
      </w:r>
      <w:r>
        <w:t>zacílení podpory a zároveň vytváří podmínky pro</w:t>
      </w:r>
      <w:r w:rsidR="00BF0D1D">
        <w:t xml:space="preserve"> </w:t>
      </w:r>
      <w:r>
        <w:t xml:space="preserve">vyhodnocení účelnosti poskytnutých peněžních prostředků. </w:t>
      </w:r>
    </w:p>
    <w:p w14:paraId="6D7A77FD" w14:textId="0DC80D6E" w:rsidR="00A728D0" w:rsidRPr="00855933" w:rsidRDefault="005D6888" w:rsidP="00D11AA8">
      <w:pPr>
        <w:pStyle w:val="JK4"/>
        <w:ind w:left="0" w:firstLine="0"/>
      </w:pPr>
      <w:r>
        <w:t xml:space="preserve">NKÚ </w:t>
      </w:r>
      <w:r w:rsidR="0081496C">
        <w:t xml:space="preserve">ověřil, </w:t>
      </w:r>
      <w:r>
        <w:t xml:space="preserve">že MMR nastavilo v rámci výzev zaměřených na podporu infrastruktury sociálních služeb </w:t>
      </w:r>
      <w:r w:rsidR="00CF515A">
        <w:t xml:space="preserve">potřebné </w:t>
      </w:r>
      <w:r>
        <w:t xml:space="preserve">výstupové indikátory k měření kvantitativních cílů projektů (např. </w:t>
      </w:r>
      <w:r w:rsidR="00996C8B">
        <w:t xml:space="preserve">zvýšení </w:t>
      </w:r>
      <w:r w:rsidR="00BE76CA">
        <w:t xml:space="preserve">počtu </w:t>
      </w:r>
      <w:r>
        <w:t>zázemí</w:t>
      </w:r>
      <w:r w:rsidR="00996C8B">
        <w:t xml:space="preserve"> nebo </w:t>
      </w:r>
      <w:r>
        <w:t>počt</w:t>
      </w:r>
      <w:r w:rsidR="00996C8B">
        <w:t>u</w:t>
      </w:r>
      <w:r>
        <w:t xml:space="preserve"> </w:t>
      </w:r>
      <w:r w:rsidR="00996C8B">
        <w:t>služeb</w:t>
      </w:r>
      <w:r>
        <w:t>)</w:t>
      </w:r>
      <w:r w:rsidR="00516466">
        <w:t xml:space="preserve">. MMR však nenastavilo </w:t>
      </w:r>
      <w:r w:rsidR="00FE6E4B">
        <w:t xml:space="preserve">pro </w:t>
      </w:r>
      <w:r>
        <w:t>kvalitativní cíle</w:t>
      </w:r>
      <w:r w:rsidRPr="001C0C23">
        <w:rPr>
          <w:rStyle w:val="Znakapoznpodarou"/>
        </w:rPr>
        <w:footnoteReference w:id="33"/>
      </w:r>
      <w:r>
        <w:t xml:space="preserve"> projektů IROP 1 </w:t>
      </w:r>
      <w:r w:rsidR="005947B9">
        <w:t>ta</w:t>
      </w:r>
      <w:r>
        <w:t>kový indikátor výsledku</w:t>
      </w:r>
      <w:r w:rsidRPr="001C0C23">
        <w:rPr>
          <w:rStyle w:val="Znakapoznpodarou"/>
        </w:rPr>
        <w:footnoteReference w:id="34"/>
      </w:r>
      <w:r>
        <w:t xml:space="preserve">, který by </w:t>
      </w:r>
      <w:r w:rsidR="0082091F">
        <w:t xml:space="preserve">vypovídal </w:t>
      </w:r>
      <w:r>
        <w:t>o dosažených kvalitativních změnách</w:t>
      </w:r>
      <w:r w:rsidR="002E3BEA">
        <w:t>.</w:t>
      </w:r>
      <w:r w:rsidR="0082091F">
        <w:t xml:space="preserve"> </w:t>
      </w:r>
      <w:r w:rsidR="005947B9">
        <w:t>NKÚ dále zjistil, že v</w:t>
      </w:r>
      <w:r w:rsidR="00AB2E88" w:rsidRPr="001C0C23">
        <w:t xml:space="preserve">ýsledkový indikátor </w:t>
      </w:r>
      <w:r w:rsidR="00BF0D1D">
        <w:t>„</w:t>
      </w:r>
      <w:r w:rsidR="00BF0D1D">
        <w:rPr>
          <w:i/>
          <w:iCs/>
        </w:rPr>
        <w:t>k</w:t>
      </w:r>
      <w:r w:rsidR="00AB2E88" w:rsidRPr="00A728D0">
        <w:rPr>
          <w:i/>
          <w:iCs/>
        </w:rPr>
        <w:t>apacita služeb a sociální práce</w:t>
      </w:r>
      <w:r w:rsidR="00BF0D1D" w:rsidRPr="00781D40">
        <w:t>“</w:t>
      </w:r>
      <w:r w:rsidR="003C4456" w:rsidRPr="00855933">
        <w:rPr>
          <w:rStyle w:val="Znakapoznpodarou"/>
        </w:rPr>
        <w:footnoteReference w:id="35"/>
      </w:r>
      <w:r w:rsidR="009C3A12">
        <w:t xml:space="preserve">, </w:t>
      </w:r>
      <w:r w:rsidR="00E54004">
        <w:t xml:space="preserve">který </w:t>
      </w:r>
      <w:r w:rsidR="00E54004" w:rsidRPr="001C0C23">
        <w:t>MMR stanovilo pro všechny výzvy z</w:t>
      </w:r>
      <w:r w:rsidR="00BF0D1D">
        <w:t xml:space="preserve">e </w:t>
      </w:r>
      <w:r w:rsidR="00CF1E6B">
        <w:t xml:space="preserve">SC </w:t>
      </w:r>
      <w:r w:rsidR="00E54004" w:rsidRPr="001C0C23">
        <w:t xml:space="preserve">2.1 </w:t>
      </w:r>
      <w:r w:rsidR="00BF0D1D">
        <w:t xml:space="preserve">IROP 1 </w:t>
      </w:r>
      <w:r w:rsidR="00E54004" w:rsidRPr="001C0C23">
        <w:t xml:space="preserve">i </w:t>
      </w:r>
      <w:r w:rsidR="00BF0D1D">
        <w:t xml:space="preserve">SC </w:t>
      </w:r>
      <w:r w:rsidR="00E54004" w:rsidRPr="001C0C23">
        <w:t>6.1 IROP 1</w:t>
      </w:r>
      <w:r w:rsidR="00E54004">
        <w:t xml:space="preserve">, </w:t>
      </w:r>
      <w:r w:rsidR="009C3A12">
        <w:t>nemá vazbu na stanovené cíle</w:t>
      </w:r>
      <w:r w:rsidR="005947B9">
        <w:rPr>
          <w:rStyle w:val="Znakapoznpodarou"/>
        </w:rPr>
        <w:footnoteReference w:id="36"/>
      </w:r>
      <w:r w:rsidR="004A3F81">
        <w:t xml:space="preserve">. </w:t>
      </w:r>
      <w:r w:rsidR="0063082E">
        <w:t>O</w:t>
      </w:r>
      <w:r w:rsidR="00CD28BD" w:rsidRPr="00CD28BD">
        <w:t>kamžit</w:t>
      </w:r>
      <w:r w:rsidR="00CD28BD">
        <w:t xml:space="preserve">á </w:t>
      </w:r>
      <w:r w:rsidR="004A3F81">
        <w:t xml:space="preserve">maximální </w:t>
      </w:r>
      <w:r w:rsidR="00CD28BD" w:rsidRPr="00CD28BD">
        <w:t>kapacit</w:t>
      </w:r>
      <w:r w:rsidR="00CD28BD">
        <w:t xml:space="preserve">a </w:t>
      </w:r>
      <w:r w:rsidR="00CD28BD" w:rsidRPr="00CD28BD">
        <w:t>sociální služby</w:t>
      </w:r>
      <w:r w:rsidR="004A3F81">
        <w:t xml:space="preserve">, kterou indikátor </w:t>
      </w:r>
      <w:r w:rsidR="00BF0D1D">
        <w:t>„</w:t>
      </w:r>
      <w:r w:rsidR="00BF0D1D">
        <w:rPr>
          <w:i/>
          <w:iCs/>
        </w:rPr>
        <w:t>k</w:t>
      </w:r>
      <w:r w:rsidR="004A3F81" w:rsidRPr="00A728D0">
        <w:rPr>
          <w:i/>
          <w:iCs/>
        </w:rPr>
        <w:t>apacita služeb a sociální práce</w:t>
      </w:r>
      <w:r w:rsidR="00BF0D1D" w:rsidRPr="00781D40">
        <w:t>“</w:t>
      </w:r>
      <w:r w:rsidR="008C7813" w:rsidRPr="00A728D0">
        <w:rPr>
          <w:i/>
          <w:iCs/>
        </w:rPr>
        <w:t xml:space="preserve"> </w:t>
      </w:r>
      <w:r w:rsidR="008C7813" w:rsidRPr="00A728D0">
        <w:rPr>
          <w:iCs/>
        </w:rPr>
        <w:t>vyjadřuje</w:t>
      </w:r>
      <w:r w:rsidR="00CD28BD">
        <w:t xml:space="preserve">, </w:t>
      </w:r>
      <w:r w:rsidR="0057470A">
        <w:t xml:space="preserve">může </w:t>
      </w:r>
      <w:r w:rsidR="008C7813">
        <w:t xml:space="preserve">být </w:t>
      </w:r>
      <w:r w:rsidR="000A647F">
        <w:t xml:space="preserve">po ukončení projektu </w:t>
      </w:r>
      <w:r w:rsidR="0057470A">
        <w:t xml:space="preserve">stejná nebo </w:t>
      </w:r>
      <w:r w:rsidR="000A647F">
        <w:t xml:space="preserve">dokonce </w:t>
      </w:r>
      <w:r w:rsidR="0057470A">
        <w:t>nižší, pokud došlo ke zvýšení kvality služby</w:t>
      </w:r>
      <w:r w:rsidR="00516466">
        <w:t>, nikoli ke</w:t>
      </w:r>
      <w:r w:rsidR="00A43935">
        <w:t xml:space="preserve"> </w:t>
      </w:r>
      <w:r w:rsidR="00516466">
        <w:t>zvýšení dostupnosti</w:t>
      </w:r>
      <w:r w:rsidR="0057470A">
        <w:t xml:space="preserve"> (</w:t>
      </w:r>
      <w:r w:rsidR="008C7813">
        <w:t xml:space="preserve">např. u projektů </w:t>
      </w:r>
      <w:r w:rsidR="0057470A">
        <w:t>deinstitucionalizace)</w:t>
      </w:r>
      <w:r w:rsidR="000A647F">
        <w:t xml:space="preserve">. Okamžitá maximální kapacita služby je navíc </w:t>
      </w:r>
      <w:r w:rsidR="00CD28BD">
        <w:t>urč</w:t>
      </w:r>
      <w:r w:rsidR="000A647F">
        <w:t xml:space="preserve">ována i </w:t>
      </w:r>
      <w:r w:rsidR="002907C3">
        <w:t xml:space="preserve">dalšími </w:t>
      </w:r>
      <w:r w:rsidR="004A3F81">
        <w:t xml:space="preserve">faktory, </w:t>
      </w:r>
      <w:r w:rsidR="00BF0D1D">
        <w:t>ne</w:t>
      </w:r>
      <w:r w:rsidR="002907C3">
        <w:t>je</w:t>
      </w:r>
      <w:r w:rsidR="005947B9">
        <w:t>n</w:t>
      </w:r>
      <w:r w:rsidR="002907C3">
        <w:t xml:space="preserve"> např. </w:t>
      </w:r>
      <w:r w:rsidR="004A3F81">
        <w:t>zvýšení</w:t>
      </w:r>
      <w:r w:rsidR="00BF0D1D">
        <w:t>m</w:t>
      </w:r>
      <w:r w:rsidR="004A3F81">
        <w:t xml:space="preserve"> množství pořízenéh</w:t>
      </w:r>
      <w:r w:rsidR="00F436E8">
        <w:t>o</w:t>
      </w:r>
      <w:r w:rsidR="004A3F81">
        <w:t xml:space="preserve"> vybavení</w:t>
      </w:r>
      <w:r w:rsidR="00B16F64">
        <w:rPr>
          <w:rStyle w:val="Znakapoznpodarou"/>
        </w:rPr>
        <w:footnoteReference w:id="37"/>
      </w:r>
      <w:r w:rsidR="00CD28BD" w:rsidRPr="00CD28BD">
        <w:t>.</w:t>
      </w:r>
      <w:r w:rsidR="00AB2E88">
        <w:t xml:space="preserve"> </w:t>
      </w:r>
      <w:bookmarkStart w:id="36" w:name="_Hlk190936648"/>
      <w:r w:rsidR="00A728D0">
        <w:t>NKÚ dále zjistil, že MMR nevyužilo k</w:t>
      </w:r>
      <w:r w:rsidR="00427BC4">
        <w:t>e sledování a</w:t>
      </w:r>
      <w:r w:rsidR="00A728D0">
        <w:t> vyhodnocování změn žádné ze standardů kvality sociálních služeb,</w:t>
      </w:r>
      <w:r w:rsidR="00427BC4">
        <w:t xml:space="preserve"> se kterými pracuje většina příjemců podpory, </w:t>
      </w:r>
      <w:r w:rsidR="00A728D0">
        <w:t>a</w:t>
      </w:r>
      <w:r w:rsidR="000F26A1">
        <w:t xml:space="preserve"> </w:t>
      </w:r>
      <w:r w:rsidR="00A728D0">
        <w:t>tak nemůže posoudit, zda skutečně ke</w:t>
      </w:r>
      <w:r w:rsidR="008F3E34">
        <w:t xml:space="preserve"> kvalitativním přínosům v poskytování sociálních služeb</w:t>
      </w:r>
      <w:r w:rsidR="00A728D0">
        <w:t xml:space="preserve"> došlo. </w:t>
      </w:r>
    </w:p>
    <w:p w14:paraId="0E5A0C8A" w14:textId="3CDD143B" w:rsidR="006463D6" w:rsidRPr="00855933" w:rsidRDefault="00B40D1B" w:rsidP="00D11AA8">
      <w:pPr>
        <w:pStyle w:val="JK4"/>
        <w:ind w:left="0" w:firstLine="0"/>
      </w:pPr>
      <w:r>
        <w:t>Průběžné sledování a vyhodnocování přínosů poskytnuté podpory je pro poskytovatele klíčovým nástrojem k</w:t>
      </w:r>
      <w:r w:rsidR="00BF0D1D">
        <w:t xml:space="preserve"> </w:t>
      </w:r>
      <w:r>
        <w:t xml:space="preserve">ověření, zda </w:t>
      </w:r>
      <w:r w:rsidR="00A119AF">
        <w:t xml:space="preserve">díky podpoře </w:t>
      </w:r>
      <w:r>
        <w:t>nastaly očekávané změny v</w:t>
      </w:r>
      <w:r w:rsidR="00BF0D1D">
        <w:t xml:space="preserve"> </w:t>
      </w:r>
      <w:r>
        <w:t>řešení definovan</w:t>
      </w:r>
      <w:r w:rsidR="00FD219F">
        <w:t xml:space="preserve">ých </w:t>
      </w:r>
      <w:r>
        <w:t>problém</w:t>
      </w:r>
      <w:r w:rsidR="00FD219F">
        <w:t>ů</w:t>
      </w:r>
      <w:r w:rsidR="00A119AF">
        <w:t xml:space="preserve">, </w:t>
      </w:r>
      <w:r>
        <w:t>zda bylo dosaženo stanovených cílů v optimální míře</w:t>
      </w:r>
      <w:r w:rsidR="00FD219F">
        <w:t xml:space="preserve"> a zda je tedy podpora účelná</w:t>
      </w:r>
      <w:r>
        <w:t>.</w:t>
      </w:r>
      <w:r w:rsidR="00FD219F">
        <w:t xml:space="preserve"> Informac</w:t>
      </w:r>
      <w:r w:rsidR="00BF0D1D">
        <w:t>emi</w:t>
      </w:r>
      <w:r w:rsidR="00FD219F">
        <w:t xml:space="preserve"> o dosažených cílech jsou zejména dosažené hodnoty indikátorů </w:t>
      </w:r>
      <w:r w:rsidR="003E53D6">
        <w:t xml:space="preserve">určených </w:t>
      </w:r>
      <w:r w:rsidR="00FD219F">
        <w:t>k měření výsledků.</w:t>
      </w:r>
    </w:p>
    <w:p w14:paraId="2F9FC5B4" w14:textId="45A62751" w:rsidR="00710646" w:rsidRDefault="002C1FD0" w:rsidP="00057F85">
      <w:pPr>
        <w:pStyle w:val="JK4"/>
        <w:ind w:left="0" w:firstLine="0"/>
      </w:pPr>
      <w:r>
        <w:t xml:space="preserve">NKÚ zjistil, že </w:t>
      </w:r>
      <w:r w:rsidR="008F3E34">
        <w:t xml:space="preserve">MMR </w:t>
      </w:r>
      <w:r w:rsidR="00710646" w:rsidRPr="00710646">
        <w:t xml:space="preserve">nedostatečným nastavením indikátorové soustavy </w:t>
      </w:r>
      <w:r w:rsidR="00613601">
        <w:t xml:space="preserve">IROP 1 </w:t>
      </w:r>
      <w:r w:rsidR="00A37782">
        <w:t>nevytvořilo předpoklady pro sledování a vyhodnocování</w:t>
      </w:r>
      <w:r w:rsidR="00613601">
        <w:t xml:space="preserve"> </w:t>
      </w:r>
      <w:r w:rsidR="00710646" w:rsidRPr="00710646">
        <w:t>účelnost</w:t>
      </w:r>
      <w:r w:rsidR="00A37782">
        <w:t>i</w:t>
      </w:r>
      <w:r w:rsidR="00710646" w:rsidRPr="00710646">
        <w:t xml:space="preserve"> peněžních prostředků, které vynaklád</w:t>
      </w:r>
      <w:r w:rsidR="00613601">
        <w:t>alo z</w:t>
      </w:r>
      <w:r w:rsidR="00710646" w:rsidRPr="00710646">
        <w:t>e své rozpočtové kapitoly</w:t>
      </w:r>
      <w:r w:rsidR="00315377">
        <w:t xml:space="preserve">. MMR tak </w:t>
      </w:r>
      <w:r w:rsidR="00710646" w:rsidRPr="00710646">
        <w:t>nepostupovalo v</w:t>
      </w:r>
      <w:r w:rsidR="00375112">
        <w:t xml:space="preserve"> </w:t>
      </w:r>
      <w:r w:rsidR="00710646" w:rsidRPr="00710646">
        <w:t>souladu s</w:t>
      </w:r>
      <w:r w:rsidR="00375112">
        <w:t xml:space="preserve"> </w:t>
      </w:r>
      <w:r w:rsidR="00710646" w:rsidRPr="00710646">
        <w:t>právním předpisem.</w:t>
      </w:r>
      <w:r w:rsidR="00710646" w:rsidRPr="00710646">
        <w:rPr>
          <w:rStyle w:val="Znakapoznpodarou"/>
        </w:rPr>
        <w:footnoteReference w:id="38"/>
      </w:r>
    </w:p>
    <w:bookmarkEnd w:id="36"/>
    <w:p w14:paraId="1F704D61" w14:textId="77777777" w:rsidR="00504F32" w:rsidRPr="008F3E34" w:rsidRDefault="00504F32" w:rsidP="008F3E34">
      <w:pPr>
        <w:pStyle w:val="PodkapitolystiIVKZ"/>
        <w:spacing w:before="240" w:after="120"/>
        <w:ind w:left="284" w:hanging="284"/>
        <w:rPr>
          <w:i w:val="0"/>
          <w:iCs/>
          <w:color w:val="C00000"/>
        </w:rPr>
      </w:pPr>
      <w:r w:rsidRPr="008F3E34">
        <w:rPr>
          <w:i w:val="0"/>
          <w:iCs/>
          <w:color w:val="C00000"/>
        </w:rPr>
        <w:t xml:space="preserve">Čerpání podpory na infrastrukturu </w:t>
      </w:r>
      <w:r w:rsidR="00CE3D7D" w:rsidRPr="008F3E34">
        <w:rPr>
          <w:i w:val="0"/>
          <w:iCs/>
          <w:color w:val="C00000"/>
        </w:rPr>
        <w:t>sociálních služeb</w:t>
      </w:r>
      <w:r w:rsidRPr="008F3E34">
        <w:rPr>
          <w:i w:val="0"/>
          <w:iCs/>
          <w:color w:val="C00000"/>
        </w:rPr>
        <w:t xml:space="preserve"> </w:t>
      </w:r>
      <w:r w:rsidR="00610116" w:rsidRPr="008F3E34">
        <w:rPr>
          <w:i w:val="0"/>
          <w:iCs/>
          <w:color w:val="C00000"/>
        </w:rPr>
        <w:t>u vyb</w:t>
      </w:r>
      <w:r w:rsidRPr="008F3E34">
        <w:rPr>
          <w:i w:val="0"/>
          <w:iCs/>
          <w:color w:val="C00000"/>
        </w:rPr>
        <w:t>raných projekt</w:t>
      </w:r>
      <w:r w:rsidR="00610116" w:rsidRPr="008F3E34">
        <w:rPr>
          <w:i w:val="0"/>
          <w:iCs/>
          <w:color w:val="C00000"/>
        </w:rPr>
        <w:t>ů</w:t>
      </w:r>
    </w:p>
    <w:p w14:paraId="3255448D" w14:textId="71667F1B" w:rsidR="0069703F" w:rsidRPr="00D56926" w:rsidRDefault="0069703F" w:rsidP="00C971A4">
      <w:pPr>
        <w:pStyle w:val="Kontrolnprotokol"/>
        <w:keepNext/>
        <w:spacing w:before="120" w:after="120"/>
        <w:ind w:left="284" w:hanging="284"/>
        <w:rPr>
          <w:b/>
          <w:i/>
          <w:color w:val="00ADDB"/>
        </w:rPr>
      </w:pPr>
      <w:bookmarkStart w:id="37" w:name="_Hlk190341901"/>
      <w:bookmarkStart w:id="38" w:name="_Hlk99007641"/>
      <w:r w:rsidRPr="00D56926">
        <w:rPr>
          <w:b/>
          <w:i/>
          <w:color w:val="00ADDB"/>
        </w:rPr>
        <w:t xml:space="preserve">→ </w:t>
      </w:r>
      <w:r w:rsidR="00694C7E">
        <w:rPr>
          <w:b/>
          <w:i/>
          <w:color w:val="00ADDB"/>
        </w:rPr>
        <w:t>U</w:t>
      </w:r>
      <w:r w:rsidR="00694C7E" w:rsidRPr="00D56926">
        <w:rPr>
          <w:b/>
          <w:i/>
          <w:color w:val="00ADDB"/>
        </w:rPr>
        <w:t xml:space="preserve"> 10 ze 14 kontrolovaných projektů</w:t>
      </w:r>
      <w:r w:rsidR="00694C7E">
        <w:rPr>
          <w:b/>
          <w:i/>
          <w:color w:val="00ADDB"/>
        </w:rPr>
        <w:t xml:space="preserve"> </w:t>
      </w:r>
      <w:r w:rsidR="00514681" w:rsidRPr="00D56926">
        <w:rPr>
          <w:b/>
          <w:i/>
          <w:color w:val="00ADDB"/>
        </w:rPr>
        <w:t xml:space="preserve">vyhodnotil </w:t>
      </w:r>
      <w:r w:rsidR="00694C7E" w:rsidRPr="00D56926">
        <w:rPr>
          <w:b/>
          <w:i/>
          <w:color w:val="00ADDB"/>
        </w:rPr>
        <w:t xml:space="preserve">NKÚ </w:t>
      </w:r>
      <w:r w:rsidR="008F3E34" w:rsidRPr="00D56926">
        <w:rPr>
          <w:b/>
          <w:i/>
          <w:color w:val="00ADDB"/>
        </w:rPr>
        <w:t xml:space="preserve">vynaložení peněžních prostředků </w:t>
      </w:r>
      <w:r w:rsidR="00694C7E" w:rsidRPr="00D56926">
        <w:rPr>
          <w:b/>
          <w:i/>
          <w:color w:val="00ADDB"/>
        </w:rPr>
        <w:t>jako účelné</w:t>
      </w:r>
      <w:r w:rsidR="00514681" w:rsidRPr="00D56926">
        <w:rPr>
          <w:b/>
          <w:i/>
          <w:color w:val="00ADDB"/>
        </w:rPr>
        <w:t>.</w:t>
      </w:r>
    </w:p>
    <w:bookmarkEnd w:id="37"/>
    <w:p w14:paraId="0C33A58D" w14:textId="27247C98" w:rsidR="0069703F" w:rsidRPr="002500D2" w:rsidRDefault="0069703F" w:rsidP="002B25FA">
      <w:pPr>
        <w:pStyle w:val="JK4"/>
        <w:spacing w:before="0"/>
        <w:ind w:left="0" w:firstLine="0"/>
      </w:pPr>
      <w:r w:rsidRPr="00AE19BA">
        <w:t>NKÚ posuzoval účelnost</w:t>
      </w:r>
      <w:r w:rsidR="004F63D9">
        <w:t xml:space="preserve"> peněžních prostředků vynaložených na realizaci projektu dle</w:t>
      </w:r>
      <w:r w:rsidR="003E68C8">
        <w:t xml:space="preserve"> </w:t>
      </w:r>
      <w:r w:rsidR="004F63D9">
        <w:t xml:space="preserve">kritérií popsaných v části III. kontrolního závěru </w:t>
      </w:r>
      <w:r w:rsidRPr="00AE19BA">
        <w:t>(</w:t>
      </w:r>
      <w:r w:rsidR="003712D8">
        <w:t xml:space="preserve">viz odstavec </w:t>
      </w:r>
      <w:r w:rsidRPr="00AE19BA">
        <w:t>3.4)</w:t>
      </w:r>
      <w:r w:rsidR="00716372">
        <w:t xml:space="preserve"> a dále rozvedených v příloze č. 2</w:t>
      </w:r>
      <w:r w:rsidRPr="00AE19BA">
        <w:t xml:space="preserve">. </w:t>
      </w:r>
      <w:r w:rsidR="004F63D9" w:rsidRPr="00AE19BA">
        <w:t xml:space="preserve">NKÚ posuzoval a hodnotil </w:t>
      </w:r>
      <w:r w:rsidR="004F63D9">
        <w:t>vybrané projekty</w:t>
      </w:r>
      <w:r w:rsidR="006C3B7E">
        <w:t xml:space="preserve"> podle těchto kritérií</w:t>
      </w:r>
      <w:r w:rsidR="004F63D9">
        <w:t xml:space="preserve"> s využitím </w:t>
      </w:r>
      <w:r w:rsidR="004F63D9" w:rsidRPr="00AE19BA">
        <w:t>čtyřstupňové škál</w:t>
      </w:r>
      <w:r w:rsidR="004F63D9">
        <w:t>y</w:t>
      </w:r>
      <w:r w:rsidR="006C3B7E">
        <w:t>. P</w:t>
      </w:r>
      <w:r w:rsidR="009E4B7E" w:rsidRPr="00214931">
        <w:t xml:space="preserve">ři </w:t>
      </w:r>
      <w:r w:rsidR="003E68C8">
        <w:t>posuzování</w:t>
      </w:r>
      <w:r w:rsidR="003E68C8" w:rsidRPr="00214931">
        <w:t xml:space="preserve"> </w:t>
      </w:r>
      <w:r w:rsidR="009E4B7E" w:rsidRPr="00214931">
        <w:t xml:space="preserve">a hodnocení účelnosti prostředků </w:t>
      </w:r>
      <w:r w:rsidR="004F63D9">
        <w:t xml:space="preserve">vynaložených </w:t>
      </w:r>
      <w:r w:rsidR="009E4B7E" w:rsidRPr="00214931">
        <w:t>na</w:t>
      </w:r>
      <w:r w:rsidR="003E68C8">
        <w:t xml:space="preserve"> </w:t>
      </w:r>
      <w:r w:rsidR="009E4B7E" w:rsidRPr="00214931">
        <w:t xml:space="preserve">vybrané projekty využil </w:t>
      </w:r>
      <w:r w:rsidR="003A3A05">
        <w:t>také</w:t>
      </w:r>
      <w:r w:rsidR="004F63D9">
        <w:t xml:space="preserve"> </w:t>
      </w:r>
      <w:r w:rsidR="009E4B7E" w:rsidRPr="00214931">
        <w:t xml:space="preserve">kritéria vycházející ze standardů, které pro oblast sociálních služeb nastavilo MPSV. </w:t>
      </w:r>
      <w:r w:rsidR="00EB4B13" w:rsidRPr="00214931">
        <w:t>Celkový</w:t>
      </w:r>
      <w:r w:rsidRPr="00214931">
        <w:t xml:space="preserve"> výsledek </w:t>
      </w:r>
      <w:r w:rsidR="00546D37">
        <w:t>vy</w:t>
      </w:r>
      <w:r w:rsidRPr="00214931">
        <w:t>hodnocení účelnosti</w:t>
      </w:r>
      <w:r w:rsidR="006C3B7E">
        <w:t xml:space="preserve"> vynaložených peněžních prostředků</w:t>
      </w:r>
      <w:r w:rsidRPr="00214931">
        <w:t xml:space="preserve"> u </w:t>
      </w:r>
      <w:r w:rsidR="009672AA" w:rsidRPr="00214931">
        <w:t>14</w:t>
      </w:r>
      <w:r w:rsidRPr="00214931">
        <w:t xml:space="preserve"> vybraných </w:t>
      </w:r>
      <w:r w:rsidRPr="002500D2">
        <w:t xml:space="preserve">projektů ukazuje </w:t>
      </w:r>
      <w:r w:rsidRPr="006C3B7E">
        <w:rPr>
          <w:b/>
        </w:rPr>
        <w:t>graf č. 1</w:t>
      </w:r>
      <w:r w:rsidRPr="00781D40">
        <w:rPr>
          <w:b/>
          <w:bCs/>
        </w:rPr>
        <w:t>.</w:t>
      </w:r>
      <w:r w:rsidRPr="002500D2">
        <w:t xml:space="preserve"> </w:t>
      </w:r>
    </w:p>
    <w:p w14:paraId="3462BAE9" w14:textId="77777777" w:rsidR="0069703F" w:rsidRDefault="0069703F" w:rsidP="00781D40">
      <w:pPr>
        <w:pStyle w:val="Nadpistabulkynebografu"/>
        <w:keepLines w:val="0"/>
        <w:spacing w:after="120"/>
        <w:ind w:left="964" w:hanging="964"/>
      </w:pPr>
      <w:r w:rsidRPr="0008503E">
        <w:t xml:space="preserve">Graf č. </w:t>
      </w:r>
      <w:r>
        <w:t>1</w:t>
      </w:r>
      <w:r w:rsidRPr="0008503E">
        <w:t>:</w:t>
      </w:r>
      <w:r w:rsidRPr="0008503E">
        <w:tab/>
      </w:r>
      <w:r w:rsidRPr="00CA025D">
        <w:t xml:space="preserve">Souhrnný výsledek hodnocení účelnosti </w:t>
      </w:r>
      <w:r>
        <w:t xml:space="preserve">výdajů u 14 vybraných projektů </w:t>
      </w:r>
    </w:p>
    <w:p w14:paraId="4AA94852" w14:textId="77777777" w:rsidR="0069703F" w:rsidRPr="0016702B" w:rsidRDefault="0069703F" w:rsidP="0069703F">
      <w:pPr>
        <w:pStyle w:val="KPnormalni"/>
        <w:keepNext/>
        <w:jc w:val="center"/>
      </w:pPr>
      <w:r>
        <w:rPr>
          <w:noProof/>
        </w:rPr>
        <w:drawing>
          <wp:inline distT="0" distB="0" distL="0" distR="0" wp14:anchorId="24188F53" wp14:editId="5D3F16A0">
            <wp:extent cx="4340225" cy="2663825"/>
            <wp:effectExtent l="0" t="0" r="3175" b="317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262CA859-1CBD-4A84-835C-1AB8468489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B485D29" w14:textId="3DCC8AE4" w:rsidR="0069703F" w:rsidRPr="00781D40" w:rsidRDefault="0069703F" w:rsidP="0069703F">
      <w:pPr>
        <w:pStyle w:val="Zdrojnebovysvtlivkapodtabulkou"/>
        <w:keepNext w:val="0"/>
        <w:keepLines w:val="0"/>
        <w:spacing w:before="120" w:after="120"/>
        <w:rPr>
          <w:noProof/>
          <w:lang w:eastAsia="cs-CZ"/>
        </w:rPr>
      </w:pPr>
      <w:r w:rsidRPr="00781D40">
        <w:rPr>
          <w:b/>
        </w:rPr>
        <w:t>Zdroj:</w:t>
      </w:r>
      <w:r w:rsidR="00E47EB9">
        <w:t xml:space="preserve"> </w:t>
      </w:r>
      <w:r w:rsidRPr="00781D40">
        <w:t xml:space="preserve">Vypracoval </w:t>
      </w:r>
      <w:r w:rsidRPr="00781D40">
        <w:rPr>
          <w:noProof/>
          <w:lang w:eastAsia="cs-CZ"/>
        </w:rPr>
        <w:t xml:space="preserve">NKÚ na základě provedeného vyhodnocení. </w:t>
      </w:r>
    </w:p>
    <w:p w14:paraId="022AD2E7" w14:textId="0284C988" w:rsidR="00DF1267" w:rsidRPr="00DF1267" w:rsidRDefault="00A1594D" w:rsidP="00DF1267">
      <w:pPr>
        <w:pStyle w:val="JK4"/>
        <w:spacing w:before="0"/>
        <w:ind w:left="0" w:firstLine="0"/>
      </w:pPr>
      <w:r>
        <w:t xml:space="preserve">Jak ukazuje grafické znázornění, </w:t>
      </w:r>
      <w:r w:rsidR="0001651C" w:rsidRPr="00F8256D">
        <w:t xml:space="preserve">NKÚ nezjistil u žádného z vybraných 14 projektů zcela neúčelné vynaložení peněžních prostředků. </w:t>
      </w:r>
      <w:r w:rsidR="00B33B66">
        <w:t xml:space="preserve">NKÚ hodnotil u deseti projektů peněžní prostředky jako </w:t>
      </w:r>
      <w:r w:rsidR="00B33B66" w:rsidRPr="00B33B66">
        <w:rPr>
          <w:i/>
        </w:rPr>
        <w:t>účelné</w:t>
      </w:r>
      <w:r w:rsidR="00D10F75">
        <w:rPr>
          <w:i/>
        </w:rPr>
        <w:t xml:space="preserve"> </w:t>
      </w:r>
      <w:r w:rsidR="00D10F75">
        <w:t>(</w:t>
      </w:r>
      <w:r w:rsidR="00A03EE5">
        <w:t xml:space="preserve">zařazeny do </w:t>
      </w:r>
      <w:r w:rsidR="00D10F75">
        <w:t>stup</w:t>
      </w:r>
      <w:r w:rsidR="00A03EE5">
        <w:t xml:space="preserve">ně </w:t>
      </w:r>
      <w:r w:rsidR="00D10F75">
        <w:t>1</w:t>
      </w:r>
      <w:r w:rsidR="00A03EE5">
        <w:t xml:space="preserve"> hodnocení</w:t>
      </w:r>
      <w:r w:rsidR="00D10F75">
        <w:t>)</w:t>
      </w:r>
      <w:r w:rsidR="00B33B66">
        <w:t xml:space="preserve">, </w:t>
      </w:r>
      <w:r w:rsidR="00774DC1">
        <w:t xml:space="preserve">ve dvou případech </w:t>
      </w:r>
      <w:r w:rsidR="00B33B66">
        <w:t>je vyhodnotil</w:t>
      </w:r>
      <w:r w:rsidR="00991D42">
        <w:t xml:space="preserve"> </w:t>
      </w:r>
      <w:r w:rsidR="00B33B66">
        <w:t>jako</w:t>
      </w:r>
      <w:r w:rsidR="007D6378">
        <w:t xml:space="preserve"> </w:t>
      </w:r>
      <w:r w:rsidR="007D6378">
        <w:rPr>
          <w:i/>
        </w:rPr>
        <w:t>účelné s</w:t>
      </w:r>
      <w:r w:rsidR="000F26A1">
        <w:rPr>
          <w:i/>
        </w:rPr>
        <w:t xml:space="preserve"> </w:t>
      </w:r>
      <w:r w:rsidR="007D6378">
        <w:rPr>
          <w:i/>
        </w:rPr>
        <w:t>mírnými nedostatky</w:t>
      </w:r>
      <w:r w:rsidR="00D10F75">
        <w:rPr>
          <w:i/>
        </w:rPr>
        <w:t xml:space="preserve"> </w:t>
      </w:r>
      <w:r w:rsidR="00D10F75">
        <w:t>(</w:t>
      </w:r>
      <w:r w:rsidR="00A03EE5">
        <w:t xml:space="preserve">zařazeny do stupně </w:t>
      </w:r>
      <w:r w:rsidR="00D10F75">
        <w:t>2)</w:t>
      </w:r>
      <w:r w:rsidR="007D6378" w:rsidRPr="00781D40">
        <w:rPr>
          <w:iCs/>
        </w:rPr>
        <w:t>,</w:t>
      </w:r>
      <w:r w:rsidR="007D6378">
        <w:rPr>
          <w:i/>
        </w:rPr>
        <w:t xml:space="preserve"> </w:t>
      </w:r>
      <w:r w:rsidR="00D207FB">
        <w:t>u dalších</w:t>
      </w:r>
      <w:r w:rsidR="00B33B66">
        <w:t xml:space="preserve"> dvou</w:t>
      </w:r>
      <w:r w:rsidR="00D207FB">
        <w:t xml:space="preserve"> projektů byly prostředky vyhodnoceny jako </w:t>
      </w:r>
      <w:r w:rsidR="007D6378" w:rsidRPr="00991D42">
        <w:rPr>
          <w:i/>
        </w:rPr>
        <w:t xml:space="preserve">omezeně </w:t>
      </w:r>
      <w:r w:rsidR="00D207FB" w:rsidRPr="00991D42">
        <w:rPr>
          <w:i/>
        </w:rPr>
        <w:t>účelné</w:t>
      </w:r>
      <w:r w:rsidR="00D10F75">
        <w:rPr>
          <w:i/>
        </w:rPr>
        <w:t xml:space="preserve"> </w:t>
      </w:r>
      <w:r w:rsidR="00D10F75">
        <w:t>(stupeň 3)</w:t>
      </w:r>
      <w:r w:rsidR="007D6378">
        <w:rPr>
          <w:i/>
        </w:rPr>
        <w:t>.</w:t>
      </w:r>
      <w:r w:rsidR="00774DC1">
        <w:rPr>
          <w:i/>
        </w:rPr>
        <w:t xml:space="preserve"> </w:t>
      </w:r>
      <w:r w:rsidR="007D6378">
        <w:t>Jednot</w:t>
      </w:r>
      <w:r w:rsidR="00103D64" w:rsidRPr="00F8256D">
        <w:t xml:space="preserve">livé výsledky </w:t>
      </w:r>
      <w:r w:rsidR="00103D64">
        <w:t xml:space="preserve">posouzení účelnosti </w:t>
      </w:r>
      <w:r w:rsidR="006C3B7E">
        <w:t xml:space="preserve">vynaložených </w:t>
      </w:r>
      <w:r w:rsidR="00103D64">
        <w:t xml:space="preserve">prostředků </w:t>
      </w:r>
      <w:r w:rsidR="00774DC1">
        <w:t xml:space="preserve">u </w:t>
      </w:r>
      <w:r w:rsidR="006C3B7E">
        <w:t>všech 14</w:t>
      </w:r>
      <w:r w:rsidR="00774DC1">
        <w:t xml:space="preserve"> vybraných projektů</w:t>
      </w:r>
      <w:r w:rsidR="00103D64">
        <w:t xml:space="preserve"> obsahuje </w:t>
      </w:r>
      <w:r w:rsidR="00103D64" w:rsidRPr="00DF1267">
        <w:t xml:space="preserve">příloha č. </w:t>
      </w:r>
      <w:r w:rsidR="00514681" w:rsidRPr="00DF1267">
        <w:t>1.</w:t>
      </w:r>
      <w:bookmarkStart w:id="39" w:name="_Hlk190267109"/>
    </w:p>
    <w:p w14:paraId="3FE995B3" w14:textId="6AF92517" w:rsidR="0001651C" w:rsidRPr="00D56926" w:rsidRDefault="0001651C" w:rsidP="00C611A1">
      <w:pPr>
        <w:pStyle w:val="Kontrolnprotokol"/>
        <w:keepNext/>
        <w:spacing w:before="120" w:after="120"/>
        <w:ind w:left="284" w:hanging="284"/>
        <w:rPr>
          <w:b/>
          <w:i/>
          <w:color w:val="00ADDB"/>
        </w:rPr>
      </w:pPr>
      <w:r w:rsidRPr="00D56926">
        <w:rPr>
          <w:b/>
          <w:i/>
          <w:color w:val="00ADDB"/>
        </w:rPr>
        <w:t>→</w:t>
      </w:r>
      <w:r w:rsidR="00B92F06">
        <w:rPr>
          <w:b/>
          <w:i/>
          <w:color w:val="00ADDB"/>
        </w:rPr>
        <w:t xml:space="preserve"> </w:t>
      </w:r>
      <w:r w:rsidR="00310C0F" w:rsidRPr="00D56926">
        <w:rPr>
          <w:b/>
          <w:i/>
          <w:color w:val="00ADDB"/>
        </w:rPr>
        <w:t>U</w:t>
      </w:r>
      <w:r w:rsidRPr="00D56926">
        <w:rPr>
          <w:b/>
          <w:i/>
          <w:color w:val="00ADDB"/>
        </w:rPr>
        <w:t xml:space="preserve"> dvou projektů </w:t>
      </w:r>
      <w:r w:rsidR="00621395" w:rsidRPr="00D56926">
        <w:rPr>
          <w:b/>
          <w:i/>
          <w:color w:val="00ADDB"/>
        </w:rPr>
        <w:t xml:space="preserve">zjistil </w:t>
      </w:r>
      <w:r w:rsidR="003E68C8" w:rsidRPr="00D56926">
        <w:rPr>
          <w:b/>
          <w:i/>
          <w:color w:val="00ADDB"/>
        </w:rPr>
        <w:t xml:space="preserve">NKÚ </w:t>
      </w:r>
      <w:r w:rsidR="00DB3777" w:rsidRPr="00D56926">
        <w:rPr>
          <w:b/>
          <w:i/>
          <w:color w:val="00ADDB"/>
        </w:rPr>
        <w:t xml:space="preserve">významnější </w:t>
      </w:r>
      <w:r w:rsidR="00621395" w:rsidRPr="00D56926">
        <w:rPr>
          <w:b/>
          <w:i/>
          <w:color w:val="00ADDB"/>
        </w:rPr>
        <w:t>nedostatky,</w:t>
      </w:r>
      <w:r w:rsidR="00B72D7D" w:rsidRPr="00D56926">
        <w:rPr>
          <w:b/>
          <w:i/>
          <w:color w:val="00ADDB"/>
        </w:rPr>
        <w:t xml:space="preserve"> které vedly k hodnocení </w:t>
      </w:r>
      <w:r w:rsidRPr="00D56926">
        <w:rPr>
          <w:b/>
          <w:i/>
          <w:color w:val="00ADDB"/>
        </w:rPr>
        <w:t>vynaložen</w:t>
      </w:r>
      <w:r w:rsidR="00B72D7D" w:rsidRPr="00D56926">
        <w:rPr>
          <w:b/>
          <w:i/>
          <w:color w:val="00ADDB"/>
        </w:rPr>
        <w:t>ých</w:t>
      </w:r>
      <w:r w:rsidRPr="00D56926">
        <w:rPr>
          <w:b/>
          <w:i/>
          <w:color w:val="00ADDB"/>
        </w:rPr>
        <w:t xml:space="preserve"> peněžních prostředků jen jako „omezeně účeln</w:t>
      </w:r>
      <w:r w:rsidR="00684BF0" w:rsidRPr="00D56926">
        <w:rPr>
          <w:b/>
          <w:i/>
          <w:color w:val="00ADDB"/>
        </w:rPr>
        <w:t>ých</w:t>
      </w:r>
      <w:r w:rsidRPr="00D56926">
        <w:rPr>
          <w:b/>
          <w:i/>
          <w:color w:val="00ADDB"/>
        </w:rPr>
        <w:t>“.</w:t>
      </w:r>
    </w:p>
    <w:p w14:paraId="7F20CD31" w14:textId="57AB8746" w:rsidR="009A574C" w:rsidRPr="00FE6ED9" w:rsidRDefault="00352321" w:rsidP="00972A4E">
      <w:pPr>
        <w:pStyle w:val="JK4"/>
        <w:keepNext/>
        <w:ind w:left="0" w:firstLine="0"/>
      </w:pPr>
      <w:bookmarkStart w:id="40" w:name="_Hlk190254004"/>
      <w:bookmarkEnd w:id="39"/>
      <w:r w:rsidRPr="008645D9">
        <w:t xml:space="preserve">Účelnost </w:t>
      </w:r>
      <w:r w:rsidR="006C3B7E">
        <w:t xml:space="preserve">peněžních prostředků </w:t>
      </w:r>
      <w:r w:rsidR="003E68C8">
        <w:t xml:space="preserve">vynaložených na </w:t>
      </w:r>
      <w:r w:rsidRPr="008645D9">
        <w:t>projekt</w:t>
      </w:r>
      <w:r w:rsidR="003E68C8">
        <w:t>y</w:t>
      </w:r>
      <w:r w:rsidRPr="008645D9">
        <w:t xml:space="preserve"> </w:t>
      </w:r>
      <w:r w:rsidRPr="00352321">
        <w:t>je omezen</w:t>
      </w:r>
      <w:r w:rsidR="003E68C8">
        <w:t>á</w:t>
      </w:r>
      <w:r w:rsidRPr="00352321">
        <w:t>,</w:t>
      </w:r>
      <w:r w:rsidR="006C3B7E">
        <w:t xml:space="preserve"> např.</w:t>
      </w:r>
      <w:r w:rsidRPr="00352321">
        <w:t xml:space="preserve"> pokud</w:t>
      </w:r>
      <w:r w:rsidRPr="00FB3274">
        <w:t xml:space="preserve"> stanovené</w:t>
      </w:r>
      <w:r w:rsidR="00003227" w:rsidRPr="00FB3274">
        <w:t xml:space="preserve"> aktivity, cíle a předpokládané přínosy projektu byly splněny jen částečně</w:t>
      </w:r>
      <w:r w:rsidRPr="00FB3274">
        <w:t xml:space="preserve"> </w:t>
      </w:r>
      <w:r w:rsidR="003E68C8">
        <w:t xml:space="preserve">nebo </w:t>
      </w:r>
      <w:r w:rsidR="00B75B14">
        <w:t xml:space="preserve">když jsou </w:t>
      </w:r>
      <w:r w:rsidRPr="00FB3274">
        <w:t>v</w:t>
      </w:r>
      <w:r w:rsidR="00003227" w:rsidRPr="00FB3274">
        <w:t>ýstupy projektu využívány jen omezeně</w:t>
      </w:r>
      <w:r w:rsidR="00B75B14">
        <w:t xml:space="preserve"> a </w:t>
      </w:r>
      <w:r w:rsidR="00003227" w:rsidRPr="00FB3274">
        <w:t xml:space="preserve">zároveň neexistuje důvodný předpoklad významnějšího zlepšení (využívání) v budoucnu. </w:t>
      </w:r>
      <w:r w:rsidR="002B2858">
        <w:t xml:space="preserve">NKÚ zjistil u dvou projektů </w:t>
      </w:r>
      <w:r w:rsidR="00676E0F">
        <w:t xml:space="preserve">významné </w:t>
      </w:r>
      <w:r w:rsidR="002B2858">
        <w:t xml:space="preserve">nedostatky, </w:t>
      </w:r>
      <w:r w:rsidR="003E68C8">
        <w:t xml:space="preserve">neboť </w:t>
      </w:r>
      <w:r w:rsidR="001F62DC" w:rsidRPr="00FB3274">
        <w:t xml:space="preserve">příjemce využíval výstupy projektu jen </w:t>
      </w:r>
      <w:r w:rsidR="006C3B7E">
        <w:t xml:space="preserve">velmi </w:t>
      </w:r>
      <w:r w:rsidR="001F62DC" w:rsidRPr="00FB3274">
        <w:t xml:space="preserve">omezeně, popř. v rozporu s podmínkami </w:t>
      </w:r>
      <w:r w:rsidR="00142D73">
        <w:t>RoPD</w:t>
      </w:r>
      <w:r w:rsidR="001F62DC" w:rsidRPr="00FB3274">
        <w:t xml:space="preserve">, nebo nedosáhl všech </w:t>
      </w:r>
      <w:r w:rsidR="009A574C" w:rsidRPr="00FB3274">
        <w:t>plánovanýc</w:t>
      </w:r>
      <w:r w:rsidR="00715F6C" w:rsidRPr="00FB3274">
        <w:t>h</w:t>
      </w:r>
      <w:r w:rsidR="00103D64" w:rsidRPr="00FB3274">
        <w:t xml:space="preserve"> přínosů </w:t>
      </w:r>
      <w:r w:rsidR="001F62DC" w:rsidRPr="00FB3274">
        <w:t>projektu</w:t>
      </w:r>
      <w:r w:rsidR="00986DFB">
        <w:t>.</w:t>
      </w:r>
      <w:r w:rsidR="001F62DC" w:rsidRPr="00FB3274">
        <w:t xml:space="preserve"> </w:t>
      </w:r>
      <w:r w:rsidR="00986DFB">
        <w:t>D</w:t>
      </w:r>
      <w:r w:rsidR="001F62DC" w:rsidRPr="00FB3274">
        <w:t>alší zjištěn</w:t>
      </w:r>
      <w:r w:rsidR="00986DFB">
        <w:t>é</w:t>
      </w:r>
      <w:r w:rsidR="001F62DC" w:rsidRPr="00FB3274">
        <w:t xml:space="preserve"> nedostatk</w:t>
      </w:r>
      <w:r w:rsidR="00986DFB">
        <w:t>y</w:t>
      </w:r>
      <w:r w:rsidR="006C3B7E">
        <w:t xml:space="preserve"> v použití prostředků podpory, zejména jejich použití</w:t>
      </w:r>
      <w:r w:rsidR="00F80267">
        <w:t xml:space="preserve"> v</w:t>
      </w:r>
      <w:r w:rsidR="008D38A8">
        <w:t xml:space="preserve"> </w:t>
      </w:r>
      <w:r w:rsidR="00F80267">
        <w:t>rozporu s</w:t>
      </w:r>
      <w:r w:rsidR="008D38A8">
        <w:t xml:space="preserve"> </w:t>
      </w:r>
      <w:r w:rsidR="00F80267">
        <w:t>právními předpisy</w:t>
      </w:r>
      <w:r w:rsidR="006C3B7E">
        <w:t>, byl</w:t>
      </w:r>
      <w:r w:rsidR="00986DFB">
        <w:t>y</w:t>
      </w:r>
      <w:r w:rsidR="006C3B7E">
        <w:t xml:space="preserve"> </w:t>
      </w:r>
      <w:r w:rsidR="003E68C8">
        <w:t xml:space="preserve">také </w:t>
      </w:r>
      <w:r w:rsidR="006C3B7E">
        <w:t>významn</w:t>
      </w:r>
      <w:r w:rsidR="00986DFB">
        <w:t>é</w:t>
      </w:r>
      <w:r w:rsidR="006C3B7E">
        <w:t>.</w:t>
      </w:r>
      <w:r w:rsidR="005441AB" w:rsidRPr="00FB3274">
        <w:t xml:space="preserve"> </w:t>
      </w:r>
      <w:r w:rsidR="005441AB" w:rsidRPr="006C3B7E">
        <w:rPr>
          <w:b/>
        </w:rPr>
        <w:t xml:space="preserve">Příklad č. </w:t>
      </w:r>
      <w:r w:rsidR="0046663C" w:rsidRPr="006C3B7E">
        <w:rPr>
          <w:b/>
        </w:rPr>
        <w:t>2</w:t>
      </w:r>
      <w:r w:rsidR="005441AB" w:rsidRPr="00FB3274">
        <w:t xml:space="preserve"> je zároveň příkladem dopadu </w:t>
      </w:r>
      <w:r w:rsidR="00124F9B">
        <w:t>ne</w:t>
      </w:r>
      <w:r w:rsidR="006322E5">
        <w:t>o</w:t>
      </w:r>
      <w:r w:rsidR="00124F9B">
        <w:t>důvodn</w:t>
      </w:r>
      <w:r w:rsidR="007B04CD">
        <w:t>ěn</w:t>
      </w:r>
      <w:r w:rsidR="00124F9B">
        <w:t xml:space="preserve">é potřeby </w:t>
      </w:r>
      <w:r w:rsidR="005441AB" w:rsidRPr="00FB3274">
        <w:t xml:space="preserve">pořízení </w:t>
      </w:r>
      <w:r w:rsidR="00124F9B">
        <w:t xml:space="preserve">části </w:t>
      </w:r>
      <w:r w:rsidR="005441AB" w:rsidRPr="00FB3274">
        <w:t xml:space="preserve">vybavení </w:t>
      </w:r>
      <w:r w:rsidR="00124F9B">
        <w:t xml:space="preserve">(4 automobilů) </w:t>
      </w:r>
      <w:r w:rsidR="005441AB" w:rsidRPr="00FB3274">
        <w:t>u</w:t>
      </w:r>
      <w:r w:rsidR="009760A8">
        <w:t> </w:t>
      </w:r>
      <w:r w:rsidR="005441AB" w:rsidRPr="00FB3274">
        <w:t xml:space="preserve">projektu z výzvy č. 101 </w:t>
      </w:r>
      <w:r w:rsidR="005441AB" w:rsidRPr="00781D40">
        <w:rPr>
          <w:i/>
          <w:iCs/>
        </w:rPr>
        <w:t>REACT-EU</w:t>
      </w:r>
      <w:r w:rsidR="005441AB" w:rsidRPr="00FE6ED9">
        <w:t xml:space="preserve"> (viz </w:t>
      </w:r>
      <w:r w:rsidR="006C3B7E">
        <w:t xml:space="preserve">také </w:t>
      </w:r>
      <w:r w:rsidR="005441AB" w:rsidRPr="00FE6ED9">
        <w:t xml:space="preserve">odstavec </w:t>
      </w:r>
      <w:r w:rsidR="00177626" w:rsidRPr="00FE6ED9">
        <w:t>4.</w:t>
      </w:r>
      <w:r w:rsidR="00FB3274" w:rsidRPr="00FE6ED9">
        <w:t>1</w:t>
      </w:r>
      <w:r w:rsidR="00DA3F9D" w:rsidRPr="00FE6ED9">
        <w:t>4</w:t>
      </w:r>
      <w:r w:rsidR="00177626" w:rsidRPr="00FE6ED9">
        <w:t>).</w:t>
      </w:r>
    </w:p>
    <w:p w14:paraId="286CC77D" w14:textId="77777777" w:rsidR="0001651C" w:rsidRPr="000D0F43" w:rsidRDefault="0001651C" w:rsidP="00781D40">
      <w:pPr>
        <w:pStyle w:val="Nadpispklad"/>
        <w:spacing w:after="60"/>
        <w:ind w:left="1247" w:hanging="1247"/>
        <w:rPr>
          <w:i/>
        </w:rPr>
      </w:pPr>
      <w:bookmarkStart w:id="41" w:name="_Hlk192059145"/>
      <w:r w:rsidRPr="000D0F43">
        <w:rPr>
          <w:i/>
        </w:rPr>
        <w:t xml:space="preserve">Příklad </w:t>
      </w:r>
      <w:r w:rsidRPr="00996C8B">
        <w:rPr>
          <w:i/>
        </w:rPr>
        <w:t xml:space="preserve">č. </w:t>
      </w:r>
      <w:r w:rsidR="006C6072" w:rsidRPr="00996C8B">
        <w:rPr>
          <w:i/>
        </w:rPr>
        <w:t>2</w:t>
      </w:r>
      <w:r w:rsidRPr="00996C8B">
        <w:rPr>
          <w:i/>
        </w:rPr>
        <w:t>:</w:t>
      </w:r>
      <w:r w:rsidRPr="00996C8B">
        <w:rPr>
          <w:i/>
        </w:rPr>
        <w:tab/>
      </w:r>
      <w:r>
        <w:rPr>
          <w:i/>
        </w:rPr>
        <w:t>P</w:t>
      </w:r>
      <w:r w:rsidR="000C0C4B">
        <w:rPr>
          <w:i/>
        </w:rPr>
        <w:t>říjemce p</w:t>
      </w:r>
      <w:r>
        <w:rPr>
          <w:i/>
        </w:rPr>
        <w:t>oří</w:t>
      </w:r>
      <w:r w:rsidR="000C0C4B">
        <w:rPr>
          <w:i/>
        </w:rPr>
        <w:t xml:space="preserve">dil </w:t>
      </w:r>
      <w:r>
        <w:rPr>
          <w:i/>
        </w:rPr>
        <w:t>nepotřebn</w:t>
      </w:r>
      <w:r w:rsidR="00874842">
        <w:rPr>
          <w:i/>
        </w:rPr>
        <w:t>á</w:t>
      </w:r>
      <w:r w:rsidR="000C0C4B">
        <w:rPr>
          <w:i/>
        </w:rPr>
        <w:t xml:space="preserve"> </w:t>
      </w:r>
      <w:r w:rsidR="00874842">
        <w:rPr>
          <w:i/>
        </w:rPr>
        <w:t>vozidla</w:t>
      </w:r>
      <w:r>
        <w:rPr>
          <w:i/>
        </w:rPr>
        <w:t>, kter</w:t>
      </w:r>
      <w:r w:rsidR="00B25E42">
        <w:rPr>
          <w:i/>
        </w:rPr>
        <w:t>á</w:t>
      </w:r>
      <w:r>
        <w:rPr>
          <w:i/>
        </w:rPr>
        <w:t xml:space="preserve"> </w:t>
      </w:r>
      <w:r w:rsidR="00566771">
        <w:rPr>
          <w:i/>
        </w:rPr>
        <w:t>používal</w:t>
      </w:r>
      <w:r w:rsidR="003F57E0">
        <w:rPr>
          <w:i/>
        </w:rPr>
        <w:t xml:space="preserve"> </w:t>
      </w:r>
      <w:r w:rsidR="00566771">
        <w:rPr>
          <w:i/>
        </w:rPr>
        <w:t>pro plnění sociálních služeb</w:t>
      </w:r>
      <w:r>
        <w:rPr>
          <w:i/>
        </w:rPr>
        <w:t xml:space="preserve"> </w:t>
      </w:r>
      <w:r w:rsidR="00566771">
        <w:rPr>
          <w:i/>
        </w:rPr>
        <w:t xml:space="preserve">jen minimálně </w:t>
      </w:r>
    </w:p>
    <w:p w14:paraId="702DD575" w14:textId="03E331AE" w:rsidR="0001651C" w:rsidRPr="00781D40" w:rsidRDefault="000059B2" w:rsidP="00A5496F">
      <w:pPr>
        <w:pStyle w:val="Pkladyvrmeku"/>
        <w:keepNext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pacing w:after="120" w:line="240" w:lineRule="auto"/>
        <w:rPr>
          <w:i w:val="0"/>
          <w:sz w:val="22"/>
          <w:szCs w:val="22"/>
        </w:rPr>
      </w:pPr>
      <w:r w:rsidRPr="000059B2">
        <w:rPr>
          <w:sz w:val="22"/>
          <w:szCs w:val="22"/>
        </w:rPr>
        <w:t>V projektu *17357</w:t>
      </w:r>
      <w:r w:rsidR="00B31A86">
        <w:rPr>
          <w:sz w:val="22"/>
          <w:szCs w:val="22"/>
        </w:rPr>
        <w:t xml:space="preserve"> zaměřeném na rozvoj sociálních služeb</w:t>
      </w:r>
      <w:r w:rsidRPr="000059B2">
        <w:rPr>
          <w:sz w:val="22"/>
          <w:szCs w:val="22"/>
        </w:rPr>
        <w:t xml:space="preserve"> jsou některé automobily pořízené z dotace v rámci projektu využívány k poskytování sociálních služeb zcela minimálně. NKÚ provedl na základě</w:t>
      </w:r>
      <w:r w:rsidR="008F017E">
        <w:rPr>
          <w:sz w:val="22"/>
          <w:szCs w:val="22"/>
        </w:rPr>
        <w:t xml:space="preserve"> dokumentace předložené</w:t>
      </w:r>
      <w:r w:rsidRPr="000059B2">
        <w:rPr>
          <w:sz w:val="22"/>
          <w:szCs w:val="22"/>
        </w:rPr>
        <w:t xml:space="preserve"> příjemcem přepočet denního nájezdu každého vozidla a přepočet frekvence jeho využívání v závislosti na provozní době sociální služby, pro kterou byly automobily pořízeny, a</w:t>
      </w:r>
      <w:r w:rsidR="0094181F">
        <w:rPr>
          <w:sz w:val="22"/>
          <w:szCs w:val="22"/>
        </w:rPr>
        <w:t> </w:t>
      </w:r>
      <w:r w:rsidRPr="000059B2">
        <w:rPr>
          <w:sz w:val="22"/>
          <w:szCs w:val="22"/>
        </w:rPr>
        <w:t>posoudil tyto skutečnosti i ve vztahu k pořízení jiných vozidel z dotace a mí</w:t>
      </w:r>
      <w:r w:rsidR="003E68C8">
        <w:rPr>
          <w:sz w:val="22"/>
          <w:szCs w:val="22"/>
        </w:rPr>
        <w:t>ře</w:t>
      </w:r>
      <w:r w:rsidRPr="000059B2">
        <w:rPr>
          <w:sz w:val="22"/>
          <w:szCs w:val="22"/>
        </w:rPr>
        <w:t xml:space="preserve"> </w:t>
      </w:r>
      <w:r w:rsidR="000D296E">
        <w:rPr>
          <w:sz w:val="22"/>
          <w:szCs w:val="22"/>
        </w:rPr>
        <w:t xml:space="preserve">jejich </w:t>
      </w:r>
      <w:r w:rsidRPr="000059B2">
        <w:rPr>
          <w:sz w:val="22"/>
          <w:szCs w:val="22"/>
        </w:rPr>
        <w:t xml:space="preserve">využití. </w:t>
      </w:r>
      <w:r w:rsidR="00556CAB">
        <w:rPr>
          <w:sz w:val="22"/>
          <w:szCs w:val="22"/>
        </w:rPr>
        <w:t>NKÚ zjisti</w:t>
      </w:r>
      <w:r w:rsidR="004D570B">
        <w:rPr>
          <w:sz w:val="22"/>
          <w:szCs w:val="22"/>
        </w:rPr>
        <w:t>l, že pořízené automobily nejsou využívány</w:t>
      </w:r>
      <w:r w:rsidR="00EF6F9F">
        <w:rPr>
          <w:sz w:val="22"/>
          <w:szCs w:val="22"/>
        </w:rPr>
        <w:t xml:space="preserve"> dostatečně</w:t>
      </w:r>
      <w:r w:rsidR="004D570B">
        <w:rPr>
          <w:sz w:val="22"/>
          <w:szCs w:val="22"/>
        </w:rPr>
        <w:t xml:space="preserve">, u </w:t>
      </w:r>
      <w:r w:rsidR="00387C6A">
        <w:rPr>
          <w:sz w:val="22"/>
          <w:szCs w:val="22"/>
        </w:rPr>
        <w:t xml:space="preserve">čtyř </w:t>
      </w:r>
      <w:r w:rsidR="00556CAB">
        <w:rPr>
          <w:sz w:val="22"/>
          <w:szCs w:val="22"/>
        </w:rPr>
        <w:t>z</w:t>
      </w:r>
      <w:r w:rsidR="00387C6A">
        <w:rPr>
          <w:sz w:val="22"/>
          <w:szCs w:val="22"/>
        </w:rPr>
        <w:t xml:space="preserve"> dvaceti sedmi </w:t>
      </w:r>
      <w:r w:rsidR="00556CAB">
        <w:rPr>
          <w:sz w:val="22"/>
          <w:szCs w:val="22"/>
        </w:rPr>
        <w:t>pořízených automobilů</w:t>
      </w:r>
      <w:r w:rsidR="004D570B">
        <w:rPr>
          <w:sz w:val="22"/>
          <w:szCs w:val="22"/>
        </w:rPr>
        <w:t xml:space="preserve"> bylo jejich využíván</w:t>
      </w:r>
      <w:r w:rsidR="009B0BD5">
        <w:rPr>
          <w:sz w:val="22"/>
          <w:szCs w:val="22"/>
        </w:rPr>
        <w:t>í</w:t>
      </w:r>
      <w:r w:rsidR="004D570B">
        <w:rPr>
          <w:sz w:val="22"/>
          <w:szCs w:val="22"/>
        </w:rPr>
        <w:t xml:space="preserve"> zcela minimální.</w:t>
      </w:r>
      <w:r w:rsidR="00556CAB">
        <w:rPr>
          <w:sz w:val="22"/>
          <w:szCs w:val="22"/>
        </w:rPr>
        <w:t xml:space="preserve"> </w:t>
      </w:r>
      <w:r w:rsidRPr="000059B2">
        <w:rPr>
          <w:sz w:val="22"/>
          <w:szCs w:val="22"/>
        </w:rPr>
        <w:t>NKÚ například zjistil, že pro pečovatelskou službu s okamžitou kapacitou 6 klientů bylo pořízeno 8 automobilů</w:t>
      </w:r>
      <w:r w:rsidR="00491DDD">
        <w:rPr>
          <w:sz w:val="22"/>
          <w:szCs w:val="22"/>
        </w:rPr>
        <w:t xml:space="preserve">, </w:t>
      </w:r>
      <w:r w:rsidR="00491DDD" w:rsidRPr="008F09EB">
        <w:rPr>
          <w:sz w:val="22"/>
          <w:szCs w:val="22"/>
        </w:rPr>
        <w:t>z nichž jeden byl využíván pouze dvakrát za týden</w:t>
      </w:r>
      <w:r w:rsidRPr="000059B2">
        <w:rPr>
          <w:sz w:val="22"/>
          <w:szCs w:val="22"/>
        </w:rPr>
        <w:t xml:space="preserve">. Pro další dvě pečovatelské služby byly pořízeny automobily, z nichž </w:t>
      </w:r>
      <w:r w:rsidRPr="008F09EB">
        <w:rPr>
          <w:sz w:val="22"/>
          <w:szCs w:val="22"/>
        </w:rPr>
        <w:t>jeden byl využíván jen</w:t>
      </w:r>
      <w:r w:rsidRPr="00CE379E">
        <w:rPr>
          <w:sz w:val="22"/>
          <w:szCs w:val="22"/>
          <w:u w:val="single"/>
        </w:rPr>
        <w:t xml:space="preserve"> </w:t>
      </w:r>
      <w:r w:rsidRPr="008F09EB">
        <w:rPr>
          <w:sz w:val="22"/>
          <w:szCs w:val="22"/>
        </w:rPr>
        <w:t>třikrát za měsíc a druhý dokonce jen jednou měsíčně</w:t>
      </w:r>
      <w:r w:rsidRPr="000059B2">
        <w:rPr>
          <w:sz w:val="22"/>
          <w:szCs w:val="22"/>
        </w:rPr>
        <w:t xml:space="preserve">, přičemž při těchto jízdách najel v průměru necelé 3 km. Pro službu odborného sociálního poradenství </w:t>
      </w:r>
      <w:r w:rsidR="003E68C8" w:rsidRPr="000059B2">
        <w:rPr>
          <w:sz w:val="22"/>
          <w:szCs w:val="22"/>
        </w:rPr>
        <w:t xml:space="preserve">pořídil </w:t>
      </w:r>
      <w:r w:rsidRPr="000059B2">
        <w:rPr>
          <w:sz w:val="22"/>
          <w:szCs w:val="22"/>
        </w:rPr>
        <w:t xml:space="preserve">příjemce také automobil, ten </w:t>
      </w:r>
      <w:r w:rsidR="00901A2A">
        <w:rPr>
          <w:sz w:val="22"/>
          <w:szCs w:val="22"/>
        </w:rPr>
        <w:t xml:space="preserve">byl </w:t>
      </w:r>
      <w:r w:rsidRPr="000059B2">
        <w:rPr>
          <w:sz w:val="22"/>
          <w:szCs w:val="22"/>
        </w:rPr>
        <w:t xml:space="preserve">však rovněž </w:t>
      </w:r>
      <w:r w:rsidRPr="008F09EB">
        <w:rPr>
          <w:sz w:val="22"/>
          <w:szCs w:val="22"/>
        </w:rPr>
        <w:t xml:space="preserve">využíván sporadicky </w:t>
      </w:r>
      <w:r w:rsidR="003E68C8">
        <w:rPr>
          <w:sz w:val="22"/>
          <w:szCs w:val="22"/>
        </w:rPr>
        <w:t>–</w:t>
      </w:r>
      <w:r w:rsidRPr="008F09EB">
        <w:rPr>
          <w:sz w:val="22"/>
          <w:szCs w:val="22"/>
        </w:rPr>
        <w:t xml:space="preserve"> jedenkrát za čtyři týdny</w:t>
      </w:r>
      <w:r w:rsidRPr="000059B2">
        <w:rPr>
          <w:sz w:val="22"/>
          <w:szCs w:val="22"/>
        </w:rPr>
        <w:t>. Pořízení čtyř automobilů, které jsou pro účel sociální služby využívány jen minimálně, je nepotřebným, a tedy neúčelně vynaloženým výdajem peněžních prostředků z poskytnuté podpory. Tato skutečnost dle NKÚ nasvědčuje porušení rozpočtové kázně</w:t>
      </w:r>
      <w:r w:rsidR="00C87134">
        <w:rPr>
          <w:sz w:val="22"/>
          <w:szCs w:val="22"/>
        </w:rPr>
        <w:t xml:space="preserve">, a to </w:t>
      </w:r>
      <w:r w:rsidRPr="000059B2">
        <w:rPr>
          <w:sz w:val="22"/>
          <w:szCs w:val="22"/>
        </w:rPr>
        <w:t>až do výše 3 482 567 Kč. Celková výše schválených a proplacených veřejných prostředků</w:t>
      </w:r>
      <w:r w:rsidR="00027469">
        <w:rPr>
          <w:sz w:val="22"/>
          <w:szCs w:val="22"/>
        </w:rPr>
        <w:t xml:space="preserve"> dosáhla</w:t>
      </w:r>
      <w:r w:rsidR="00B320E4">
        <w:rPr>
          <w:sz w:val="22"/>
          <w:szCs w:val="22"/>
        </w:rPr>
        <w:t xml:space="preserve"> </w:t>
      </w:r>
      <w:r w:rsidRPr="000059B2">
        <w:rPr>
          <w:sz w:val="22"/>
          <w:szCs w:val="22"/>
        </w:rPr>
        <w:t>24 139 097</w:t>
      </w:r>
      <w:r w:rsidR="00B320E4">
        <w:rPr>
          <w:sz w:val="22"/>
          <w:szCs w:val="22"/>
        </w:rPr>
        <w:t> </w:t>
      </w:r>
      <w:r w:rsidRPr="000059B2">
        <w:rPr>
          <w:sz w:val="22"/>
          <w:szCs w:val="22"/>
        </w:rPr>
        <w:t>Kč</w:t>
      </w:r>
      <w:r w:rsidRPr="002A2B67">
        <w:rPr>
          <w:sz w:val="22"/>
          <w:szCs w:val="22"/>
        </w:rPr>
        <w:t>.</w:t>
      </w:r>
    </w:p>
    <w:p w14:paraId="2962DB8C" w14:textId="11872B60" w:rsidR="004018B7" w:rsidRPr="007175F8" w:rsidRDefault="008F017E" w:rsidP="004018B7">
      <w:pPr>
        <w:pStyle w:val="JK4"/>
        <w:ind w:left="0" w:firstLine="0"/>
      </w:pPr>
      <w:bookmarkStart w:id="42" w:name="_Hlk190269002"/>
      <w:bookmarkEnd w:id="40"/>
      <w:bookmarkEnd w:id="41"/>
      <w:r>
        <w:t>P</w:t>
      </w:r>
      <w:r w:rsidR="006937BE">
        <w:t xml:space="preserve">řípad zařízení pořízeného z dotace </w:t>
      </w:r>
      <w:r w:rsidR="003E68C8">
        <w:t>a využívaného k jiným než</w:t>
      </w:r>
      <w:r w:rsidR="006937BE">
        <w:t xml:space="preserve"> stanoveným účelům</w:t>
      </w:r>
      <w:r w:rsidR="003E68C8">
        <w:t>,</w:t>
      </w:r>
      <w:r w:rsidR="006937BE">
        <w:t xml:space="preserve"> </w:t>
      </w:r>
      <w:r w:rsidR="003E68C8">
        <w:t>resp.</w:t>
      </w:r>
      <w:r w:rsidR="00566771">
        <w:t xml:space="preserve"> v rozporu s pravidly IROP 1</w:t>
      </w:r>
      <w:r w:rsidR="003E68C8">
        <w:t>,</w:t>
      </w:r>
      <w:r w:rsidR="00566771">
        <w:t xml:space="preserve"> </w:t>
      </w:r>
      <w:r w:rsidR="006937BE">
        <w:t xml:space="preserve">uvádí </w:t>
      </w:r>
      <w:r w:rsidR="006937BE" w:rsidRPr="006C31AB">
        <w:rPr>
          <w:b/>
        </w:rPr>
        <w:t>příklad č. 3</w:t>
      </w:r>
      <w:r w:rsidR="006937BE">
        <w:t>.</w:t>
      </w:r>
    </w:p>
    <w:p w14:paraId="508D4F04" w14:textId="77777777" w:rsidR="001D082A" w:rsidRPr="000D0F43" w:rsidRDefault="001D082A" w:rsidP="00781D40">
      <w:pPr>
        <w:pStyle w:val="Nadpispklad"/>
        <w:spacing w:after="60"/>
        <w:ind w:left="1247" w:hanging="1247"/>
        <w:rPr>
          <w:i/>
        </w:rPr>
      </w:pPr>
      <w:r w:rsidRPr="000D0F43">
        <w:rPr>
          <w:i/>
        </w:rPr>
        <w:t xml:space="preserve">Příklad </w:t>
      </w:r>
      <w:r w:rsidRPr="00996C8B">
        <w:rPr>
          <w:i/>
        </w:rPr>
        <w:t xml:space="preserve">č. </w:t>
      </w:r>
      <w:r w:rsidR="006C6072" w:rsidRPr="00996C8B">
        <w:rPr>
          <w:i/>
        </w:rPr>
        <w:t>3</w:t>
      </w:r>
      <w:r w:rsidRPr="00996C8B">
        <w:rPr>
          <w:i/>
        </w:rPr>
        <w:t>:</w:t>
      </w:r>
      <w:r>
        <w:rPr>
          <w:i/>
        </w:rPr>
        <w:tab/>
        <w:t xml:space="preserve">Vybavení kuchyně pořízené z dotace využíval příjemce </w:t>
      </w:r>
      <w:r w:rsidR="00556CAB">
        <w:rPr>
          <w:i/>
        </w:rPr>
        <w:t xml:space="preserve">převážně </w:t>
      </w:r>
      <w:r>
        <w:rPr>
          <w:i/>
        </w:rPr>
        <w:t>ke</w:t>
      </w:r>
      <w:r w:rsidR="00556CAB">
        <w:rPr>
          <w:i/>
        </w:rPr>
        <w:t> </w:t>
      </w:r>
      <w:r>
        <w:rPr>
          <w:i/>
        </w:rPr>
        <w:t>komerčním účelům</w:t>
      </w:r>
    </w:p>
    <w:bookmarkEnd w:id="42"/>
    <w:p w14:paraId="581D3F64" w14:textId="77777777" w:rsidR="00874842" w:rsidRDefault="001D082A" w:rsidP="005634D4">
      <w:pPr>
        <w:pStyle w:val="Pkladyvrmeku"/>
        <w:keepNext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pacing w:after="120" w:line="24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U stejného projektu </w:t>
      </w:r>
      <w:r w:rsidR="004018B7">
        <w:rPr>
          <w:iCs/>
          <w:sz w:val="22"/>
          <w:szCs w:val="22"/>
        </w:rPr>
        <w:t>*</w:t>
      </w:r>
      <w:r w:rsidR="004018B7" w:rsidRPr="00674B25">
        <w:rPr>
          <w:iCs/>
          <w:sz w:val="22"/>
          <w:szCs w:val="22"/>
        </w:rPr>
        <w:t xml:space="preserve">17357 </w:t>
      </w:r>
      <w:r w:rsidR="004E64EC" w:rsidRPr="004E64EC">
        <w:rPr>
          <w:iCs/>
          <w:sz w:val="22"/>
          <w:szCs w:val="22"/>
        </w:rPr>
        <w:t xml:space="preserve">NKÚ </w:t>
      </w:r>
      <w:r w:rsidR="00A5496F">
        <w:rPr>
          <w:iCs/>
          <w:sz w:val="22"/>
          <w:szCs w:val="22"/>
        </w:rPr>
        <w:t xml:space="preserve">dále </w:t>
      </w:r>
      <w:r w:rsidR="00CF2F76" w:rsidRPr="004E64EC">
        <w:rPr>
          <w:iCs/>
          <w:sz w:val="22"/>
          <w:szCs w:val="22"/>
        </w:rPr>
        <w:t xml:space="preserve">zjistil, </w:t>
      </w:r>
      <w:r w:rsidRPr="004E64EC">
        <w:rPr>
          <w:iCs/>
          <w:sz w:val="22"/>
          <w:szCs w:val="22"/>
        </w:rPr>
        <w:t xml:space="preserve">že pořízené vybavení kuchyně (jeden z výstupů projektu) nebylo využíváno výhradně pro </w:t>
      </w:r>
      <w:r w:rsidRPr="000059B2">
        <w:rPr>
          <w:iCs/>
          <w:sz w:val="22"/>
          <w:szCs w:val="22"/>
        </w:rPr>
        <w:t xml:space="preserve">klienty podpořených sociálních služeb, nýbrž </w:t>
      </w:r>
      <w:r w:rsidRPr="008F09EB">
        <w:rPr>
          <w:iCs/>
          <w:sz w:val="22"/>
          <w:szCs w:val="22"/>
        </w:rPr>
        <w:t>sloužilo více než z</w:t>
      </w:r>
      <w:r w:rsidR="000D3D66" w:rsidRPr="008F09EB">
        <w:rPr>
          <w:iCs/>
          <w:sz w:val="22"/>
          <w:szCs w:val="22"/>
        </w:rPr>
        <w:t> </w:t>
      </w:r>
      <w:r w:rsidRPr="008F09EB">
        <w:rPr>
          <w:iCs/>
          <w:sz w:val="22"/>
          <w:szCs w:val="22"/>
        </w:rPr>
        <w:t xml:space="preserve">poloviny také </w:t>
      </w:r>
      <w:r w:rsidR="00B907ED">
        <w:rPr>
          <w:iCs/>
          <w:sz w:val="22"/>
          <w:szCs w:val="22"/>
        </w:rPr>
        <w:t xml:space="preserve">ke </w:t>
      </w:r>
      <w:r w:rsidRPr="008F09EB">
        <w:rPr>
          <w:iCs/>
          <w:sz w:val="22"/>
          <w:szCs w:val="22"/>
        </w:rPr>
        <w:t>komerčním účelům</w:t>
      </w:r>
      <w:r w:rsidRPr="000059B2">
        <w:rPr>
          <w:iCs/>
          <w:sz w:val="22"/>
          <w:szCs w:val="22"/>
        </w:rPr>
        <w:t xml:space="preserve">. </w:t>
      </w:r>
      <w:r w:rsidRPr="001D082A">
        <w:rPr>
          <w:iCs/>
          <w:sz w:val="22"/>
          <w:szCs w:val="22"/>
        </w:rPr>
        <w:t xml:space="preserve">Příjemce o této skutečnosti, jež je v rozporu s pravidly IROP 1, </w:t>
      </w:r>
      <w:r w:rsidR="00566771">
        <w:rPr>
          <w:iCs/>
          <w:sz w:val="22"/>
          <w:szCs w:val="22"/>
        </w:rPr>
        <w:t xml:space="preserve">navíc </w:t>
      </w:r>
      <w:r w:rsidRPr="001D082A">
        <w:rPr>
          <w:iCs/>
          <w:sz w:val="22"/>
          <w:szCs w:val="22"/>
        </w:rPr>
        <w:t>neinformoval MMR jako poskytovatele dotace. NKÚ na základě uvedeného zjištění konstatoval pochybení nasvědčující porušení rozpočtové kázně</w:t>
      </w:r>
      <w:r w:rsidR="00CF2F76">
        <w:rPr>
          <w:iCs/>
          <w:sz w:val="22"/>
          <w:szCs w:val="22"/>
        </w:rPr>
        <w:t xml:space="preserve"> až do výše </w:t>
      </w:r>
      <w:r w:rsidR="00247F29" w:rsidRPr="00247F29">
        <w:rPr>
          <w:iCs/>
          <w:sz w:val="22"/>
          <w:szCs w:val="22"/>
        </w:rPr>
        <w:t>722 184 Kč</w:t>
      </w:r>
      <w:r w:rsidR="00CF2F76">
        <w:rPr>
          <w:iCs/>
          <w:sz w:val="22"/>
          <w:szCs w:val="22"/>
        </w:rPr>
        <w:t xml:space="preserve">. </w:t>
      </w:r>
      <w:bookmarkStart w:id="43" w:name="_Hlk190324906"/>
    </w:p>
    <w:p w14:paraId="7515D197" w14:textId="77777777" w:rsidR="001D082A" w:rsidRPr="00781D40" w:rsidRDefault="001D082A" w:rsidP="005634D4">
      <w:pPr>
        <w:pStyle w:val="Pkladyvrmeku"/>
        <w:keepNext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pacing w:after="120" w:line="240" w:lineRule="auto"/>
        <w:rPr>
          <w:sz w:val="22"/>
          <w:szCs w:val="22"/>
        </w:rPr>
      </w:pPr>
      <w:r w:rsidRPr="001D082A">
        <w:rPr>
          <w:iCs/>
          <w:sz w:val="22"/>
          <w:szCs w:val="22"/>
        </w:rPr>
        <w:t xml:space="preserve">NKÚ </w:t>
      </w:r>
      <w:r w:rsidR="00874842">
        <w:rPr>
          <w:iCs/>
          <w:sz w:val="22"/>
          <w:szCs w:val="22"/>
        </w:rPr>
        <w:t xml:space="preserve">celkově </w:t>
      </w:r>
      <w:r w:rsidRPr="001D082A">
        <w:rPr>
          <w:iCs/>
          <w:sz w:val="22"/>
          <w:szCs w:val="22"/>
        </w:rPr>
        <w:t xml:space="preserve">vyhodnotil </w:t>
      </w:r>
      <w:r w:rsidR="001A7C23">
        <w:rPr>
          <w:iCs/>
          <w:sz w:val="22"/>
          <w:szCs w:val="22"/>
        </w:rPr>
        <w:t xml:space="preserve">prostředky </w:t>
      </w:r>
      <w:r w:rsidRPr="001D082A">
        <w:rPr>
          <w:iCs/>
          <w:sz w:val="22"/>
          <w:szCs w:val="22"/>
        </w:rPr>
        <w:t>vynaložen</w:t>
      </w:r>
      <w:r w:rsidR="00934B49">
        <w:rPr>
          <w:iCs/>
          <w:sz w:val="22"/>
          <w:szCs w:val="22"/>
        </w:rPr>
        <w:t>é</w:t>
      </w:r>
      <w:r w:rsidRPr="001D082A">
        <w:rPr>
          <w:iCs/>
          <w:sz w:val="22"/>
          <w:szCs w:val="22"/>
        </w:rPr>
        <w:t xml:space="preserve"> na</w:t>
      </w:r>
      <w:r w:rsidR="00D13804">
        <w:rPr>
          <w:iCs/>
          <w:sz w:val="22"/>
          <w:szCs w:val="22"/>
        </w:rPr>
        <w:t xml:space="preserve"> </w:t>
      </w:r>
      <w:r w:rsidRPr="001D082A">
        <w:rPr>
          <w:iCs/>
          <w:sz w:val="22"/>
          <w:szCs w:val="22"/>
        </w:rPr>
        <w:t xml:space="preserve">projekt </w:t>
      </w:r>
      <w:r w:rsidR="00D13804">
        <w:rPr>
          <w:iCs/>
          <w:sz w:val="22"/>
          <w:szCs w:val="22"/>
        </w:rPr>
        <w:t>*</w:t>
      </w:r>
      <w:r w:rsidR="00D13804" w:rsidRPr="00674B25">
        <w:rPr>
          <w:iCs/>
          <w:sz w:val="22"/>
          <w:szCs w:val="22"/>
        </w:rPr>
        <w:t>17357</w:t>
      </w:r>
      <w:r w:rsidR="00D13804">
        <w:rPr>
          <w:iCs/>
          <w:sz w:val="22"/>
          <w:szCs w:val="22"/>
        </w:rPr>
        <w:t xml:space="preserve"> </w:t>
      </w:r>
      <w:r w:rsidRPr="001D082A">
        <w:rPr>
          <w:iCs/>
          <w:sz w:val="22"/>
          <w:szCs w:val="22"/>
        </w:rPr>
        <w:t>jako účelné j</w:t>
      </w:r>
      <w:r w:rsidR="00CF2F76">
        <w:rPr>
          <w:iCs/>
          <w:sz w:val="22"/>
          <w:szCs w:val="22"/>
        </w:rPr>
        <w:t>en omezeně</w:t>
      </w:r>
      <w:r w:rsidR="002577FC">
        <w:rPr>
          <w:iCs/>
          <w:sz w:val="22"/>
          <w:szCs w:val="22"/>
        </w:rPr>
        <w:t>, přičemž s</w:t>
      </w:r>
      <w:r w:rsidR="00D13804">
        <w:rPr>
          <w:iCs/>
          <w:sz w:val="22"/>
          <w:szCs w:val="22"/>
        </w:rPr>
        <w:t>nížení hodnocení účelnosti dle bodové škály negativně ovlivnily oba zjištěné nedostatky uvedené v příklad</w:t>
      </w:r>
      <w:r w:rsidR="00566771">
        <w:rPr>
          <w:iCs/>
          <w:sz w:val="22"/>
          <w:szCs w:val="22"/>
        </w:rPr>
        <w:t>ech</w:t>
      </w:r>
      <w:r w:rsidR="00D13804">
        <w:rPr>
          <w:iCs/>
          <w:sz w:val="22"/>
          <w:szCs w:val="22"/>
        </w:rPr>
        <w:t xml:space="preserve"> č. 2 </w:t>
      </w:r>
      <w:r w:rsidR="00566771">
        <w:rPr>
          <w:iCs/>
          <w:sz w:val="22"/>
          <w:szCs w:val="22"/>
        </w:rPr>
        <w:t xml:space="preserve">a </w:t>
      </w:r>
      <w:r w:rsidR="00D13804">
        <w:rPr>
          <w:iCs/>
          <w:sz w:val="22"/>
          <w:szCs w:val="22"/>
        </w:rPr>
        <w:t>č. 3</w:t>
      </w:r>
      <w:r w:rsidR="00D13804" w:rsidRPr="002A2B67">
        <w:rPr>
          <w:iCs/>
          <w:sz w:val="22"/>
          <w:szCs w:val="22"/>
        </w:rPr>
        <w:t xml:space="preserve">. </w:t>
      </w:r>
    </w:p>
    <w:bookmarkEnd w:id="43"/>
    <w:p w14:paraId="61168E22" w14:textId="1CD3008C" w:rsidR="00B907ED" w:rsidRDefault="00A5496F" w:rsidP="00B907ED">
      <w:pPr>
        <w:pStyle w:val="JK4"/>
        <w:ind w:left="0" w:firstLine="0"/>
      </w:pPr>
      <w:r w:rsidRPr="002B2858">
        <w:t>Dalším příkladem, kdy NKÚ snížil hodnocení</w:t>
      </w:r>
      <w:r w:rsidR="002B2858" w:rsidRPr="002B2858">
        <w:t xml:space="preserve"> účelnosti vynaložených </w:t>
      </w:r>
      <w:r w:rsidR="008F017E">
        <w:t xml:space="preserve">peněžních </w:t>
      </w:r>
      <w:r w:rsidR="002B2858" w:rsidRPr="002B2858">
        <w:t xml:space="preserve">prostředků, je projekt, kde </w:t>
      </w:r>
      <w:r w:rsidRPr="002B2858">
        <w:t>příjemce</w:t>
      </w:r>
      <w:r w:rsidR="002B2858" w:rsidRPr="002B2858">
        <w:t xml:space="preserve"> ve </w:t>
      </w:r>
      <w:r w:rsidRPr="002B2858">
        <w:t>významn</w:t>
      </w:r>
      <w:r w:rsidR="002B2858" w:rsidRPr="002B2858">
        <w:t xml:space="preserve">é míře </w:t>
      </w:r>
      <w:r w:rsidRPr="002B2858">
        <w:t>nedosáhl plánovaných přínosů pro</w:t>
      </w:r>
      <w:r w:rsidR="00375112">
        <w:t xml:space="preserve"> </w:t>
      </w:r>
      <w:r w:rsidRPr="002B2858">
        <w:t>cílovou skupinu</w:t>
      </w:r>
      <w:r w:rsidR="006937BE">
        <w:t xml:space="preserve"> (viz </w:t>
      </w:r>
      <w:r w:rsidR="006937BE" w:rsidRPr="006C31AB">
        <w:rPr>
          <w:b/>
        </w:rPr>
        <w:t>příklad č. 4</w:t>
      </w:r>
      <w:r w:rsidR="006937BE">
        <w:t>)</w:t>
      </w:r>
      <w:r w:rsidRPr="002B2858">
        <w:t xml:space="preserve">. </w:t>
      </w:r>
    </w:p>
    <w:p w14:paraId="13066C87" w14:textId="77777777" w:rsidR="004D5C26" w:rsidRDefault="004D5C26" w:rsidP="004D5C26">
      <w:pPr>
        <w:pStyle w:val="JK4"/>
        <w:numPr>
          <w:ilvl w:val="0"/>
          <w:numId w:val="0"/>
        </w:numPr>
        <w:tabs>
          <w:tab w:val="clear" w:pos="482"/>
        </w:tabs>
        <w:spacing w:before="0" w:after="0"/>
        <w:ind w:left="284" w:hanging="284"/>
        <w:rPr>
          <w:sz w:val="22"/>
        </w:rPr>
      </w:pPr>
    </w:p>
    <w:p w14:paraId="1E28DFD9" w14:textId="77777777" w:rsidR="004D5C26" w:rsidRDefault="004D5C26" w:rsidP="004D5C26">
      <w:pPr>
        <w:pStyle w:val="JK4"/>
        <w:numPr>
          <w:ilvl w:val="0"/>
          <w:numId w:val="0"/>
        </w:numPr>
        <w:tabs>
          <w:tab w:val="clear" w:pos="482"/>
          <w:tab w:val="left" w:pos="2835"/>
        </w:tabs>
        <w:spacing w:before="0" w:after="0"/>
        <w:ind w:left="284" w:hanging="284"/>
        <w:rPr>
          <w:sz w:val="22"/>
        </w:rPr>
      </w:pPr>
    </w:p>
    <w:p w14:paraId="70336D78" w14:textId="77777777" w:rsidR="004D5C26" w:rsidRDefault="004D5C26" w:rsidP="004D5C26">
      <w:pPr>
        <w:pStyle w:val="JK4"/>
        <w:numPr>
          <w:ilvl w:val="0"/>
          <w:numId w:val="0"/>
        </w:numPr>
        <w:tabs>
          <w:tab w:val="clear" w:pos="482"/>
        </w:tabs>
        <w:spacing w:before="0" w:after="0"/>
        <w:ind w:left="284" w:hanging="284"/>
        <w:rPr>
          <w:sz w:val="22"/>
        </w:rPr>
      </w:pPr>
    </w:p>
    <w:p w14:paraId="1A13AFC3" w14:textId="004A9A4B" w:rsidR="004D5C26" w:rsidRDefault="004D5C26" w:rsidP="004D5C26">
      <w:pPr>
        <w:pStyle w:val="JK4"/>
        <w:numPr>
          <w:ilvl w:val="0"/>
          <w:numId w:val="0"/>
        </w:numPr>
        <w:tabs>
          <w:tab w:val="clear" w:pos="482"/>
        </w:tabs>
        <w:spacing w:before="0" w:after="0"/>
        <w:ind w:left="284" w:hanging="284"/>
        <w:rPr>
          <w:sz w:val="22"/>
        </w:rPr>
      </w:pPr>
    </w:p>
    <w:p w14:paraId="490DE98A" w14:textId="280E5A9C" w:rsidR="004D5C26" w:rsidRDefault="004D5C26" w:rsidP="00BA3C98">
      <w:pPr>
        <w:pStyle w:val="JK4"/>
        <w:numPr>
          <w:ilvl w:val="0"/>
          <w:numId w:val="0"/>
        </w:numPr>
        <w:tabs>
          <w:tab w:val="clear" w:pos="482"/>
        </w:tabs>
        <w:spacing w:before="0" w:after="0"/>
        <w:ind w:left="284" w:hanging="284"/>
        <w:rPr>
          <w:sz w:val="22"/>
        </w:rPr>
      </w:pPr>
    </w:p>
    <w:p w14:paraId="49B6E791" w14:textId="77777777" w:rsidR="00002AAF" w:rsidRDefault="00002AAF" w:rsidP="00002AAF">
      <w:pPr>
        <w:pStyle w:val="JK4"/>
        <w:numPr>
          <w:ilvl w:val="0"/>
          <w:numId w:val="0"/>
        </w:numPr>
        <w:tabs>
          <w:tab w:val="clear" w:pos="482"/>
        </w:tabs>
        <w:spacing w:before="0" w:after="480"/>
        <w:ind w:left="284" w:hanging="284"/>
        <w:rPr>
          <w:sz w:val="22"/>
        </w:rPr>
      </w:pPr>
    </w:p>
    <w:p w14:paraId="395786FE" w14:textId="32CAC5AD" w:rsidR="00B907ED" w:rsidRPr="002B2858" w:rsidRDefault="004D5C26" w:rsidP="00BA3C98">
      <w:pPr>
        <w:pStyle w:val="JK4"/>
        <w:numPr>
          <w:ilvl w:val="0"/>
          <w:numId w:val="0"/>
        </w:numPr>
        <w:tabs>
          <w:tab w:val="clear" w:pos="482"/>
        </w:tabs>
        <w:spacing w:before="800" w:after="0"/>
        <w:ind w:left="284" w:hanging="284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79923B" wp14:editId="564F59E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183600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F5514" id="Přímá spojnice 4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95pt" to="14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" strokecolor="black [3040]"/>
            </w:pict>
          </mc:Fallback>
        </mc:AlternateContent>
      </w:r>
      <w:r w:rsidR="004516E7" w:rsidRPr="00781D40">
        <w:rPr>
          <w:sz w:val="22"/>
        </w:rPr>
        <w:t>*</w:t>
      </w:r>
      <w:r w:rsidR="004516E7">
        <w:t xml:space="preserve"> </w:t>
      </w:r>
      <w:r w:rsidR="004516E7">
        <w:tab/>
      </w:r>
      <w:r w:rsidR="004516E7" w:rsidRPr="00781D40">
        <w:rPr>
          <w:sz w:val="20"/>
          <w:szCs w:val="20"/>
        </w:rPr>
        <w:t xml:space="preserve">Hvězdička u čísla projektu signalizuje, že číslo bylo zkráceno; celé registrační číslo </w:t>
      </w:r>
      <w:r w:rsidR="004516E7">
        <w:rPr>
          <w:sz w:val="20"/>
          <w:szCs w:val="20"/>
        </w:rPr>
        <w:t xml:space="preserve">projektu </w:t>
      </w:r>
      <w:r w:rsidR="004516E7" w:rsidRPr="00781D40">
        <w:rPr>
          <w:sz w:val="20"/>
          <w:szCs w:val="20"/>
        </w:rPr>
        <w:t>uvádí příloha č.</w:t>
      </w:r>
      <w:r w:rsidR="004516E7">
        <w:rPr>
          <w:sz w:val="20"/>
          <w:szCs w:val="20"/>
        </w:rPr>
        <w:t> </w:t>
      </w:r>
      <w:r w:rsidR="004516E7" w:rsidRPr="00781D40">
        <w:rPr>
          <w:sz w:val="20"/>
          <w:szCs w:val="20"/>
        </w:rPr>
        <w:t>1</w:t>
      </w:r>
      <w:r w:rsidR="004516E7">
        <w:rPr>
          <w:sz w:val="20"/>
          <w:szCs w:val="20"/>
        </w:rPr>
        <w:t> </w:t>
      </w:r>
      <w:r w:rsidR="004516E7" w:rsidRPr="00781D40">
        <w:rPr>
          <w:sz w:val="20"/>
          <w:szCs w:val="20"/>
        </w:rPr>
        <w:t>tohoto kontrolního závěru</w:t>
      </w:r>
      <w:r w:rsidR="004516E7">
        <w:t>.</w:t>
      </w:r>
    </w:p>
    <w:p w14:paraId="6DE2938A" w14:textId="4CB74A9D" w:rsidR="001D082A" w:rsidRPr="000D0F43" w:rsidRDefault="001D082A" w:rsidP="00C611A1">
      <w:pPr>
        <w:pStyle w:val="Nadpispklad"/>
        <w:spacing w:after="60"/>
        <w:rPr>
          <w:i/>
        </w:rPr>
      </w:pPr>
      <w:r w:rsidRPr="000D0F43">
        <w:rPr>
          <w:i/>
        </w:rPr>
        <w:t xml:space="preserve">Příklad </w:t>
      </w:r>
      <w:r w:rsidRPr="00996C8B">
        <w:rPr>
          <w:i/>
        </w:rPr>
        <w:t xml:space="preserve">č. </w:t>
      </w:r>
      <w:r w:rsidR="006C6072" w:rsidRPr="00996C8B">
        <w:rPr>
          <w:i/>
        </w:rPr>
        <w:t>4</w:t>
      </w:r>
      <w:r w:rsidRPr="00996C8B">
        <w:rPr>
          <w:i/>
        </w:rPr>
        <w:t>:</w:t>
      </w:r>
      <w:r w:rsidR="00F72787">
        <w:rPr>
          <w:i/>
        </w:rPr>
        <w:t xml:space="preserve"> </w:t>
      </w:r>
      <w:r w:rsidR="003F57E0">
        <w:rPr>
          <w:i/>
        </w:rPr>
        <w:t xml:space="preserve">Příjemce nedosáhl </w:t>
      </w:r>
      <w:r w:rsidR="00EE0A19">
        <w:rPr>
          <w:i/>
        </w:rPr>
        <w:t>plánovaných přínosů podpory pro cílovou skupinu</w:t>
      </w:r>
    </w:p>
    <w:p w14:paraId="28430A19" w14:textId="3D9272E0" w:rsidR="00B05FAF" w:rsidRPr="00010388" w:rsidRDefault="004A748A" w:rsidP="00D13804">
      <w:pPr>
        <w:pStyle w:val="Pkladyvrmeku"/>
        <w:spacing w:after="120" w:line="240" w:lineRule="auto"/>
        <w:rPr>
          <w:iCs/>
          <w:sz w:val="22"/>
          <w:szCs w:val="22"/>
        </w:rPr>
      </w:pPr>
      <w:bookmarkStart w:id="44" w:name="_Hlk190412174"/>
      <w:r>
        <w:rPr>
          <w:iCs/>
          <w:sz w:val="22"/>
          <w:szCs w:val="22"/>
        </w:rPr>
        <w:t>NKÚ zjistil, že p</w:t>
      </w:r>
      <w:r w:rsidR="00EF27A7">
        <w:rPr>
          <w:iCs/>
          <w:sz w:val="22"/>
          <w:szCs w:val="22"/>
        </w:rPr>
        <w:t xml:space="preserve">říjemce, který realizoval </w:t>
      </w:r>
      <w:r w:rsidR="0001651C" w:rsidRPr="00AB4B1C">
        <w:rPr>
          <w:iCs/>
          <w:sz w:val="22"/>
          <w:szCs w:val="22"/>
        </w:rPr>
        <w:t>projekt</w:t>
      </w:r>
      <w:r w:rsidR="0001651C">
        <w:rPr>
          <w:iCs/>
          <w:sz w:val="22"/>
          <w:szCs w:val="22"/>
        </w:rPr>
        <w:t xml:space="preserve"> </w:t>
      </w:r>
      <w:r w:rsidR="0076214E">
        <w:rPr>
          <w:iCs/>
          <w:sz w:val="22"/>
          <w:szCs w:val="22"/>
        </w:rPr>
        <w:t>*</w:t>
      </w:r>
      <w:r w:rsidR="0001651C" w:rsidRPr="00C203B6">
        <w:rPr>
          <w:iCs/>
          <w:sz w:val="22"/>
          <w:szCs w:val="22"/>
        </w:rPr>
        <w:t xml:space="preserve">02338 </w:t>
      </w:r>
      <w:r w:rsidR="00B31A86">
        <w:rPr>
          <w:iCs/>
          <w:sz w:val="22"/>
          <w:szCs w:val="22"/>
        </w:rPr>
        <w:t>zaměřený na zkvalitnění zázemí</w:t>
      </w:r>
      <w:r>
        <w:rPr>
          <w:iCs/>
          <w:sz w:val="22"/>
          <w:szCs w:val="22"/>
        </w:rPr>
        <w:t>,</w:t>
      </w:r>
      <w:r w:rsidR="00480F0D">
        <w:rPr>
          <w:iCs/>
          <w:sz w:val="22"/>
          <w:szCs w:val="22"/>
        </w:rPr>
        <w:t xml:space="preserve"> významně </w:t>
      </w:r>
      <w:r w:rsidR="00ED3094">
        <w:rPr>
          <w:iCs/>
          <w:sz w:val="22"/>
          <w:szCs w:val="22"/>
        </w:rPr>
        <w:t>nedosáhl</w:t>
      </w:r>
      <w:r w:rsidR="0001651C" w:rsidRPr="00C203B6">
        <w:rPr>
          <w:iCs/>
          <w:sz w:val="22"/>
          <w:szCs w:val="22"/>
        </w:rPr>
        <w:t xml:space="preserve"> plánovaných přínosů projektu směrem ke klientům </w:t>
      </w:r>
      <w:r w:rsidR="00ED3094">
        <w:rPr>
          <w:iCs/>
          <w:sz w:val="22"/>
          <w:szCs w:val="22"/>
        </w:rPr>
        <w:t xml:space="preserve">a </w:t>
      </w:r>
      <w:r w:rsidR="0002002D">
        <w:rPr>
          <w:iCs/>
          <w:sz w:val="22"/>
          <w:szCs w:val="22"/>
        </w:rPr>
        <w:t xml:space="preserve">zkvalitnění služby </w:t>
      </w:r>
      <w:r w:rsidR="0001651C" w:rsidRPr="000059B2">
        <w:rPr>
          <w:iCs/>
          <w:sz w:val="22"/>
          <w:szCs w:val="22"/>
        </w:rPr>
        <w:t>nepřispělo k jejich rychlejšímu odchodu z pobytového zařízení do samostatnějších forem bydlení.</w:t>
      </w:r>
      <w:bookmarkEnd w:id="44"/>
      <w:r w:rsidR="0001651C" w:rsidRPr="000059B2">
        <w:rPr>
          <w:iCs/>
          <w:sz w:val="22"/>
          <w:szCs w:val="22"/>
        </w:rPr>
        <w:t xml:space="preserve"> </w:t>
      </w:r>
      <w:r w:rsidR="0001651C" w:rsidRPr="00C203B6">
        <w:rPr>
          <w:iCs/>
          <w:sz w:val="22"/>
          <w:szCs w:val="22"/>
        </w:rPr>
        <w:t>Příjemci se nepodařilo</w:t>
      </w:r>
      <w:r w:rsidR="00B31A86">
        <w:rPr>
          <w:iCs/>
          <w:sz w:val="22"/>
          <w:szCs w:val="22"/>
        </w:rPr>
        <w:t xml:space="preserve"> za </w:t>
      </w:r>
      <w:r w:rsidR="00F41C1E">
        <w:rPr>
          <w:iCs/>
          <w:sz w:val="22"/>
          <w:szCs w:val="22"/>
        </w:rPr>
        <w:t>sledované období 2020</w:t>
      </w:r>
      <w:r w:rsidR="004516E7">
        <w:rPr>
          <w:iCs/>
          <w:sz w:val="22"/>
          <w:szCs w:val="22"/>
        </w:rPr>
        <w:t>–</w:t>
      </w:r>
      <w:r w:rsidR="00F41C1E">
        <w:rPr>
          <w:iCs/>
          <w:sz w:val="22"/>
          <w:szCs w:val="22"/>
        </w:rPr>
        <w:t xml:space="preserve">2024 (doba udržitelnosti projektu) </w:t>
      </w:r>
      <w:r w:rsidR="0001651C" w:rsidRPr="00C203B6">
        <w:rPr>
          <w:iCs/>
          <w:sz w:val="22"/>
          <w:szCs w:val="22"/>
        </w:rPr>
        <w:t>zvýšit počet klientů, kteří odcházejí do</w:t>
      </w:r>
      <w:r w:rsidR="004516E7">
        <w:rPr>
          <w:iCs/>
          <w:sz w:val="22"/>
          <w:szCs w:val="22"/>
        </w:rPr>
        <w:t xml:space="preserve"> </w:t>
      </w:r>
      <w:r w:rsidR="0001651C" w:rsidRPr="00C203B6">
        <w:rPr>
          <w:iCs/>
          <w:sz w:val="22"/>
          <w:szCs w:val="22"/>
        </w:rPr>
        <w:t>domácí péče, jak deklaroval v žádosti o podporu, neboť z pobytového zařízení odešel jen jeden klient.</w:t>
      </w:r>
      <w:r w:rsidR="00472ADC">
        <w:rPr>
          <w:iCs/>
          <w:sz w:val="22"/>
          <w:szCs w:val="22"/>
        </w:rPr>
        <w:t xml:space="preserve"> </w:t>
      </w:r>
      <w:r w:rsidR="004C7B43">
        <w:rPr>
          <w:iCs/>
          <w:sz w:val="22"/>
          <w:szCs w:val="22"/>
        </w:rPr>
        <w:t xml:space="preserve">NKÚ vyhodnotil prostředky vynaložené v projektu jako účelné jen omezeně. Důvodem </w:t>
      </w:r>
      <w:r>
        <w:rPr>
          <w:iCs/>
          <w:sz w:val="22"/>
          <w:szCs w:val="22"/>
        </w:rPr>
        <w:t xml:space="preserve">pro toto hodnocení </w:t>
      </w:r>
      <w:r w:rsidR="004C7B43">
        <w:rPr>
          <w:iCs/>
          <w:sz w:val="22"/>
          <w:szCs w:val="22"/>
        </w:rPr>
        <w:t xml:space="preserve">je nejen nedosažení plánovaných přínosů projektu, ale </w:t>
      </w:r>
      <w:r w:rsidR="003F6C0A">
        <w:rPr>
          <w:iCs/>
          <w:sz w:val="22"/>
          <w:szCs w:val="22"/>
        </w:rPr>
        <w:t>také</w:t>
      </w:r>
      <w:r w:rsidR="004C7B43">
        <w:rPr>
          <w:iCs/>
          <w:sz w:val="22"/>
          <w:szCs w:val="22"/>
        </w:rPr>
        <w:t xml:space="preserve"> finanční významnost </w:t>
      </w:r>
      <w:r w:rsidR="002577FC">
        <w:rPr>
          <w:iCs/>
          <w:sz w:val="22"/>
          <w:szCs w:val="22"/>
        </w:rPr>
        <w:t>porušení právního předpisu</w:t>
      </w:r>
      <w:r w:rsidR="004C7B43">
        <w:rPr>
          <w:iCs/>
          <w:sz w:val="22"/>
          <w:szCs w:val="22"/>
        </w:rPr>
        <w:t>, kter</w:t>
      </w:r>
      <w:r w:rsidR="004516E7">
        <w:rPr>
          <w:iCs/>
          <w:sz w:val="22"/>
          <w:szCs w:val="22"/>
        </w:rPr>
        <w:t>é</w:t>
      </w:r>
      <w:r w:rsidR="004C7B43">
        <w:rPr>
          <w:iCs/>
          <w:sz w:val="22"/>
          <w:szCs w:val="22"/>
        </w:rPr>
        <w:t xml:space="preserve"> NKÚ zjistil </w:t>
      </w:r>
      <w:r w:rsidR="00855440">
        <w:rPr>
          <w:iCs/>
          <w:sz w:val="22"/>
          <w:szCs w:val="22"/>
        </w:rPr>
        <w:t>u</w:t>
      </w:r>
      <w:r w:rsidR="004516E7">
        <w:rPr>
          <w:iCs/>
          <w:sz w:val="22"/>
          <w:szCs w:val="22"/>
        </w:rPr>
        <w:t xml:space="preserve"> </w:t>
      </w:r>
      <w:r w:rsidR="00855440">
        <w:rPr>
          <w:iCs/>
          <w:sz w:val="22"/>
          <w:szCs w:val="22"/>
        </w:rPr>
        <w:t xml:space="preserve">příjemce </w:t>
      </w:r>
      <w:r w:rsidR="004C7B43">
        <w:rPr>
          <w:iCs/>
          <w:sz w:val="22"/>
          <w:szCs w:val="22"/>
        </w:rPr>
        <w:t xml:space="preserve">v souvislosti se zadáním veřejné </w:t>
      </w:r>
      <w:r w:rsidR="004C7B43" w:rsidRPr="00FE6ED9">
        <w:rPr>
          <w:iCs/>
          <w:sz w:val="22"/>
          <w:szCs w:val="22"/>
        </w:rPr>
        <w:t>zakázky (viz příklad č.</w:t>
      </w:r>
      <w:r w:rsidR="004516E7">
        <w:rPr>
          <w:iCs/>
          <w:sz w:val="22"/>
          <w:szCs w:val="22"/>
        </w:rPr>
        <w:t> </w:t>
      </w:r>
      <w:r w:rsidR="00A04A10">
        <w:rPr>
          <w:iCs/>
          <w:sz w:val="22"/>
          <w:szCs w:val="22"/>
        </w:rPr>
        <w:t>5</w:t>
      </w:r>
      <w:r w:rsidR="00010388" w:rsidRPr="00FE6ED9">
        <w:rPr>
          <w:iCs/>
          <w:sz w:val="22"/>
          <w:szCs w:val="22"/>
        </w:rPr>
        <w:t>).</w:t>
      </w:r>
      <w:r w:rsidR="004C7B43">
        <w:rPr>
          <w:iCs/>
          <w:sz w:val="22"/>
          <w:szCs w:val="22"/>
        </w:rPr>
        <w:t xml:space="preserve"> </w:t>
      </w:r>
      <w:r w:rsidR="00320201" w:rsidRPr="00010388">
        <w:rPr>
          <w:iCs/>
          <w:sz w:val="22"/>
          <w:szCs w:val="22"/>
        </w:rPr>
        <w:t>Celková výše schválených a</w:t>
      </w:r>
      <w:r w:rsidR="000D3D66">
        <w:rPr>
          <w:iCs/>
          <w:sz w:val="22"/>
          <w:szCs w:val="22"/>
        </w:rPr>
        <w:t> </w:t>
      </w:r>
      <w:r w:rsidR="00320201" w:rsidRPr="00010388">
        <w:rPr>
          <w:iCs/>
          <w:sz w:val="22"/>
          <w:szCs w:val="22"/>
        </w:rPr>
        <w:t>proplacených veřejných prostředků dosáhla 15 778 377 Kč.</w:t>
      </w:r>
    </w:p>
    <w:p w14:paraId="2EE72964" w14:textId="77777777" w:rsidR="006418FF" w:rsidRPr="00D56926" w:rsidRDefault="006418FF" w:rsidP="00C611A1">
      <w:pPr>
        <w:pStyle w:val="Kontrolnprotokol"/>
        <w:keepNext/>
        <w:spacing w:before="120" w:after="120"/>
        <w:rPr>
          <w:b/>
          <w:i/>
          <w:color w:val="00ADDB"/>
        </w:rPr>
      </w:pPr>
      <w:bookmarkStart w:id="45" w:name="_Hlk190267383"/>
      <w:bookmarkStart w:id="46" w:name="_Hlk188950572"/>
      <w:r w:rsidRPr="00D56926">
        <w:rPr>
          <w:b/>
          <w:i/>
          <w:color w:val="00ADDB"/>
        </w:rPr>
        <w:t>→ Jeden z příjemců porušil ustanovení zákona o zadávání veřejných zakázek.</w:t>
      </w:r>
    </w:p>
    <w:p w14:paraId="752B9FAA" w14:textId="60A38B8D" w:rsidR="006418FF" w:rsidRPr="00FE6ED9" w:rsidRDefault="006418FF" w:rsidP="00972A4E">
      <w:pPr>
        <w:pStyle w:val="JK4"/>
        <w:keepNext/>
        <w:ind w:left="0" w:firstLine="0"/>
      </w:pPr>
      <w:r w:rsidRPr="007B653D">
        <w:t>NKÚ také zjistil, že jeden z</w:t>
      </w:r>
      <w:r w:rsidR="004516E7">
        <w:t xml:space="preserve"> </w:t>
      </w:r>
      <w:r w:rsidRPr="007B653D">
        <w:t>příjemců postupoval v</w:t>
      </w:r>
      <w:r w:rsidR="004516E7">
        <w:t xml:space="preserve"> </w:t>
      </w:r>
      <w:r w:rsidRPr="007B653D">
        <w:t xml:space="preserve">rozporu </w:t>
      </w:r>
      <w:r>
        <w:t xml:space="preserve">se </w:t>
      </w:r>
      <w:r w:rsidRPr="007B653D">
        <w:t>zákonem o zadávání veřejných zakázek</w:t>
      </w:r>
      <w:r w:rsidR="001C51F8">
        <w:t xml:space="preserve">. </w:t>
      </w:r>
      <w:r>
        <w:t>P</w:t>
      </w:r>
      <w:r w:rsidRPr="007B653D">
        <w:t xml:space="preserve">odrobnosti </w:t>
      </w:r>
      <w:r w:rsidRPr="00FE6ED9">
        <w:t xml:space="preserve">uvádí </w:t>
      </w:r>
      <w:r w:rsidRPr="00FE6ED9">
        <w:rPr>
          <w:b/>
        </w:rPr>
        <w:t xml:space="preserve">příklad č. </w:t>
      </w:r>
      <w:r>
        <w:rPr>
          <w:b/>
        </w:rPr>
        <w:t>5</w:t>
      </w:r>
      <w:r w:rsidRPr="00781D40">
        <w:rPr>
          <w:b/>
          <w:bCs/>
        </w:rPr>
        <w:t>.</w:t>
      </w:r>
      <w:r w:rsidRPr="00FE6ED9">
        <w:t xml:space="preserve"> </w:t>
      </w:r>
    </w:p>
    <w:p w14:paraId="259941C2" w14:textId="7D2D86CC" w:rsidR="006418FF" w:rsidRPr="000D0F43" w:rsidRDefault="006418FF" w:rsidP="00C611A1">
      <w:pPr>
        <w:pStyle w:val="Nadpispklad"/>
        <w:spacing w:before="0" w:after="60"/>
        <w:ind w:left="1440" w:hanging="1440"/>
        <w:rPr>
          <w:i/>
        </w:rPr>
      </w:pPr>
      <w:r w:rsidRPr="000D0F43">
        <w:rPr>
          <w:i/>
        </w:rPr>
        <w:t xml:space="preserve">Příklad </w:t>
      </w:r>
      <w:r w:rsidRPr="00996C8B">
        <w:rPr>
          <w:i/>
        </w:rPr>
        <w:t xml:space="preserve">č. </w:t>
      </w:r>
      <w:r>
        <w:rPr>
          <w:i/>
        </w:rPr>
        <w:t>5</w:t>
      </w:r>
      <w:r w:rsidRPr="00996C8B">
        <w:rPr>
          <w:i/>
        </w:rPr>
        <w:t>:</w:t>
      </w:r>
      <w:r w:rsidR="00F72787">
        <w:rPr>
          <w:i/>
        </w:rPr>
        <w:t xml:space="preserve"> </w:t>
      </w:r>
      <w:r>
        <w:rPr>
          <w:i/>
        </w:rPr>
        <w:t xml:space="preserve">Porušení právního předpisu v oblasti zadávacího řízení </w:t>
      </w:r>
    </w:p>
    <w:p w14:paraId="037C72D7" w14:textId="4F606A7D" w:rsidR="006418FF" w:rsidRPr="00D73263" w:rsidRDefault="006418FF" w:rsidP="006418FF">
      <w:pPr>
        <w:pStyle w:val="Pkladyvrmeku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pacing w:after="120"/>
        <w:rPr>
          <w:sz w:val="22"/>
          <w:szCs w:val="22"/>
        </w:rPr>
      </w:pPr>
      <w:r w:rsidRPr="000E0AD9">
        <w:rPr>
          <w:sz w:val="22"/>
          <w:szCs w:val="22"/>
        </w:rPr>
        <w:t xml:space="preserve">Příjemce, který realizoval projekt </w:t>
      </w:r>
      <w:r>
        <w:rPr>
          <w:sz w:val="22"/>
          <w:szCs w:val="22"/>
        </w:rPr>
        <w:t>*</w:t>
      </w:r>
      <w:r w:rsidRPr="000E0AD9">
        <w:rPr>
          <w:sz w:val="22"/>
          <w:szCs w:val="22"/>
        </w:rPr>
        <w:t xml:space="preserve">02338, porušil jako zadavatel veřejné zakázky na stavební práce při jejím plnění </w:t>
      </w:r>
      <w:r w:rsidRPr="000E0AD9">
        <w:rPr>
          <w:rFonts w:cstheme="minorHAnsi"/>
          <w:sz w:val="22"/>
          <w:szCs w:val="22"/>
        </w:rPr>
        <w:t>zákon</w:t>
      </w:r>
      <w:r w:rsidRPr="000E0AD9">
        <w:rPr>
          <w:rStyle w:val="Znakapoznpodarou"/>
          <w:rFonts w:cstheme="minorHAnsi"/>
          <w:sz w:val="22"/>
          <w:szCs w:val="22"/>
        </w:rPr>
        <w:footnoteReference w:id="39"/>
      </w:r>
      <w:r w:rsidRPr="000E0AD9">
        <w:rPr>
          <w:rFonts w:cstheme="minorHAnsi"/>
          <w:sz w:val="22"/>
          <w:szCs w:val="22"/>
        </w:rPr>
        <w:t xml:space="preserve"> tím, že vyšel vstříc vybranému dodavateli a umožnil změnu (zmírnění) obchodních podmínek. Původně požadovaná bankovní záruka jako zajišťovací institut byla změněna na vlastní blankosměnku, </w:t>
      </w:r>
      <w:r w:rsidR="004516E7" w:rsidRPr="000E0AD9">
        <w:rPr>
          <w:rFonts w:cstheme="minorHAnsi"/>
          <w:sz w:val="22"/>
          <w:szCs w:val="22"/>
        </w:rPr>
        <w:t xml:space="preserve">nejednalo </w:t>
      </w:r>
      <w:r w:rsidRPr="000E0AD9">
        <w:rPr>
          <w:rFonts w:cstheme="minorHAnsi"/>
          <w:sz w:val="22"/>
          <w:szCs w:val="22"/>
        </w:rPr>
        <w:t>se však o obdobný rozsah zajištění jako v případě původně požadované bankovní záruky. Příjemce provedl podstatnou změnu závazku ze smlouvy</w:t>
      </w:r>
      <w:r>
        <w:rPr>
          <w:rFonts w:cstheme="minorHAnsi"/>
          <w:sz w:val="22"/>
          <w:szCs w:val="22"/>
        </w:rPr>
        <w:t xml:space="preserve"> </w:t>
      </w:r>
      <w:r w:rsidRPr="000E0AD9">
        <w:rPr>
          <w:rFonts w:cstheme="minorHAnsi"/>
          <w:sz w:val="22"/>
          <w:szCs w:val="22"/>
        </w:rPr>
        <w:t>na veřejnou zakázku bez provedení zadávacího řízení, kter</w:t>
      </w:r>
      <w:r>
        <w:rPr>
          <w:rFonts w:cstheme="minorHAnsi"/>
          <w:sz w:val="22"/>
          <w:szCs w:val="22"/>
        </w:rPr>
        <w:t>é</w:t>
      </w:r>
      <w:r w:rsidRPr="000E0AD9">
        <w:rPr>
          <w:rFonts w:cstheme="minorHAnsi"/>
          <w:sz w:val="22"/>
          <w:szCs w:val="22"/>
        </w:rPr>
        <w:t xml:space="preserve"> by umožnil</w:t>
      </w:r>
      <w:r>
        <w:rPr>
          <w:rFonts w:cstheme="minorHAnsi"/>
          <w:sz w:val="22"/>
          <w:szCs w:val="22"/>
        </w:rPr>
        <w:t>o</w:t>
      </w:r>
      <w:r w:rsidRPr="000E0AD9">
        <w:rPr>
          <w:rFonts w:cstheme="minorHAnsi"/>
          <w:sz w:val="22"/>
          <w:szCs w:val="22"/>
        </w:rPr>
        <w:t xml:space="preserve"> účast jiných dodavatelů</w:t>
      </w:r>
      <w:r>
        <w:rPr>
          <w:rFonts w:cstheme="minorHAnsi"/>
          <w:sz w:val="22"/>
          <w:szCs w:val="22"/>
        </w:rPr>
        <w:t xml:space="preserve">. </w:t>
      </w:r>
      <w:r w:rsidRPr="000E0AD9">
        <w:rPr>
          <w:sz w:val="22"/>
          <w:szCs w:val="22"/>
        </w:rPr>
        <w:t xml:space="preserve">Příjemce </w:t>
      </w:r>
      <w:r>
        <w:rPr>
          <w:sz w:val="22"/>
          <w:szCs w:val="22"/>
        </w:rPr>
        <w:t xml:space="preserve">tím rovněž nedodržel </w:t>
      </w:r>
      <w:r w:rsidR="00A84A3D">
        <w:rPr>
          <w:sz w:val="22"/>
          <w:szCs w:val="22"/>
        </w:rPr>
        <w:t xml:space="preserve">zásadu </w:t>
      </w:r>
      <w:r w:rsidRPr="000E0AD9">
        <w:rPr>
          <w:sz w:val="22"/>
          <w:szCs w:val="22"/>
        </w:rPr>
        <w:t>zákaz</w:t>
      </w:r>
      <w:r>
        <w:rPr>
          <w:sz w:val="22"/>
          <w:szCs w:val="22"/>
        </w:rPr>
        <w:t>u</w:t>
      </w:r>
      <w:r w:rsidRPr="000E0AD9">
        <w:rPr>
          <w:sz w:val="22"/>
          <w:szCs w:val="22"/>
        </w:rPr>
        <w:t xml:space="preserve"> diskriminace</w:t>
      </w:r>
      <w:r w:rsidRPr="000E0AD9">
        <w:rPr>
          <w:rStyle w:val="Znakapoznpodarou"/>
          <w:sz w:val="22"/>
          <w:szCs w:val="22"/>
        </w:rPr>
        <w:footnoteReference w:id="40"/>
      </w:r>
      <w:r>
        <w:rPr>
          <w:sz w:val="22"/>
          <w:szCs w:val="22"/>
        </w:rPr>
        <w:t>.</w:t>
      </w:r>
      <w:r w:rsidRPr="000E0AD9">
        <w:rPr>
          <w:sz w:val="22"/>
          <w:szCs w:val="22"/>
        </w:rPr>
        <w:t xml:space="preserve"> </w:t>
      </w:r>
      <w:r w:rsidR="00A11DE1">
        <w:rPr>
          <w:sz w:val="22"/>
          <w:szCs w:val="22"/>
        </w:rPr>
        <w:t>NKÚ vyhodnotil u</w:t>
      </w:r>
      <w:r w:rsidRPr="000E0AD9">
        <w:rPr>
          <w:sz w:val="22"/>
          <w:szCs w:val="22"/>
        </w:rPr>
        <w:t>vedený postup příjemce</w:t>
      </w:r>
      <w:r w:rsidR="008D1D1A">
        <w:rPr>
          <w:sz w:val="22"/>
          <w:szCs w:val="22"/>
        </w:rPr>
        <w:t xml:space="preserve"> </w:t>
      </w:r>
      <w:r w:rsidRPr="00A57E9D">
        <w:rPr>
          <w:sz w:val="22"/>
          <w:szCs w:val="22"/>
        </w:rPr>
        <w:t>j</w:t>
      </w:r>
      <w:r w:rsidR="00A11DE1">
        <w:rPr>
          <w:sz w:val="22"/>
          <w:szCs w:val="22"/>
        </w:rPr>
        <w:t xml:space="preserve">ako </w:t>
      </w:r>
      <w:r w:rsidR="00D04B3C">
        <w:rPr>
          <w:sz w:val="22"/>
          <w:szCs w:val="22"/>
        </w:rPr>
        <w:t>skutečnost</w:t>
      </w:r>
      <w:r w:rsidR="00A11DE1">
        <w:rPr>
          <w:sz w:val="22"/>
          <w:szCs w:val="22"/>
        </w:rPr>
        <w:t xml:space="preserve"> nasvědčující </w:t>
      </w:r>
      <w:r w:rsidRPr="00A57E9D">
        <w:rPr>
          <w:sz w:val="22"/>
          <w:szCs w:val="22"/>
        </w:rPr>
        <w:t>porušení rozpočtové kázně</w:t>
      </w:r>
      <w:r>
        <w:rPr>
          <w:sz w:val="22"/>
          <w:szCs w:val="22"/>
        </w:rPr>
        <w:t xml:space="preserve"> </w:t>
      </w:r>
      <w:r w:rsidRPr="00D73263">
        <w:rPr>
          <w:sz w:val="22"/>
          <w:szCs w:val="22"/>
        </w:rPr>
        <w:t>až do výše 14 820</w:t>
      </w:r>
      <w:r w:rsidR="004516E7">
        <w:rPr>
          <w:sz w:val="22"/>
          <w:szCs w:val="22"/>
        </w:rPr>
        <w:t xml:space="preserve"> </w:t>
      </w:r>
      <w:r w:rsidRPr="00D73263">
        <w:rPr>
          <w:sz w:val="22"/>
          <w:szCs w:val="22"/>
        </w:rPr>
        <w:t>14</w:t>
      </w:r>
      <w:r>
        <w:rPr>
          <w:sz w:val="22"/>
          <w:szCs w:val="22"/>
        </w:rPr>
        <w:t>8</w:t>
      </w:r>
      <w:r w:rsidR="004516E7">
        <w:rPr>
          <w:sz w:val="22"/>
          <w:szCs w:val="22"/>
        </w:rPr>
        <w:t xml:space="preserve"> </w:t>
      </w:r>
      <w:r w:rsidRPr="00D73263">
        <w:rPr>
          <w:sz w:val="22"/>
          <w:szCs w:val="22"/>
        </w:rPr>
        <w:t>Kč. Celková výše schválených a proplacených veřejných prostředků dosáhla 15 778 377 Kč.</w:t>
      </w:r>
    </w:p>
    <w:p w14:paraId="584E60E5" w14:textId="77777777" w:rsidR="00B05FAF" w:rsidRPr="00D56926" w:rsidRDefault="00B05FAF" w:rsidP="00C611A1">
      <w:pPr>
        <w:pStyle w:val="Kontrolnprotokol"/>
        <w:keepNext/>
        <w:spacing w:before="120" w:after="120"/>
        <w:rPr>
          <w:b/>
          <w:i/>
          <w:color w:val="00ADDB"/>
        </w:rPr>
      </w:pPr>
      <w:r w:rsidRPr="00D56926">
        <w:rPr>
          <w:b/>
          <w:i/>
          <w:color w:val="00ADDB"/>
        </w:rPr>
        <w:t>→</w:t>
      </w:r>
      <w:r w:rsidR="00972A4E">
        <w:rPr>
          <w:b/>
          <w:i/>
          <w:color w:val="00ADDB"/>
        </w:rPr>
        <w:t xml:space="preserve"> </w:t>
      </w:r>
      <w:r w:rsidRPr="00D56926">
        <w:rPr>
          <w:b/>
          <w:i/>
          <w:color w:val="00ADDB"/>
        </w:rPr>
        <w:t xml:space="preserve">Mírné nedostatky zjistil NKÚ při hodnocení účelnosti u </w:t>
      </w:r>
      <w:r w:rsidR="00684BF0" w:rsidRPr="00D56926">
        <w:rPr>
          <w:b/>
          <w:i/>
          <w:color w:val="00ADDB"/>
        </w:rPr>
        <w:t xml:space="preserve">dalších </w:t>
      </w:r>
      <w:r w:rsidRPr="00D56926">
        <w:rPr>
          <w:b/>
          <w:i/>
          <w:color w:val="00ADDB"/>
        </w:rPr>
        <w:t>dvou projektů</w:t>
      </w:r>
      <w:r w:rsidR="002A2C8D" w:rsidRPr="00D56926">
        <w:rPr>
          <w:b/>
          <w:i/>
          <w:color w:val="00ADDB"/>
        </w:rPr>
        <w:t>.</w:t>
      </w:r>
    </w:p>
    <w:p w14:paraId="51E81346" w14:textId="682AA30E" w:rsidR="00B05FAF" w:rsidRPr="00DC7E4D" w:rsidRDefault="00A5496F" w:rsidP="008D2221">
      <w:pPr>
        <w:pStyle w:val="JK4"/>
        <w:ind w:left="0" w:firstLine="0"/>
      </w:pPr>
      <w:bookmarkStart w:id="47" w:name="_Hlk190267300"/>
      <w:bookmarkEnd w:id="45"/>
      <w:r w:rsidRPr="00DC7E4D">
        <w:t>NKÚ</w:t>
      </w:r>
      <w:r w:rsidR="00DC7E4D" w:rsidRPr="00DC7E4D">
        <w:t xml:space="preserve"> při posuzování účelnosti vynaložených </w:t>
      </w:r>
      <w:r w:rsidR="005E04D6">
        <w:t>peněžníc</w:t>
      </w:r>
      <w:r w:rsidR="00C70306">
        <w:t>h p</w:t>
      </w:r>
      <w:r w:rsidR="00DC7E4D" w:rsidRPr="00DC7E4D">
        <w:t xml:space="preserve">rostředků </w:t>
      </w:r>
      <w:r w:rsidRPr="00DC7E4D">
        <w:t xml:space="preserve">snížil hodnocení </w:t>
      </w:r>
      <w:r w:rsidR="00160AD1">
        <w:br/>
      </w:r>
      <w:r w:rsidRPr="00DC7E4D">
        <w:t>u</w:t>
      </w:r>
      <w:r w:rsidR="00160AD1">
        <w:t xml:space="preserve"> </w:t>
      </w:r>
      <w:r w:rsidRPr="00DC7E4D">
        <w:t>dvou projektů</w:t>
      </w:r>
      <w:r w:rsidR="004516E7">
        <w:t>:</w:t>
      </w:r>
      <w:r w:rsidRPr="00DC7E4D">
        <w:t xml:space="preserve"> v jednom případě příjemce neved</w:t>
      </w:r>
      <w:r w:rsidR="00B91D3C">
        <w:t>l</w:t>
      </w:r>
      <w:r w:rsidRPr="00DC7E4D">
        <w:t xml:space="preserve"> přehled </w:t>
      </w:r>
      <w:r w:rsidR="00DC7E4D" w:rsidRPr="00DC7E4D">
        <w:t xml:space="preserve">o </w:t>
      </w:r>
      <w:r w:rsidRPr="00DC7E4D">
        <w:t xml:space="preserve">využívání </w:t>
      </w:r>
      <w:r w:rsidR="00DC7E4D" w:rsidRPr="00DC7E4D">
        <w:t xml:space="preserve">podpořené služby </w:t>
      </w:r>
      <w:r w:rsidRPr="00DC7E4D">
        <w:t xml:space="preserve">cílovými </w:t>
      </w:r>
      <w:r w:rsidRPr="00FE6ED9">
        <w:t>skupinami (</w:t>
      </w:r>
      <w:r w:rsidR="00DC7E4D" w:rsidRPr="00FE6ED9">
        <w:t xml:space="preserve">viz </w:t>
      </w:r>
      <w:r w:rsidRPr="00FE6ED9">
        <w:rPr>
          <w:b/>
        </w:rPr>
        <w:t xml:space="preserve">příklad č. </w:t>
      </w:r>
      <w:r w:rsidR="006418FF">
        <w:rPr>
          <w:b/>
        </w:rPr>
        <w:t>6</w:t>
      </w:r>
      <w:r w:rsidRPr="00FE6ED9">
        <w:t>) a ve druhém</w:t>
      </w:r>
      <w:r w:rsidRPr="00DC7E4D">
        <w:t xml:space="preserve"> případě</w:t>
      </w:r>
      <w:r w:rsidR="00DC7E4D" w:rsidRPr="00DC7E4D">
        <w:t xml:space="preserve"> příjemce zakoupil nemovitost, </w:t>
      </w:r>
      <w:r w:rsidR="00DC7E4D">
        <w:t>a</w:t>
      </w:r>
      <w:r w:rsidR="00B91D3C">
        <w:t xml:space="preserve">však </w:t>
      </w:r>
      <w:r w:rsidR="00DC7E4D" w:rsidRPr="00DC7E4D">
        <w:t>potřeb</w:t>
      </w:r>
      <w:r w:rsidR="00DC7E4D">
        <w:t xml:space="preserve">nost </w:t>
      </w:r>
      <w:r w:rsidR="00DC7E4D" w:rsidRPr="00DC7E4D">
        <w:t>této koupě nevznikla v důsledku pandemie covid</w:t>
      </w:r>
      <w:r w:rsidR="000B26A1">
        <w:t>u</w:t>
      </w:r>
      <w:r w:rsidR="00DC7E4D" w:rsidRPr="00DC7E4D">
        <w:t>-19, jak vyžadovaly podmínky výzvy</w:t>
      </w:r>
      <w:r w:rsidR="000309D2">
        <w:t xml:space="preserve"> </w:t>
      </w:r>
      <w:r w:rsidR="00DC7E4D" w:rsidRPr="00FE6ED9">
        <w:t xml:space="preserve">(viz </w:t>
      </w:r>
      <w:r w:rsidRPr="00FE6ED9">
        <w:rPr>
          <w:b/>
        </w:rPr>
        <w:t xml:space="preserve">příklad č. </w:t>
      </w:r>
      <w:r w:rsidR="006418FF">
        <w:rPr>
          <w:b/>
        </w:rPr>
        <w:t>7</w:t>
      </w:r>
      <w:r w:rsidRPr="00FE6ED9">
        <w:t xml:space="preserve">). </w:t>
      </w:r>
      <w:r w:rsidR="00DC7E4D" w:rsidRPr="00FE6ED9">
        <w:t>NKÚ konstatuje</w:t>
      </w:r>
      <w:r w:rsidR="00DC7E4D">
        <w:t>, že n</w:t>
      </w:r>
      <w:r w:rsidR="00151BA7" w:rsidRPr="00DC7E4D">
        <w:t xml:space="preserve">esplnění </w:t>
      </w:r>
      <w:r w:rsidR="002577FC">
        <w:t xml:space="preserve">jen </w:t>
      </w:r>
      <w:r w:rsidR="00151BA7" w:rsidRPr="00DC7E4D">
        <w:t xml:space="preserve">některých aktivit nebo dílčích cílů </w:t>
      </w:r>
      <w:r w:rsidR="00DC7E4D">
        <w:t>u</w:t>
      </w:r>
      <w:r w:rsidR="000D3D66">
        <w:t> </w:t>
      </w:r>
      <w:r w:rsidR="00DC7E4D">
        <w:t>těchto projektů n</w:t>
      </w:r>
      <w:r w:rsidR="00151BA7" w:rsidRPr="00DC7E4D">
        <w:t>em</w:t>
      </w:r>
      <w:r w:rsidR="00264D9D" w:rsidRPr="00DC7E4D">
        <w:t>ělo</w:t>
      </w:r>
      <w:r w:rsidR="00151BA7" w:rsidRPr="00DC7E4D">
        <w:t xml:space="preserve"> podstatný vliv na celkový výsledek/přínos projekt</w:t>
      </w:r>
      <w:r w:rsidR="000B26A1">
        <w:t>ů</w:t>
      </w:r>
      <w:r w:rsidR="00151BA7" w:rsidRPr="00DC7E4D">
        <w:t xml:space="preserve"> ke zvýšení kvality sociálních služeb.</w:t>
      </w:r>
      <w:r w:rsidR="00907001" w:rsidRPr="00DC7E4D">
        <w:t xml:space="preserve"> </w:t>
      </w:r>
      <w:bookmarkEnd w:id="47"/>
    </w:p>
    <w:p w14:paraId="4F38355A" w14:textId="7872374E" w:rsidR="00B05FAF" w:rsidRPr="000D0F43" w:rsidRDefault="00B05FAF" w:rsidP="00CB5D99">
      <w:pPr>
        <w:pStyle w:val="Nadpispklad"/>
        <w:spacing w:after="60"/>
        <w:rPr>
          <w:i/>
        </w:rPr>
      </w:pPr>
      <w:r w:rsidRPr="000D0F43">
        <w:rPr>
          <w:i/>
        </w:rPr>
        <w:t xml:space="preserve">Příklad </w:t>
      </w:r>
      <w:r w:rsidRPr="00996C8B">
        <w:rPr>
          <w:i/>
        </w:rPr>
        <w:t xml:space="preserve">č. </w:t>
      </w:r>
      <w:r w:rsidR="006418FF">
        <w:rPr>
          <w:i/>
        </w:rPr>
        <w:t>6</w:t>
      </w:r>
      <w:r w:rsidRPr="00996C8B">
        <w:rPr>
          <w:i/>
        </w:rPr>
        <w:t>:</w:t>
      </w:r>
      <w:r w:rsidR="00F72787">
        <w:rPr>
          <w:i/>
        </w:rPr>
        <w:t xml:space="preserve"> </w:t>
      </w:r>
      <w:r w:rsidR="0014565A">
        <w:rPr>
          <w:i/>
        </w:rPr>
        <w:t xml:space="preserve">Příjemce nevede přehled o využívání komunitního centra cílovými skupinami </w:t>
      </w:r>
    </w:p>
    <w:p w14:paraId="3A639E21" w14:textId="09BE27AD" w:rsidR="002D3C07" w:rsidRDefault="00B05FAF" w:rsidP="005C49B4">
      <w:pPr>
        <w:pStyle w:val="Pkladyvrmeku"/>
        <w:tabs>
          <w:tab w:val="left" w:pos="2835"/>
        </w:tabs>
        <w:spacing w:after="120" w:line="240" w:lineRule="auto"/>
        <w:rPr>
          <w:iCs/>
          <w:sz w:val="22"/>
          <w:szCs w:val="22"/>
        </w:rPr>
      </w:pPr>
      <w:r w:rsidRPr="00AB4B1C">
        <w:rPr>
          <w:iCs/>
          <w:sz w:val="22"/>
          <w:szCs w:val="22"/>
        </w:rPr>
        <w:t>V</w:t>
      </w:r>
      <w:r>
        <w:rPr>
          <w:iCs/>
          <w:sz w:val="22"/>
          <w:szCs w:val="22"/>
        </w:rPr>
        <w:t> </w:t>
      </w:r>
      <w:r w:rsidRPr="00AB4B1C">
        <w:rPr>
          <w:iCs/>
          <w:sz w:val="22"/>
          <w:szCs w:val="22"/>
        </w:rPr>
        <w:t>projektu</w:t>
      </w:r>
      <w:r>
        <w:rPr>
          <w:iCs/>
          <w:sz w:val="22"/>
          <w:szCs w:val="22"/>
        </w:rPr>
        <w:t xml:space="preserve"> </w:t>
      </w:r>
      <w:r w:rsidR="0076214E">
        <w:rPr>
          <w:iCs/>
          <w:sz w:val="22"/>
          <w:szCs w:val="22"/>
        </w:rPr>
        <w:t>*</w:t>
      </w:r>
      <w:r w:rsidR="00EF27A7" w:rsidRPr="00EF27A7">
        <w:rPr>
          <w:iCs/>
          <w:sz w:val="22"/>
          <w:szCs w:val="22"/>
        </w:rPr>
        <w:t>02132</w:t>
      </w:r>
      <w:r w:rsidR="00C648C7">
        <w:rPr>
          <w:iCs/>
          <w:sz w:val="22"/>
          <w:szCs w:val="22"/>
        </w:rPr>
        <w:t>, kde mělo být zajištěno zázemí pečovatelské služby,</w:t>
      </w:r>
      <w:r w:rsidR="00EF27A7">
        <w:rPr>
          <w:iCs/>
          <w:sz w:val="22"/>
          <w:szCs w:val="22"/>
        </w:rPr>
        <w:t xml:space="preserve"> naplnil příjemce cíl projektu</w:t>
      </w:r>
      <w:r w:rsidR="00264D9D">
        <w:rPr>
          <w:iCs/>
          <w:sz w:val="22"/>
          <w:szCs w:val="22"/>
        </w:rPr>
        <w:t xml:space="preserve"> </w:t>
      </w:r>
      <w:r w:rsidR="000B26A1">
        <w:rPr>
          <w:iCs/>
          <w:sz w:val="22"/>
          <w:szCs w:val="22"/>
        </w:rPr>
        <w:t>–</w:t>
      </w:r>
      <w:r w:rsidR="00EF27A7">
        <w:rPr>
          <w:iCs/>
          <w:sz w:val="22"/>
          <w:szCs w:val="22"/>
        </w:rPr>
        <w:t xml:space="preserve"> o</w:t>
      </w:r>
      <w:r w:rsidR="00EF27A7" w:rsidRPr="00EF27A7">
        <w:rPr>
          <w:iCs/>
          <w:sz w:val="22"/>
          <w:szCs w:val="22"/>
        </w:rPr>
        <w:t xml:space="preserve">proti původním pronajatým prostorám </w:t>
      </w:r>
      <w:r w:rsidR="00EF27A7">
        <w:rPr>
          <w:iCs/>
          <w:sz w:val="22"/>
          <w:szCs w:val="22"/>
        </w:rPr>
        <w:t xml:space="preserve">poskytuje </w:t>
      </w:r>
      <w:r w:rsidR="00EF27A7" w:rsidRPr="00EF27A7">
        <w:rPr>
          <w:iCs/>
          <w:sz w:val="22"/>
          <w:szCs w:val="22"/>
        </w:rPr>
        <w:t>pořízená nemovitost</w:t>
      </w:r>
      <w:r w:rsidR="00D858B9">
        <w:rPr>
          <w:iCs/>
          <w:sz w:val="22"/>
          <w:szCs w:val="22"/>
        </w:rPr>
        <w:t xml:space="preserve"> klientům </w:t>
      </w:r>
      <w:r w:rsidR="00EF27A7" w:rsidRPr="00EF27A7">
        <w:rPr>
          <w:iCs/>
          <w:sz w:val="22"/>
          <w:szCs w:val="22"/>
        </w:rPr>
        <w:t>větší prostory, kuchyňku, vlastní toalety, bezbariérový přístup.</w:t>
      </w:r>
      <w:r w:rsidR="00EF27A7">
        <w:rPr>
          <w:iCs/>
          <w:sz w:val="22"/>
          <w:szCs w:val="22"/>
        </w:rPr>
        <w:t xml:space="preserve"> </w:t>
      </w:r>
      <w:r w:rsidR="002D3C07">
        <w:rPr>
          <w:iCs/>
          <w:sz w:val="22"/>
          <w:szCs w:val="22"/>
        </w:rPr>
        <w:t xml:space="preserve">Hlavní </w:t>
      </w:r>
      <w:r w:rsidR="002D3C07" w:rsidRPr="00EF27A7">
        <w:rPr>
          <w:iCs/>
          <w:sz w:val="22"/>
          <w:szCs w:val="22"/>
        </w:rPr>
        <w:t>benefit</w:t>
      </w:r>
      <w:r w:rsidR="002D3C07">
        <w:rPr>
          <w:iCs/>
          <w:sz w:val="22"/>
          <w:szCs w:val="22"/>
        </w:rPr>
        <w:t xml:space="preserve"> projektu</w:t>
      </w:r>
      <w:r w:rsidR="002D3C07" w:rsidRPr="00EF27A7">
        <w:rPr>
          <w:iCs/>
          <w:sz w:val="22"/>
          <w:szCs w:val="22"/>
        </w:rPr>
        <w:t xml:space="preserve"> spočívá ve větší dostupnosti poskytované </w:t>
      </w:r>
      <w:r w:rsidR="002D3C07">
        <w:rPr>
          <w:iCs/>
          <w:sz w:val="22"/>
          <w:szCs w:val="22"/>
        </w:rPr>
        <w:t xml:space="preserve">terénní </w:t>
      </w:r>
      <w:r w:rsidR="002D3C07" w:rsidRPr="00EF27A7">
        <w:rPr>
          <w:iCs/>
          <w:sz w:val="22"/>
          <w:szCs w:val="22"/>
        </w:rPr>
        <w:t xml:space="preserve">služby (rostoucí počet klientů). </w:t>
      </w:r>
      <w:r w:rsidR="00E213D3">
        <w:rPr>
          <w:iCs/>
          <w:sz w:val="22"/>
          <w:szCs w:val="22"/>
        </w:rPr>
        <w:t>Příjemce</w:t>
      </w:r>
      <w:r w:rsidR="00EF27A7" w:rsidRPr="00EF27A7">
        <w:rPr>
          <w:iCs/>
          <w:sz w:val="22"/>
          <w:szCs w:val="22"/>
        </w:rPr>
        <w:t xml:space="preserve"> </w:t>
      </w:r>
      <w:r w:rsidR="00D858B9">
        <w:rPr>
          <w:iCs/>
          <w:sz w:val="22"/>
          <w:szCs w:val="22"/>
        </w:rPr>
        <w:t xml:space="preserve">však nevede </w:t>
      </w:r>
      <w:r w:rsidR="00EF27A7" w:rsidRPr="00EF27A7">
        <w:rPr>
          <w:iCs/>
          <w:sz w:val="22"/>
          <w:szCs w:val="22"/>
        </w:rPr>
        <w:t>evidenci o</w:t>
      </w:r>
      <w:r w:rsidR="000D3D66">
        <w:rPr>
          <w:iCs/>
          <w:sz w:val="22"/>
          <w:szCs w:val="22"/>
        </w:rPr>
        <w:t> </w:t>
      </w:r>
      <w:r w:rsidR="00EF27A7" w:rsidRPr="00EF27A7">
        <w:rPr>
          <w:iCs/>
          <w:sz w:val="22"/>
          <w:szCs w:val="22"/>
        </w:rPr>
        <w:t>počtu návštěv pobočky v</w:t>
      </w:r>
      <w:r w:rsidR="00EF27A7">
        <w:rPr>
          <w:iCs/>
          <w:sz w:val="22"/>
          <w:szCs w:val="22"/>
        </w:rPr>
        <w:t> </w:t>
      </w:r>
      <w:r w:rsidR="00EF27A7" w:rsidRPr="00EF27A7">
        <w:rPr>
          <w:iCs/>
          <w:sz w:val="22"/>
          <w:szCs w:val="22"/>
        </w:rPr>
        <w:t>Pardubicích</w:t>
      </w:r>
      <w:r w:rsidR="00EF27A7">
        <w:rPr>
          <w:iCs/>
          <w:sz w:val="22"/>
          <w:szCs w:val="22"/>
        </w:rPr>
        <w:t xml:space="preserve">, a tak nemohl </w:t>
      </w:r>
      <w:r w:rsidR="00EC582D">
        <w:rPr>
          <w:iCs/>
          <w:sz w:val="22"/>
          <w:szCs w:val="22"/>
        </w:rPr>
        <w:t>ověřit</w:t>
      </w:r>
      <w:r w:rsidR="00EF27A7" w:rsidRPr="00EF27A7">
        <w:rPr>
          <w:iCs/>
          <w:sz w:val="22"/>
          <w:szCs w:val="22"/>
        </w:rPr>
        <w:t xml:space="preserve">, v jakém rozsahu jsou pořízené prostory využívány jako kontaktní místo pro klienty </w:t>
      </w:r>
      <w:r w:rsidR="00D858B9">
        <w:rPr>
          <w:iCs/>
          <w:sz w:val="22"/>
          <w:szCs w:val="22"/>
        </w:rPr>
        <w:t xml:space="preserve">příslušné </w:t>
      </w:r>
      <w:r w:rsidR="00EF27A7" w:rsidRPr="00EF27A7">
        <w:rPr>
          <w:iCs/>
          <w:sz w:val="22"/>
          <w:szCs w:val="22"/>
        </w:rPr>
        <w:t>sociální služby</w:t>
      </w:r>
      <w:r w:rsidR="00EC582D">
        <w:rPr>
          <w:iCs/>
          <w:sz w:val="22"/>
          <w:szCs w:val="22"/>
        </w:rPr>
        <w:t xml:space="preserve"> </w:t>
      </w:r>
      <w:r w:rsidR="00C52A12">
        <w:rPr>
          <w:iCs/>
          <w:sz w:val="22"/>
          <w:szCs w:val="22"/>
        </w:rPr>
        <w:t xml:space="preserve">a </w:t>
      </w:r>
      <w:r w:rsidR="00EC582D">
        <w:rPr>
          <w:iCs/>
          <w:sz w:val="22"/>
          <w:szCs w:val="22"/>
        </w:rPr>
        <w:t xml:space="preserve">zda dosáhl vyšší dostupnosti </w:t>
      </w:r>
      <w:r w:rsidR="009F0CD0">
        <w:rPr>
          <w:iCs/>
          <w:sz w:val="22"/>
          <w:szCs w:val="22"/>
        </w:rPr>
        <w:t>podpořené služby</w:t>
      </w:r>
      <w:r w:rsidR="00EF27A7" w:rsidRPr="00EF27A7">
        <w:rPr>
          <w:iCs/>
          <w:sz w:val="22"/>
          <w:szCs w:val="22"/>
        </w:rPr>
        <w:t xml:space="preserve">. </w:t>
      </w:r>
      <w:r w:rsidR="00EF27A7">
        <w:rPr>
          <w:iCs/>
          <w:sz w:val="22"/>
          <w:szCs w:val="22"/>
        </w:rPr>
        <w:t>NKÚ zjistil, že p</w:t>
      </w:r>
      <w:r w:rsidR="00EF27A7" w:rsidRPr="00EF27A7">
        <w:rPr>
          <w:iCs/>
          <w:sz w:val="22"/>
          <w:szCs w:val="22"/>
        </w:rPr>
        <w:t>obočka</w:t>
      </w:r>
      <w:r w:rsidR="00372C15">
        <w:rPr>
          <w:iCs/>
          <w:sz w:val="22"/>
          <w:szCs w:val="22"/>
        </w:rPr>
        <w:t xml:space="preserve"> většinově</w:t>
      </w:r>
      <w:r w:rsidR="00EF27A7" w:rsidRPr="00EF27A7">
        <w:rPr>
          <w:iCs/>
          <w:sz w:val="22"/>
          <w:szCs w:val="22"/>
        </w:rPr>
        <w:t xml:space="preserve"> slouží jako zázemí </w:t>
      </w:r>
      <w:r w:rsidR="00D858B9">
        <w:rPr>
          <w:iCs/>
          <w:sz w:val="22"/>
          <w:szCs w:val="22"/>
        </w:rPr>
        <w:t xml:space="preserve">pro </w:t>
      </w:r>
      <w:r w:rsidR="00EF27A7" w:rsidRPr="00EF27A7">
        <w:rPr>
          <w:iCs/>
          <w:sz w:val="22"/>
          <w:szCs w:val="22"/>
        </w:rPr>
        <w:t>poskytov</w:t>
      </w:r>
      <w:r w:rsidR="00D858B9">
        <w:rPr>
          <w:iCs/>
          <w:sz w:val="22"/>
          <w:szCs w:val="22"/>
        </w:rPr>
        <w:t xml:space="preserve">ání </w:t>
      </w:r>
      <w:r w:rsidR="00EF27A7" w:rsidRPr="00EF27A7">
        <w:rPr>
          <w:iCs/>
          <w:sz w:val="22"/>
          <w:szCs w:val="22"/>
        </w:rPr>
        <w:t>terénní služby</w:t>
      </w:r>
      <w:r w:rsidR="002D3C07">
        <w:rPr>
          <w:iCs/>
          <w:sz w:val="22"/>
          <w:szCs w:val="22"/>
        </w:rPr>
        <w:t xml:space="preserve">. </w:t>
      </w:r>
      <w:bookmarkStart w:id="48" w:name="_Hlk190340026"/>
      <w:r w:rsidR="00EF27A7" w:rsidRPr="00EF27A7">
        <w:rPr>
          <w:iCs/>
          <w:sz w:val="22"/>
          <w:szCs w:val="22"/>
        </w:rPr>
        <w:t>Z</w:t>
      </w:r>
      <w:r w:rsidR="00EF27A7">
        <w:rPr>
          <w:iCs/>
          <w:sz w:val="22"/>
          <w:szCs w:val="22"/>
        </w:rPr>
        <w:t> tohot</w:t>
      </w:r>
      <w:r w:rsidR="00D858B9">
        <w:rPr>
          <w:iCs/>
          <w:sz w:val="22"/>
          <w:szCs w:val="22"/>
        </w:rPr>
        <w:t>o</w:t>
      </w:r>
      <w:r w:rsidR="00EF27A7">
        <w:rPr>
          <w:iCs/>
          <w:sz w:val="22"/>
          <w:szCs w:val="22"/>
        </w:rPr>
        <w:t xml:space="preserve"> důvodu </w:t>
      </w:r>
      <w:r w:rsidR="00EF27A7" w:rsidRPr="00EF27A7">
        <w:rPr>
          <w:iCs/>
          <w:sz w:val="22"/>
          <w:szCs w:val="22"/>
        </w:rPr>
        <w:t>NKÚ vyhodnotil prostředky vynaložené na tento projekt jako účelné</w:t>
      </w:r>
      <w:r w:rsidR="00EF27A7">
        <w:rPr>
          <w:iCs/>
          <w:sz w:val="22"/>
          <w:szCs w:val="22"/>
        </w:rPr>
        <w:t xml:space="preserve"> s mírnými nedostatky. </w:t>
      </w:r>
      <w:bookmarkEnd w:id="48"/>
      <w:r w:rsidR="00F61D37" w:rsidRPr="00F61D37">
        <w:rPr>
          <w:iCs/>
          <w:sz w:val="22"/>
          <w:szCs w:val="22"/>
        </w:rPr>
        <w:t>Celková výše schválených a proplacených veřejných prostředků dosáhla 4 467 881 Kč</w:t>
      </w:r>
      <w:r w:rsidR="00D32FB7">
        <w:rPr>
          <w:iCs/>
          <w:sz w:val="22"/>
          <w:szCs w:val="22"/>
        </w:rPr>
        <w:t>.</w:t>
      </w:r>
    </w:p>
    <w:p w14:paraId="1AB62910" w14:textId="5F04DD88" w:rsidR="00E84188" w:rsidRPr="000D0F43" w:rsidRDefault="00E84188" w:rsidP="00781D40">
      <w:pPr>
        <w:pStyle w:val="Nadpispklad"/>
        <w:spacing w:after="60"/>
        <w:ind w:left="1247" w:hanging="1247"/>
        <w:rPr>
          <w:i/>
        </w:rPr>
      </w:pPr>
      <w:r w:rsidRPr="000D0F43">
        <w:rPr>
          <w:i/>
        </w:rPr>
        <w:t xml:space="preserve">Příklad </w:t>
      </w:r>
      <w:r w:rsidRPr="00996C8B">
        <w:rPr>
          <w:i/>
        </w:rPr>
        <w:t xml:space="preserve">č. </w:t>
      </w:r>
      <w:r w:rsidR="006418FF">
        <w:rPr>
          <w:i/>
        </w:rPr>
        <w:t>7</w:t>
      </w:r>
      <w:r w:rsidRPr="00996C8B">
        <w:rPr>
          <w:i/>
        </w:rPr>
        <w:t>:</w:t>
      </w:r>
      <w:r w:rsidR="00EE0A19">
        <w:rPr>
          <w:i/>
        </w:rPr>
        <w:tab/>
      </w:r>
      <w:r w:rsidR="00E213D3">
        <w:rPr>
          <w:i/>
        </w:rPr>
        <w:t>Potřeba pořízení nemovitosti pro poskytování sociálních služeb v komunitním centru nevyvstala v důsledku pandemie covid</w:t>
      </w:r>
      <w:r w:rsidR="00F72787">
        <w:rPr>
          <w:i/>
        </w:rPr>
        <w:t>u</w:t>
      </w:r>
      <w:r w:rsidR="00E213D3">
        <w:rPr>
          <w:i/>
        </w:rPr>
        <w:t>-19</w:t>
      </w:r>
    </w:p>
    <w:p w14:paraId="595212D1" w14:textId="57C0ECBB" w:rsidR="002A2C8D" w:rsidRDefault="007B5AA7" w:rsidP="002A2C8D">
      <w:pPr>
        <w:pStyle w:val="Pkladyvrmeku"/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Předmětem </w:t>
      </w:r>
      <w:r w:rsidR="00E3170A">
        <w:rPr>
          <w:iCs/>
          <w:sz w:val="22"/>
          <w:szCs w:val="22"/>
        </w:rPr>
        <w:t xml:space="preserve">podpory u </w:t>
      </w:r>
      <w:r w:rsidR="00E84188" w:rsidRPr="00AB4B1C">
        <w:rPr>
          <w:iCs/>
          <w:sz w:val="22"/>
          <w:szCs w:val="22"/>
        </w:rPr>
        <w:t>projektu</w:t>
      </w:r>
      <w:r w:rsidR="00E84188">
        <w:rPr>
          <w:iCs/>
          <w:sz w:val="22"/>
          <w:szCs w:val="22"/>
        </w:rPr>
        <w:t xml:space="preserve"> </w:t>
      </w:r>
      <w:r w:rsidR="0076214E">
        <w:rPr>
          <w:iCs/>
          <w:sz w:val="22"/>
          <w:szCs w:val="22"/>
        </w:rPr>
        <w:t>*</w:t>
      </w:r>
      <w:r w:rsidR="00EE0A19" w:rsidRPr="00EE0A19">
        <w:rPr>
          <w:iCs/>
          <w:sz w:val="22"/>
          <w:szCs w:val="22"/>
        </w:rPr>
        <w:t>17367</w:t>
      </w:r>
      <w:r w:rsidR="00EE0A19">
        <w:rPr>
          <w:iCs/>
          <w:sz w:val="22"/>
          <w:szCs w:val="22"/>
        </w:rPr>
        <w:t xml:space="preserve"> </w:t>
      </w:r>
      <w:r w:rsidRPr="007B5AA7">
        <w:rPr>
          <w:iCs/>
          <w:sz w:val="22"/>
          <w:szCs w:val="22"/>
        </w:rPr>
        <w:t>bylo pořízení nového objektu</w:t>
      </w:r>
      <w:r w:rsidR="00E213D3" w:rsidRPr="00E213D3">
        <w:rPr>
          <w:iCs/>
          <w:sz w:val="22"/>
          <w:szCs w:val="22"/>
        </w:rPr>
        <w:t xml:space="preserve"> pro poskytování sociálních služeb</w:t>
      </w:r>
      <w:r w:rsidR="00A51B3B">
        <w:rPr>
          <w:iCs/>
          <w:sz w:val="22"/>
          <w:szCs w:val="22"/>
        </w:rPr>
        <w:t>,</w:t>
      </w:r>
      <w:r w:rsidR="00A43935">
        <w:rPr>
          <w:iCs/>
          <w:sz w:val="22"/>
          <w:szCs w:val="22"/>
        </w:rPr>
        <w:t xml:space="preserve"> </w:t>
      </w:r>
      <w:r w:rsidRPr="007B5AA7">
        <w:rPr>
          <w:iCs/>
          <w:sz w:val="22"/>
          <w:szCs w:val="22"/>
        </w:rPr>
        <w:t xml:space="preserve">jeho kompletní stavební rekonstrukce a částečná přístavba. </w:t>
      </w:r>
      <w:r>
        <w:rPr>
          <w:iCs/>
          <w:sz w:val="22"/>
          <w:szCs w:val="22"/>
        </w:rPr>
        <w:t xml:space="preserve">Příjemce ve </w:t>
      </w:r>
      <w:r w:rsidR="000B26A1">
        <w:rPr>
          <w:iCs/>
          <w:sz w:val="22"/>
          <w:szCs w:val="22"/>
        </w:rPr>
        <w:t>s</w:t>
      </w:r>
      <w:r>
        <w:rPr>
          <w:iCs/>
          <w:sz w:val="22"/>
          <w:szCs w:val="22"/>
        </w:rPr>
        <w:t>tudii provedite</w:t>
      </w:r>
      <w:r w:rsidR="000B26A1">
        <w:rPr>
          <w:iCs/>
          <w:sz w:val="22"/>
          <w:szCs w:val="22"/>
        </w:rPr>
        <w:t>l</w:t>
      </w:r>
      <w:r>
        <w:rPr>
          <w:iCs/>
          <w:sz w:val="22"/>
          <w:szCs w:val="22"/>
        </w:rPr>
        <w:t xml:space="preserve">nosti odůvodnil potřebnost nákupu </w:t>
      </w:r>
      <w:r w:rsidRPr="007B5AA7">
        <w:rPr>
          <w:iCs/>
          <w:sz w:val="22"/>
          <w:szCs w:val="22"/>
        </w:rPr>
        <w:t xml:space="preserve">nedostatečným prostorovým, technologickým a technickým zázemím </w:t>
      </w:r>
      <w:r w:rsidR="00B93791">
        <w:rPr>
          <w:iCs/>
          <w:sz w:val="22"/>
          <w:szCs w:val="22"/>
        </w:rPr>
        <w:t xml:space="preserve">stávajícího objektu a nedůstojnými </w:t>
      </w:r>
      <w:r>
        <w:rPr>
          <w:iCs/>
          <w:sz w:val="22"/>
          <w:szCs w:val="22"/>
        </w:rPr>
        <w:t xml:space="preserve">podmínkami pro klienty. Příjemce zároveň v průběhu kontroly potvrdil, že tuto </w:t>
      </w:r>
      <w:r w:rsidR="00151BA7">
        <w:rPr>
          <w:iCs/>
          <w:sz w:val="22"/>
          <w:szCs w:val="22"/>
        </w:rPr>
        <w:t xml:space="preserve">nepříznivou </w:t>
      </w:r>
      <w:r>
        <w:rPr>
          <w:iCs/>
          <w:sz w:val="22"/>
          <w:szCs w:val="22"/>
        </w:rPr>
        <w:t>situaci řešil několik</w:t>
      </w:r>
      <w:r w:rsidR="00B93791">
        <w:rPr>
          <w:iCs/>
          <w:sz w:val="22"/>
          <w:szCs w:val="22"/>
        </w:rPr>
        <w:t xml:space="preserve">aletou </w:t>
      </w:r>
      <w:r>
        <w:rPr>
          <w:iCs/>
          <w:sz w:val="22"/>
          <w:szCs w:val="22"/>
        </w:rPr>
        <w:t xml:space="preserve">snahou najít pro služby vhodnější objekt. NKÚ </w:t>
      </w:r>
      <w:r w:rsidR="00A51B3B">
        <w:rPr>
          <w:iCs/>
          <w:sz w:val="22"/>
          <w:szCs w:val="22"/>
        </w:rPr>
        <w:t xml:space="preserve">zjistil, že </w:t>
      </w:r>
      <w:r w:rsidR="00B93791">
        <w:rPr>
          <w:iCs/>
          <w:sz w:val="22"/>
          <w:szCs w:val="22"/>
        </w:rPr>
        <w:t>příjemce zamýšlel poří</w:t>
      </w:r>
      <w:r w:rsidR="000B26A1">
        <w:rPr>
          <w:iCs/>
          <w:sz w:val="22"/>
          <w:szCs w:val="22"/>
        </w:rPr>
        <w:t>dit</w:t>
      </w:r>
      <w:r w:rsidR="00B93791">
        <w:rPr>
          <w:iCs/>
          <w:sz w:val="22"/>
          <w:szCs w:val="22"/>
        </w:rPr>
        <w:t xml:space="preserve"> nov</w:t>
      </w:r>
      <w:r w:rsidR="000B26A1">
        <w:rPr>
          <w:iCs/>
          <w:sz w:val="22"/>
          <w:szCs w:val="22"/>
        </w:rPr>
        <w:t>ý,</w:t>
      </w:r>
      <w:r w:rsidR="00B93791">
        <w:rPr>
          <w:iCs/>
          <w:sz w:val="22"/>
          <w:szCs w:val="22"/>
        </w:rPr>
        <w:t xml:space="preserve"> vhodn</w:t>
      </w:r>
      <w:r w:rsidR="000B26A1">
        <w:rPr>
          <w:iCs/>
          <w:sz w:val="22"/>
          <w:szCs w:val="22"/>
        </w:rPr>
        <w:t>ý</w:t>
      </w:r>
      <w:r w:rsidR="00B93791">
        <w:rPr>
          <w:iCs/>
          <w:sz w:val="22"/>
          <w:szCs w:val="22"/>
        </w:rPr>
        <w:t xml:space="preserve"> objekt</w:t>
      </w:r>
      <w:r w:rsidR="00E213D3" w:rsidRPr="00E213D3">
        <w:rPr>
          <w:iCs/>
          <w:sz w:val="22"/>
          <w:szCs w:val="22"/>
        </w:rPr>
        <w:t xml:space="preserve"> ještě před </w:t>
      </w:r>
      <w:r w:rsidR="000B26A1">
        <w:rPr>
          <w:iCs/>
          <w:sz w:val="22"/>
          <w:szCs w:val="22"/>
        </w:rPr>
        <w:t>vypuknutím</w:t>
      </w:r>
      <w:r w:rsidR="00E213D3" w:rsidRPr="00E213D3">
        <w:rPr>
          <w:iCs/>
          <w:sz w:val="22"/>
          <w:szCs w:val="22"/>
        </w:rPr>
        <w:t xml:space="preserve"> pandemie </w:t>
      </w:r>
      <w:r w:rsidR="00151BA7">
        <w:rPr>
          <w:iCs/>
          <w:sz w:val="22"/>
          <w:szCs w:val="22"/>
        </w:rPr>
        <w:t>c</w:t>
      </w:r>
      <w:r w:rsidR="00E213D3" w:rsidRPr="00E213D3">
        <w:rPr>
          <w:iCs/>
          <w:sz w:val="22"/>
          <w:szCs w:val="22"/>
        </w:rPr>
        <w:t>ovid</w:t>
      </w:r>
      <w:r w:rsidR="000B26A1">
        <w:rPr>
          <w:iCs/>
          <w:sz w:val="22"/>
          <w:szCs w:val="22"/>
        </w:rPr>
        <w:t>u</w:t>
      </w:r>
      <w:r w:rsidR="00E213D3" w:rsidRPr="00E213D3">
        <w:rPr>
          <w:iCs/>
          <w:sz w:val="22"/>
          <w:szCs w:val="22"/>
        </w:rPr>
        <w:t>-19 a</w:t>
      </w:r>
      <w:r w:rsidR="000B26A1">
        <w:rPr>
          <w:iCs/>
          <w:sz w:val="22"/>
          <w:szCs w:val="22"/>
        </w:rPr>
        <w:t> </w:t>
      </w:r>
      <w:r w:rsidR="00E213D3" w:rsidRPr="00E213D3">
        <w:rPr>
          <w:iCs/>
          <w:sz w:val="22"/>
          <w:szCs w:val="22"/>
        </w:rPr>
        <w:t xml:space="preserve">samotným vyhlášením </w:t>
      </w:r>
      <w:r w:rsidR="00B93791">
        <w:rPr>
          <w:iCs/>
          <w:sz w:val="22"/>
          <w:szCs w:val="22"/>
        </w:rPr>
        <w:t>v</w:t>
      </w:r>
      <w:r w:rsidR="00E73A1E" w:rsidRPr="003F6C0A">
        <w:rPr>
          <w:iCs/>
          <w:sz w:val="22"/>
          <w:szCs w:val="22"/>
        </w:rPr>
        <w:t>ýzvy č.</w:t>
      </w:r>
      <w:r w:rsidR="000D3D66">
        <w:rPr>
          <w:iCs/>
          <w:sz w:val="22"/>
          <w:szCs w:val="22"/>
        </w:rPr>
        <w:t> </w:t>
      </w:r>
      <w:r w:rsidR="00E73A1E" w:rsidRPr="003F6C0A">
        <w:rPr>
          <w:iCs/>
          <w:sz w:val="22"/>
          <w:szCs w:val="22"/>
        </w:rPr>
        <w:t>101</w:t>
      </w:r>
      <w:r w:rsidR="00B93791">
        <w:rPr>
          <w:iCs/>
          <w:sz w:val="22"/>
          <w:szCs w:val="22"/>
        </w:rPr>
        <w:t xml:space="preserve"> </w:t>
      </w:r>
      <w:r w:rsidR="00B93791" w:rsidRPr="00781D40">
        <w:rPr>
          <w:i w:val="0"/>
          <w:sz w:val="22"/>
          <w:szCs w:val="22"/>
        </w:rPr>
        <w:t>REACT-EU</w:t>
      </w:r>
      <w:r w:rsidR="00E73A1E">
        <w:rPr>
          <w:iCs/>
          <w:sz w:val="22"/>
          <w:szCs w:val="22"/>
        </w:rPr>
        <w:t xml:space="preserve">. </w:t>
      </w:r>
      <w:r w:rsidR="00E213D3">
        <w:rPr>
          <w:iCs/>
          <w:sz w:val="22"/>
          <w:szCs w:val="22"/>
        </w:rPr>
        <w:t xml:space="preserve">Potřeba podpory z IROP </w:t>
      </w:r>
      <w:r w:rsidR="00E73A1E">
        <w:rPr>
          <w:iCs/>
          <w:sz w:val="22"/>
          <w:szCs w:val="22"/>
        </w:rPr>
        <w:t>1</w:t>
      </w:r>
      <w:r w:rsidR="00907001">
        <w:rPr>
          <w:iCs/>
          <w:sz w:val="22"/>
          <w:szCs w:val="22"/>
        </w:rPr>
        <w:t xml:space="preserve"> na nákup nemovitosti</w:t>
      </w:r>
      <w:r w:rsidR="00E73A1E">
        <w:rPr>
          <w:iCs/>
          <w:sz w:val="22"/>
          <w:szCs w:val="22"/>
        </w:rPr>
        <w:t xml:space="preserve"> </w:t>
      </w:r>
      <w:r w:rsidR="00E213D3">
        <w:rPr>
          <w:iCs/>
          <w:sz w:val="22"/>
          <w:szCs w:val="22"/>
        </w:rPr>
        <w:t>tak nebyla ovlivněna pandemií covid</w:t>
      </w:r>
      <w:r w:rsidR="000B26A1">
        <w:rPr>
          <w:iCs/>
          <w:sz w:val="22"/>
          <w:szCs w:val="22"/>
        </w:rPr>
        <w:t>u</w:t>
      </w:r>
      <w:r w:rsidR="00E213D3">
        <w:rPr>
          <w:iCs/>
          <w:sz w:val="22"/>
          <w:szCs w:val="22"/>
        </w:rPr>
        <w:t>-19</w:t>
      </w:r>
      <w:r w:rsidR="00151BA7">
        <w:rPr>
          <w:iCs/>
          <w:sz w:val="22"/>
          <w:szCs w:val="22"/>
        </w:rPr>
        <w:t xml:space="preserve"> a přímá souvislost s</w:t>
      </w:r>
      <w:r w:rsidR="009C5B8A">
        <w:rPr>
          <w:iCs/>
          <w:sz w:val="22"/>
          <w:szCs w:val="22"/>
        </w:rPr>
        <w:t xml:space="preserve"> pandemi</w:t>
      </w:r>
      <w:r w:rsidR="00151BA7">
        <w:rPr>
          <w:iCs/>
          <w:sz w:val="22"/>
          <w:szCs w:val="22"/>
        </w:rPr>
        <w:t>í</w:t>
      </w:r>
      <w:r w:rsidR="009C5B8A">
        <w:rPr>
          <w:iCs/>
          <w:sz w:val="22"/>
          <w:szCs w:val="22"/>
        </w:rPr>
        <w:t xml:space="preserve"> nebyla </w:t>
      </w:r>
      <w:r w:rsidR="00E73A1E">
        <w:rPr>
          <w:iCs/>
          <w:sz w:val="22"/>
          <w:szCs w:val="22"/>
        </w:rPr>
        <w:t xml:space="preserve">v případě pořizované nemovitosti </w:t>
      </w:r>
      <w:r>
        <w:rPr>
          <w:iCs/>
          <w:sz w:val="22"/>
          <w:szCs w:val="22"/>
        </w:rPr>
        <w:t xml:space="preserve">zcela </w:t>
      </w:r>
      <w:r w:rsidR="009C5B8A">
        <w:rPr>
          <w:iCs/>
          <w:sz w:val="22"/>
          <w:szCs w:val="22"/>
        </w:rPr>
        <w:t>prokázána</w:t>
      </w:r>
      <w:r w:rsidR="002A2C8D">
        <w:rPr>
          <w:iCs/>
          <w:sz w:val="22"/>
          <w:szCs w:val="22"/>
        </w:rPr>
        <w:t>.</w:t>
      </w:r>
    </w:p>
    <w:p w14:paraId="3CA8CB1F" w14:textId="1F46A3DE" w:rsidR="00E84188" w:rsidRPr="00781D40" w:rsidRDefault="002A2C8D" w:rsidP="002A2C8D">
      <w:pPr>
        <w:pStyle w:val="Pkladyvrmeku"/>
        <w:spacing w:after="120"/>
        <w:rPr>
          <w:rFonts w:ascii="Calibri" w:hAnsi="Calibri" w:cs="Calibri"/>
          <w:sz w:val="22"/>
          <w:szCs w:val="22"/>
        </w:rPr>
      </w:pPr>
      <w:r w:rsidRPr="002A2C8D">
        <w:rPr>
          <w:sz w:val="22"/>
          <w:szCs w:val="22"/>
        </w:rPr>
        <w:t>I přes</w:t>
      </w:r>
      <w:r w:rsidR="0067719C">
        <w:rPr>
          <w:sz w:val="22"/>
          <w:szCs w:val="22"/>
        </w:rPr>
        <w:t xml:space="preserve"> tento</w:t>
      </w:r>
      <w:r w:rsidRPr="002A2C8D">
        <w:rPr>
          <w:sz w:val="22"/>
          <w:szCs w:val="22"/>
        </w:rPr>
        <w:t xml:space="preserve"> nedostatek </w:t>
      </w:r>
      <w:r w:rsidR="000B26A1" w:rsidRPr="002A2C8D">
        <w:rPr>
          <w:sz w:val="22"/>
          <w:szCs w:val="22"/>
        </w:rPr>
        <w:t xml:space="preserve">naplnil </w:t>
      </w:r>
      <w:r w:rsidRPr="002A2C8D">
        <w:rPr>
          <w:sz w:val="22"/>
          <w:szCs w:val="22"/>
        </w:rPr>
        <w:t xml:space="preserve">příjemce aktivity nezbytné pro dosažení cílů projektu, využívá výstupy v rámci podpořených sociálních služeb a u projektu jako celku lze předpokládat, že povede ke zvýšení kvality a dostupnosti poskytovaných sociálních služeb. </w:t>
      </w:r>
      <w:r w:rsidR="009C5B8A">
        <w:rPr>
          <w:iCs/>
          <w:sz w:val="22"/>
          <w:szCs w:val="22"/>
        </w:rPr>
        <w:t xml:space="preserve">NKÚ </w:t>
      </w:r>
      <w:r w:rsidR="00151BA7">
        <w:rPr>
          <w:iCs/>
          <w:sz w:val="22"/>
          <w:szCs w:val="22"/>
        </w:rPr>
        <w:t xml:space="preserve">proto </w:t>
      </w:r>
      <w:r w:rsidR="00E213D3" w:rsidRPr="00E213D3">
        <w:rPr>
          <w:iCs/>
          <w:sz w:val="22"/>
          <w:szCs w:val="22"/>
        </w:rPr>
        <w:t>vyhodnotil prostředky vynaložené na tento projekt jako účelné s mírnými nedostatky.</w:t>
      </w:r>
      <w:r w:rsidR="00E213D3">
        <w:rPr>
          <w:iCs/>
          <w:sz w:val="22"/>
          <w:szCs w:val="22"/>
        </w:rPr>
        <w:t xml:space="preserve"> </w:t>
      </w:r>
      <w:r w:rsidR="00E3170A" w:rsidRPr="00E3170A">
        <w:rPr>
          <w:iCs/>
          <w:sz w:val="22"/>
          <w:szCs w:val="22"/>
        </w:rPr>
        <w:t>Celková výše schválených a proplacených veřejných prostředků dosáhla 47 079 045 Kč.</w:t>
      </w:r>
    </w:p>
    <w:p w14:paraId="32852D05" w14:textId="2CA4CC71" w:rsidR="00B05FAF" w:rsidRPr="00D56926" w:rsidRDefault="00B05FAF" w:rsidP="00C611A1">
      <w:pPr>
        <w:pStyle w:val="Kontrolnprotokol"/>
        <w:keepNext/>
        <w:spacing w:before="120" w:after="120"/>
        <w:ind w:left="284" w:hanging="284"/>
        <w:rPr>
          <w:b/>
          <w:i/>
          <w:color w:val="00ADDB"/>
        </w:rPr>
      </w:pPr>
      <w:bookmarkStart w:id="49" w:name="_Hlk191026683"/>
      <w:r w:rsidRPr="00D56926">
        <w:rPr>
          <w:b/>
          <w:i/>
          <w:color w:val="00ADDB"/>
        </w:rPr>
        <w:t>→</w:t>
      </w:r>
      <w:r w:rsidR="00972A4E">
        <w:rPr>
          <w:b/>
          <w:i/>
          <w:color w:val="00ADDB"/>
        </w:rPr>
        <w:t xml:space="preserve"> </w:t>
      </w:r>
      <w:r w:rsidR="002A2C8D" w:rsidRPr="00D56926">
        <w:rPr>
          <w:b/>
          <w:i/>
          <w:color w:val="00ADDB"/>
        </w:rPr>
        <w:t>P</w:t>
      </w:r>
      <w:r w:rsidR="00E84188" w:rsidRPr="00D56926">
        <w:rPr>
          <w:b/>
          <w:i/>
          <w:color w:val="00ADDB"/>
        </w:rPr>
        <w:t>rojekt</w:t>
      </w:r>
      <w:r w:rsidR="008D1051" w:rsidRPr="00D56926">
        <w:rPr>
          <w:b/>
          <w:i/>
          <w:color w:val="00ADDB"/>
        </w:rPr>
        <w:t>y</w:t>
      </w:r>
      <w:r w:rsidR="00E84188" w:rsidRPr="00D56926">
        <w:rPr>
          <w:b/>
          <w:i/>
          <w:color w:val="00ADDB"/>
        </w:rPr>
        <w:t xml:space="preserve">, </w:t>
      </w:r>
      <w:r w:rsidR="000B26A1">
        <w:rPr>
          <w:b/>
          <w:i/>
          <w:color w:val="00ADDB"/>
        </w:rPr>
        <w:t>na něž</w:t>
      </w:r>
      <w:r w:rsidR="00E84188" w:rsidRPr="00D56926">
        <w:rPr>
          <w:b/>
          <w:i/>
          <w:color w:val="00ADDB"/>
        </w:rPr>
        <w:t xml:space="preserve"> příjemci vynaložili </w:t>
      </w:r>
      <w:r w:rsidR="006937BE" w:rsidRPr="00D56926">
        <w:rPr>
          <w:b/>
          <w:i/>
          <w:color w:val="00ADDB"/>
        </w:rPr>
        <w:t>peněžní</w:t>
      </w:r>
      <w:r w:rsidR="00E84188" w:rsidRPr="00D56926">
        <w:rPr>
          <w:b/>
          <w:i/>
          <w:color w:val="00ADDB"/>
        </w:rPr>
        <w:t xml:space="preserve"> prostředky</w:t>
      </w:r>
      <w:r w:rsidR="006937BE" w:rsidRPr="00D56926">
        <w:rPr>
          <w:b/>
          <w:i/>
          <w:color w:val="00ADDB"/>
        </w:rPr>
        <w:t xml:space="preserve"> </w:t>
      </w:r>
      <w:r w:rsidR="00E84188" w:rsidRPr="00D56926">
        <w:rPr>
          <w:b/>
          <w:i/>
          <w:color w:val="00ADDB"/>
        </w:rPr>
        <w:t xml:space="preserve">účelně, </w:t>
      </w:r>
      <w:r w:rsidR="002A2C8D" w:rsidRPr="00D56926">
        <w:rPr>
          <w:b/>
          <w:i/>
          <w:color w:val="00ADDB"/>
        </w:rPr>
        <w:t xml:space="preserve">mezi kontrolovanými </w:t>
      </w:r>
      <w:r w:rsidR="000B26A1">
        <w:rPr>
          <w:b/>
          <w:i/>
          <w:color w:val="00ADDB"/>
        </w:rPr>
        <w:t xml:space="preserve">projekty </w:t>
      </w:r>
      <w:r w:rsidR="008D1051" w:rsidRPr="00D56926">
        <w:rPr>
          <w:b/>
          <w:i/>
          <w:color w:val="00ADDB"/>
        </w:rPr>
        <w:t>převažovaly.</w:t>
      </w:r>
    </w:p>
    <w:bookmarkEnd w:id="49"/>
    <w:p w14:paraId="3A1CDA9B" w14:textId="642EBBC2" w:rsidR="0001651C" w:rsidRPr="00185CC5" w:rsidRDefault="00D73263" w:rsidP="00057F85">
      <w:pPr>
        <w:pStyle w:val="JK4"/>
        <w:ind w:left="0" w:firstLine="0"/>
      </w:pPr>
      <w:r>
        <w:t xml:space="preserve">NKÚ </w:t>
      </w:r>
      <w:r w:rsidR="00010388">
        <w:t xml:space="preserve">ověřil, že </w:t>
      </w:r>
      <w:r>
        <w:t>v</w:t>
      </w:r>
      <w:r w:rsidR="00A10002" w:rsidRPr="00D73263">
        <w:t>ětšin</w:t>
      </w:r>
      <w:r>
        <w:t>a</w:t>
      </w:r>
      <w:r w:rsidR="00A10002" w:rsidRPr="00D73263">
        <w:t xml:space="preserve"> p</w:t>
      </w:r>
      <w:r>
        <w:t xml:space="preserve">říjemců vynaložila peněžní prostředky na realizaci projektů účelně. </w:t>
      </w:r>
      <w:r w:rsidR="00A10002" w:rsidRPr="00D73263">
        <w:t xml:space="preserve">Příkladem dobré praxe </w:t>
      </w:r>
      <w:r w:rsidR="00AB3597">
        <w:t>může být</w:t>
      </w:r>
      <w:r>
        <w:t xml:space="preserve"> </w:t>
      </w:r>
      <w:r w:rsidR="003D28F4">
        <w:t xml:space="preserve">např. </w:t>
      </w:r>
      <w:r>
        <w:t xml:space="preserve">projekt s </w:t>
      </w:r>
      <w:r w:rsidR="00A10002" w:rsidRPr="00D73263">
        <w:t>úspěšným dokončením transformace</w:t>
      </w:r>
      <w:r>
        <w:t xml:space="preserve"> pobytové sociální služby </w:t>
      </w:r>
      <w:r w:rsidR="00AB3597">
        <w:t>nebo</w:t>
      </w:r>
      <w:r>
        <w:t xml:space="preserve"> projekt vedoucí ke </w:t>
      </w:r>
      <w:r w:rsidR="00A10002" w:rsidRPr="00D73263">
        <w:t>zvýšení kvality odlehčovací služby</w:t>
      </w:r>
      <w:r w:rsidR="00010388">
        <w:t xml:space="preserve">. Tyto projekty </w:t>
      </w:r>
      <w:r w:rsidR="003D28F4">
        <w:t xml:space="preserve">podpořené </w:t>
      </w:r>
      <w:r w:rsidR="00010388">
        <w:t>z</w:t>
      </w:r>
      <w:r w:rsidR="00AB3597">
        <w:t xml:space="preserve"> </w:t>
      </w:r>
      <w:r w:rsidR="00010388">
        <w:t xml:space="preserve">IROP 1, které přispívají ke zvýšení kvality poskytovaných sociálních služeb, </w:t>
      </w:r>
      <w:r>
        <w:t xml:space="preserve">jsou popsány </w:t>
      </w:r>
      <w:r w:rsidRPr="00FE6ED9">
        <w:t>v </w:t>
      </w:r>
      <w:r w:rsidRPr="00FE6ED9">
        <w:rPr>
          <w:b/>
        </w:rPr>
        <w:t xml:space="preserve">příkladech č. </w:t>
      </w:r>
      <w:r w:rsidR="006418FF">
        <w:rPr>
          <w:b/>
        </w:rPr>
        <w:t>8</w:t>
      </w:r>
      <w:r w:rsidRPr="00FE6ED9">
        <w:rPr>
          <w:b/>
        </w:rPr>
        <w:t xml:space="preserve"> a </w:t>
      </w:r>
      <w:r w:rsidR="00010388" w:rsidRPr="00FE6ED9">
        <w:rPr>
          <w:b/>
        </w:rPr>
        <w:t xml:space="preserve">č. </w:t>
      </w:r>
      <w:r w:rsidR="006418FF">
        <w:rPr>
          <w:b/>
        </w:rPr>
        <w:t>9</w:t>
      </w:r>
      <w:r w:rsidRPr="00781D40">
        <w:rPr>
          <w:b/>
          <w:bCs/>
        </w:rPr>
        <w:t>.</w:t>
      </w:r>
      <w:r w:rsidRPr="00FE6ED9">
        <w:t xml:space="preserve"> </w:t>
      </w:r>
      <w:r w:rsidR="0001651C" w:rsidRPr="00FE6ED9">
        <w:t>Příjemci</w:t>
      </w:r>
      <w:r w:rsidR="0001651C">
        <w:t xml:space="preserve"> při realizaci těchto projektů zároveň </w:t>
      </w:r>
      <w:r w:rsidR="00264D9D">
        <w:t xml:space="preserve">postupovali </w:t>
      </w:r>
      <w:r w:rsidR="0001651C">
        <w:t>v</w:t>
      </w:r>
      <w:r w:rsidR="00AB3597">
        <w:t xml:space="preserve"> </w:t>
      </w:r>
      <w:r w:rsidR="0001651C">
        <w:t>souladu s</w:t>
      </w:r>
      <w:r w:rsidR="00AB3597">
        <w:t xml:space="preserve"> </w:t>
      </w:r>
      <w:r w:rsidR="0001651C">
        <w:t>právními předpisy a s</w:t>
      </w:r>
      <w:r w:rsidR="00AB3597">
        <w:t xml:space="preserve"> </w:t>
      </w:r>
      <w:r w:rsidR="0001651C">
        <w:t>podmínkami stanovenými poskytovatelem podpory.</w:t>
      </w:r>
    </w:p>
    <w:p w14:paraId="7FFB3237" w14:textId="6FE5DD09" w:rsidR="0001651C" w:rsidRPr="000D0F43" w:rsidRDefault="0001651C" w:rsidP="00CB5D99">
      <w:pPr>
        <w:pStyle w:val="Nadpispklad"/>
        <w:spacing w:after="60"/>
        <w:rPr>
          <w:i/>
        </w:rPr>
      </w:pPr>
      <w:bookmarkStart w:id="50" w:name="_Hlk188730243"/>
      <w:r w:rsidRPr="000D0F43">
        <w:rPr>
          <w:i/>
        </w:rPr>
        <w:t xml:space="preserve">Příklad </w:t>
      </w:r>
      <w:r w:rsidRPr="00996C8B">
        <w:rPr>
          <w:i/>
        </w:rPr>
        <w:t xml:space="preserve">č. </w:t>
      </w:r>
      <w:r w:rsidR="006418FF">
        <w:rPr>
          <w:i/>
        </w:rPr>
        <w:t>8</w:t>
      </w:r>
      <w:r w:rsidRPr="00996C8B">
        <w:rPr>
          <w:i/>
        </w:rPr>
        <w:t>:</w:t>
      </w:r>
      <w:r w:rsidR="00F72787">
        <w:rPr>
          <w:i/>
        </w:rPr>
        <w:t xml:space="preserve"> </w:t>
      </w:r>
      <w:r>
        <w:rPr>
          <w:i/>
        </w:rPr>
        <w:t>Úspěšné dokončení transformace ústavní pobytové péče</w:t>
      </w:r>
    </w:p>
    <w:p w14:paraId="62C253E0" w14:textId="605DA11F" w:rsidR="0001651C" w:rsidRPr="008175BC" w:rsidRDefault="0001651C" w:rsidP="0001651C">
      <w:pPr>
        <w:pStyle w:val="Pkladyvrmeku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Prvním příkladem dobré praxe je p</w:t>
      </w:r>
      <w:r w:rsidRPr="008175BC">
        <w:rPr>
          <w:sz w:val="22"/>
          <w:szCs w:val="22"/>
        </w:rPr>
        <w:t xml:space="preserve">rojekt </w:t>
      </w:r>
      <w:r w:rsidR="0076214E">
        <w:rPr>
          <w:sz w:val="22"/>
          <w:szCs w:val="22"/>
        </w:rPr>
        <w:t>*</w:t>
      </w:r>
      <w:r w:rsidR="00460CA3">
        <w:rPr>
          <w:sz w:val="22"/>
          <w:szCs w:val="22"/>
        </w:rPr>
        <w:t>0</w:t>
      </w:r>
      <w:r w:rsidRPr="008175BC">
        <w:rPr>
          <w:sz w:val="22"/>
          <w:szCs w:val="22"/>
        </w:rPr>
        <w:t>5758</w:t>
      </w:r>
      <w:r w:rsidR="00DA23BA">
        <w:rPr>
          <w:sz w:val="22"/>
          <w:szCs w:val="22"/>
        </w:rPr>
        <w:t xml:space="preserve"> </w:t>
      </w:r>
      <w:r w:rsidR="00AB3597">
        <w:rPr>
          <w:sz w:val="22"/>
          <w:szCs w:val="22"/>
        </w:rPr>
        <w:t>(</w:t>
      </w:r>
      <w:r w:rsidR="00DA23BA">
        <w:rPr>
          <w:sz w:val="22"/>
          <w:szCs w:val="22"/>
        </w:rPr>
        <w:t>zaměřený na transformaci pobytových sociálních služeb</w:t>
      </w:r>
      <w:r w:rsidR="00AB3597">
        <w:rPr>
          <w:sz w:val="22"/>
          <w:szCs w:val="22"/>
        </w:rPr>
        <w:t>)</w:t>
      </w:r>
      <w:r w:rsidRPr="008175BC">
        <w:rPr>
          <w:sz w:val="22"/>
          <w:szCs w:val="22"/>
        </w:rPr>
        <w:t xml:space="preserve">, jenž byl realizován </w:t>
      </w:r>
      <w:r w:rsidR="00CF2F76">
        <w:rPr>
          <w:sz w:val="22"/>
          <w:szCs w:val="22"/>
        </w:rPr>
        <w:t xml:space="preserve">s podporou z IROP 1. </w:t>
      </w:r>
      <w:r>
        <w:rPr>
          <w:sz w:val="22"/>
          <w:szCs w:val="22"/>
        </w:rPr>
        <w:t xml:space="preserve">Tento projekt </w:t>
      </w:r>
      <w:r w:rsidRPr="008175BC">
        <w:rPr>
          <w:sz w:val="22"/>
          <w:szCs w:val="22"/>
        </w:rPr>
        <w:t>zajistil přechod od ústavního modelu péče o osoby s</w:t>
      </w:r>
      <w:r w:rsidR="000D3D66">
        <w:rPr>
          <w:sz w:val="22"/>
          <w:szCs w:val="22"/>
        </w:rPr>
        <w:t> </w:t>
      </w:r>
      <w:r w:rsidRPr="008175BC">
        <w:rPr>
          <w:sz w:val="22"/>
          <w:szCs w:val="22"/>
        </w:rPr>
        <w:t xml:space="preserve">různým stupněm zdravotního postižení k podpoře osob žijících v přirozeném prostředí </w:t>
      </w:r>
      <w:r>
        <w:rPr>
          <w:sz w:val="22"/>
          <w:szCs w:val="22"/>
        </w:rPr>
        <w:t>(</w:t>
      </w:r>
      <w:r w:rsidRPr="008175BC">
        <w:rPr>
          <w:sz w:val="22"/>
          <w:szCs w:val="22"/>
        </w:rPr>
        <w:t>v komunitních domácnostech</w:t>
      </w:r>
      <w:r>
        <w:rPr>
          <w:sz w:val="22"/>
          <w:szCs w:val="22"/>
        </w:rPr>
        <w:t>), kdy p</w:t>
      </w:r>
      <w:r w:rsidRPr="008175BC">
        <w:rPr>
          <w:sz w:val="22"/>
          <w:szCs w:val="22"/>
        </w:rPr>
        <w:t>říjemce vybudoval a rekonstruoval objekty komunitního bydlení pro celkem 48 uživatelů. V souladu s </w:t>
      </w:r>
      <w:r w:rsidR="00AB3597">
        <w:rPr>
          <w:sz w:val="22"/>
          <w:szCs w:val="22"/>
        </w:rPr>
        <w:t>t</w:t>
      </w:r>
      <w:r w:rsidRPr="008175BC">
        <w:rPr>
          <w:sz w:val="22"/>
          <w:szCs w:val="22"/>
        </w:rPr>
        <w:t xml:space="preserve">ransformačním plánem tak došlo k dokončení </w:t>
      </w:r>
      <w:r>
        <w:rPr>
          <w:sz w:val="22"/>
          <w:szCs w:val="22"/>
        </w:rPr>
        <w:t xml:space="preserve">dlouholetého </w:t>
      </w:r>
      <w:r w:rsidRPr="008175BC">
        <w:rPr>
          <w:sz w:val="22"/>
          <w:szCs w:val="22"/>
        </w:rPr>
        <w:t xml:space="preserve">procesu deinstitucionalizace </w:t>
      </w:r>
      <w:r>
        <w:rPr>
          <w:sz w:val="22"/>
          <w:szCs w:val="22"/>
        </w:rPr>
        <w:t xml:space="preserve">pobytové sociální služby v CSS Stod </w:t>
      </w:r>
      <w:r w:rsidRPr="008175BC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k </w:t>
      </w:r>
      <w:r w:rsidRPr="008175BC">
        <w:rPr>
          <w:sz w:val="22"/>
          <w:szCs w:val="22"/>
        </w:rPr>
        <w:t>opuštění původního ústavního areálu</w:t>
      </w:r>
      <w:r w:rsidR="00264D9D">
        <w:rPr>
          <w:sz w:val="22"/>
          <w:szCs w:val="22"/>
        </w:rPr>
        <w:t>. T</w:t>
      </w:r>
      <w:r w:rsidRPr="008175BC">
        <w:rPr>
          <w:sz w:val="22"/>
          <w:szCs w:val="22"/>
        </w:rPr>
        <w:t xml:space="preserve">ím </w:t>
      </w:r>
      <w:r w:rsidR="00264D9D">
        <w:rPr>
          <w:sz w:val="22"/>
          <w:szCs w:val="22"/>
        </w:rPr>
        <w:t xml:space="preserve">zároveň došlo </w:t>
      </w:r>
      <w:r w:rsidRPr="008175BC">
        <w:rPr>
          <w:sz w:val="22"/>
          <w:szCs w:val="22"/>
        </w:rPr>
        <w:t xml:space="preserve">k zajištění sociálních služeb v souladu s individuálními potřebami uživatelů, </w:t>
      </w:r>
      <w:r>
        <w:rPr>
          <w:sz w:val="22"/>
          <w:szCs w:val="22"/>
        </w:rPr>
        <w:t>t</w:t>
      </w:r>
      <w:r w:rsidR="00BD08CC">
        <w:rPr>
          <w:sz w:val="22"/>
          <w:szCs w:val="22"/>
        </w:rPr>
        <w:t xml:space="preserve">zn. </w:t>
      </w:r>
      <w:r w:rsidRPr="008175BC">
        <w:rPr>
          <w:sz w:val="22"/>
          <w:szCs w:val="22"/>
        </w:rPr>
        <w:t xml:space="preserve">ke zlepšení kvality </w:t>
      </w:r>
      <w:r>
        <w:rPr>
          <w:sz w:val="22"/>
          <w:szCs w:val="22"/>
        </w:rPr>
        <w:t xml:space="preserve">jejich </w:t>
      </w:r>
      <w:r w:rsidRPr="008175BC">
        <w:rPr>
          <w:sz w:val="22"/>
          <w:szCs w:val="22"/>
        </w:rPr>
        <w:t>života</w:t>
      </w:r>
      <w:r>
        <w:rPr>
          <w:sz w:val="22"/>
          <w:szCs w:val="22"/>
        </w:rPr>
        <w:t xml:space="preserve"> </w:t>
      </w:r>
      <w:r w:rsidRPr="008175BC">
        <w:rPr>
          <w:sz w:val="22"/>
          <w:szCs w:val="22"/>
        </w:rPr>
        <w:t>zejména zvýšením míry soukromí v devíti nově vybudovaných domácnostech.</w:t>
      </w:r>
      <w:r w:rsidR="009E333C">
        <w:rPr>
          <w:sz w:val="22"/>
          <w:szCs w:val="22"/>
        </w:rPr>
        <w:t xml:space="preserve"> </w:t>
      </w:r>
      <w:r w:rsidR="009E333C" w:rsidRPr="009E333C">
        <w:rPr>
          <w:sz w:val="22"/>
          <w:szCs w:val="22"/>
        </w:rPr>
        <w:t xml:space="preserve">Celková výše schválených a proplacených veřejných prostředků </w:t>
      </w:r>
      <w:r w:rsidR="009E333C">
        <w:rPr>
          <w:sz w:val="22"/>
          <w:szCs w:val="22"/>
        </w:rPr>
        <w:t xml:space="preserve">je </w:t>
      </w:r>
      <w:r w:rsidR="009E333C" w:rsidRPr="009E333C">
        <w:rPr>
          <w:sz w:val="22"/>
          <w:szCs w:val="22"/>
        </w:rPr>
        <w:t>70 385 88</w:t>
      </w:r>
      <w:r w:rsidR="00D13667">
        <w:rPr>
          <w:sz w:val="22"/>
          <w:szCs w:val="22"/>
        </w:rPr>
        <w:t>1</w:t>
      </w:r>
      <w:r w:rsidR="009E333C" w:rsidRPr="009E333C">
        <w:rPr>
          <w:sz w:val="22"/>
          <w:szCs w:val="22"/>
        </w:rPr>
        <w:t xml:space="preserve"> Kč.</w:t>
      </w:r>
      <w:r w:rsidRPr="008175BC">
        <w:rPr>
          <w:sz w:val="22"/>
          <w:szCs w:val="22"/>
          <w:vertAlign w:val="superscript"/>
        </w:rPr>
        <w:footnoteReference w:id="41"/>
      </w:r>
    </w:p>
    <w:bookmarkEnd w:id="50"/>
    <w:p w14:paraId="5418A7CB" w14:textId="3AA5E5D4" w:rsidR="0001651C" w:rsidRPr="000D0F43" w:rsidRDefault="0001651C" w:rsidP="00F72787">
      <w:pPr>
        <w:pStyle w:val="Nadpispklad"/>
        <w:spacing w:after="60"/>
        <w:rPr>
          <w:i/>
        </w:rPr>
      </w:pPr>
      <w:r w:rsidRPr="000D0F43">
        <w:rPr>
          <w:i/>
        </w:rPr>
        <w:t>Příklad č</w:t>
      </w:r>
      <w:r w:rsidRPr="00996C8B">
        <w:rPr>
          <w:i/>
        </w:rPr>
        <w:t xml:space="preserve">. </w:t>
      </w:r>
      <w:r w:rsidR="006418FF">
        <w:rPr>
          <w:i/>
        </w:rPr>
        <w:t>9</w:t>
      </w:r>
      <w:r w:rsidRPr="00996C8B">
        <w:rPr>
          <w:i/>
        </w:rPr>
        <w:t>:</w:t>
      </w:r>
      <w:r w:rsidR="00F72787">
        <w:rPr>
          <w:i/>
        </w:rPr>
        <w:t xml:space="preserve"> </w:t>
      </w:r>
      <w:r>
        <w:rPr>
          <w:i/>
        </w:rPr>
        <w:t>Zvýšení kvality odlehčovací služby s využitím nácviku moderních technologií</w:t>
      </w:r>
    </w:p>
    <w:p w14:paraId="50E9F468" w14:textId="29B33F55" w:rsidR="0001651C" w:rsidRDefault="0001651C" w:rsidP="0001651C">
      <w:pPr>
        <w:pStyle w:val="Pkladyvrmeku"/>
        <w:keepNext/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4" w:color="auto"/>
        </w:pBd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Dalším příkladem dobré praxe je projekt </w:t>
      </w:r>
      <w:r w:rsidR="0076214E">
        <w:rPr>
          <w:sz w:val="22"/>
          <w:szCs w:val="22"/>
        </w:rPr>
        <w:t>*</w:t>
      </w:r>
      <w:r w:rsidRPr="00B46873">
        <w:rPr>
          <w:sz w:val="22"/>
          <w:szCs w:val="22"/>
        </w:rPr>
        <w:t>17104</w:t>
      </w:r>
      <w:r>
        <w:rPr>
          <w:sz w:val="22"/>
          <w:szCs w:val="22"/>
        </w:rPr>
        <w:t xml:space="preserve"> </w:t>
      </w:r>
      <w:r w:rsidR="00DA23BA">
        <w:rPr>
          <w:sz w:val="22"/>
          <w:szCs w:val="22"/>
        </w:rPr>
        <w:t>zaměřený na zvýšení kvality odlehčovací služby</w:t>
      </w:r>
      <w:r>
        <w:rPr>
          <w:sz w:val="22"/>
          <w:szCs w:val="22"/>
        </w:rPr>
        <w:t>. Tento projekt přispěl ke zvýšení soběstačnosti</w:t>
      </w:r>
      <w:r w:rsidR="00A439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klientů s roztroušenou sklerózou, kteří mohli </w:t>
      </w:r>
      <w:r w:rsidR="003D28F4">
        <w:rPr>
          <w:sz w:val="22"/>
          <w:szCs w:val="22"/>
        </w:rPr>
        <w:t xml:space="preserve">využít </w:t>
      </w:r>
      <w:r>
        <w:rPr>
          <w:sz w:val="22"/>
          <w:szCs w:val="22"/>
        </w:rPr>
        <w:t>nově zrekonstruovaného Domu sv. Františka</w:t>
      </w:r>
      <w:r w:rsidR="00A0784D">
        <w:rPr>
          <w:sz w:val="22"/>
          <w:szCs w:val="22"/>
        </w:rPr>
        <w:t xml:space="preserve">. Zde </w:t>
      </w:r>
      <w:r>
        <w:rPr>
          <w:sz w:val="22"/>
          <w:szCs w:val="22"/>
        </w:rPr>
        <w:t>bylo díky podpoře z</w:t>
      </w:r>
      <w:r w:rsidR="00B26A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IROP 1 vybudováno osm dvoulůžkových </w:t>
      </w:r>
      <w:r w:rsidR="00AB3597">
        <w:rPr>
          <w:sz w:val="22"/>
          <w:szCs w:val="22"/>
        </w:rPr>
        <w:t xml:space="preserve">pokojů </w:t>
      </w:r>
      <w:r>
        <w:rPr>
          <w:sz w:val="22"/>
          <w:szCs w:val="22"/>
        </w:rPr>
        <w:t>a jeden jednolůžkový pokoj</w:t>
      </w:r>
      <w:r w:rsidR="006937BE">
        <w:rPr>
          <w:sz w:val="22"/>
          <w:szCs w:val="22"/>
        </w:rPr>
        <w:t>, ve kterých klienti pobývají po určitou dobu</w:t>
      </w:r>
      <w:r w:rsidR="003D28F4">
        <w:rPr>
          <w:sz w:val="22"/>
          <w:szCs w:val="22"/>
        </w:rPr>
        <w:t xml:space="preserve"> poskyt</w:t>
      </w:r>
      <w:r w:rsidR="00AB3597">
        <w:rPr>
          <w:sz w:val="22"/>
          <w:szCs w:val="22"/>
        </w:rPr>
        <w:t>ování</w:t>
      </w:r>
      <w:r w:rsidR="003D28F4">
        <w:rPr>
          <w:sz w:val="22"/>
          <w:szCs w:val="22"/>
        </w:rPr>
        <w:t xml:space="preserve"> odlehčovací služby</w:t>
      </w:r>
      <w:r>
        <w:rPr>
          <w:sz w:val="22"/>
          <w:szCs w:val="22"/>
        </w:rPr>
        <w:t>.</w:t>
      </w:r>
      <w:r w:rsidR="00D5546F">
        <w:rPr>
          <w:sz w:val="22"/>
          <w:szCs w:val="22"/>
        </w:rPr>
        <w:t xml:space="preserve"> Během jednoho roku projde pobytem v</w:t>
      </w:r>
      <w:r w:rsidR="00B26A5C">
        <w:rPr>
          <w:sz w:val="22"/>
          <w:szCs w:val="22"/>
        </w:rPr>
        <w:t xml:space="preserve"> </w:t>
      </w:r>
      <w:r w:rsidR="00D5546F">
        <w:rPr>
          <w:sz w:val="22"/>
          <w:szCs w:val="22"/>
        </w:rPr>
        <w:t xml:space="preserve">tomto zařízení </w:t>
      </w:r>
      <w:r w:rsidR="00CC4DF5">
        <w:rPr>
          <w:sz w:val="22"/>
          <w:szCs w:val="22"/>
        </w:rPr>
        <w:t>více než 100</w:t>
      </w:r>
      <w:r w:rsidR="00B26A5C">
        <w:rPr>
          <w:sz w:val="22"/>
          <w:szCs w:val="22"/>
        </w:rPr>
        <w:t> </w:t>
      </w:r>
      <w:r w:rsidR="00CC4DF5">
        <w:rPr>
          <w:sz w:val="22"/>
          <w:szCs w:val="22"/>
        </w:rPr>
        <w:t xml:space="preserve">klientů. </w:t>
      </w:r>
      <w:r>
        <w:rPr>
          <w:sz w:val="22"/>
          <w:szCs w:val="22"/>
        </w:rPr>
        <w:t>Klientům je zároveň poskytována služba ve třech</w:t>
      </w:r>
      <w:r w:rsidR="00AB3597">
        <w:rPr>
          <w:sz w:val="22"/>
          <w:szCs w:val="22"/>
        </w:rPr>
        <w:t xml:space="preserve"> </w:t>
      </w:r>
      <w:r>
        <w:rPr>
          <w:sz w:val="22"/>
          <w:szCs w:val="22"/>
        </w:rPr>
        <w:t>chytrých tréninkových bytech, kde přispívá ke zvýšení kvality této služby i nácvik</w:t>
      </w:r>
      <w:r w:rsidR="00AB3597">
        <w:rPr>
          <w:sz w:val="22"/>
          <w:szCs w:val="22"/>
        </w:rPr>
        <w:t xml:space="preserve"> s</w:t>
      </w:r>
      <w:r>
        <w:rPr>
          <w:sz w:val="22"/>
          <w:szCs w:val="22"/>
        </w:rPr>
        <w:t xml:space="preserve"> moderní</w:t>
      </w:r>
      <w:r w:rsidR="00AB3597">
        <w:rPr>
          <w:sz w:val="22"/>
          <w:szCs w:val="22"/>
        </w:rPr>
        <w:t>mi</w:t>
      </w:r>
      <w:r>
        <w:rPr>
          <w:sz w:val="22"/>
          <w:szCs w:val="22"/>
        </w:rPr>
        <w:t xml:space="preserve"> technologi</w:t>
      </w:r>
      <w:r w:rsidR="00AB3597">
        <w:rPr>
          <w:sz w:val="22"/>
          <w:szCs w:val="22"/>
        </w:rPr>
        <w:t>emi</w:t>
      </w:r>
      <w:r>
        <w:rPr>
          <w:rStyle w:val="Znakapoznpodarou"/>
          <w:sz w:val="22"/>
          <w:szCs w:val="22"/>
        </w:rPr>
        <w:footnoteReference w:id="42"/>
      </w:r>
      <w:r>
        <w:rPr>
          <w:sz w:val="22"/>
          <w:szCs w:val="22"/>
        </w:rPr>
        <w:t xml:space="preserve">. </w:t>
      </w:r>
      <w:r w:rsidR="002877D1" w:rsidRPr="002877D1">
        <w:rPr>
          <w:sz w:val="22"/>
          <w:szCs w:val="22"/>
        </w:rPr>
        <w:t>Celková výše schválených a</w:t>
      </w:r>
      <w:r w:rsidR="00AB3597">
        <w:rPr>
          <w:sz w:val="22"/>
          <w:szCs w:val="22"/>
        </w:rPr>
        <w:t> </w:t>
      </w:r>
      <w:r w:rsidR="002877D1" w:rsidRPr="002877D1">
        <w:rPr>
          <w:sz w:val="22"/>
          <w:szCs w:val="22"/>
        </w:rPr>
        <w:t>proplacených veřejných prostředků dosáhla 56</w:t>
      </w:r>
      <w:r w:rsidR="00191137">
        <w:rPr>
          <w:sz w:val="22"/>
          <w:szCs w:val="22"/>
        </w:rPr>
        <w:t> 990 000</w:t>
      </w:r>
      <w:r w:rsidR="00A43935">
        <w:rPr>
          <w:sz w:val="22"/>
          <w:szCs w:val="22"/>
        </w:rPr>
        <w:t xml:space="preserve"> </w:t>
      </w:r>
      <w:r w:rsidR="002877D1" w:rsidRPr="002877D1">
        <w:rPr>
          <w:sz w:val="22"/>
          <w:szCs w:val="22"/>
        </w:rPr>
        <w:t>Kč.</w:t>
      </w:r>
    </w:p>
    <w:p w14:paraId="3A521592" w14:textId="77777777" w:rsidR="00972A4E" w:rsidRDefault="00972A4E" w:rsidP="0060459F">
      <w:bookmarkStart w:id="53" w:name="_Hlk188730916"/>
      <w:bookmarkEnd w:id="46"/>
    </w:p>
    <w:bookmarkEnd w:id="38"/>
    <w:bookmarkEnd w:id="53"/>
    <w:p w14:paraId="7A124911" w14:textId="77777777" w:rsidR="000F3992" w:rsidRDefault="000F3992">
      <w:pPr>
        <w:spacing w:before="0"/>
        <w:jc w:val="left"/>
        <w:rPr>
          <w:b/>
          <w:bCs/>
        </w:rPr>
      </w:pPr>
      <w:r>
        <w:br w:type="page"/>
      </w:r>
    </w:p>
    <w:p w14:paraId="2A8A18DF" w14:textId="77777777" w:rsidR="00504F32" w:rsidRPr="00C53AFD" w:rsidRDefault="00504F32" w:rsidP="00C53AFD">
      <w:pPr>
        <w:pStyle w:val="Nadpis1"/>
        <w:spacing w:before="0" w:after="120"/>
        <w:jc w:val="left"/>
        <w:rPr>
          <w:sz w:val="24"/>
          <w:szCs w:val="24"/>
        </w:rPr>
      </w:pPr>
      <w:r w:rsidRPr="00C53AFD">
        <w:rPr>
          <w:sz w:val="24"/>
          <w:szCs w:val="24"/>
        </w:rPr>
        <w:t>Seznam zkratek</w:t>
      </w:r>
    </w:p>
    <w:p w14:paraId="0EE8FB0E" w14:textId="5C917525" w:rsidR="005E1C5C" w:rsidRPr="00781D40" w:rsidRDefault="005E1C5C" w:rsidP="00781D40">
      <w:pPr>
        <w:spacing w:before="0" w:after="80"/>
        <w:ind w:left="2410" w:hanging="2410"/>
        <w:rPr>
          <w:color w:val="auto"/>
          <w:sz w:val="22"/>
          <w:szCs w:val="22"/>
        </w:rPr>
      </w:pPr>
      <w:r w:rsidRPr="00781D40">
        <w:rPr>
          <w:i/>
          <w:iCs/>
          <w:color w:val="auto"/>
          <w:sz w:val="22"/>
          <w:szCs w:val="22"/>
        </w:rPr>
        <w:t>Akční plán pro DI</w:t>
      </w:r>
      <w:r w:rsidRPr="00781D40">
        <w:rPr>
          <w:color w:val="auto"/>
          <w:sz w:val="22"/>
          <w:szCs w:val="22"/>
        </w:rPr>
        <w:tab/>
      </w:r>
      <w:r w:rsidRPr="00781D40">
        <w:rPr>
          <w:i/>
          <w:iCs/>
          <w:color w:val="auto"/>
          <w:sz w:val="22"/>
          <w:szCs w:val="22"/>
        </w:rPr>
        <w:t>Akční plán k přechodu sociálních služeb k péči poskytované na komunitní bázi a k větší individualizaci péče a k podpoře deinstitucionalizace sociálních služeb v ČR pro období 2023–2025</w:t>
      </w:r>
    </w:p>
    <w:p w14:paraId="1AF40BF9" w14:textId="77777777" w:rsidR="005E1C5C" w:rsidRPr="00781D40" w:rsidRDefault="005E1C5C" w:rsidP="00781D40">
      <w:pPr>
        <w:spacing w:before="0" w:after="80"/>
        <w:ind w:left="2410" w:hanging="2410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CRR</w:t>
      </w:r>
      <w:r w:rsidRPr="00781D40">
        <w:rPr>
          <w:color w:val="auto"/>
          <w:sz w:val="22"/>
          <w:szCs w:val="22"/>
        </w:rPr>
        <w:tab/>
        <w:t>Centrum pro regionální rozvoj České republiky</w:t>
      </w:r>
    </w:p>
    <w:p w14:paraId="1F7C18AA" w14:textId="77777777" w:rsidR="005E1C5C" w:rsidRDefault="005E1C5C" w:rsidP="005E1C5C">
      <w:pPr>
        <w:spacing w:before="0" w:after="80"/>
        <w:ind w:left="2410" w:hanging="241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CSS</w:t>
      </w:r>
      <w:r>
        <w:rPr>
          <w:color w:val="auto"/>
          <w:sz w:val="22"/>
          <w:szCs w:val="22"/>
        </w:rPr>
        <w:tab/>
        <w:t>centrum sociálních služeb</w:t>
      </w:r>
    </w:p>
    <w:p w14:paraId="76CAF6FD" w14:textId="77777777" w:rsidR="005E1C5C" w:rsidRPr="00781D40" w:rsidRDefault="005E1C5C" w:rsidP="00781D40">
      <w:pPr>
        <w:spacing w:before="0" w:after="80"/>
        <w:ind w:left="2410" w:hanging="2410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ČR</w:t>
      </w:r>
      <w:r w:rsidRPr="00781D40">
        <w:rPr>
          <w:color w:val="auto"/>
          <w:sz w:val="22"/>
          <w:szCs w:val="22"/>
        </w:rPr>
        <w:tab/>
        <w:t>Česká republika</w:t>
      </w:r>
    </w:p>
    <w:p w14:paraId="637241D1" w14:textId="53480167" w:rsidR="005E1C5C" w:rsidRPr="00781D40" w:rsidRDefault="005E1C5C" w:rsidP="00160AD1">
      <w:pPr>
        <w:spacing w:before="0" w:after="80"/>
        <w:ind w:left="2410" w:hanging="2410"/>
        <w:jc w:val="left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DI</w:t>
      </w:r>
      <w:r w:rsidRPr="00781D40">
        <w:rPr>
          <w:color w:val="auto"/>
          <w:sz w:val="22"/>
          <w:szCs w:val="22"/>
        </w:rPr>
        <w:tab/>
        <w:t>deinstitucionalizace (přechod od ústavní péče k péči, která umožňuje setrvání klienta v jeho přirozeném prostředí)</w:t>
      </w:r>
    </w:p>
    <w:p w14:paraId="3153DD26" w14:textId="77777777" w:rsidR="005E1C5C" w:rsidRPr="00781D40" w:rsidRDefault="005E1C5C" w:rsidP="00781D40">
      <w:pPr>
        <w:spacing w:before="0" w:after="80"/>
        <w:ind w:left="2410" w:hanging="2410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EFRR</w:t>
      </w:r>
      <w:r w:rsidRPr="00781D40">
        <w:rPr>
          <w:color w:val="auto"/>
          <w:sz w:val="22"/>
          <w:szCs w:val="22"/>
        </w:rPr>
        <w:tab/>
      </w:r>
      <w:r w:rsidRPr="00781D40">
        <w:rPr>
          <w:i/>
          <w:iCs/>
          <w:color w:val="auto"/>
          <w:sz w:val="22"/>
          <w:szCs w:val="22"/>
        </w:rPr>
        <w:t>Evropský fond pro regionální rozvoj</w:t>
      </w:r>
    </w:p>
    <w:p w14:paraId="7957B5B2" w14:textId="77777777" w:rsidR="005E1C5C" w:rsidRPr="00781D40" w:rsidRDefault="005E1C5C" w:rsidP="00781D40">
      <w:pPr>
        <w:spacing w:before="0" w:after="80"/>
        <w:ind w:left="2410" w:hanging="2410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EU</w:t>
      </w:r>
      <w:r w:rsidRPr="00781D40">
        <w:rPr>
          <w:color w:val="auto"/>
          <w:sz w:val="22"/>
          <w:szCs w:val="22"/>
        </w:rPr>
        <w:tab/>
        <w:t>Evropská unie</w:t>
      </w:r>
    </w:p>
    <w:p w14:paraId="34E26507" w14:textId="77777777" w:rsidR="00572C72" w:rsidRPr="00781D40" w:rsidRDefault="00572C72" w:rsidP="00781D40">
      <w:pPr>
        <w:spacing w:before="0" w:after="80"/>
        <w:ind w:left="2410" w:hanging="2410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IROP</w:t>
      </w:r>
      <w:r w:rsidRPr="00781D40">
        <w:rPr>
          <w:color w:val="auto"/>
          <w:sz w:val="22"/>
          <w:szCs w:val="22"/>
        </w:rPr>
        <w:tab/>
      </w:r>
      <w:r w:rsidRPr="00781D40">
        <w:rPr>
          <w:i/>
          <w:iCs/>
          <w:color w:val="auto"/>
          <w:sz w:val="22"/>
          <w:szCs w:val="22"/>
        </w:rPr>
        <w:t>Integrovaný regionální operační program</w:t>
      </w:r>
    </w:p>
    <w:p w14:paraId="6C4A7EA7" w14:textId="0C6ABB04" w:rsidR="005E1C5C" w:rsidRPr="00781D40" w:rsidRDefault="005E1C5C" w:rsidP="00781D40">
      <w:pPr>
        <w:spacing w:before="0" w:after="80"/>
        <w:ind w:left="2410" w:hanging="2410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IROP 1</w:t>
      </w:r>
      <w:r w:rsidRPr="00781D40">
        <w:rPr>
          <w:color w:val="auto"/>
          <w:sz w:val="22"/>
          <w:szCs w:val="22"/>
        </w:rPr>
        <w:tab/>
      </w:r>
      <w:r w:rsidRPr="00781D40">
        <w:rPr>
          <w:i/>
          <w:iCs/>
          <w:color w:val="auto"/>
          <w:sz w:val="22"/>
          <w:szCs w:val="22"/>
        </w:rPr>
        <w:t>Integrovaný regionální operační program</w:t>
      </w:r>
      <w:r w:rsidRPr="00781D40">
        <w:rPr>
          <w:color w:val="auto"/>
          <w:sz w:val="22"/>
          <w:szCs w:val="22"/>
        </w:rPr>
        <w:t xml:space="preserve"> pro období 2014–2020</w:t>
      </w:r>
    </w:p>
    <w:p w14:paraId="00E9C6F5" w14:textId="75953FD2" w:rsidR="005E1C5C" w:rsidRPr="00781D40" w:rsidRDefault="005E1C5C" w:rsidP="00781D40">
      <w:pPr>
        <w:spacing w:before="0" w:after="80"/>
        <w:ind w:left="2410" w:hanging="2410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IROP 2</w:t>
      </w:r>
      <w:r w:rsidRPr="00781D40">
        <w:rPr>
          <w:color w:val="auto"/>
          <w:sz w:val="22"/>
          <w:szCs w:val="22"/>
        </w:rPr>
        <w:tab/>
      </w:r>
      <w:r w:rsidRPr="00781D40">
        <w:rPr>
          <w:i/>
          <w:iCs/>
          <w:color w:val="auto"/>
          <w:sz w:val="22"/>
          <w:szCs w:val="22"/>
        </w:rPr>
        <w:t>Integrovaný regionální operační program</w:t>
      </w:r>
      <w:r w:rsidRPr="00781D40">
        <w:rPr>
          <w:color w:val="auto"/>
          <w:sz w:val="22"/>
          <w:szCs w:val="22"/>
        </w:rPr>
        <w:t xml:space="preserve"> pro období 2021–2027</w:t>
      </w:r>
    </w:p>
    <w:p w14:paraId="238242E7" w14:textId="77777777" w:rsidR="005E1C5C" w:rsidRDefault="005E1C5C" w:rsidP="005E1C5C">
      <w:pPr>
        <w:spacing w:before="0" w:after="80"/>
        <w:ind w:left="2410" w:hanging="241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IT</w:t>
      </w:r>
      <w:r>
        <w:rPr>
          <w:color w:val="auto"/>
          <w:sz w:val="22"/>
          <w:szCs w:val="22"/>
        </w:rPr>
        <w:tab/>
        <w:t>informační technologie</w:t>
      </w:r>
    </w:p>
    <w:p w14:paraId="574D5D9A" w14:textId="77777777" w:rsidR="005E1C5C" w:rsidRPr="00781D40" w:rsidRDefault="005E1C5C" w:rsidP="00781D40">
      <w:pPr>
        <w:spacing w:before="0" w:after="80"/>
        <w:ind w:left="2410" w:hanging="2410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MMR</w:t>
      </w:r>
      <w:r w:rsidRPr="00781D40">
        <w:rPr>
          <w:color w:val="auto"/>
          <w:sz w:val="22"/>
          <w:szCs w:val="22"/>
        </w:rPr>
        <w:tab/>
        <w:t>Ministerstvo pro místní rozvoj</w:t>
      </w:r>
    </w:p>
    <w:p w14:paraId="4E0CBF70" w14:textId="77777777" w:rsidR="005E1C5C" w:rsidRPr="00781D40" w:rsidRDefault="005E1C5C" w:rsidP="00781D40">
      <w:pPr>
        <w:spacing w:before="0" w:after="80"/>
        <w:ind w:left="2410" w:hanging="2410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MPSV</w:t>
      </w:r>
      <w:r w:rsidRPr="00781D40">
        <w:rPr>
          <w:color w:val="auto"/>
          <w:sz w:val="22"/>
          <w:szCs w:val="22"/>
        </w:rPr>
        <w:tab/>
        <w:t>Ministerstvo práce a sociálních věcí</w:t>
      </w:r>
    </w:p>
    <w:p w14:paraId="5A190FCA" w14:textId="77777777" w:rsidR="005E1C5C" w:rsidRDefault="005E1C5C" w:rsidP="005E1C5C">
      <w:pPr>
        <w:spacing w:before="0" w:after="80"/>
        <w:ind w:left="2410" w:hanging="241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MS2014+</w:t>
      </w:r>
      <w:r>
        <w:rPr>
          <w:color w:val="auto"/>
          <w:sz w:val="22"/>
          <w:szCs w:val="22"/>
        </w:rPr>
        <w:tab/>
        <w:t>monitorovací systém pro evropské fondy na období 2014–2020</w:t>
      </w:r>
    </w:p>
    <w:p w14:paraId="0E7FAC00" w14:textId="77777777" w:rsidR="005E1C5C" w:rsidRDefault="005E1C5C" w:rsidP="005E1C5C">
      <w:pPr>
        <w:spacing w:before="0" w:after="80"/>
        <w:ind w:left="2410" w:hanging="241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MS2021+</w:t>
      </w:r>
      <w:r>
        <w:rPr>
          <w:color w:val="auto"/>
          <w:sz w:val="22"/>
          <w:szCs w:val="22"/>
        </w:rPr>
        <w:tab/>
        <w:t>monitorovací systém pro evropské fondy na období 2021–2027</w:t>
      </w:r>
    </w:p>
    <w:p w14:paraId="52F639E4" w14:textId="77777777" w:rsidR="005E1C5C" w:rsidRPr="00781D40" w:rsidRDefault="005E1C5C" w:rsidP="00781D40">
      <w:pPr>
        <w:spacing w:before="0" w:after="80"/>
        <w:ind w:left="2410" w:hanging="2410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NKÚ</w:t>
      </w:r>
      <w:r w:rsidRPr="00781D40">
        <w:rPr>
          <w:color w:val="auto"/>
          <w:sz w:val="22"/>
          <w:szCs w:val="22"/>
        </w:rPr>
        <w:tab/>
        <w:t>Nejvyšší kontrolní úřad</w:t>
      </w:r>
    </w:p>
    <w:p w14:paraId="4B17BB04" w14:textId="79BE6468" w:rsidR="005E1C5C" w:rsidRPr="00781D40" w:rsidRDefault="005E1C5C" w:rsidP="00781D40">
      <w:pPr>
        <w:spacing w:before="0" w:after="80"/>
        <w:ind w:left="2410" w:hanging="2410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NSRSS</w:t>
      </w:r>
      <w:r w:rsidRPr="00781D40">
        <w:rPr>
          <w:color w:val="auto"/>
          <w:sz w:val="22"/>
          <w:szCs w:val="22"/>
        </w:rPr>
        <w:tab/>
      </w:r>
      <w:r w:rsidRPr="00781D40">
        <w:rPr>
          <w:i/>
          <w:iCs/>
          <w:color w:val="auto"/>
          <w:sz w:val="22"/>
          <w:szCs w:val="22"/>
        </w:rPr>
        <w:t>Národní strategie rozvoje sociálních služeb na období 2016–2025</w:t>
      </w:r>
    </w:p>
    <w:p w14:paraId="686E6477" w14:textId="77777777" w:rsidR="005E1C5C" w:rsidRDefault="005E1C5C" w:rsidP="005E1C5C">
      <w:pPr>
        <w:spacing w:before="0" w:after="80"/>
        <w:ind w:left="2410" w:hanging="241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OPZ</w:t>
      </w:r>
      <w:r>
        <w:rPr>
          <w:color w:val="auto"/>
          <w:sz w:val="22"/>
          <w:szCs w:val="22"/>
        </w:rPr>
        <w:tab/>
        <w:t xml:space="preserve">operační program </w:t>
      </w:r>
      <w:r w:rsidRPr="00781D40">
        <w:rPr>
          <w:i/>
          <w:iCs/>
          <w:color w:val="auto"/>
          <w:sz w:val="22"/>
          <w:szCs w:val="22"/>
        </w:rPr>
        <w:t>Zaměstnanost</w:t>
      </w:r>
      <w:r>
        <w:rPr>
          <w:color w:val="auto"/>
          <w:sz w:val="22"/>
          <w:szCs w:val="22"/>
        </w:rPr>
        <w:t xml:space="preserve"> na období 2014–2020</w:t>
      </w:r>
    </w:p>
    <w:p w14:paraId="6E11052A" w14:textId="77777777" w:rsidR="005E1C5C" w:rsidRDefault="005E1C5C" w:rsidP="005E1C5C">
      <w:pPr>
        <w:spacing w:before="0" w:after="80"/>
        <w:ind w:left="2410" w:hanging="241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OPZ+</w:t>
      </w:r>
      <w:r>
        <w:rPr>
          <w:color w:val="auto"/>
          <w:sz w:val="22"/>
          <w:szCs w:val="22"/>
        </w:rPr>
        <w:tab/>
        <w:t xml:space="preserve">operační program </w:t>
      </w:r>
      <w:r w:rsidRPr="005E1C5C">
        <w:rPr>
          <w:i/>
          <w:iCs/>
          <w:color w:val="auto"/>
          <w:sz w:val="22"/>
          <w:szCs w:val="22"/>
        </w:rPr>
        <w:t>Zaměstnanost</w:t>
      </w:r>
      <w:r w:rsidRPr="00781D40">
        <w:rPr>
          <w:i/>
          <w:iCs/>
          <w:color w:val="auto"/>
          <w:sz w:val="22"/>
          <w:szCs w:val="22"/>
        </w:rPr>
        <w:t xml:space="preserve"> plus</w:t>
      </w:r>
      <w:r>
        <w:rPr>
          <w:color w:val="auto"/>
          <w:sz w:val="22"/>
          <w:szCs w:val="22"/>
        </w:rPr>
        <w:t xml:space="preserve"> na období 2021–2027</w:t>
      </w:r>
    </w:p>
    <w:p w14:paraId="1E001798" w14:textId="181ED335" w:rsidR="005E1C5C" w:rsidRPr="00781D40" w:rsidRDefault="005E1C5C" w:rsidP="00781D40">
      <w:pPr>
        <w:spacing w:before="0" w:after="80"/>
        <w:ind w:left="2410" w:hanging="2410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RoPD</w:t>
      </w:r>
      <w:r w:rsidRPr="00781D40">
        <w:rPr>
          <w:color w:val="auto"/>
          <w:sz w:val="22"/>
          <w:szCs w:val="22"/>
        </w:rPr>
        <w:tab/>
        <w:t>rozhodnutí o poskytnutí dotace</w:t>
      </w:r>
    </w:p>
    <w:p w14:paraId="0495D519" w14:textId="77777777" w:rsidR="005E1C5C" w:rsidRPr="00781D40" w:rsidRDefault="005E1C5C" w:rsidP="00781D40">
      <w:pPr>
        <w:spacing w:before="0" w:after="80"/>
        <w:ind w:left="2410" w:hanging="2410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ŘO IROP</w:t>
      </w:r>
      <w:r w:rsidRPr="00781D40">
        <w:rPr>
          <w:color w:val="auto"/>
          <w:sz w:val="22"/>
          <w:szCs w:val="22"/>
        </w:rPr>
        <w:tab/>
        <w:t xml:space="preserve">řídicí orgán </w:t>
      </w:r>
      <w:r w:rsidRPr="00781D40">
        <w:rPr>
          <w:i/>
          <w:iCs/>
          <w:color w:val="auto"/>
          <w:sz w:val="22"/>
          <w:szCs w:val="22"/>
        </w:rPr>
        <w:t>Integrovaného regionálního operačního programu</w:t>
      </w:r>
    </w:p>
    <w:p w14:paraId="031CE060" w14:textId="77777777" w:rsidR="005E1C5C" w:rsidRPr="00781D40" w:rsidRDefault="005E1C5C" w:rsidP="00781D40">
      <w:pPr>
        <w:spacing w:before="0" w:after="80"/>
        <w:ind w:left="2410" w:hanging="2410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SC 2.1 IROP 1</w:t>
      </w:r>
      <w:r w:rsidRPr="00781D40">
        <w:rPr>
          <w:color w:val="auto"/>
          <w:sz w:val="22"/>
          <w:szCs w:val="22"/>
        </w:rPr>
        <w:tab/>
        <w:t xml:space="preserve">specifický cíl 2.1 IROP 1 </w:t>
      </w:r>
      <w:r w:rsidRPr="00781D40">
        <w:rPr>
          <w:i/>
          <w:color w:val="auto"/>
          <w:sz w:val="22"/>
          <w:szCs w:val="22"/>
        </w:rPr>
        <w:t>Zvýšení kvality a dostupnosti služeb vedoucí k sociální inkluzi</w:t>
      </w:r>
    </w:p>
    <w:p w14:paraId="05D87083" w14:textId="77777777" w:rsidR="005E1C5C" w:rsidRPr="00781D40" w:rsidRDefault="005E1C5C" w:rsidP="00781D40">
      <w:pPr>
        <w:spacing w:before="0" w:after="80"/>
        <w:ind w:left="2410" w:hanging="2410"/>
        <w:jc w:val="left"/>
        <w:rPr>
          <w:i/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SC 4.2 IROP 2</w:t>
      </w:r>
      <w:r w:rsidRPr="00781D40">
        <w:rPr>
          <w:color w:val="auto"/>
          <w:sz w:val="22"/>
          <w:szCs w:val="22"/>
        </w:rPr>
        <w:tab/>
        <w:t xml:space="preserve">specifický cíl 4.2 IROP 2 </w:t>
      </w:r>
      <w:r w:rsidRPr="00781D40">
        <w:rPr>
          <w:i/>
          <w:color w:val="auto"/>
          <w:sz w:val="22"/>
          <w:szCs w:val="22"/>
        </w:rPr>
        <w:t xml:space="preserve">Podpora socioekonomického začlenění marginalizovaných komunit, domácností s nízkými příjmy a znevýhodněných skupin včetně osob se zvláštními potřebami, </w:t>
      </w:r>
      <w:r>
        <w:rPr>
          <w:i/>
          <w:color w:val="auto"/>
          <w:sz w:val="22"/>
          <w:szCs w:val="22"/>
        </w:rPr>
        <w:br/>
      </w:r>
      <w:r w:rsidRPr="00781D40">
        <w:rPr>
          <w:i/>
          <w:color w:val="auto"/>
          <w:sz w:val="22"/>
          <w:szCs w:val="22"/>
        </w:rPr>
        <w:t>pomocí integrovaných opatření, včetně bydlení a sociálních služeb</w:t>
      </w:r>
    </w:p>
    <w:p w14:paraId="5B60F675" w14:textId="77777777" w:rsidR="005E1C5C" w:rsidRPr="00781D40" w:rsidRDefault="005E1C5C" w:rsidP="00781D40">
      <w:pPr>
        <w:spacing w:before="0" w:after="80"/>
        <w:ind w:left="2410" w:hanging="2410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SC 6.1 IROP 1</w:t>
      </w:r>
      <w:r w:rsidRPr="00781D40">
        <w:rPr>
          <w:color w:val="auto"/>
          <w:sz w:val="22"/>
          <w:szCs w:val="22"/>
        </w:rPr>
        <w:tab/>
        <w:t xml:space="preserve">specifický cíl 6.1 IROP 1 </w:t>
      </w:r>
      <w:r w:rsidRPr="00781D40">
        <w:rPr>
          <w:i/>
          <w:color w:val="auto"/>
          <w:sz w:val="22"/>
          <w:szCs w:val="22"/>
        </w:rPr>
        <w:t>REACT-EU</w:t>
      </w:r>
    </w:p>
    <w:p w14:paraId="31DBBF10" w14:textId="77777777" w:rsidR="005E1C5C" w:rsidRPr="00781D40" w:rsidRDefault="005E1C5C" w:rsidP="00781D40">
      <w:pPr>
        <w:spacing w:before="0" w:after="80"/>
        <w:ind w:left="2410" w:hanging="2410"/>
        <w:rPr>
          <w:rFonts w:cstheme="minorHAnsi"/>
          <w:bCs/>
          <w:color w:val="auto"/>
          <w:sz w:val="22"/>
          <w:szCs w:val="22"/>
        </w:rPr>
      </w:pPr>
      <w:r w:rsidRPr="00781D40">
        <w:rPr>
          <w:rFonts w:cstheme="minorHAnsi"/>
          <w:bCs/>
          <w:color w:val="auto"/>
          <w:sz w:val="22"/>
          <w:szCs w:val="22"/>
        </w:rPr>
        <w:t>SR</w:t>
      </w:r>
      <w:r w:rsidRPr="00781D40">
        <w:rPr>
          <w:rFonts w:cstheme="minorHAnsi"/>
          <w:bCs/>
          <w:color w:val="auto"/>
          <w:sz w:val="22"/>
          <w:szCs w:val="22"/>
        </w:rPr>
        <w:tab/>
        <w:t>státní rozpočet</w:t>
      </w:r>
    </w:p>
    <w:p w14:paraId="563D87D3" w14:textId="77777777" w:rsidR="005E1C5C" w:rsidRPr="00781D40" w:rsidRDefault="005E1C5C" w:rsidP="00781D40">
      <w:pPr>
        <w:spacing w:before="0" w:after="80"/>
        <w:ind w:left="2410" w:hanging="2410"/>
        <w:rPr>
          <w:rFonts w:cstheme="minorHAnsi"/>
          <w:bCs/>
          <w:color w:val="auto"/>
          <w:sz w:val="22"/>
          <w:szCs w:val="22"/>
        </w:rPr>
      </w:pPr>
      <w:r w:rsidRPr="00781D40">
        <w:rPr>
          <w:rFonts w:cstheme="minorHAnsi"/>
          <w:bCs/>
          <w:color w:val="auto"/>
          <w:sz w:val="22"/>
          <w:szCs w:val="22"/>
        </w:rPr>
        <w:t>vybrané projekty</w:t>
      </w:r>
      <w:r w:rsidRPr="00781D40">
        <w:rPr>
          <w:rFonts w:cstheme="minorHAnsi"/>
          <w:bCs/>
          <w:color w:val="auto"/>
          <w:sz w:val="22"/>
          <w:szCs w:val="22"/>
        </w:rPr>
        <w:tab/>
        <w:t xml:space="preserve">kontrolovaný vzorek 14 projektů realizovaných osmi příjemci podpory </w:t>
      </w:r>
      <w:r w:rsidR="00E55A45">
        <w:rPr>
          <w:rFonts w:cstheme="minorHAnsi"/>
          <w:bCs/>
          <w:color w:val="auto"/>
          <w:sz w:val="22"/>
          <w:szCs w:val="22"/>
        </w:rPr>
        <w:br/>
      </w:r>
      <w:r w:rsidRPr="00781D40">
        <w:rPr>
          <w:rFonts w:cstheme="minorHAnsi"/>
          <w:bCs/>
          <w:color w:val="auto"/>
          <w:sz w:val="22"/>
          <w:szCs w:val="22"/>
        </w:rPr>
        <w:t>(viz příloha č. 1)</w:t>
      </w:r>
    </w:p>
    <w:p w14:paraId="1190A0A4" w14:textId="77777777" w:rsidR="005E1C5C" w:rsidRPr="00781D40" w:rsidRDefault="005E1C5C" w:rsidP="00781D40">
      <w:pPr>
        <w:spacing w:before="0" w:after="80"/>
        <w:ind w:left="2410" w:hanging="2410"/>
        <w:rPr>
          <w:rFonts w:cstheme="minorHAnsi"/>
          <w:bCs/>
          <w:color w:val="auto"/>
          <w:sz w:val="22"/>
          <w:szCs w:val="22"/>
        </w:rPr>
      </w:pPr>
      <w:r w:rsidRPr="00781D40">
        <w:rPr>
          <w:rFonts w:cstheme="minorHAnsi"/>
          <w:bCs/>
          <w:color w:val="auto"/>
          <w:sz w:val="22"/>
          <w:szCs w:val="22"/>
        </w:rPr>
        <w:t>zákon č. 134/2016 Sb.</w:t>
      </w:r>
      <w:r w:rsidRPr="00781D40">
        <w:rPr>
          <w:rFonts w:cstheme="minorHAnsi"/>
          <w:bCs/>
          <w:color w:val="auto"/>
          <w:sz w:val="22"/>
          <w:szCs w:val="22"/>
        </w:rPr>
        <w:tab/>
        <w:t>zákon č. 134/2016 Sb., o zadávání veřejných zakázek</w:t>
      </w:r>
    </w:p>
    <w:p w14:paraId="746F7822" w14:textId="77777777" w:rsidR="005E1C5C" w:rsidRDefault="005E1C5C" w:rsidP="005E1C5C">
      <w:pPr>
        <w:spacing w:before="0"/>
        <w:ind w:left="2410" w:hanging="2410"/>
        <w:rPr>
          <w:color w:val="auto"/>
          <w:sz w:val="22"/>
          <w:szCs w:val="22"/>
        </w:rPr>
      </w:pPr>
      <w:r w:rsidRPr="00781D40">
        <w:rPr>
          <w:color w:val="auto"/>
          <w:sz w:val="22"/>
          <w:szCs w:val="22"/>
        </w:rPr>
        <w:t>zákon č. 218/2000 Sb.</w:t>
      </w:r>
      <w:r w:rsidRPr="00781D40">
        <w:rPr>
          <w:color w:val="auto"/>
          <w:sz w:val="22"/>
          <w:szCs w:val="22"/>
        </w:rPr>
        <w:tab/>
        <w:t>zákon č. 218/2000 Sb., o rozpočtových pravidlech a o změně některých souvisejících zákonů (rozpočtová pravidla)</w:t>
      </w:r>
    </w:p>
    <w:p w14:paraId="7360B845" w14:textId="77777777" w:rsidR="00033BFE" w:rsidRPr="00BD5F8B" w:rsidRDefault="00033BFE" w:rsidP="00703A7A">
      <w:pPr>
        <w:spacing w:before="0" w:after="60"/>
        <w:ind w:left="2410" w:hanging="2410"/>
        <w:rPr>
          <w:color w:val="auto"/>
        </w:rPr>
      </w:pPr>
    </w:p>
    <w:p w14:paraId="608A1C16" w14:textId="77777777" w:rsidR="009268CB" w:rsidRDefault="009268CB" w:rsidP="00504F32">
      <w:pPr>
        <w:pStyle w:val="Nadpis1"/>
        <w:spacing w:before="0" w:after="120"/>
        <w:jc w:val="right"/>
        <w:rPr>
          <w:sz w:val="24"/>
          <w:szCs w:val="24"/>
        </w:rPr>
        <w:sectPr w:rsidR="009268CB" w:rsidSect="00A03EE5"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D645CEC" w14:textId="77777777" w:rsidR="00504F32" w:rsidRPr="004F01AD" w:rsidRDefault="00504F32" w:rsidP="00142D73">
      <w:pPr>
        <w:pStyle w:val="Nadpis1"/>
        <w:spacing w:before="0" w:after="60"/>
        <w:jc w:val="right"/>
        <w:rPr>
          <w:sz w:val="24"/>
          <w:szCs w:val="24"/>
        </w:rPr>
      </w:pPr>
      <w:r w:rsidRPr="004F01AD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1</w:t>
      </w:r>
    </w:p>
    <w:p w14:paraId="7E4D96E8" w14:textId="77777777" w:rsidR="00504F32" w:rsidRDefault="00504F32" w:rsidP="005E1C5C">
      <w:pPr>
        <w:spacing w:after="120"/>
        <w:ind w:left="-794"/>
        <w:jc w:val="left"/>
      </w:pPr>
      <w:r>
        <w:rPr>
          <w:rFonts w:cstheme="minorHAnsi"/>
          <w:b/>
        </w:rPr>
        <w:t>Přehled projektů vybraných ke kontrole</w:t>
      </w:r>
      <w:r w:rsidR="00B020AC">
        <w:rPr>
          <w:rFonts w:cstheme="minorHAnsi"/>
          <w:b/>
        </w:rPr>
        <w:t xml:space="preserve"> s vyhodnocením účelnosti peněžních prostředků vynaložených na jejich realizaci </w:t>
      </w:r>
    </w:p>
    <w:tbl>
      <w:tblPr>
        <w:tblStyle w:val="Mkatabulky2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662"/>
        <w:gridCol w:w="2410"/>
        <w:gridCol w:w="1275"/>
        <w:gridCol w:w="1417"/>
        <w:gridCol w:w="1418"/>
        <w:gridCol w:w="1418"/>
      </w:tblGrid>
      <w:tr w:rsidR="00E420D5" w:rsidRPr="004938E3" w14:paraId="1B60E9A9" w14:textId="77777777" w:rsidTr="000A1DB9">
        <w:trPr>
          <w:trHeight w:val="435"/>
          <w:jc w:val="center"/>
        </w:trPr>
        <w:tc>
          <w:tcPr>
            <w:tcW w:w="988" w:type="dxa"/>
            <w:vAlign w:val="center"/>
          </w:tcPr>
          <w:p w14:paraId="01A345EF" w14:textId="77777777" w:rsidR="004161DD" w:rsidRPr="00F75222" w:rsidRDefault="004161DD" w:rsidP="004938E3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7522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Zkrácené označení projektu</w:t>
            </w:r>
          </w:p>
        </w:tc>
        <w:tc>
          <w:tcPr>
            <w:tcW w:w="6662" w:type="dxa"/>
            <w:vAlign w:val="center"/>
          </w:tcPr>
          <w:p w14:paraId="6FBE9AD8" w14:textId="77777777" w:rsidR="004161DD" w:rsidRPr="00F75222" w:rsidRDefault="004161DD" w:rsidP="004938E3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7522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Registrační číslo a název projektu</w:t>
            </w:r>
          </w:p>
        </w:tc>
        <w:tc>
          <w:tcPr>
            <w:tcW w:w="2410" w:type="dxa"/>
            <w:vAlign w:val="center"/>
          </w:tcPr>
          <w:p w14:paraId="7E473312" w14:textId="77777777" w:rsidR="004161DD" w:rsidRPr="00F75222" w:rsidRDefault="004161DD" w:rsidP="00F75222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7522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Příjemce podpory</w:t>
            </w:r>
          </w:p>
        </w:tc>
        <w:tc>
          <w:tcPr>
            <w:tcW w:w="1275" w:type="dxa"/>
            <w:vAlign w:val="center"/>
          </w:tcPr>
          <w:p w14:paraId="0C7F46C8" w14:textId="77777777" w:rsidR="004161DD" w:rsidRPr="00F75222" w:rsidRDefault="00D700E8" w:rsidP="004938E3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D700E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Vyhodnocení účelnosti </w:t>
            </w:r>
          </w:p>
        </w:tc>
        <w:tc>
          <w:tcPr>
            <w:tcW w:w="1417" w:type="dxa"/>
            <w:vAlign w:val="center"/>
          </w:tcPr>
          <w:p w14:paraId="09CB2945" w14:textId="77777777" w:rsidR="004161DD" w:rsidRPr="00F75222" w:rsidRDefault="004161DD" w:rsidP="004938E3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7522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Proplaceno </w:t>
            </w:r>
          </w:p>
          <w:p w14:paraId="51FB01E6" w14:textId="77777777" w:rsidR="004161DD" w:rsidRPr="00F75222" w:rsidRDefault="004161DD" w:rsidP="004938E3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7522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z </w:t>
            </w:r>
            <w:r w:rsidRPr="00F736D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EFRR</w:t>
            </w:r>
            <w:r w:rsidRPr="00F7522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(v Kč)</w:t>
            </w:r>
          </w:p>
        </w:tc>
        <w:tc>
          <w:tcPr>
            <w:tcW w:w="1418" w:type="dxa"/>
            <w:vAlign w:val="center"/>
          </w:tcPr>
          <w:p w14:paraId="2584B97C" w14:textId="77777777" w:rsidR="004161DD" w:rsidRPr="00F75222" w:rsidRDefault="004161DD" w:rsidP="004938E3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7522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Proplaceno </w:t>
            </w:r>
          </w:p>
          <w:p w14:paraId="6FCC9738" w14:textId="77777777" w:rsidR="004161DD" w:rsidRPr="00F75222" w:rsidRDefault="004161DD" w:rsidP="004938E3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7522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ze SR (v Kč)</w:t>
            </w:r>
          </w:p>
        </w:tc>
        <w:tc>
          <w:tcPr>
            <w:tcW w:w="1418" w:type="dxa"/>
            <w:vAlign w:val="center"/>
          </w:tcPr>
          <w:p w14:paraId="16D242FF" w14:textId="77777777" w:rsidR="004161DD" w:rsidRPr="00F75222" w:rsidRDefault="004161DD" w:rsidP="004938E3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7522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Proplaceno celkem (v Kč)</w:t>
            </w:r>
          </w:p>
        </w:tc>
      </w:tr>
      <w:tr w:rsidR="00E420D5" w:rsidRPr="004938E3" w14:paraId="3D1D5105" w14:textId="77777777" w:rsidTr="000A1DB9">
        <w:trPr>
          <w:trHeight w:val="555"/>
          <w:jc w:val="center"/>
        </w:trPr>
        <w:tc>
          <w:tcPr>
            <w:tcW w:w="988" w:type="dxa"/>
            <w:vAlign w:val="center"/>
          </w:tcPr>
          <w:p w14:paraId="6FF0B4A2" w14:textId="77777777" w:rsidR="004161DD" w:rsidRPr="00F75222" w:rsidRDefault="004161DD" w:rsidP="00324E41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*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10465</w:t>
            </w:r>
          </w:p>
        </w:tc>
        <w:tc>
          <w:tcPr>
            <w:tcW w:w="6662" w:type="dxa"/>
            <w:vAlign w:val="center"/>
          </w:tcPr>
          <w:p w14:paraId="004EAC8F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CZ.06.2.56/0.0/0.0/18_103/0010465</w:t>
            </w:r>
          </w:p>
          <w:p w14:paraId="653E873F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Rozvoj sociálních služeb DOZP v obci Suché</w:t>
            </w:r>
          </w:p>
        </w:tc>
        <w:tc>
          <w:tcPr>
            <w:tcW w:w="2410" w:type="dxa"/>
            <w:vAlign w:val="center"/>
          </w:tcPr>
          <w:p w14:paraId="2AD7568E" w14:textId="77777777" w:rsidR="004161DD" w:rsidRPr="004938E3" w:rsidRDefault="004161DD" w:rsidP="00F7522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Sociální a zdravotní služby Teplice, z.</w:t>
            </w:r>
            <w:r w:rsidR="00941F6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s.</w:t>
            </w:r>
          </w:p>
        </w:tc>
        <w:tc>
          <w:tcPr>
            <w:tcW w:w="1275" w:type="dxa"/>
            <w:shd w:val="clear" w:color="auto" w:fill="30B3A1"/>
            <w:vAlign w:val="center"/>
          </w:tcPr>
          <w:p w14:paraId="22203F35" w14:textId="77777777" w:rsidR="004161DD" w:rsidRPr="00E420D5" w:rsidRDefault="00E420D5" w:rsidP="00E420D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420D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A25A1E1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36 224 476,83</w:t>
            </w:r>
          </w:p>
        </w:tc>
        <w:tc>
          <w:tcPr>
            <w:tcW w:w="1418" w:type="dxa"/>
            <w:vAlign w:val="center"/>
          </w:tcPr>
          <w:p w14:paraId="20C01579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4 261 703,16</w:t>
            </w:r>
          </w:p>
        </w:tc>
        <w:tc>
          <w:tcPr>
            <w:tcW w:w="1418" w:type="dxa"/>
            <w:vAlign w:val="center"/>
          </w:tcPr>
          <w:p w14:paraId="0404898B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40 486 179,99</w:t>
            </w:r>
          </w:p>
        </w:tc>
      </w:tr>
      <w:tr w:rsidR="00E420D5" w:rsidRPr="004938E3" w14:paraId="6C119B63" w14:textId="77777777" w:rsidTr="001970BA">
        <w:trPr>
          <w:jc w:val="center"/>
        </w:trPr>
        <w:tc>
          <w:tcPr>
            <w:tcW w:w="988" w:type="dxa"/>
            <w:vAlign w:val="center"/>
          </w:tcPr>
          <w:p w14:paraId="28B9F726" w14:textId="77777777" w:rsidR="004161DD" w:rsidRPr="00F75222" w:rsidRDefault="004161DD" w:rsidP="00324E41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*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09011</w:t>
            </w:r>
          </w:p>
        </w:tc>
        <w:tc>
          <w:tcPr>
            <w:tcW w:w="6662" w:type="dxa"/>
            <w:vAlign w:val="center"/>
          </w:tcPr>
          <w:p w14:paraId="014B277A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CZ.06.2.56/0.0/0.0/18_103/0009011</w:t>
            </w:r>
          </w:p>
          <w:p w14:paraId="3B362F6A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Chráněné bydlení v Červeném Kostelci</w:t>
            </w:r>
          </w:p>
        </w:tc>
        <w:tc>
          <w:tcPr>
            <w:tcW w:w="2410" w:type="dxa"/>
            <w:vAlign w:val="center"/>
          </w:tcPr>
          <w:p w14:paraId="28C5C2E9" w14:textId="77777777" w:rsidR="004161DD" w:rsidRPr="004938E3" w:rsidRDefault="004161DD" w:rsidP="00F7522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Oblastní charita Červený Kostelec</w:t>
            </w:r>
          </w:p>
        </w:tc>
        <w:tc>
          <w:tcPr>
            <w:tcW w:w="1275" w:type="dxa"/>
            <w:shd w:val="clear" w:color="auto" w:fill="30B3A1"/>
            <w:vAlign w:val="center"/>
          </w:tcPr>
          <w:p w14:paraId="45D33BF0" w14:textId="77777777" w:rsidR="004161DD" w:rsidRPr="00E420D5" w:rsidRDefault="00E420D5" w:rsidP="00E420D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420D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3AF311D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9 333 849,98</w:t>
            </w:r>
          </w:p>
        </w:tc>
        <w:tc>
          <w:tcPr>
            <w:tcW w:w="1418" w:type="dxa"/>
            <w:vAlign w:val="center"/>
          </w:tcPr>
          <w:p w14:paraId="02FC17F4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1 098 100,00</w:t>
            </w:r>
          </w:p>
        </w:tc>
        <w:tc>
          <w:tcPr>
            <w:tcW w:w="1418" w:type="dxa"/>
            <w:vAlign w:val="center"/>
          </w:tcPr>
          <w:p w14:paraId="1C2FAD21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10 431 949,98</w:t>
            </w:r>
          </w:p>
        </w:tc>
      </w:tr>
      <w:tr w:rsidR="00E420D5" w:rsidRPr="004938E3" w14:paraId="1DA5C766" w14:textId="77777777" w:rsidTr="001970BA">
        <w:trPr>
          <w:jc w:val="center"/>
        </w:trPr>
        <w:tc>
          <w:tcPr>
            <w:tcW w:w="988" w:type="dxa"/>
            <w:vAlign w:val="center"/>
          </w:tcPr>
          <w:p w14:paraId="7A8311FB" w14:textId="77777777" w:rsidR="004161DD" w:rsidRPr="00F75222" w:rsidRDefault="004161DD" w:rsidP="00324E41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*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17104</w:t>
            </w:r>
          </w:p>
        </w:tc>
        <w:tc>
          <w:tcPr>
            <w:tcW w:w="6662" w:type="dxa"/>
            <w:vAlign w:val="center"/>
          </w:tcPr>
          <w:p w14:paraId="1155D57A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CZ.06.6.127/0.0/0.0/21_124/0017104</w:t>
            </w:r>
          </w:p>
          <w:p w14:paraId="24EB7693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Domov sv. Josefa v Žirči – zvýšení kvality odlehčovací služby za účelem podpory klientů a rodinných pečujících v domácím prostředí s využitím nácviku moderních technologií</w:t>
            </w:r>
          </w:p>
        </w:tc>
        <w:tc>
          <w:tcPr>
            <w:tcW w:w="2410" w:type="dxa"/>
            <w:vAlign w:val="center"/>
          </w:tcPr>
          <w:p w14:paraId="7830A34A" w14:textId="77777777" w:rsidR="004161DD" w:rsidRPr="004938E3" w:rsidRDefault="004161DD" w:rsidP="00F7522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Oblastní charita Červený Kostelec</w:t>
            </w:r>
          </w:p>
        </w:tc>
        <w:tc>
          <w:tcPr>
            <w:tcW w:w="1275" w:type="dxa"/>
            <w:shd w:val="clear" w:color="auto" w:fill="30B3A1"/>
            <w:vAlign w:val="center"/>
          </w:tcPr>
          <w:p w14:paraId="7CF54F6E" w14:textId="77777777" w:rsidR="004161DD" w:rsidRPr="00E420D5" w:rsidRDefault="00E420D5" w:rsidP="00E420D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420D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69F53169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50 991 052,61</w:t>
            </w:r>
          </w:p>
        </w:tc>
        <w:tc>
          <w:tcPr>
            <w:tcW w:w="1418" w:type="dxa"/>
            <w:vAlign w:val="center"/>
          </w:tcPr>
          <w:p w14:paraId="7E756C1F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5 998 947,38</w:t>
            </w:r>
          </w:p>
        </w:tc>
        <w:tc>
          <w:tcPr>
            <w:tcW w:w="1418" w:type="dxa"/>
            <w:vAlign w:val="center"/>
          </w:tcPr>
          <w:p w14:paraId="79C1DF70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56 989 999,99</w:t>
            </w:r>
          </w:p>
        </w:tc>
      </w:tr>
      <w:tr w:rsidR="00E420D5" w:rsidRPr="004938E3" w14:paraId="31F0BC96" w14:textId="77777777" w:rsidTr="001970BA">
        <w:trPr>
          <w:jc w:val="center"/>
        </w:trPr>
        <w:tc>
          <w:tcPr>
            <w:tcW w:w="988" w:type="dxa"/>
            <w:vAlign w:val="center"/>
          </w:tcPr>
          <w:p w14:paraId="7BDF4355" w14:textId="77777777" w:rsidR="004161DD" w:rsidRPr="00F75222" w:rsidRDefault="004161DD" w:rsidP="00324E41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*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05873</w:t>
            </w:r>
          </w:p>
        </w:tc>
        <w:tc>
          <w:tcPr>
            <w:tcW w:w="6662" w:type="dxa"/>
            <w:vAlign w:val="center"/>
          </w:tcPr>
          <w:p w14:paraId="3F270552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CZ.06.2.56/0.0/0.0/16_047/0005873</w:t>
            </w:r>
          </w:p>
          <w:p w14:paraId="5703F4ED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Domov Pod lesem</w:t>
            </w:r>
          </w:p>
        </w:tc>
        <w:tc>
          <w:tcPr>
            <w:tcW w:w="2410" w:type="dxa"/>
            <w:vAlign w:val="center"/>
          </w:tcPr>
          <w:p w14:paraId="4DD815A4" w14:textId="77777777" w:rsidR="004161DD" w:rsidRPr="004938E3" w:rsidRDefault="004161DD" w:rsidP="00F7522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Domov Pod lesem, z.s.</w:t>
            </w:r>
          </w:p>
        </w:tc>
        <w:tc>
          <w:tcPr>
            <w:tcW w:w="1275" w:type="dxa"/>
            <w:shd w:val="clear" w:color="auto" w:fill="30B3A1"/>
            <w:vAlign w:val="center"/>
          </w:tcPr>
          <w:p w14:paraId="75C323D8" w14:textId="77777777" w:rsidR="004161DD" w:rsidRPr="00E420D5" w:rsidRDefault="00E420D5" w:rsidP="00E420D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420D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A430B8E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52 283 580,06</w:t>
            </w:r>
          </w:p>
        </w:tc>
        <w:tc>
          <w:tcPr>
            <w:tcW w:w="1418" w:type="dxa"/>
            <w:vAlign w:val="center"/>
          </w:tcPr>
          <w:p w14:paraId="591F2A9D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6 151 009,42</w:t>
            </w:r>
          </w:p>
        </w:tc>
        <w:tc>
          <w:tcPr>
            <w:tcW w:w="1418" w:type="dxa"/>
            <w:vAlign w:val="center"/>
          </w:tcPr>
          <w:p w14:paraId="1BB2B5AF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58 434 589,48</w:t>
            </w:r>
          </w:p>
        </w:tc>
      </w:tr>
      <w:tr w:rsidR="00E420D5" w:rsidRPr="004938E3" w14:paraId="08EFBD69" w14:textId="77777777" w:rsidTr="001970BA">
        <w:trPr>
          <w:trHeight w:val="557"/>
          <w:jc w:val="center"/>
        </w:trPr>
        <w:tc>
          <w:tcPr>
            <w:tcW w:w="988" w:type="dxa"/>
            <w:vAlign w:val="center"/>
          </w:tcPr>
          <w:p w14:paraId="7B7FA14D" w14:textId="77777777" w:rsidR="004161DD" w:rsidRPr="00F75222" w:rsidRDefault="004161DD" w:rsidP="00324E41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*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05758</w:t>
            </w:r>
          </w:p>
        </w:tc>
        <w:tc>
          <w:tcPr>
            <w:tcW w:w="6662" w:type="dxa"/>
            <w:vAlign w:val="center"/>
          </w:tcPr>
          <w:p w14:paraId="6A5C0CDE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CZ.06.2.56/0.0/0.0/16_047/0005758</w:t>
            </w:r>
          </w:p>
          <w:p w14:paraId="68669143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Transformace CSS Stod – III. etapa</w:t>
            </w:r>
          </w:p>
        </w:tc>
        <w:tc>
          <w:tcPr>
            <w:tcW w:w="2410" w:type="dxa"/>
            <w:vAlign w:val="center"/>
          </w:tcPr>
          <w:p w14:paraId="41DFB7C4" w14:textId="77777777" w:rsidR="004161DD" w:rsidRPr="004938E3" w:rsidRDefault="004161DD" w:rsidP="00F7522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Centrum sociálních služeb Stod, příspěvková organizace</w:t>
            </w:r>
          </w:p>
        </w:tc>
        <w:tc>
          <w:tcPr>
            <w:tcW w:w="1275" w:type="dxa"/>
            <w:shd w:val="clear" w:color="auto" w:fill="30B3A1"/>
            <w:vAlign w:val="center"/>
          </w:tcPr>
          <w:p w14:paraId="3E99C0C8" w14:textId="77777777" w:rsidR="004161DD" w:rsidRPr="00E420D5" w:rsidRDefault="00E420D5" w:rsidP="00E420D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420D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B8585AF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66 475 553,89</w:t>
            </w:r>
          </w:p>
        </w:tc>
        <w:tc>
          <w:tcPr>
            <w:tcW w:w="1418" w:type="dxa"/>
            <w:vAlign w:val="center"/>
          </w:tcPr>
          <w:p w14:paraId="3C6659EC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3 910 326,71</w:t>
            </w:r>
          </w:p>
        </w:tc>
        <w:tc>
          <w:tcPr>
            <w:tcW w:w="1418" w:type="dxa"/>
            <w:vAlign w:val="center"/>
          </w:tcPr>
          <w:p w14:paraId="3D949A49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70 385 880,60</w:t>
            </w:r>
          </w:p>
        </w:tc>
      </w:tr>
      <w:tr w:rsidR="00E420D5" w:rsidRPr="004938E3" w14:paraId="2D11DC69" w14:textId="77777777" w:rsidTr="001970BA">
        <w:trPr>
          <w:jc w:val="center"/>
        </w:trPr>
        <w:tc>
          <w:tcPr>
            <w:tcW w:w="988" w:type="dxa"/>
            <w:vAlign w:val="center"/>
          </w:tcPr>
          <w:p w14:paraId="70422548" w14:textId="77777777" w:rsidR="004161DD" w:rsidRPr="00F75222" w:rsidRDefault="004161DD" w:rsidP="00324E41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*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17421</w:t>
            </w:r>
          </w:p>
        </w:tc>
        <w:tc>
          <w:tcPr>
            <w:tcW w:w="6662" w:type="dxa"/>
            <w:vAlign w:val="center"/>
          </w:tcPr>
          <w:p w14:paraId="349D2794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CZ.06.6.127/0.0/0.0/21_124/0017421</w:t>
            </w:r>
          </w:p>
          <w:p w14:paraId="0C042C50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Zvýšení kvality komunitních sociálních služeb CSS Stod</w:t>
            </w:r>
          </w:p>
        </w:tc>
        <w:tc>
          <w:tcPr>
            <w:tcW w:w="2410" w:type="dxa"/>
            <w:vAlign w:val="center"/>
          </w:tcPr>
          <w:p w14:paraId="1724C0D9" w14:textId="77777777" w:rsidR="004161DD" w:rsidRPr="004938E3" w:rsidRDefault="004161DD" w:rsidP="00F7522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Centrum sociálních služeb Stod, příspěvková organizace</w:t>
            </w:r>
          </w:p>
        </w:tc>
        <w:tc>
          <w:tcPr>
            <w:tcW w:w="1275" w:type="dxa"/>
            <w:shd w:val="clear" w:color="auto" w:fill="30B3A1"/>
            <w:vAlign w:val="center"/>
          </w:tcPr>
          <w:p w14:paraId="7806F8C1" w14:textId="77777777" w:rsidR="004161DD" w:rsidRPr="00E420D5" w:rsidRDefault="00E420D5" w:rsidP="00E420D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420D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E81FF98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7 794 173,96</w:t>
            </w:r>
          </w:p>
        </w:tc>
        <w:tc>
          <w:tcPr>
            <w:tcW w:w="1418" w:type="dxa"/>
            <w:vAlign w:val="center"/>
          </w:tcPr>
          <w:p w14:paraId="1C37513F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458 480,82</w:t>
            </w:r>
          </w:p>
        </w:tc>
        <w:tc>
          <w:tcPr>
            <w:tcW w:w="1418" w:type="dxa"/>
            <w:vAlign w:val="center"/>
          </w:tcPr>
          <w:p w14:paraId="1134AE5D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8 252 654,78</w:t>
            </w:r>
          </w:p>
        </w:tc>
      </w:tr>
      <w:tr w:rsidR="00E420D5" w:rsidRPr="004938E3" w14:paraId="5E05BE5B" w14:textId="77777777" w:rsidTr="001970BA">
        <w:trPr>
          <w:jc w:val="center"/>
        </w:trPr>
        <w:tc>
          <w:tcPr>
            <w:tcW w:w="988" w:type="dxa"/>
            <w:vAlign w:val="center"/>
          </w:tcPr>
          <w:p w14:paraId="21416B95" w14:textId="77777777" w:rsidR="004161DD" w:rsidRPr="00F75222" w:rsidRDefault="004161DD" w:rsidP="00324E41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*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02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80</w:t>
            </w:r>
          </w:p>
        </w:tc>
        <w:tc>
          <w:tcPr>
            <w:tcW w:w="6662" w:type="dxa"/>
            <w:vAlign w:val="center"/>
          </w:tcPr>
          <w:p w14:paraId="65C8F8E3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CZ.06.2.56/0.0/0.0/16_040/000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280</w:t>
            </w:r>
          </w:p>
          <w:p w14:paraId="6A00FA6C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Rozvoj a lepší dostupnost sociálních služeb Charity Uherský Brod</w:t>
            </w:r>
          </w:p>
        </w:tc>
        <w:tc>
          <w:tcPr>
            <w:tcW w:w="2410" w:type="dxa"/>
            <w:vAlign w:val="center"/>
          </w:tcPr>
          <w:p w14:paraId="4293F8E5" w14:textId="77777777" w:rsidR="004161DD" w:rsidRPr="004938E3" w:rsidRDefault="004161DD" w:rsidP="00F7522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Charita Uherský Brod</w:t>
            </w:r>
          </w:p>
        </w:tc>
        <w:tc>
          <w:tcPr>
            <w:tcW w:w="1275" w:type="dxa"/>
            <w:shd w:val="clear" w:color="auto" w:fill="30B3A1"/>
            <w:vAlign w:val="center"/>
          </w:tcPr>
          <w:p w14:paraId="41C0461A" w14:textId="77777777" w:rsidR="004161DD" w:rsidRPr="00E420D5" w:rsidRDefault="00E420D5" w:rsidP="00E420D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420D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84E3648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464 361,80</w:t>
            </w:r>
          </w:p>
        </w:tc>
        <w:tc>
          <w:tcPr>
            <w:tcW w:w="1418" w:type="dxa"/>
            <w:vAlign w:val="center"/>
          </w:tcPr>
          <w:p w14:paraId="3B850BAC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54 630,80</w:t>
            </w:r>
          </w:p>
        </w:tc>
        <w:tc>
          <w:tcPr>
            <w:tcW w:w="1418" w:type="dxa"/>
            <w:vAlign w:val="center"/>
          </w:tcPr>
          <w:p w14:paraId="7A1DA311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518 992,60</w:t>
            </w:r>
          </w:p>
        </w:tc>
      </w:tr>
      <w:tr w:rsidR="008301BF" w:rsidRPr="004938E3" w14:paraId="2754CF30" w14:textId="77777777" w:rsidTr="001970BA">
        <w:trPr>
          <w:jc w:val="center"/>
        </w:trPr>
        <w:tc>
          <w:tcPr>
            <w:tcW w:w="988" w:type="dxa"/>
            <w:vAlign w:val="center"/>
          </w:tcPr>
          <w:p w14:paraId="1D649A94" w14:textId="77777777" w:rsidR="004161DD" w:rsidRPr="00F75222" w:rsidRDefault="004161DD" w:rsidP="00324E41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*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17357</w:t>
            </w:r>
          </w:p>
        </w:tc>
        <w:tc>
          <w:tcPr>
            <w:tcW w:w="6662" w:type="dxa"/>
            <w:vAlign w:val="center"/>
          </w:tcPr>
          <w:p w14:paraId="378ADA5C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CZ.06.6.127/0.0/0.0/21_124/0017357</w:t>
            </w:r>
          </w:p>
          <w:p w14:paraId="64E7D6E8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Rozvoj sociálních služeb Charity Uherský Brod</w:t>
            </w:r>
          </w:p>
        </w:tc>
        <w:tc>
          <w:tcPr>
            <w:tcW w:w="2410" w:type="dxa"/>
            <w:vAlign w:val="center"/>
          </w:tcPr>
          <w:p w14:paraId="2D2C7A2B" w14:textId="77777777" w:rsidR="004161DD" w:rsidRPr="004938E3" w:rsidRDefault="004161DD" w:rsidP="00F7522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Charita Uherský Brod</w:t>
            </w:r>
          </w:p>
        </w:tc>
        <w:tc>
          <w:tcPr>
            <w:tcW w:w="1275" w:type="dxa"/>
            <w:shd w:val="clear" w:color="auto" w:fill="FDC300"/>
            <w:vAlign w:val="center"/>
          </w:tcPr>
          <w:p w14:paraId="1E578F14" w14:textId="77777777" w:rsidR="004161DD" w:rsidRPr="00E420D5" w:rsidRDefault="00E420D5" w:rsidP="00E420D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420D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14:paraId="2018A25F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21 598 139,08</w:t>
            </w:r>
          </w:p>
        </w:tc>
        <w:tc>
          <w:tcPr>
            <w:tcW w:w="1418" w:type="dxa"/>
            <w:vAlign w:val="center"/>
          </w:tcPr>
          <w:p w14:paraId="6C19E183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2 540 957,54</w:t>
            </w:r>
          </w:p>
        </w:tc>
        <w:tc>
          <w:tcPr>
            <w:tcW w:w="1418" w:type="dxa"/>
            <w:vAlign w:val="center"/>
          </w:tcPr>
          <w:p w14:paraId="37ED57F9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24 139 096,62</w:t>
            </w:r>
          </w:p>
        </w:tc>
      </w:tr>
      <w:tr w:rsidR="008301BF" w:rsidRPr="004938E3" w14:paraId="0F58D991" w14:textId="77777777" w:rsidTr="001970BA">
        <w:trPr>
          <w:jc w:val="center"/>
        </w:trPr>
        <w:tc>
          <w:tcPr>
            <w:tcW w:w="988" w:type="dxa"/>
            <w:vAlign w:val="center"/>
          </w:tcPr>
          <w:p w14:paraId="7B9D3535" w14:textId="77777777" w:rsidR="004161DD" w:rsidRPr="00F75222" w:rsidRDefault="004161DD" w:rsidP="00324E41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*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05502</w:t>
            </w:r>
          </w:p>
        </w:tc>
        <w:tc>
          <w:tcPr>
            <w:tcW w:w="6662" w:type="dxa"/>
            <w:vAlign w:val="center"/>
          </w:tcPr>
          <w:p w14:paraId="590F2B1D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CZ.06.2.56/0.0/0.0/16_047/0005502</w:t>
            </w:r>
          </w:p>
          <w:p w14:paraId="35F5D0ED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Chráněné bydlení Boršice</w:t>
            </w:r>
          </w:p>
        </w:tc>
        <w:tc>
          <w:tcPr>
            <w:tcW w:w="2410" w:type="dxa"/>
            <w:vAlign w:val="center"/>
          </w:tcPr>
          <w:p w14:paraId="325CE253" w14:textId="77777777" w:rsidR="004161DD" w:rsidRPr="004938E3" w:rsidRDefault="004161DD" w:rsidP="00F7522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Obec Boršice</w:t>
            </w:r>
          </w:p>
        </w:tc>
        <w:tc>
          <w:tcPr>
            <w:tcW w:w="1275" w:type="dxa"/>
            <w:shd w:val="clear" w:color="auto" w:fill="30B3A1"/>
            <w:vAlign w:val="center"/>
          </w:tcPr>
          <w:p w14:paraId="306355E8" w14:textId="77777777" w:rsidR="004161DD" w:rsidRPr="00E420D5" w:rsidRDefault="00E420D5" w:rsidP="00E420D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420D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6DE37142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9 473 483,06</w:t>
            </w:r>
          </w:p>
        </w:tc>
        <w:tc>
          <w:tcPr>
            <w:tcW w:w="1418" w:type="dxa"/>
            <w:vAlign w:val="center"/>
          </w:tcPr>
          <w:p w14:paraId="497CD1DC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557 263,71</w:t>
            </w:r>
          </w:p>
        </w:tc>
        <w:tc>
          <w:tcPr>
            <w:tcW w:w="1418" w:type="dxa"/>
            <w:vAlign w:val="center"/>
          </w:tcPr>
          <w:p w14:paraId="548BB984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10 030 746,77</w:t>
            </w:r>
          </w:p>
        </w:tc>
      </w:tr>
      <w:tr w:rsidR="008301BF" w:rsidRPr="004938E3" w14:paraId="20C82B43" w14:textId="77777777" w:rsidTr="001970BA">
        <w:trPr>
          <w:jc w:val="center"/>
        </w:trPr>
        <w:tc>
          <w:tcPr>
            <w:tcW w:w="988" w:type="dxa"/>
            <w:vAlign w:val="center"/>
          </w:tcPr>
          <w:p w14:paraId="5E9F56A2" w14:textId="77777777" w:rsidR="004161DD" w:rsidRPr="00F75222" w:rsidRDefault="004161DD" w:rsidP="00324E41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*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02338</w:t>
            </w:r>
          </w:p>
        </w:tc>
        <w:tc>
          <w:tcPr>
            <w:tcW w:w="6662" w:type="dxa"/>
            <w:vAlign w:val="center"/>
          </w:tcPr>
          <w:p w14:paraId="21CB5F38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CZ.06.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.56/0.0/0.0/16_040/0002338</w:t>
            </w:r>
          </w:p>
          <w:p w14:paraId="12109D12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Zkvalitnění zázemí domova BETEZDA</w:t>
            </w:r>
          </w:p>
        </w:tc>
        <w:tc>
          <w:tcPr>
            <w:tcW w:w="2410" w:type="dxa"/>
            <w:vAlign w:val="center"/>
          </w:tcPr>
          <w:p w14:paraId="22667815" w14:textId="77777777" w:rsidR="004161DD" w:rsidRPr="004938E3" w:rsidRDefault="004161DD" w:rsidP="00F7522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Slezská diakonie</w:t>
            </w:r>
          </w:p>
        </w:tc>
        <w:tc>
          <w:tcPr>
            <w:tcW w:w="1275" w:type="dxa"/>
            <w:shd w:val="clear" w:color="auto" w:fill="FDC300"/>
            <w:vAlign w:val="center"/>
          </w:tcPr>
          <w:p w14:paraId="50198E7A" w14:textId="77777777" w:rsidR="004161DD" w:rsidRPr="00E420D5" w:rsidRDefault="00E420D5" w:rsidP="00E420D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420D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14:paraId="7F7BB7C8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14 117 495,32</w:t>
            </w:r>
          </w:p>
        </w:tc>
        <w:tc>
          <w:tcPr>
            <w:tcW w:w="1418" w:type="dxa"/>
            <w:vAlign w:val="center"/>
          </w:tcPr>
          <w:p w14:paraId="48466F36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1 660 881,80</w:t>
            </w:r>
          </w:p>
        </w:tc>
        <w:tc>
          <w:tcPr>
            <w:tcW w:w="1418" w:type="dxa"/>
            <w:vAlign w:val="center"/>
          </w:tcPr>
          <w:p w14:paraId="512558B0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15 778 377,12</w:t>
            </w:r>
          </w:p>
        </w:tc>
      </w:tr>
      <w:tr w:rsidR="008301BF" w:rsidRPr="004938E3" w14:paraId="5C33FA47" w14:textId="77777777" w:rsidTr="001970BA">
        <w:trPr>
          <w:jc w:val="center"/>
        </w:trPr>
        <w:tc>
          <w:tcPr>
            <w:tcW w:w="988" w:type="dxa"/>
            <w:vAlign w:val="center"/>
          </w:tcPr>
          <w:p w14:paraId="3A305C38" w14:textId="77777777" w:rsidR="004161DD" w:rsidRPr="00F75222" w:rsidRDefault="004161DD" w:rsidP="00324E41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*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17367</w:t>
            </w:r>
          </w:p>
        </w:tc>
        <w:tc>
          <w:tcPr>
            <w:tcW w:w="6662" w:type="dxa"/>
            <w:vAlign w:val="center"/>
          </w:tcPr>
          <w:p w14:paraId="6C4E90A1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CZ.06.6.127/0.0/0.0/21_124/0017367</w:t>
            </w:r>
          </w:p>
          <w:p w14:paraId="1D0F6AD9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Komunitní centrum pro duševní zdraví Třinec</w:t>
            </w:r>
          </w:p>
        </w:tc>
        <w:tc>
          <w:tcPr>
            <w:tcW w:w="2410" w:type="dxa"/>
            <w:vAlign w:val="center"/>
          </w:tcPr>
          <w:p w14:paraId="7382D222" w14:textId="77777777" w:rsidR="004161DD" w:rsidRPr="004938E3" w:rsidRDefault="004161DD" w:rsidP="00F7522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Slezská diakonie</w:t>
            </w:r>
          </w:p>
        </w:tc>
        <w:tc>
          <w:tcPr>
            <w:tcW w:w="1275" w:type="dxa"/>
            <w:shd w:val="clear" w:color="auto" w:fill="C2E2DB"/>
            <w:vAlign w:val="center"/>
          </w:tcPr>
          <w:p w14:paraId="7CC4513E" w14:textId="77777777" w:rsidR="004161DD" w:rsidRPr="00E420D5" w:rsidRDefault="00E420D5" w:rsidP="00E420D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420D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126DB123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42 123 356,41</w:t>
            </w:r>
          </w:p>
        </w:tc>
        <w:tc>
          <w:tcPr>
            <w:tcW w:w="1418" w:type="dxa"/>
            <w:vAlign w:val="center"/>
          </w:tcPr>
          <w:p w14:paraId="153137B3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4 955 689,00</w:t>
            </w:r>
          </w:p>
        </w:tc>
        <w:tc>
          <w:tcPr>
            <w:tcW w:w="1418" w:type="dxa"/>
            <w:vAlign w:val="center"/>
          </w:tcPr>
          <w:p w14:paraId="1C329968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47 079 045,41</w:t>
            </w:r>
          </w:p>
        </w:tc>
      </w:tr>
      <w:tr w:rsidR="008301BF" w:rsidRPr="004938E3" w14:paraId="52DBC4B4" w14:textId="77777777" w:rsidTr="001970BA">
        <w:trPr>
          <w:jc w:val="center"/>
        </w:trPr>
        <w:tc>
          <w:tcPr>
            <w:tcW w:w="988" w:type="dxa"/>
            <w:vAlign w:val="center"/>
          </w:tcPr>
          <w:p w14:paraId="51156B48" w14:textId="77777777" w:rsidR="004161DD" w:rsidRPr="00F75222" w:rsidRDefault="004161DD" w:rsidP="00324E41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*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02182</w:t>
            </w:r>
          </w:p>
        </w:tc>
        <w:tc>
          <w:tcPr>
            <w:tcW w:w="6662" w:type="dxa"/>
            <w:vAlign w:val="center"/>
          </w:tcPr>
          <w:p w14:paraId="3DC17BCD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CZ.06.04.02/00/22_014/0002182</w:t>
            </w:r>
          </w:p>
          <w:p w14:paraId="42B74EB9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Zvedací a asistenční systémy pro služby Slezské diakonie</w:t>
            </w:r>
          </w:p>
        </w:tc>
        <w:tc>
          <w:tcPr>
            <w:tcW w:w="2410" w:type="dxa"/>
            <w:vAlign w:val="center"/>
          </w:tcPr>
          <w:p w14:paraId="0D53F497" w14:textId="77777777" w:rsidR="004161DD" w:rsidRPr="004938E3" w:rsidRDefault="004161DD" w:rsidP="00F7522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Slezská diakonie</w:t>
            </w:r>
          </w:p>
        </w:tc>
        <w:tc>
          <w:tcPr>
            <w:tcW w:w="1275" w:type="dxa"/>
            <w:shd w:val="clear" w:color="auto" w:fill="30B3A1"/>
            <w:vAlign w:val="center"/>
          </w:tcPr>
          <w:p w14:paraId="68DAEF1D" w14:textId="77777777" w:rsidR="004161DD" w:rsidRPr="00E420D5" w:rsidRDefault="00E420D5" w:rsidP="00E420D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420D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2141676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1 374 865,68</w:t>
            </w:r>
          </w:p>
        </w:tc>
        <w:tc>
          <w:tcPr>
            <w:tcW w:w="1418" w:type="dxa"/>
            <w:vAlign w:val="center"/>
          </w:tcPr>
          <w:p w14:paraId="47AE680F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161 748,90</w:t>
            </w:r>
          </w:p>
        </w:tc>
        <w:tc>
          <w:tcPr>
            <w:tcW w:w="1418" w:type="dxa"/>
            <w:vAlign w:val="center"/>
          </w:tcPr>
          <w:p w14:paraId="08DAF453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1 536 614,58</w:t>
            </w:r>
          </w:p>
        </w:tc>
      </w:tr>
      <w:tr w:rsidR="008301BF" w:rsidRPr="004938E3" w14:paraId="1CFD9EFB" w14:textId="77777777" w:rsidTr="001970BA">
        <w:trPr>
          <w:jc w:val="center"/>
        </w:trPr>
        <w:tc>
          <w:tcPr>
            <w:tcW w:w="988" w:type="dxa"/>
            <w:vAlign w:val="center"/>
          </w:tcPr>
          <w:p w14:paraId="54162234" w14:textId="77777777" w:rsidR="004161DD" w:rsidRPr="00F75222" w:rsidRDefault="004161DD" w:rsidP="00324E41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*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16972</w:t>
            </w:r>
          </w:p>
        </w:tc>
        <w:tc>
          <w:tcPr>
            <w:tcW w:w="6662" w:type="dxa"/>
            <w:vAlign w:val="center"/>
          </w:tcPr>
          <w:p w14:paraId="702B058C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CZ.06.6.127/0.0/0.0/21_124/0016972</w:t>
            </w:r>
          </w:p>
          <w:p w14:paraId="3D80B1D6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Rozvoj a zkvalitnění materiálně technické základny KCP</w:t>
            </w:r>
          </w:p>
        </w:tc>
        <w:tc>
          <w:tcPr>
            <w:tcW w:w="2410" w:type="dxa"/>
            <w:vAlign w:val="center"/>
          </w:tcPr>
          <w:p w14:paraId="0D3340D4" w14:textId="77777777" w:rsidR="004161DD" w:rsidRPr="004938E3" w:rsidRDefault="004161DD" w:rsidP="00F7522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Komunitní centrum </w:t>
            </w:r>
            <w:r w:rsidR="00941F6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Petrklíč, z.s.</w:t>
            </w:r>
          </w:p>
        </w:tc>
        <w:tc>
          <w:tcPr>
            <w:tcW w:w="1275" w:type="dxa"/>
            <w:shd w:val="clear" w:color="auto" w:fill="30B3A1"/>
            <w:vAlign w:val="center"/>
          </w:tcPr>
          <w:p w14:paraId="024AAF94" w14:textId="77777777" w:rsidR="004161DD" w:rsidRPr="00E420D5" w:rsidRDefault="00E420D5" w:rsidP="00E420D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420D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63E7AD7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0016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  <w:r w:rsidRPr="0030016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122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30016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783,6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14:paraId="25FB34D2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018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955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6018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621,6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312614ED" w14:textId="77777777" w:rsidR="004161DD" w:rsidRPr="00CA75AF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A75A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9 078 405,2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</w:t>
            </w:r>
          </w:p>
        </w:tc>
      </w:tr>
      <w:tr w:rsidR="008301BF" w:rsidRPr="004938E3" w14:paraId="41787A02" w14:textId="77777777" w:rsidTr="001970BA">
        <w:trPr>
          <w:jc w:val="center"/>
        </w:trPr>
        <w:tc>
          <w:tcPr>
            <w:tcW w:w="988" w:type="dxa"/>
            <w:vAlign w:val="center"/>
          </w:tcPr>
          <w:p w14:paraId="48C8BAF8" w14:textId="77777777" w:rsidR="004161DD" w:rsidRPr="00F75222" w:rsidRDefault="004161DD" w:rsidP="00324E41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*</w:t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02132</w:t>
            </w:r>
          </w:p>
        </w:tc>
        <w:tc>
          <w:tcPr>
            <w:tcW w:w="6662" w:type="dxa"/>
            <w:vAlign w:val="center"/>
          </w:tcPr>
          <w:p w14:paraId="57B98BA1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CZ.06.04.02/00/22_014/0002132</w:t>
            </w:r>
          </w:p>
          <w:p w14:paraId="042E853F" w14:textId="77777777" w:rsidR="004161DD" w:rsidRPr="004938E3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Zajištění zázemí pečovatelské služby v Pardubickém kraji</w:t>
            </w:r>
          </w:p>
        </w:tc>
        <w:tc>
          <w:tcPr>
            <w:tcW w:w="2410" w:type="dxa"/>
            <w:vAlign w:val="center"/>
          </w:tcPr>
          <w:p w14:paraId="07BA68A1" w14:textId="77777777" w:rsidR="004161DD" w:rsidRPr="004938E3" w:rsidRDefault="004161DD" w:rsidP="00F7522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Komunitní centrum </w:t>
            </w:r>
            <w:r w:rsidR="00941F6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Petrklíč, z.s.</w:t>
            </w:r>
          </w:p>
        </w:tc>
        <w:tc>
          <w:tcPr>
            <w:tcW w:w="1275" w:type="dxa"/>
            <w:shd w:val="clear" w:color="auto" w:fill="C2E2DB"/>
            <w:vAlign w:val="center"/>
          </w:tcPr>
          <w:p w14:paraId="154C9872" w14:textId="77777777" w:rsidR="004161DD" w:rsidRPr="00E420D5" w:rsidRDefault="00E420D5" w:rsidP="00E420D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420D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36810A7B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3 997 577,80</w:t>
            </w:r>
          </w:p>
        </w:tc>
        <w:tc>
          <w:tcPr>
            <w:tcW w:w="1418" w:type="dxa"/>
            <w:vAlign w:val="center"/>
          </w:tcPr>
          <w:p w14:paraId="0F7BEBF3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470 303,27</w:t>
            </w:r>
          </w:p>
        </w:tc>
        <w:tc>
          <w:tcPr>
            <w:tcW w:w="1418" w:type="dxa"/>
            <w:vAlign w:val="center"/>
          </w:tcPr>
          <w:p w14:paraId="201785E6" w14:textId="77777777" w:rsidR="004161DD" w:rsidRPr="004938E3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938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4 467 881,07</w:t>
            </w:r>
          </w:p>
        </w:tc>
      </w:tr>
      <w:tr w:rsidR="00E420D5" w:rsidRPr="004938E3" w14:paraId="487348EA" w14:textId="77777777" w:rsidTr="00142D73">
        <w:trPr>
          <w:trHeight w:val="399"/>
          <w:jc w:val="center"/>
        </w:trPr>
        <w:tc>
          <w:tcPr>
            <w:tcW w:w="988" w:type="dxa"/>
            <w:shd w:val="thinDiagStripe" w:color="auto" w:fill="auto"/>
            <w:vAlign w:val="center"/>
          </w:tcPr>
          <w:p w14:paraId="45ED7412" w14:textId="77777777" w:rsidR="004161DD" w:rsidRPr="00CA75AF" w:rsidRDefault="004161DD" w:rsidP="0084167A">
            <w:pPr>
              <w:spacing w:before="0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shd w:val="thinDiagStripe" w:color="auto" w:fill="auto"/>
            <w:vAlign w:val="center"/>
          </w:tcPr>
          <w:p w14:paraId="418AAC1B" w14:textId="77777777" w:rsidR="004161DD" w:rsidRPr="00CA75AF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shd w:val="thinDiagStripe" w:color="auto" w:fill="auto"/>
            <w:vAlign w:val="center"/>
          </w:tcPr>
          <w:p w14:paraId="7FF97247" w14:textId="77777777" w:rsidR="004161DD" w:rsidRPr="00CA75AF" w:rsidRDefault="004161DD" w:rsidP="004938E3">
            <w:pPr>
              <w:spacing w:before="0"/>
              <w:jc w:val="lef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thinDiagStripe" w:color="auto" w:fill="auto"/>
          </w:tcPr>
          <w:p w14:paraId="1FA21245" w14:textId="77777777" w:rsidR="004161DD" w:rsidRPr="00CB6576" w:rsidRDefault="004161DD" w:rsidP="004161DD">
            <w:pPr>
              <w:spacing w:before="0"/>
              <w:jc w:val="lef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7A399F0" w14:textId="77777777" w:rsidR="004161DD" w:rsidRPr="00FF33DE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F33D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324 374 750,08</w:t>
            </w:r>
          </w:p>
        </w:tc>
        <w:tc>
          <w:tcPr>
            <w:tcW w:w="1418" w:type="dxa"/>
            <w:vAlign w:val="center"/>
          </w:tcPr>
          <w:p w14:paraId="4A5560DB" w14:textId="77777777" w:rsidR="004161DD" w:rsidRPr="00FF33DE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F33D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33 235 664,12</w:t>
            </w:r>
          </w:p>
        </w:tc>
        <w:tc>
          <w:tcPr>
            <w:tcW w:w="1418" w:type="dxa"/>
            <w:vAlign w:val="center"/>
          </w:tcPr>
          <w:p w14:paraId="48719523" w14:textId="77777777" w:rsidR="004161DD" w:rsidRPr="00FF33DE" w:rsidRDefault="004161DD" w:rsidP="00F75222">
            <w:pPr>
              <w:spacing w:before="0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FF33D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357 610 414,20</w:t>
            </w:r>
          </w:p>
        </w:tc>
      </w:tr>
    </w:tbl>
    <w:p w14:paraId="09C113C0" w14:textId="77777777" w:rsidR="00C35605" w:rsidRPr="004938E3" w:rsidRDefault="00C35605" w:rsidP="00504F32">
      <w:pPr>
        <w:pStyle w:val="KP-normlnbezodsazen"/>
      </w:pPr>
    </w:p>
    <w:p w14:paraId="4F1F5EF4" w14:textId="77777777" w:rsidR="004938E3" w:rsidRDefault="004938E3" w:rsidP="00504F32">
      <w:pPr>
        <w:pStyle w:val="KP-normlnbezodsazen"/>
        <w:sectPr w:rsidR="004938E3" w:rsidSect="00057F85">
          <w:footerReference w:type="first" r:id="rId17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18A84F2" w14:textId="77777777" w:rsidR="00504F32" w:rsidRPr="004F01AD" w:rsidRDefault="00504F32" w:rsidP="00504F32">
      <w:pPr>
        <w:pStyle w:val="Nadpis1"/>
        <w:spacing w:before="0" w:after="120"/>
        <w:jc w:val="right"/>
        <w:rPr>
          <w:sz w:val="24"/>
          <w:szCs w:val="24"/>
        </w:rPr>
      </w:pPr>
      <w:r w:rsidRPr="004F01AD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2</w:t>
      </w:r>
    </w:p>
    <w:p w14:paraId="3A1AE446" w14:textId="77777777" w:rsidR="00680AC1" w:rsidRDefault="00680AC1" w:rsidP="00481C9C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4823">
        <w:rPr>
          <w:rFonts w:asciiTheme="minorHAnsi" w:hAnsiTheme="minorHAnsi" w:cstheme="minorHAnsi"/>
          <w:b/>
          <w:sz w:val="22"/>
          <w:szCs w:val="22"/>
        </w:rPr>
        <w:t>Kritéria hodnocení účelnosti výdajů vynaložených na podporu sociální infrastruktury</w:t>
      </w:r>
    </w:p>
    <w:p w14:paraId="34B4194A" w14:textId="77777777" w:rsidR="00481C9C" w:rsidRPr="003D4823" w:rsidRDefault="00481C9C" w:rsidP="00481C9C">
      <w:pPr>
        <w:widowControl w:val="0"/>
        <w:spacing w:before="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(na základě posouzení významnosti jednotlivých nedostatků)</w:t>
      </w: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805"/>
      </w:tblGrid>
      <w:tr w:rsidR="00C35605" w:rsidRPr="003D4823" w14:paraId="58A66172" w14:textId="77777777" w:rsidTr="002A7388">
        <w:trPr>
          <w:trHeight w:val="907"/>
          <w:jc w:val="center"/>
        </w:trPr>
        <w:tc>
          <w:tcPr>
            <w:tcW w:w="3257" w:type="dxa"/>
            <w:vAlign w:val="center"/>
          </w:tcPr>
          <w:p w14:paraId="7C3AF23D" w14:textId="77777777" w:rsidR="00C35605" w:rsidRPr="003D4823" w:rsidRDefault="00C35605" w:rsidP="003D4823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>Stupeň účelnosti vynaložených prostředků</w:t>
            </w:r>
            <w:r w:rsidR="00B900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>v projektu</w:t>
            </w:r>
          </w:p>
        </w:tc>
        <w:tc>
          <w:tcPr>
            <w:tcW w:w="5805" w:type="dxa"/>
            <w:vAlign w:val="center"/>
          </w:tcPr>
          <w:p w14:paraId="7C6BFD80" w14:textId="77777777" w:rsidR="00C35605" w:rsidRPr="003D4823" w:rsidRDefault="00C35605" w:rsidP="003D4823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E914B4" w14:textId="77777777" w:rsidR="00C35605" w:rsidRPr="003D4823" w:rsidRDefault="00C35605" w:rsidP="003D4823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>Definice stupně účelnosti</w:t>
            </w:r>
          </w:p>
          <w:p w14:paraId="69CC2B4F" w14:textId="77777777" w:rsidR="00C35605" w:rsidRPr="003D4823" w:rsidRDefault="00C35605" w:rsidP="003D4823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35605" w:rsidRPr="003D4823" w14:paraId="4FD13CF5" w14:textId="77777777" w:rsidTr="00C35605">
        <w:trPr>
          <w:jc w:val="center"/>
        </w:trPr>
        <w:tc>
          <w:tcPr>
            <w:tcW w:w="3257" w:type="dxa"/>
            <w:vAlign w:val="center"/>
          </w:tcPr>
          <w:p w14:paraId="01F533E6" w14:textId="77777777" w:rsidR="00C35605" w:rsidRPr="003D4823" w:rsidRDefault="00C35605" w:rsidP="003D4823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</w:t>
            </w:r>
          </w:p>
          <w:p w14:paraId="36D4BE18" w14:textId="77777777" w:rsidR="00C35605" w:rsidRPr="003D4823" w:rsidRDefault="00C35605" w:rsidP="003D4823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>Vynaložené prostředky jsou účelné</w:t>
            </w:r>
          </w:p>
        </w:tc>
        <w:tc>
          <w:tcPr>
            <w:tcW w:w="5805" w:type="dxa"/>
          </w:tcPr>
          <w:p w14:paraId="1A8D79C3" w14:textId="111148FE" w:rsidR="00C35605" w:rsidRPr="003D4823" w:rsidRDefault="00C35605" w:rsidP="003D482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>Projekt byl řádně realizován a jeho realizací bylo dosaženo stanovených cílů a předpokládaných přínosů.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Cíle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 stanovené </w:t>
            </w:r>
            <w:r w:rsidR="00572C7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572C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žádosti o podporu (nejen indikátory) jsou specifické a</w:t>
            </w:r>
            <w:r w:rsidR="009760A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měřitelné a jejich plnění je možno ověřit; </w:t>
            </w:r>
            <w:r w:rsidRPr="003D48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přínosy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 jsou jasně formulovány a jsou</w:t>
            </w:r>
            <w:r w:rsidR="00A439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dlouhodobě udržitelné (minimálně </w:t>
            </w:r>
            <w:r w:rsidR="00E55A4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="00E55A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stanovenou dobu udržitelnosti</w:t>
            </w:r>
            <w:r w:rsidR="00481C9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 respektive po dobu životnosti/provozuschopnosti pořízeného vybavení) </w:t>
            </w:r>
            <w:r w:rsidR="00941F6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 SMART.</w:t>
            </w:r>
          </w:p>
          <w:p w14:paraId="4084EC8E" w14:textId="17F86C32" w:rsidR="00C35605" w:rsidRPr="00941F69" w:rsidRDefault="00C35605" w:rsidP="003D4823">
            <w:pPr>
              <w:widowControl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Příjemce zvýšil vybrané </w:t>
            </w:r>
            <w:r w:rsidR="00941F69" w:rsidRPr="00682A7F">
              <w:rPr>
                <w:rFonts w:asciiTheme="minorHAnsi" w:hAnsiTheme="minorHAnsi" w:cstheme="minorHAnsi"/>
                <w:iCs/>
                <w:sz w:val="22"/>
                <w:szCs w:val="22"/>
              </w:rPr>
              <w:t>s</w:t>
            </w:r>
            <w:r w:rsidRPr="00682A7F">
              <w:rPr>
                <w:rFonts w:asciiTheme="minorHAnsi" w:hAnsiTheme="minorHAnsi" w:cstheme="minorHAnsi"/>
                <w:iCs/>
                <w:sz w:val="22"/>
                <w:szCs w:val="22"/>
              </w:rPr>
              <w:t>tandardy kvality</w:t>
            </w:r>
            <w:r w:rsidRPr="00682A7F">
              <w:rPr>
                <w:rStyle w:val="Znakapoznpodarou"/>
                <w:rFonts w:asciiTheme="minorHAnsi" w:hAnsiTheme="minorHAnsi" w:cstheme="minorHAnsi"/>
                <w:iCs/>
                <w:sz w:val="22"/>
                <w:szCs w:val="22"/>
              </w:rPr>
              <w:footnoteReference w:id="43"/>
            </w:r>
            <w:r w:rsidRPr="00941F6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dodržuje </w:t>
            </w:r>
            <w:r w:rsidR="00941F69">
              <w:rPr>
                <w:rFonts w:asciiTheme="minorHAnsi" w:hAnsiTheme="minorHAnsi" w:cstheme="minorHAnsi"/>
                <w:iCs/>
                <w:sz w:val="22"/>
                <w:szCs w:val="22"/>
              </w:rPr>
              <w:t>m</w:t>
            </w:r>
            <w:r w:rsidRPr="00682A7F">
              <w:rPr>
                <w:rFonts w:asciiTheme="minorHAnsi" w:hAnsiTheme="minorHAnsi" w:cstheme="minorHAnsi"/>
                <w:iCs/>
                <w:sz w:val="22"/>
                <w:szCs w:val="22"/>
              </w:rPr>
              <w:t>ateriálně-technické standardy</w:t>
            </w:r>
            <w:r w:rsidRPr="00941F6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příp. </w:t>
            </w:r>
            <w:r w:rsidR="00941F69">
              <w:rPr>
                <w:rFonts w:asciiTheme="minorHAnsi" w:hAnsiTheme="minorHAnsi" w:cstheme="minorHAnsi"/>
                <w:iCs/>
                <w:sz w:val="22"/>
                <w:szCs w:val="22"/>
              </w:rPr>
              <w:t>„k</w:t>
            </w:r>
            <w:r w:rsidRPr="00682A7F">
              <w:rPr>
                <w:rFonts w:asciiTheme="minorHAnsi" w:hAnsiTheme="minorHAnsi" w:cstheme="minorHAnsi"/>
                <w:iCs/>
                <w:sz w:val="22"/>
                <w:szCs w:val="22"/>
              </w:rPr>
              <w:t>ritéria komunitních služeb, transformace a DI</w:t>
            </w:r>
            <w:r w:rsidR="00941F69">
              <w:rPr>
                <w:rFonts w:asciiTheme="minorHAnsi" w:hAnsiTheme="minorHAnsi" w:cstheme="minorHAnsi"/>
                <w:iCs/>
                <w:sz w:val="22"/>
                <w:szCs w:val="22"/>
              </w:rPr>
              <w:t>“</w:t>
            </w:r>
            <w:r w:rsidRPr="00941F6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a plní </w:t>
            </w:r>
            <w:r w:rsidR="00941F69">
              <w:rPr>
                <w:rFonts w:asciiTheme="minorHAnsi" w:hAnsiTheme="minorHAnsi" w:cstheme="minorHAnsi"/>
                <w:iCs/>
                <w:sz w:val="22"/>
                <w:szCs w:val="22"/>
              </w:rPr>
              <w:t>t</w:t>
            </w:r>
            <w:r w:rsidRPr="00682A7F">
              <w:rPr>
                <w:rFonts w:asciiTheme="minorHAnsi" w:hAnsiTheme="minorHAnsi" w:cstheme="minorHAnsi"/>
                <w:iCs/>
                <w:sz w:val="22"/>
                <w:szCs w:val="22"/>
              </w:rPr>
              <w:t>ransformační plán</w:t>
            </w:r>
            <w:r w:rsidRPr="00941F6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</w:t>
            </w:r>
          </w:p>
          <w:p w14:paraId="4673DEB3" w14:textId="41447ED3" w:rsidR="00C35605" w:rsidRPr="003D4823" w:rsidRDefault="00941F69" w:rsidP="003D482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ktivity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C35605" w:rsidRPr="003D4823">
              <w:rPr>
                <w:rFonts w:asciiTheme="minorHAnsi" w:hAnsiTheme="minorHAnsi" w:cstheme="minorHAnsi"/>
                <w:sz w:val="22"/>
                <w:szCs w:val="22"/>
              </w:rPr>
              <w:t>yly realizovány dle harmonogramu projektu, bylo dosaženo výsledků deklarovaných příjemcem a lze konstatovat očekávaný přínos vynaložených prostředků pro cílovou skupinu a pro plnění cílů IROP.</w:t>
            </w:r>
            <w:r w:rsidR="00A439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334E12" w14:textId="1CE010CF" w:rsidR="00C35605" w:rsidRPr="003D4823" w:rsidRDefault="00C35605" w:rsidP="00C3560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Projekt je obecně účelný, pokud jeho předpokládané výsledky vedou ke</w:t>
            </w:r>
            <w:r w:rsidR="00941F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zvýšení kvality zahrnující poskytování služeb komunitního typu oproti institucionálnímu uspořádání nebo k</w:t>
            </w:r>
            <w:r w:rsidR="00481E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lepší dostupnosti sociální služby.</w:t>
            </w:r>
            <w:r w:rsidRPr="00682A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Výstupy projektu (nově pořízené nebo stavebně upravené objekty, </w:t>
            </w:r>
            <w:r w:rsidR="00941F69">
              <w:rPr>
                <w:rFonts w:asciiTheme="minorHAnsi" w:hAnsiTheme="minorHAnsi" w:cstheme="minorHAnsi"/>
                <w:sz w:val="22"/>
                <w:szCs w:val="22"/>
              </w:rPr>
              <w:t xml:space="preserve">zakoupené 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automobily nebo vybavení) jsou využívány v předpokládaném rozsahu ke</w:t>
            </w:r>
            <w:r w:rsidR="009760A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stanovenému účelu pro cílovou skupinu (např. vznik nové potřebné služby; nová dispoziční úprava pokojů pro klienty</w:t>
            </w:r>
            <w:r w:rsidR="00941F6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 nové bytové jednotky jsou využívány zdravotně postiženými, pro které byly určeny</w:t>
            </w:r>
            <w:r w:rsidR="00941F6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 pokoje jsou obsazeny konkrétní cílovou skupinou), nově vytvořené zázemí přispívá k osamostatnění za</w:t>
            </w:r>
            <w:r w:rsidR="00572C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přítomnosti soc. pracovníka, zázemí pro sociální pracovníky je jimi využíváno, nakoupená zařízení (nábytek, automobily) j</w:t>
            </w:r>
            <w:r w:rsidR="00941F69">
              <w:rPr>
                <w:rFonts w:asciiTheme="minorHAnsi" w:hAnsiTheme="minorHAnsi" w:cstheme="minorHAnsi"/>
                <w:sz w:val="22"/>
                <w:szCs w:val="22"/>
              </w:rPr>
              <w:t>sou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 využíván</w:t>
            </w:r>
            <w:r w:rsidR="00941F6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 w:rsidR="00E55A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předpokládaném rozsahu pro cílovou skupinu. </w:t>
            </w:r>
          </w:p>
          <w:p w14:paraId="5946E899" w14:textId="77777777" w:rsidR="00C35605" w:rsidRPr="003D4823" w:rsidRDefault="00C35605" w:rsidP="003D4823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Všechny zkontrolované výdaje vynaložené příjemcem byly způsobilé</w:t>
            </w:r>
            <w:r w:rsidR="00481C9C">
              <w:rPr>
                <w:rFonts w:asciiTheme="minorHAnsi" w:hAnsiTheme="minorHAnsi" w:cstheme="minorHAnsi"/>
                <w:sz w:val="22"/>
                <w:szCs w:val="22"/>
              </w:rPr>
              <w:t xml:space="preserve"> nebo byl objem nezpůsobilých výdajů bagatelní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560A2E" w14:textId="01682BC1" w:rsidR="00C35605" w:rsidRPr="003D4823" w:rsidRDefault="00C35605" w:rsidP="007B44DC">
            <w:pPr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Pozn.: Standardně se jedná o dosažení 100 % stanovených cílů, nicméně je třeba brát v úvahu jejich relativní důležitost. Např. hlavní předpokládané cíle a přínosy byly splněny a nesplnění některého z</w:t>
            </w:r>
            <w:r w:rsidR="00E55A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méně významných cílů nemělo vliv na celkový přínos projektu </w:t>
            </w:r>
            <w:r w:rsidR="00941F6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 lze vyhodnotit jako „projekt dosáhl stanovených cílů a předpokládaných přínosů“.</w:t>
            </w:r>
          </w:p>
        </w:tc>
      </w:tr>
      <w:tr w:rsidR="00C35605" w:rsidRPr="003D4823" w14:paraId="64A8CBB4" w14:textId="77777777" w:rsidTr="00C35605">
        <w:trPr>
          <w:jc w:val="center"/>
        </w:trPr>
        <w:tc>
          <w:tcPr>
            <w:tcW w:w="3257" w:type="dxa"/>
            <w:vAlign w:val="center"/>
          </w:tcPr>
          <w:p w14:paraId="291C7053" w14:textId="77777777" w:rsidR="00C35605" w:rsidRPr="003D4823" w:rsidRDefault="00C35605" w:rsidP="003D4823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  <w:p w14:paraId="430DFA84" w14:textId="77777777" w:rsidR="00C35605" w:rsidRPr="003D4823" w:rsidRDefault="00C35605" w:rsidP="003D4823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Vynaložené prostředky </w:t>
            </w:r>
            <w:r w:rsidR="00941F6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>jsou účelné s mírnými nedostatky</w:t>
            </w:r>
            <w:r w:rsidR="00A45734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A45734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>s výhradou</w:t>
            </w:r>
          </w:p>
        </w:tc>
        <w:tc>
          <w:tcPr>
            <w:tcW w:w="5805" w:type="dxa"/>
          </w:tcPr>
          <w:p w14:paraId="0A50760B" w14:textId="77777777" w:rsidR="00C35605" w:rsidRPr="003D4823" w:rsidRDefault="00C35605" w:rsidP="003D4823">
            <w:pPr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Většina stanovených aktivit, dílčích cílů a předpokládaných přínosů pro cílovou skupinu byla splněna. </w:t>
            </w:r>
          </w:p>
          <w:p w14:paraId="4BCD408A" w14:textId="77777777" w:rsidR="00C35605" w:rsidRPr="003D4823" w:rsidRDefault="00C35605" w:rsidP="003D4823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Nesplnění některých aktivit nebo dílčích cílů nemá podstatný vliv na celkový výsledek/přínos projektu ke zvýšení kvality v oblasti sociálních služeb. Projekt např. splnil více než ¾ svých dílčích cílů nebo je předpoklad, že je naplní (např. pořízené vybavení je z větší části využíváno v předpokládaném rozsahu pro cílovou skupinu nebo výstupy investičních projektů jsou z větší části využívány ke stanovenému účelu). </w:t>
            </w:r>
          </w:p>
          <w:p w14:paraId="1C31BEFC" w14:textId="12CECF51" w:rsidR="00C35605" w:rsidRPr="00941F69" w:rsidRDefault="00C35605" w:rsidP="003D4823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Příjemce nezvýšil </w:t>
            </w:r>
            <w:r w:rsidRPr="00941F69">
              <w:rPr>
                <w:rFonts w:asciiTheme="minorHAnsi" w:hAnsiTheme="minorHAnsi" w:cstheme="minorHAnsi"/>
                <w:sz w:val="22"/>
                <w:szCs w:val="22"/>
              </w:rPr>
              <w:t xml:space="preserve">některé vybrané </w:t>
            </w:r>
            <w:r w:rsidR="00941F6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82A7F">
              <w:rPr>
                <w:rFonts w:asciiTheme="minorHAnsi" w:hAnsiTheme="minorHAnsi" w:cstheme="minorHAnsi"/>
                <w:sz w:val="22"/>
                <w:szCs w:val="22"/>
              </w:rPr>
              <w:t>tandardy kvality</w:t>
            </w:r>
            <w:r w:rsidRPr="00941F69">
              <w:rPr>
                <w:rFonts w:asciiTheme="minorHAnsi" w:hAnsiTheme="minorHAnsi" w:cstheme="minorHAnsi"/>
                <w:sz w:val="22"/>
                <w:szCs w:val="22"/>
              </w:rPr>
              <w:t xml:space="preserve"> nebo nedodržel </w:t>
            </w:r>
            <w:r w:rsidR="00941F6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682A7F">
              <w:rPr>
                <w:rFonts w:asciiTheme="minorHAnsi" w:hAnsiTheme="minorHAnsi" w:cstheme="minorHAnsi"/>
                <w:sz w:val="22"/>
                <w:szCs w:val="22"/>
              </w:rPr>
              <w:t>ateriálně-technické standardy</w:t>
            </w:r>
            <w:r w:rsidRPr="00941F69">
              <w:rPr>
                <w:rFonts w:asciiTheme="minorHAnsi" w:hAnsiTheme="minorHAnsi" w:cstheme="minorHAnsi"/>
                <w:sz w:val="22"/>
                <w:szCs w:val="22"/>
              </w:rPr>
              <w:t xml:space="preserve"> nebo </w:t>
            </w:r>
            <w:r w:rsidR="00941F69">
              <w:rPr>
                <w:rFonts w:asciiTheme="minorHAnsi" w:hAnsiTheme="minorHAnsi" w:cstheme="minorHAnsi"/>
                <w:sz w:val="22"/>
                <w:szCs w:val="22"/>
              </w:rPr>
              <w:t>„k</w:t>
            </w:r>
            <w:r w:rsidRPr="00682A7F">
              <w:rPr>
                <w:rFonts w:asciiTheme="minorHAnsi" w:hAnsiTheme="minorHAnsi" w:cstheme="minorHAnsi"/>
                <w:sz w:val="22"/>
                <w:szCs w:val="22"/>
              </w:rPr>
              <w:t>ritéria komunitních služeb, transformace a DI</w:t>
            </w:r>
            <w:r w:rsidR="00941F69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941F69">
              <w:rPr>
                <w:rFonts w:asciiTheme="minorHAnsi" w:hAnsiTheme="minorHAnsi" w:cstheme="minorHAnsi"/>
                <w:sz w:val="22"/>
                <w:szCs w:val="22"/>
              </w:rPr>
              <w:t xml:space="preserve"> ve vazbě na</w:t>
            </w:r>
            <w:r w:rsidR="00941F69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Pr="00682A7F">
              <w:rPr>
                <w:rFonts w:asciiTheme="minorHAnsi" w:hAnsiTheme="minorHAnsi" w:cstheme="minorHAnsi"/>
                <w:sz w:val="22"/>
                <w:szCs w:val="22"/>
              </w:rPr>
              <w:t>ransformační plán</w:t>
            </w:r>
            <w:r w:rsidRPr="00941F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787CA6" w14:textId="77777777" w:rsidR="00C35605" w:rsidRPr="003D4823" w:rsidRDefault="00C35605" w:rsidP="003D4823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Cíle projektu nejsou nastaveny konkrétně a nejsou měřitelné, přínosy jsou formulovány pouze obecně a jejich dosažení lze ověřit omezeně. Jako celek ale projekt povede ke zvýšení kvality v oblasti sociální péče nebo k doplnění potřebné sociální služby (tj. dostupnosti) nebo k poskytování sociální služby komunitního typu.</w:t>
            </w:r>
          </w:p>
          <w:p w14:paraId="1852C180" w14:textId="77777777" w:rsidR="00C35605" w:rsidRPr="003D4823" w:rsidRDefault="00C35605" w:rsidP="003D4823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Výstupy projektu jsou využívány cílovou skupinou v omezeném rozsahu ke stanovenému účelu.</w:t>
            </w:r>
          </w:p>
          <w:p w14:paraId="39D61322" w14:textId="22F411D9" w:rsidR="00C35605" w:rsidRPr="003D4823" w:rsidRDefault="00C35605" w:rsidP="00B90078">
            <w:pPr>
              <w:keepNext/>
              <w:keepLines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Zkontrolované výdaje vynaložené příjemcem byly způsobilé nebo částka identifikovaných nezpůsobilých výdajů byla</w:t>
            </w:r>
            <w:r w:rsidR="00FA6B8A">
              <w:rPr>
                <w:rFonts w:asciiTheme="minorHAnsi" w:hAnsiTheme="minorHAnsi" w:cstheme="minorHAnsi"/>
                <w:sz w:val="22"/>
                <w:szCs w:val="22"/>
              </w:rPr>
              <w:t xml:space="preserve"> nízká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35605" w:rsidRPr="003D4823" w14:paraId="086D5470" w14:textId="77777777" w:rsidTr="00C35605">
        <w:trPr>
          <w:jc w:val="center"/>
        </w:trPr>
        <w:tc>
          <w:tcPr>
            <w:tcW w:w="3257" w:type="dxa"/>
            <w:vAlign w:val="center"/>
          </w:tcPr>
          <w:p w14:paraId="3A9B95C0" w14:textId="77777777" w:rsidR="00C35605" w:rsidRPr="003D4823" w:rsidRDefault="00C35605" w:rsidP="003D4823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  <w:p w14:paraId="7DCCCD06" w14:textId="77777777" w:rsidR="00C35605" w:rsidRPr="003D4823" w:rsidRDefault="00C35605" w:rsidP="003D4823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>Vynaložené prostředky jsou účelné omezeně</w:t>
            </w:r>
          </w:p>
        </w:tc>
        <w:tc>
          <w:tcPr>
            <w:tcW w:w="5805" w:type="dxa"/>
          </w:tcPr>
          <w:p w14:paraId="34E25D0F" w14:textId="085D66E3" w:rsidR="00C35605" w:rsidRPr="003D4823" w:rsidRDefault="00C35605" w:rsidP="003D4823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>Některé z</w:t>
            </w:r>
            <w:r w:rsidR="00A457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>předpokladů účelnosti jsou významně zpochybněny.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B18E848" w14:textId="77777777" w:rsidR="00C35605" w:rsidRPr="003D4823" w:rsidRDefault="00C35605" w:rsidP="003D4823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Např. žádost o dotaci obsahuje neověřitelné údaje, u kterých nelze změřit výsledek projektu. Zjištěné skutečnosti potvrzují nereálnost předpokládaných výsledků, např. když projekt splnil pouze cca ½ předpokládaných cílů nebo je předpoklad, že naplní pouze tuto část, nebo je pochybnost o jejich udržitelnosti (např. o nově vzniklou sociální službu nebo vybudované zázemí není z řad klientů zájem). </w:t>
            </w:r>
          </w:p>
          <w:p w14:paraId="3593F836" w14:textId="10C05C8A" w:rsidR="00C35605" w:rsidRPr="00A45734" w:rsidRDefault="00C35605" w:rsidP="003D4823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Příjemce </w:t>
            </w:r>
            <w:r w:rsidRPr="00A45734">
              <w:rPr>
                <w:rFonts w:asciiTheme="minorHAnsi" w:hAnsiTheme="minorHAnsi" w:cstheme="minorHAnsi"/>
                <w:sz w:val="22"/>
                <w:szCs w:val="22"/>
              </w:rPr>
              <w:t xml:space="preserve">nezvýšil většinu vybraných </w:t>
            </w:r>
            <w:r w:rsidR="00A457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82A7F">
              <w:rPr>
                <w:rFonts w:asciiTheme="minorHAnsi" w:hAnsiTheme="minorHAnsi" w:cstheme="minorHAnsi"/>
                <w:sz w:val="22"/>
                <w:szCs w:val="22"/>
              </w:rPr>
              <w:t>tandardů kvality</w:t>
            </w:r>
            <w:r w:rsidRPr="00A45734">
              <w:rPr>
                <w:rFonts w:asciiTheme="minorHAnsi" w:hAnsiTheme="minorHAnsi" w:cstheme="minorHAnsi"/>
                <w:sz w:val="22"/>
                <w:szCs w:val="22"/>
              </w:rPr>
              <w:t xml:space="preserve"> nebo nedodržel </w:t>
            </w:r>
            <w:r w:rsidR="00A4573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682A7F">
              <w:rPr>
                <w:rFonts w:asciiTheme="minorHAnsi" w:hAnsiTheme="minorHAnsi" w:cstheme="minorHAnsi"/>
                <w:sz w:val="22"/>
                <w:szCs w:val="22"/>
              </w:rPr>
              <w:t>ateriálně-technické standardy</w:t>
            </w:r>
            <w:r w:rsidRPr="00A45734">
              <w:rPr>
                <w:rFonts w:asciiTheme="minorHAnsi" w:hAnsiTheme="minorHAnsi" w:cstheme="minorHAnsi"/>
                <w:sz w:val="22"/>
                <w:szCs w:val="22"/>
              </w:rPr>
              <w:t xml:space="preserve"> nebo </w:t>
            </w:r>
            <w:r w:rsidR="00A45734">
              <w:rPr>
                <w:rFonts w:asciiTheme="minorHAnsi" w:hAnsiTheme="minorHAnsi" w:cstheme="minorHAnsi"/>
                <w:sz w:val="22"/>
                <w:szCs w:val="22"/>
              </w:rPr>
              <w:t>„k</w:t>
            </w:r>
            <w:r w:rsidRPr="00682A7F">
              <w:rPr>
                <w:rFonts w:asciiTheme="minorHAnsi" w:hAnsiTheme="minorHAnsi" w:cstheme="minorHAnsi"/>
                <w:sz w:val="22"/>
                <w:szCs w:val="22"/>
              </w:rPr>
              <w:t>ritéria komunitních služeb, transformace a DI</w:t>
            </w:r>
            <w:r w:rsidR="00A45734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A45734">
              <w:rPr>
                <w:rFonts w:asciiTheme="minorHAnsi" w:hAnsiTheme="minorHAnsi" w:cstheme="minorHAnsi"/>
                <w:sz w:val="22"/>
                <w:szCs w:val="22"/>
              </w:rPr>
              <w:t xml:space="preserve"> a významně se odchýlil od </w:t>
            </w:r>
            <w:r w:rsidR="00A4573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682A7F">
              <w:rPr>
                <w:rFonts w:asciiTheme="minorHAnsi" w:hAnsiTheme="minorHAnsi" w:cstheme="minorHAnsi"/>
                <w:sz w:val="22"/>
                <w:szCs w:val="22"/>
              </w:rPr>
              <w:t>ransformačního plánu</w:t>
            </w:r>
            <w:r w:rsidRPr="00A457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8A5F262" w14:textId="77777777" w:rsidR="00C35605" w:rsidRPr="003D4823" w:rsidRDefault="00C35605" w:rsidP="003D4823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Stanovené aktivity, cíle a předpokládané přínosy projektu byly splněny jen částečně, např. méně než z poloviny.</w:t>
            </w:r>
          </w:p>
          <w:p w14:paraId="61504702" w14:textId="3EAADB52" w:rsidR="00C35605" w:rsidRPr="003D4823" w:rsidRDefault="00C35605" w:rsidP="003D4823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Výstupy projektu jsou využívány jen omezeně a</w:t>
            </w:r>
            <w:r w:rsidR="00A45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zároveň neexistuje důvodný předpoklad významnějšího zlepšení (využívání) v budoucnu.</w:t>
            </w:r>
          </w:p>
          <w:p w14:paraId="5FC0F469" w14:textId="77777777" w:rsidR="00C35605" w:rsidRPr="003D4823" w:rsidRDefault="00C35605" w:rsidP="002A278D">
            <w:pPr>
              <w:keepNext/>
              <w:keepLines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Kontrolou byly identifikovány nezpůsobilé výdaje ve vyšším finančním objemu.</w:t>
            </w:r>
          </w:p>
        </w:tc>
      </w:tr>
      <w:tr w:rsidR="00C35605" w:rsidRPr="003D4823" w14:paraId="321688BF" w14:textId="77777777" w:rsidTr="003D4823">
        <w:trPr>
          <w:trHeight w:val="3812"/>
          <w:jc w:val="center"/>
        </w:trPr>
        <w:tc>
          <w:tcPr>
            <w:tcW w:w="3257" w:type="dxa"/>
            <w:vAlign w:val="center"/>
          </w:tcPr>
          <w:p w14:paraId="654CFC91" w14:textId="77777777" w:rsidR="00C35605" w:rsidRPr="003D4823" w:rsidRDefault="00C35605" w:rsidP="00F72E0B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  <w:p w14:paraId="55822323" w14:textId="77777777" w:rsidR="00C35605" w:rsidRPr="003D4823" w:rsidRDefault="00C35605" w:rsidP="00C35605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>Vynaložené prostředky nejsou účelné</w:t>
            </w:r>
          </w:p>
        </w:tc>
        <w:tc>
          <w:tcPr>
            <w:tcW w:w="5805" w:type="dxa"/>
          </w:tcPr>
          <w:p w14:paraId="7C8AD518" w14:textId="77777777" w:rsidR="00C35605" w:rsidRPr="003D4823" w:rsidRDefault="00C35605" w:rsidP="003D4823">
            <w:pPr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Předpoklady účelnosti jsou zásadně zpochybněny některými z dále uvedených nedostatků. </w:t>
            </w:r>
          </w:p>
          <w:p w14:paraId="751E02AF" w14:textId="4A1ED203" w:rsidR="00C35605" w:rsidRPr="003D4823" w:rsidRDefault="00C35605" w:rsidP="003D4823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Projekt např. neměl být vybrán k</w:t>
            </w:r>
            <w:r w:rsidR="00E55A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financování (projekt nesplňuje kritér</w:t>
            </w:r>
            <w:r w:rsidR="007F667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a přijatelnosti), neboť skutečně profitující cílová skupina neodpovídá vymezení v</w:t>
            </w:r>
            <w:r w:rsidR="00A45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programu, resp. v</w:t>
            </w:r>
            <w:r w:rsidR="00481E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příslušné výzvě (příjemce mohl poskytnout v</w:t>
            </w:r>
            <w:r w:rsidR="00A45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žádosti o</w:t>
            </w:r>
            <w:r w:rsidR="00E55A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podporu nepravdivé informace o cílové skupině), resp. nebylo dosaženo výsledků/přínosů, které příjemce pro projekt deklaroval.</w:t>
            </w:r>
          </w:p>
          <w:p w14:paraId="1B59F547" w14:textId="58028254" w:rsidR="00C35605" w:rsidRPr="00A45734" w:rsidRDefault="00C35605" w:rsidP="003D4823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 xml:space="preserve">Příjemce nezvýšil </w:t>
            </w:r>
            <w:r w:rsidRPr="00A45734">
              <w:rPr>
                <w:rFonts w:asciiTheme="minorHAnsi" w:hAnsiTheme="minorHAnsi" w:cstheme="minorHAnsi"/>
                <w:sz w:val="22"/>
                <w:szCs w:val="22"/>
              </w:rPr>
              <w:t xml:space="preserve">žádný </w:t>
            </w:r>
            <w:r w:rsidR="00A457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82A7F">
              <w:rPr>
                <w:rFonts w:asciiTheme="minorHAnsi" w:hAnsiTheme="minorHAnsi" w:cstheme="minorHAnsi"/>
                <w:sz w:val="22"/>
                <w:szCs w:val="22"/>
              </w:rPr>
              <w:t>tandard kvality</w:t>
            </w:r>
            <w:r w:rsidRPr="00A45734">
              <w:rPr>
                <w:rFonts w:asciiTheme="minorHAnsi" w:hAnsiTheme="minorHAnsi" w:cstheme="minorHAnsi"/>
                <w:sz w:val="22"/>
                <w:szCs w:val="22"/>
              </w:rPr>
              <w:t xml:space="preserve"> nebo nedodržel </w:t>
            </w:r>
            <w:r w:rsidR="00A4573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682A7F">
              <w:rPr>
                <w:rFonts w:asciiTheme="minorHAnsi" w:hAnsiTheme="minorHAnsi" w:cstheme="minorHAnsi"/>
                <w:sz w:val="22"/>
                <w:szCs w:val="22"/>
              </w:rPr>
              <w:t>ateriálně-technické standardy</w:t>
            </w:r>
            <w:r w:rsidRPr="00A45734">
              <w:rPr>
                <w:rFonts w:asciiTheme="minorHAnsi" w:hAnsiTheme="minorHAnsi" w:cstheme="minorHAnsi"/>
                <w:sz w:val="22"/>
                <w:szCs w:val="22"/>
              </w:rPr>
              <w:t xml:space="preserve"> nebo </w:t>
            </w:r>
            <w:r w:rsidR="00A45734">
              <w:rPr>
                <w:rFonts w:asciiTheme="minorHAnsi" w:hAnsiTheme="minorHAnsi" w:cstheme="minorHAnsi"/>
                <w:sz w:val="22"/>
                <w:szCs w:val="22"/>
              </w:rPr>
              <w:t>„k</w:t>
            </w:r>
            <w:r w:rsidRPr="00682A7F">
              <w:rPr>
                <w:rFonts w:asciiTheme="minorHAnsi" w:hAnsiTheme="minorHAnsi" w:cstheme="minorHAnsi"/>
                <w:sz w:val="22"/>
                <w:szCs w:val="22"/>
              </w:rPr>
              <w:t>ritéria komunitních služeb, transformace a DI</w:t>
            </w:r>
            <w:r w:rsidR="00A45734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A45734">
              <w:rPr>
                <w:rFonts w:asciiTheme="minorHAnsi" w:hAnsiTheme="minorHAnsi" w:cstheme="minorHAnsi"/>
                <w:sz w:val="22"/>
                <w:szCs w:val="22"/>
              </w:rPr>
              <w:t xml:space="preserve"> nebo zcela neplní </w:t>
            </w:r>
            <w:r w:rsidR="00A4573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682A7F">
              <w:rPr>
                <w:rFonts w:asciiTheme="minorHAnsi" w:hAnsiTheme="minorHAnsi" w:cstheme="minorHAnsi"/>
                <w:sz w:val="22"/>
                <w:szCs w:val="22"/>
              </w:rPr>
              <w:t>ransformační plán</w:t>
            </w:r>
            <w:r w:rsidRPr="00A457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5236874" w14:textId="77777777" w:rsidR="00C35605" w:rsidRPr="003D4823" w:rsidRDefault="00C35605" w:rsidP="003D4823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Stanovené aktivity, cíle a předpokládané výsledky/přínosy projektu nebyly naplněny.</w:t>
            </w:r>
          </w:p>
          <w:p w14:paraId="1A6B04CE" w14:textId="77777777" w:rsidR="00C35605" w:rsidRPr="003D4823" w:rsidRDefault="00C35605" w:rsidP="003D4823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Výstupy projektu nejsou téměř využívány a neexistuje ani důvodný předpoklad pro jejich využívání v budoucnu.</w:t>
            </w:r>
          </w:p>
          <w:p w14:paraId="16A42470" w14:textId="734EBCEF" w:rsidR="00C35605" w:rsidRPr="003D4823" w:rsidRDefault="00C35605" w:rsidP="0061505A">
            <w:pPr>
              <w:keepNext/>
              <w:keepLines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Kontrolou byly identifikovány nezpůsobilé výdaje ve</w:t>
            </w:r>
            <w:r w:rsidR="00A45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4823">
              <w:rPr>
                <w:rFonts w:asciiTheme="minorHAnsi" w:hAnsiTheme="minorHAnsi" w:cstheme="minorHAnsi"/>
                <w:sz w:val="22"/>
                <w:szCs w:val="22"/>
              </w:rPr>
              <w:t>významném finančním objemu.</w:t>
            </w:r>
          </w:p>
        </w:tc>
      </w:tr>
    </w:tbl>
    <w:p w14:paraId="2588D9BC" w14:textId="77777777" w:rsidR="002D61C6" w:rsidRDefault="002D61C6" w:rsidP="002D61C6"/>
    <w:p w14:paraId="0E15CCAE" w14:textId="77777777" w:rsidR="002D61C6" w:rsidRDefault="002D61C6" w:rsidP="002D61C6"/>
    <w:p w14:paraId="7559D858" w14:textId="77777777" w:rsidR="002D61C6" w:rsidRDefault="002D61C6" w:rsidP="002D61C6"/>
    <w:p w14:paraId="12CD9D76" w14:textId="77777777" w:rsidR="004F24F4" w:rsidRPr="00F72787" w:rsidRDefault="004F24F4" w:rsidP="007560D9">
      <w:pPr>
        <w:spacing w:before="0"/>
        <w:rPr>
          <w:color w:val="auto"/>
        </w:rPr>
      </w:pPr>
      <w:bookmarkStart w:id="54" w:name="_GoBack"/>
      <w:bookmarkEnd w:id="1"/>
      <w:bookmarkEnd w:id="54"/>
    </w:p>
    <w:sectPr w:rsidR="004F24F4" w:rsidRPr="00F72787" w:rsidSect="008301BF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76E9CE6" w16cex:dateUtc="2025-04-09T08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C0DAD" w14:textId="77777777" w:rsidR="004D5C26" w:rsidRDefault="004D5C26">
      <w:pPr>
        <w:spacing w:before="0"/>
      </w:pPr>
      <w:r>
        <w:separator/>
      </w:r>
    </w:p>
  </w:endnote>
  <w:endnote w:type="continuationSeparator" w:id="0">
    <w:p w14:paraId="2C543DCB" w14:textId="77777777" w:rsidR="004D5C26" w:rsidRDefault="004D5C26">
      <w:pPr>
        <w:spacing w:before="0"/>
      </w:pPr>
      <w:r>
        <w:continuationSeparator/>
      </w:r>
    </w:p>
  </w:endnote>
  <w:endnote w:type="continuationNotice" w:id="1">
    <w:p w14:paraId="660FFBA4" w14:textId="77777777" w:rsidR="004D5C26" w:rsidRDefault="004D5C2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1342592"/>
      <w:docPartObj>
        <w:docPartGallery w:val="Page Numbers (Bottom of Page)"/>
        <w:docPartUnique/>
      </w:docPartObj>
    </w:sdtPr>
    <w:sdtEndPr/>
    <w:sdtContent>
      <w:p w14:paraId="3A9BDC96" w14:textId="77777777" w:rsidR="004D5C26" w:rsidRDefault="004D5C2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6A3578" w14:textId="77777777" w:rsidR="004D5C26" w:rsidRDefault="004D5C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B0A97" w14:textId="77777777" w:rsidR="004D5C26" w:rsidRDefault="004D5C26">
    <w:pPr>
      <w:pStyle w:val="Zpat"/>
      <w:jc w:val="center"/>
    </w:pPr>
  </w:p>
  <w:p w14:paraId="7BD20A42" w14:textId="77777777" w:rsidR="004D5C26" w:rsidRDefault="004D5C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6997022"/>
      <w:docPartObj>
        <w:docPartGallery w:val="Page Numbers (Bottom of Page)"/>
        <w:docPartUnique/>
      </w:docPartObj>
    </w:sdtPr>
    <w:sdtEndPr/>
    <w:sdtContent>
      <w:p w14:paraId="1820BD88" w14:textId="77777777" w:rsidR="004D5C26" w:rsidRDefault="004D5C26" w:rsidP="00E47E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75A75" w14:textId="77777777" w:rsidR="004D5C26" w:rsidRDefault="004D5C26" w:rsidP="004F24F4">
      <w:r>
        <w:separator/>
      </w:r>
    </w:p>
  </w:footnote>
  <w:footnote w:type="continuationSeparator" w:id="0">
    <w:p w14:paraId="325EB695" w14:textId="77777777" w:rsidR="004D5C26" w:rsidRDefault="004D5C26" w:rsidP="004F24F4">
      <w:r>
        <w:continuationSeparator/>
      </w:r>
    </w:p>
  </w:footnote>
  <w:footnote w:type="continuationNotice" w:id="1">
    <w:p w14:paraId="72BB56C1" w14:textId="77777777" w:rsidR="004D5C26" w:rsidRDefault="004D5C26">
      <w:pPr>
        <w:spacing w:before="0"/>
      </w:pPr>
    </w:p>
  </w:footnote>
  <w:footnote w:id="2">
    <w:p w14:paraId="6CAAF2CF" w14:textId="77777777" w:rsidR="004D5C26" w:rsidRDefault="004D5C26" w:rsidP="005111A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</w:t>
      </w:r>
      <w:r w:rsidRPr="00E9339D">
        <w:t xml:space="preserve"> důvodu </w:t>
      </w:r>
      <w:r>
        <w:t xml:space="preserve">šetření </w:t>
      </w:r>
      <w:r w:rsidRPr="00E9339D">
        <w:t xml:space="preserve">práv </w:t>
      </w:r>
      <w:r>
        <w:t xml:space="preserve">a právem chráněných zájmů </w:t>
      </w:r>
      <w:r w:rsidRPr="00E9339D">
        <w:t>kontrolované osoby po zasažení záplavami a při likvidaci následků povodně b</w:t>
      </w:r>
      <w:r>
        <w:t xml:space="preserve">yla </w:t>
      </w:r>
      <w:r w:rsidRPr="00E9339D">
        <w:t>u kontrolované osoby</w:t>
      </w:r>
      <w:r>
        <w:t xml:space="preserve"> </w:t>
      </w:r>
      <w:r w:rsidRPr="00E9339D">
        <w:t>Armáda spásy v České republice, z.s.</w:t>
      </w:r>
      <w:r>
        <w:t xml:space="preserve">, Praha dne 18. 9. 2024 kontrola ukončena. Kontrole měly být podrobeny projekty realizované v Krnově, v Ostravě a v Bohumíně. </w:t>
      </w:r>
    </w:p>
  </w:footnote>
  <w:footnote w:id="3">
    <w:p w14:paraId="7531CFA1" w14:textId="77777777" w:rsidR="004D5C26" w:rsidRDefault="004D5C26" w:rsidP="00BE07E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IROP svým zaměřením podporuje služby v regionech. V textu kontrolního závěru je v souladu s terminologií IROP dále uváděno slovní spojení „infrastruktura sociálních služeb“.</w:t>
      </w:r>
    </w:p>
  </w:footnote>
  <w:footnote w:id="4">
    <w:p w14:paraId="12F7568A" w14:textId="77777777" w:rsidR="004D5C26" w:rsidRDefault="004D5C26" w:rsidP="0035239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39 odst. 1 z</w:t>
      </w:r>
      <w:r w:rsidRPr="0035239F">
        <w:t>ákon</w:t>
      </w:r>
      <w:r>
        <w:t>a</w:t>
      </w:r>
      <w:r w:rsidRPr="0035239F">
        <w:t xml:space="preserve"> č. 218/2000 Sb., o rozpočtových pravidlech</w:t>
      </w:r>
      <w:r>
        <w:t xml:space="preserve"> </w:t>
      </w:r>
      <w:r w:rsidRPr="0035239F">
        <w:t>a o změně některých souvisejících zákonů (rozpočtová pravidla)</w:t>
      </w:r>
      <w:r>
        <w:t>.</w:t>
      </w:r>
    </w:p>
  </w:footnote>
  <w:footnote w:id="5">
    <w:p w14:paraId="35BFBA22" w14:textId="77777777" w:rsidR="004D5C26" w:rsidRPr="00E47EB9" w:rsidRDefault="004D5C26" w:rsidP="002E4A8A">
      <w:pPr>
        <w:pStyle w:val="Textpoznpodarou"/>
        <w:ind w:left="284" w:hanging="284"/>
        <w:rPr>
          <w:color w:val="auto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bookmarkStart w:id="10" w:name="_Hlk191984667"/>
      <w:r>
        <w:t>Porušením rozpočtové kázně vznikla též nesrovnalost dle článku 2 odst. 36 n</w:t>
      </w:r>
      <w:r w:rsidRPr="006A3E43">
        <w:t>ařízení Evropského parlamentu a Rady (EU) č. 1303/2013 ze dne 17. prosince 2013 o společných ustanoveních o Evropském fondu pro</w:t>
      </w:r>
      <w:r>
        <w:t> </w:t>
      </w:r>
      <w:r w:rsidRPr="006A3E43">
        <w:t>regionální rozvoj, Evropském sociálním fondu, Fondu soudržnosti, Evropském zemědělském fondu pro</w:t>
      </w:r>
      <w:r>
        <w:t> </w:t>
      </w:r>
      <w:r w:rsidRPr="006A3E43">
        <w:t>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>
        <w:t>.</w:t>
      </w:r>
    </w:p>
    <w:bookmarkEnd w:id="10"/>
  </w:footnote>
  <w:footnote w:id="6">
    <w:p w14:paraId="17548791" w14:textId="77777777" w:rsidR="004D5C26" w:rsidRDefault="004D5C26" w:rsidP="00554EC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§ 6 odst. 2 zákona č. </w:t>
      </w:r>
      <w:r w:rsidRPr="00554EC9">
        <w:t>134/2016 Sb.</w:t>
      </w:r>
      <w:r>
        <w:t>, o zadávání veřejných zakázek.</w:t>
      </w:r>
    </w:p>
  </w:footnote>
  <w:footnote w:id="7">
    <w:p w14:paraId="20E177A8" w14:textId="77777777" w:rsidR="004D5C26" w:rsidRDefault="004D5C26" w:rsidP="00B33DA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Dle § 3 písm. b) zákona č. 108/2006 Sb., o sociálních službách, se </w:t>
      </w:r>
      <w:r w:rsidRPr="00B33DAE">
        <w:t xml:space="preserve">nepříznivou sociální situací </w:t>
      </w:r>
      <w:r>
        <w:t xml:space="preserve">rozumí </w:t>
      </w:r>
      <w:r w:rsidRPr="00B33DAE">
        <w:t>oslabení nebo ztráta schopnosti z důvodu věku, nepříznivého zdravotního stavu, pro krizovou sociální situaci, životní návyky a způsob života vedoucí ke konfliktu se společností, sociálně znevýhodňující prostředí, ohrožení práv a zájmů trestnou činností jiné fyzické osoby nebo z jiných závažných důvodů řešit vzniklou situaci tak, aby toto řešení podporovalo sociální začlenění a ochranu před sociálním vyloučením</w:t>
      </w:r>
      <w:r>
        <w:t>.</w:t>
      </w:r>
    </w:p>
  </w:footnote>
  <w:footnote w:id="8">
    <w:p w14:paraId="04B8216E" w14:textId="77777777" w:rsidR="004D5C26" w:rsidRDefault="004D5C26" w:rsidP="0066719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Schválena usnesením vlády ČR ze dne 21. března 2016 č. 245.</w:t>
      </w:r>
    </w:p>
  </w:footnote>
  <w:footnote w:id="9">
    <w:p w14:paraId="26E731AF" w14:textId="5C6DE133" w:rsidR="004D5C26" w:rsidRDefault="004D5C26" w:rsidP="00FB01B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Zdroj: </w:t>
      </w:r>
      <w:r w:rsidRPr="007539C2">
        <w:rPr>
          <w:i/>
          <w:iCs/>
        </w:rPr>
        <w:t>Manuál transformace ústavů – Deinstitucionalizace sociálních služeb</w:t>
      </w:r>
      <w:r>
        <w:t xml:space="preserve">. Vydalo MPSV v roce 2013; </w:t>
      </w:r>
      <w:r>
        <w:br/>
        <w:t>ISBN 978-80-7421-057-0.</w:t>
      </w:r>
    </w:p>
  </w:footnote>
  <w:footnote w:id="10">
    <w:p w14:paraId="0E69CD4F" w14:textId="7E653F42" w:rsidR="004D5C26" w:rsidRPr="008F1B60" w:rsidRDefault="004D5C26" w:rsidP="00FB01B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i/>
        </w:rPr>
        <w:t xml:space="preserve">Dohoda o spolupráci mezi Ministerstvem pro místní rozvoj a Ministerstvem práce a sociálních věcí o náplni činnosti věcného garanta při realizaci Integrovaného regionálního operačního programu pro období </w:t>
      </w:r>
      <w:r>
        <w:rPr>
          <w:i/>
        </w:rPr>
        <w:br/>
        <w:t>2014–2020</w:t>
      </w:r>
      <w:r>
        <w:t xml:space="preserve"> ze dne 18. 9. 2017 a </w:t>
      </w:r>
      <w:r>
        <w:rPr>
          <w:i/>
        </w:rPr>
        <w:t>Dohoda mezi Ministerstvem pro místní rozvoj a Ministerstvem práce a sociálních věcí o náplni činnosti věcného garanta při přípravě a realizaci specifického cíle 4.2 Integrovaného regionálního operačního programu pro období 2021–2027</w:t>
      </w:r>
      <w:r>
        <w:t xml:space="preserve"> ze dne 15. 12. 2022.</w:t>
      </w:r>
    </w:p>
  </w:footnote>
  <w:footnote w:id="11">
    <w:p w14:paraId="0BF61529" w14:textId="57941224" w:rsidR="004D5C26" w:rsidRDefault="004D5C26" w:rsidP="00FB01B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 programovém období 2014–2020 činila podpora z EU 85 %, podpora ze státního rozpočtu pro kraje, obce a svazky obcí 5 %, pro organizační složky státu 15 % a pro nestátní neziskové organizace 10 %.</w:t>
      </w:r>
    </w:p>
    <w:p w14:paraId="7A9687FA" w14:textId="2BD52B69" w:rsidR="004D5C26" w:rsidRDefault="004D5C26" w:rsidP="00FB01BF">
      <w:pPr>
        <w:pStyle w:val="Textpoznpodarou"/>
        <w:ind w:left="284"/>
      </w:pPr>
      <w:r>
        <w:t xml:space="preserve">V programovém období 2021–2027 činí podpora z EU 85 % pro subjekty z méně rozvinutých regionů a 70 % pro subjekty z přechodových regionů; </w:t>
      </w:r>
      <w:r w:rsidRPr="002B59F8">
        <w:t>podpora ze SR pro</w:t>
      </w:r>
      <w:r>
        <w:t xml:space="preserve"> organizační složky státu činí 15 % pro subjekty z méně rozvinutých regionů a 30 % pro subjekty z přechodových regionů; obce, kraje a svazky </w:t>
      </w:r>
      <w:r w:rsidRPr="002B59F8">
        <w:t>obcí jsou ze SR</w:t>
      </w:r>
      <w:r>
        <w:t xml:space="preserve"> podporovány jen v přechodových regionech, a to 15 %.</w:t>
      </w:r>
    </w:p>
  </w:footnote>
  <w:footnote w:id="12">
    <w:p w14:paraId="7BEB89F6" w14:textId="1140EB33" w:rsidR="004D5C26" w:rsidRDefault="004D5C26" w:rsidP="007C454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Jedná se o </w:t>
      </w:r>
      <w:r w:rsidRPr="007C4541">
        <w:t>monitorovací systém</w:t>
      </w:r>
      <w:r>
        <w:t xml:space="preserve">y, které zajišťují </w:t>
      </w:r>
      <w:r w:rsidRPr="00612FF2">
        <w:t xml:space="preserve">kompletní administraci, řízení, monitoring a kontrolu všech operačních programů </w:t>
      </w:r>
      <w:r>
        <w:t>financovaných</w:t>
      </w:r>
      <w:r w:rsidRPr="00612FF2">
        <w:t xml:space="preserve"> z</w:t>
      </w:r>
      <w:r>
        <w:t xml:space="preserve"> fondů EU </w:t>
      </w:r>
      <w:r w:rsidRPr="00612FF2">
        <w:t>v</w:t>
      </w:r>
      <w:r>
        <w:t> </w:t>
      </w:r>
      <w:r w:rsidRPr="00612FF2">
        <w:t>programov</w:t>
      </w:r>
      <w:r>
        <w:t xml:space="preserve">ých </w:t>
      </w:r>
      <w:r w:rsidRPr="00612FF2">
        <w:t>období</w:t>
      </w:r>
      <w:r>
        <w:t>ch</w:t>
      </w:r>
      <w:r w:rsidRPr="00612FF2">
        <w:t xml:space="preserve"> 2014–2020</w:t>
      </w:r>
      <w:r>
        <w:t xml:space="preserve"> a 2021–2027.</w:t>
      </w:r>
    </w:p>
  </w:footnote>
  <w:footnote w:id="13">
    <w:p w14:paraId="1618A439" w14:textId="3F9821EA" w:rsidR="004D5C26" w:rsidRDefault="004D5C26" w:rsidP="00FB01B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Cílem </w:t>
      </w:r>
      <w:r w:rsidRPr="00A2650D">
        <w:rPr>
          <w:i/>
        </w:rPr>
        <w:t>Akčního plánu pro DI</w:t>
      </w:r>
      <w:r>
        <w:t xml:space="preserve"> je připravit proces deinstitucionalizace tak, aby v roce 2030 dosáhla kapacita komunitního charakteru u domovů pro osoby se zdravotním postižením 80 % z celkové kapacity tohoto druhu sociální služby. Dílčím cílem je mít v roce 2025 v průběhu realizace 40 transformačních plánů pobytových sociálních služeb v rámci čerpání finančních prostředků z IROP 2. MMR vyhlásilo pro přímou podporu deinstitucionalizace výzvy v IROP 1 i v IROP 2. </w:t>
      </w:r>
    </w:p>
  </w:footnote>
  <w:footnote w:id="14">
    <w:p w14:paraId="4A60C9F1" w14:textId="15CDB122" w:rsidR="004D5C26" w:rsidRDefault="004D5C26" w:rsidP="00FB01B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Údaje byly generovány k datu 8. 11. 2024.</w:t>
      </w:r>
    </w:p>
  </w:footnote>
  <w:footnote w:id="15">
    <w:p w14:paraId="7E2FF4F8" w14:textId="41C816D2" w:rsidR="004D5C26" w:rsidRDefault="004D5C26" w:rsidP="00FB01B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Přehled hodnoticích kritérií, v členění na napravitelná a nenapravitelná, byl uveřejněn ve </w:t>
      </w:r>
      <w:r w:rsidRPr="007539C2">
        <w:rPr>
          <w:i/>
          <w:iCs/>
        </w:rPr>
        <w:t>Specifických pravidlech pro žadatele a příjemce</w:t>
      </w:r>
      <w:r>
        <w:t>, žadatelé o podporu tak byli seznámeni s požadavky pro poskytnutí podpory.</w:t>
      </w:r>
    </w:p>
  </w:footnote>
  <w:footnote w:id="16">
    <w:p w14:paraId="10D5C6CE" w14:textId="0401EC36" w:rsidR="004D5C26" w:rsidRDefault="004D5C26" w:rsidP="003B499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Projekty musely splnit energetické parametry stanovené v kritériích hodnocení (zejména v oblasti energetické náročnosti budov), neboť podpora byla cílena na zotavení z krize v souvislosti s pandemií covidu-19 a jejími sociálními dopady a rovněž na přípravu zeleného, digitálního a odolného oživení hospodářství v EU.</w:t>
      </w:r>
    </w:p>
  </w:footnote>
  <w:footnote w:id="17">
    <w:p w14:paraId="74389849" w14:textId="77777777" w:rsidR="004D5C26" w:rsidRDefault="004D5C26" w:rsidP="00FA6FB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Při kontrole systému poskytování podpory posoudil NKÚ zejména stanovení cílů, monitorování výstupů a výsledků, vyhodnocování dopadů poskytnuté podpory. Kromě vybraných projektů, které byly kontrolovány přímo u příjemců podpory, bylo pro ověření nastavení systému podpory kontrolováno:</w:t>
      </w:r>
    </w:p>
    <w:p w14:paraId="3A37255A" w14:textId="77777777" w:rsidR="004D5C26" w:rsidRDefault="004D5C26" w:rsidP="00855933">
      <w:pPr>
        <w:pStyle w:val="Textpoznpodarou"/>
        <w:ind w:left="426" w:hanging="142"/>
        <w:jc w:val="left"/>
      </w:pPr>
      <w:r>
        <w:t>- 12 projektů ke kontrole nastavení cílů projektů z výzev, z nichž nebyly vybrány projekty ke kontrole u příjemců,</w:t>
      </w:r>
    </w:p>
    <w:p w14:paraId="70A0B8D9" w14:textId="77777777" w:rsidR="004D5C26" w:rsidRDefault="004D5C26" w:rsidP="00FA6FB2">
      <w:pPr>
        <w:pStyle w:val="Textpoznpodarou"/>
        <w:ind w:firstLine="284"/>
      </w:pPr>
      <w:r>
        <w:t>- 7 projektů v režimu nedokončených nebo nefunkčních projektů,</w:t>
      </w:r>
    </w:p>
    <w:p w14:paraId="60E03DCA" w14:textId="77777777" w:rsidR="004D5C26" w:rsidRDefault="004D5C26" w:rsidP="00FA6FB2">
      <w:pPr>
        <w:pStyle w:val="Textpoznpodarou"/>
        <w:ind w:firstLine="284"/>
      </w:pPr>
      <w:r>
        <w:t>- 19 projektů ke kontrole, zda výstupy projektů slouží svému účelu i po ukončení doby udržitelnosti.</w:t>
      </w:r>
    </w:p>
  </w:footnote>
  <w:footnote w:id="18">
    <w:p w14:paraId="15AF4A06" w14:textId="515D8D15" w:rsidR="004D5C26" w:rsidRDefault="004D5C26" w:rsidP="006B712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Vybrané projekty byly realizovány v rámci pěti výzev zaměřených na: rozvoj sociálních služeb v oblastech se sociálně vyloučenými lokalitami (4 projekty), deinstitucionalizaci sociálních služeb za účelem sociálního začleňování (3 projekty), sociální infrastrukturu se zvýšenou energetickou účinností (5 projektů) a sociální služby v méně rozvinutých regionech (2 projekty).</w:t>
      </w:r>
    </w:p>
  </w:footnote>
  <w:footnote w:id="19">
    <w:p w14:paraId="00B78147" w14:textId="77777777" w:rsidR="004D5C26" w:rsidRDefault="004D5C26" w:rsidP="006B712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Dle ustanovení § 2 písm. o) zákona č. 320/2001 Sb., o finanční kontrole ve veřejné správě a o změně některých zákonů (zákon o finanční kontrole).</w:t>
      </w:r>
    </w:p>
  </w:footnote>
  <w:footnote w:id="20">
    <w:p w14:paraId="1AE74402" w14:textId="02D9B689" w:rsidR="004D5C26" w:rsidRPr="00855933" w:rsidRDefault="004D5C26" w:rsidP="00F433A4">
      <w:pPr>
        <w:pStyle w:val="Textpoznpodarou"/>
        <w:ind w:left="284" w:hanging="284"/>
        <w:rPr>
          <w:iCs/>
        </w:rPr>
      </w:pPr>
      <w:r>
        <w:rPr>
          <w:rStyle w:val="Znakapoznpodarou"/>
        </w:rPr>
        <w:footnoteRef/>
      </w:r>
      <w:r>
        <w:t xml:space="preserve"> </w:t>
      </w:r>
      <w:r>
        <w:tab/>
        <w:t xml:space="preserve">Opatření </w:t>
      </w:r>
      <w:r w:rsidRPr="00797622">
        <w:rPr>
          <w:i/>
        </w:rPr>
        <w:t>Vytvořit podmínky pro zajištění potřebných kapacit sociálních služeb komunitního typu terénní, ambulantní i pobytové formy</w:t>
      </w:r>
      <w:r>
        <w:t xml:space="preserve"> a opatření </w:t>
      </w:r>
      <w:r w:rsidRPr="00797622">
        <w:rPr>
          <w:i/>
        </w:rPr>
        <w:t>Nastavit čerpání finančních podpor z rozpočtu České republiky na deinstitucionalizaci a prevenci další institucionalizace sociálních služeb (cílit čerpání finančních zdrojů ze státního rozpočtu v</w:t>
      </w:r>
      <w:r>
        <w:rPr>
          <w:i/>
        </w:rPr>
        <w:t> </w:t>
      </w:r>
      <w:r w:rsidRPr="00797622">
        <w:rPr>
          <w:i/>
        </w:rPr>
        <w:t>souladu s politikami a právními úpravami směrem k sociálnímu začleňování)</w:t>
      </w:r>
      <w:r w:rsidRPr="00855933">
        <w:rPr>
          <w:iCs/>
        </w:rPr>
        <w:t>.</w:t>
      </w:r>
    </w:p>
  </w:footnote>
  <w:footnote w:id="21">
    <w:p w14:paraId="3528B195" w14:textId="25DFA715" w:rsidR="004D5C26" w:rsidRDefault="004D5C26" w:rsidP="004A236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Služby obecného hospodářského zájmu jsou zajišťovány v zájmu veřejnosti. Pokud by takové služby nebyly podporovány veřejnými subjekty, nebyly by na trhu poskytovány vůbec nebo by byly poskytovány v nižší kvalitě či rozsahu.</w:t>
      </w:r>
    </w:p>
  </w:footnote>
  <w:footnote w:id="22">
    <w:p w14:paraId="75317096" w14:textId="5F33F62D" w:rsidR="004D5C26" w:rsidRPr="00855933" w:rsidRDefault="004D5C26" w:rsidP="00B5221C">
      <w:pPr>
        <w:pStyle w:val="Textpoznpodarou"/>
        <w:ind w:left="284" w:hanging="284"/>
        <w:rPr>
          <w:iCs/>
        </w:rPr>
      </w:pPr>
      <w:r>
        <w:rPr>
          <w:rStyle w:val="Znakapoznpodarou"/>
        </w:rPr>
        <w:footnoteRef/>
      </w:r>
      <w:r>
        <w:t xml:space="preserve"> </w:t>
      </w:r>
      <w:r>
        <w:tab/>
        <w:t xml:space="preserve">Zejména </w:t>
      </w:r>
      <w:r w:rsidRPr="00107C57">
        <w:rPr>
          <w:i/>
        </w:rPr>
        <w:t>Strategie sociálního začleňování 2014</w:t>
      </w:r>
      <w:r>
        <w:rPr>
          <w:i/>
        </w:rPr>
        <w:t>–</w:t>
      </w:r>
      <w:r w:rsidRPr="00107C57">
        <w:rPr>
          <w:i/>
        </w:rPr>
        <w:t>2020</w:t>
      </w:r>
      <w:r w:rsidRPr="00855933">
        <w:rPr>
          <w:iCs/>
        </w:rPr>
        <w:t>,</w:t>
      </w:r>
      <w:r w:rsidRPr="00107C57">
        <w:rPr>
          <w:i/>
        </w:rPr>
        <w:t xml:space="preserve"> Strategie sociálního začleňování 2021</w:t>
      </w:r>
      <w:r>
        <w:rPr>
          <w:i/>
        </w:rPr>
        <w:t>–</w:t>
      </w:r>
      <w:r w:rsidRPr="00107C57">
        <w:rPr>
          <w:i/>
        </w:rPr>
        <w:t>2030</w:t>
      </w:r>
      <w:r w:rsidRPr="00855933">
        <w:rPr>
          <w:iCs/>
        </w:rPr>
        <w:t>,</w:t>
      </w:r>
      <w:r w:rsidRPr="00107C57">
        <w:rPr>
          <w:i/>
        </w:rPr>
        <w:t xml:space="preserve"> Národní strategie rozvoje sociálních služeb na rok 2015</w:t>
      </w:r>
      <w:r w:rsidRPr="00855933">
        <w:rPr>
          <w:iCs/>
        </w:rPr>
        <w:t>,</w:t>
      </w:r>
      <w:r w:rsidRPr="00107C57">
        <w:rPr>
          <w:i/>
        </w:rPr>
        <w:t xml:space="preserve"> Národní strategie rozvoje sociálních služeb na období </w:t>
      </w:r>
      <w:r>
        <w:rPr>
          <w:i/>
        </w:rPr>
        <w:br/>
      </w:r>
      <w:r w:rsidRPr="00107C57">
        <w:rPr>
          <w:i/>
        </w:rPr>
        <w:t>2016–2025</w:t>
      </w:r>
      <w:r w:rsidRPr="00855933">
        <w:rPr>
          <w:iCs/>
        </w:rPr>
        <w:t>,</w:t>
      </w:r>
      <w:r>
        <w:rPr>
          <w:i/>
        </w:rPr>
        <w:t xml:space="preserve"> </w:t>
      </w:r>
      <w:r w:rsidRPr="00B5221C">
        <w:rPr>
          <w:i/>
        </w:rPr>
        <w:t>Strategi</w:t>
      </w:r>
      <w:r>
        <w:rPr>
          <w:i/>
        </w:rPr>
        <w:t>e</w:t>
      </w:r>
      <w:r w:rsidRPr="00B5221C">
        <w:rPr>
          <w:i/>
        </w:rPr>
        <w:t xml:space="preserve"> regionálního rozvoje ČR 2014</w:t>
      </w:r>
      <w:r>
        <w:rPr>
          <w:i/>
        </w:rPr>
        <w:t>–</w:t>
      </w:r>
      <w:r w:rsidRPr="00B5221C">
        <w:rPr>
          <w:i/>
        </w:rPr>
        <w:t>2020</w:t>
      </w:r>
      <w:r>
        <w:rPr>
          <w:i/>
        </w:rPr>
        <w:t xml:space="preserve"> </w:t>
      </w:r>
      <w:r>
        <w:t xml:space="preserve">a </w:t>
      </w:r>
      <w:r w:rsidRPr="00B5221C">
        <w:rPr>
          <w:i/>
        </w:rPr>
        <w:t>Strategie regionálního rozvoje ČR 2021+</w:t>
      </w:r>
      <w:r w:rsidRPr="00855933">
        <w:rPr>
          <w:iCs/>
        </w:rPr>
        <w:t>.</w:t>
      </w:r>
    </w:p>
  </w:footnote>
  <w:footnote w:id="23">
    <w:p w14:paraId="04B92FAE" w14:textId="0D5C8F2C" w:rsidR="004D5C26" w:rsidRDefault="004D5C26" w:rsidP="0017214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Například investice z IROP 2 nejsou již směrovány do ústavních zařízení dlouhodobé pobytové péče a u transformovaných zařízení, která poskytují pobytové sociální služby, je podpora směrována výhradně do zařízení komunitního typu.</w:t>
      </w:r>
    </w:p>
  </w:footnote>
  <w:footnote w:id="24">
    <w:p w14:paraId="4F66E7C6" w14:textId="059C0473" w:rsidR="004D5C26" w:rsidRDefault="004D5C26" w:rsidP="00C21AC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Kromě poptávky po sociálních službách na základě demografického vývoje (nárůst podílu starších osob) se zvyšuje i poptávka po dlouhodobé péči z důvodu rostoucího počtu osob trpících demencí. (Zdroj: </w:t>
      </w:r>
      <w:r w:rsidRPr="00FD6F9A">
        <w:rPr>
          <w:i/>
        </w:rPr>
        <w:t>Současná struktura služeb dlouhodobé péče a prognóza potřebnosti sociálních služeb 2019–2050</w:t>
      </w:r>
      <w:r>
        <w:rPr>
          <w:iCs/>
        </w:rPr>
        <w:t>.</w:t>
      </w:r>
      <w:r w:rsidRPr="00FD6F9A">
        <w:t xml:space="preserve"> </w:t>
      </w:r>
      <w:r>
        <w:t>V</w:t>
      </w:r>
      <w:r w:rsidRPr="00FD6F9A">
        <w:t>yda</w:t>
      </w:r>
      <w:r>
        <w:t>la</w:t>
      </w:r>
      <w:r w:rsidRPr="00FD6F9A">
        <w:t xml:space="preserve"> Asociac</w:t>
      </w:r>
      <w:r>
        <w:t>e</w:t>
      </w:r>
      <w:r w:rsidRPr="00FD6F9A">
        <w:t xml:space="preserve"> poskytovatelů sociálních služeb ČR</w:t>
      </w:r>
      <w:r>
        <w:t xml:space="preserve"> v roce 2019; </w:t>
      </w:r>
      <w:r w:rsidRPr="00C21ACE">
        <w:t>ISBN: 978-80-907053-4-0</w:t>
      </w:r>
      <w:r w:rsidRPr="00FD6F9A">
        <w:t>)</w:t>
      </w:r>
      <w:r>
        <w:t>.</w:t>
      </w:r>
    </w:p>
  </w:footnote>
  <w:footnote w:id="25">
    <w:p w14:paraId="39D66E4C" w14:textId="4D636068" w:rsidR="004D5C26" w:rsidRDefault="004D5C26" w:rsidP="00C7668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55933">
        <w:rPr>
          <w:iCs/>
        </w:rPr>
        <w:t>Dohoda o spolupráci</w:t>
      </w:r>
      <w:r>
        <w:t xml:space="preserve"> mezi MMR a MPSV, která upravuje jejich vzájemnou součinnost pro specifické cíle SC 2.1 IROP 1 a SC 4.2 IROP 2.</w:t>
      </w:r>
    </w:p>
  </w:footnote>
  <w:footnote w:id="26">
    <w:p w14:paraId="72522B81" w14:textId="77777777" w:rsidR="004D5C26" w:rsidRDefault="004D5C26" w:rsidP="00E41FA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Naplňování transformačních plánů je dílčím cílem </w:t>
      </w:r>
      <w:r>
        <w:rPr>
          <w:i/>
        </w:rPr>
        <w:t>Akčního plánu pro DI</w:t>
      </w:r>
      <w:r>
        <w:t>.</w:t>
      </w:r>
    </w:p>
  </w:footnote>
  <w:footnote w:id="27">
    <w:p w14:paraId="555BE228" w14:textId="00EDF110" w:rsidR="004D5C26" w:rsidRPr="002157C2" w:rsidRDefault="004D5C26" w:rsidP="00002CC8">
      <w:pPr>
        <w:pStyle w:val="Textpoznpodarou"/>
        <w:ind w:left="284" w:hanging="284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157C2">
        <w:rPr>
          <w:rFonts w:asciiTheme="minorHAnsi" w:hAnsiTheme="minorHAnsi" w:cstheme="minorHAnsi"/>
        </w:rPr>
        <w:t xml:space="preserve">Jedná se zejména o specifický cíl 2.2.1 </w:t>
      </w:r>
      <w:r w:rsidRPr="00855933">
        <w:rPr>
          <w:rFonts w:asciiTheme="minorHAnsi" w:hAnsiTheme="minorHAnsi" w:cstheme="minorHAnsi"/>
          <w:i/>
          <w:iCs/>
        </w:rPr>
        <w:t>Zvýšit kvalitu a udržitelnost systému sociálních služeb, služeb pro rodiny a děti a dalších navazujících služeb podporujících sociální začleňování</w:t>
      </w:r>
      <w:r w:rsidRPr="002157C2">
        <w:rPr>
          <w:rFonts w:asciiTheme="minorHAnsi" w:hAnsiTheme="minorHAnsi" w:cstheme="minorHAnsi"/>
        </w:rPr>
        <w:t xml:space="preserve"> u OPZ a</w:t>
      </w:r>
      <w:r>
        <w:rPr>
          <w:rFonts w:asciiTheme="minorHAnsi" w:hAnsiTheme="minorHAnsi" w:cstheme="minorHAnsi"/>
        </w:rPr>
        <w:t> </w:t>
      </w:r>
      <w:r w:rsidRPr="002157C2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 </w:t>
      </w:r>
      <w:r w:rsidRPr="002157C2">
        <w:rPr>
          <w:rFonts w:asciiTheme="minorHAnsi" w:hAnsiTheme="minorHAnsi" w:cstheme="minorHAnsi"/>
        </w:rPr>
        <w:t xml:space="preserve">specifický cíl 2.1 </w:t>
      </w:r>
      <w:r w:rsidRPr="00855933">
        <w:rPr>
          <w:rFonts w:asciiTheme="minorHAnsi" w:hAnsiTheme="minorHAnsi" w:cstheme="minorHAnsi"/>
          <w:i/>
          <w:iCs/>
        </w:rPr>
        <w:t>Posilovat aktivní začleňování, a po</w:t>
      </w:r>
      <w:r>
        <w:rPr>
          <w:rFonts w:asciiTheme="minorHAnsi" w:hAnsiTheme="minorHAnsi" w:cstheme="minorHAnsi"/>
          <w:i/>
          <w:iCs/>
        </w:rPr>
        <w:t>dpořit</w:t>
      </w:r>
      <w:r w:rsidRPr="00855933">
        <w:rPr>
          <w:rFonts w:asciiTheme="minorHAnsi" w:hAnsiTheme="minorHAnsi" w:cstheme="minorHAnsi"/>
          <w:i/>
          <w:iCs/>
        </w:rPr>
        <w:t xml:space="preserve"> tak rovné příležitosti, nediskriminaci a aktivní účast a zlepšit zaměstnatelnost, zejména v případě znevýhodněných skupin</w:t>
      </w:r>
      <w:r>
        <w:rPr>
          <w:rFonts w:asciiTheme="minorHAnsi" w:hAnsiTheme="minorHAnsi" w:cstheme="minorHAnsi"/>
        </w:rPr>
        <w:t xml:space="preserve"> u OPZ+</w:t>
      </w:r>
      <w:r w:rsidRPr="002157C2">
        <w:rPr>
          <w:rFonts w:asciiTheme="minorHAnsi" w:hAnsiTheme="minorHAnsi" w:cstheme="minorHAnsi"/>
        </w:rPr>
        <w:t>.</w:t>
      </w:r>
    </w:p>
  </w:footnote>
  <w:footnote w:id="28">
    <w:p w14:paraId="410000C2" w14:textId="63AFC38B" w:rsidR="004D5C26" w:rsidRPr="002157C2" w:rsidRDefault="004D5C26" w:rsidP="00900882">
      <w:pPr>
        <w:pStyle w:val="Textpoznpodarou"/>
        <w:ind w:left="284" w:hanging="284"/>
        <w:rPr>
          <w:rFonts w:asciiTheme="minorHAnsi" w:hAnsiTheme="minorHAnsi" w:cstheme="minorHAnsi"/>
        </w:rPr>
      </w:pPr>
      <w:r w:rsidRPr="002157C2">
        <w:rPr>
          <w:rStyle w:val="Znakapoznpodarou"/>
          <w:rFonts w:asciiTheme="minorHAnsi" w:hAnsiTheme="minorHAnsi" w:cstheme="minorHAnsi"/>
        </w:rPr>
        <w:footnoteRef/>
      </w:r>
      <w:r w:rsidRPr="002157C2">
        <w:rPr>
          <w:rFonts w:asciiTheme="minorHAnsi" w:hAnsiTheme="minorHAnsi" w:cstheme="minorHAnsi"/>
        </w:rPr>
        <w:t xml:space="preserve"> </w:t>
      </w:r>
      <w:r w:rsidRPr="00215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 výsledků evaluace (z</w:t>
      </w:r>
      <w:r w:rsidRPr="002157C2">
        <w:rPr>
          <w:rFonts w:asciiTheme="minorHAnsi" w:hAnsiTheme="minorHAnsi" w:cstheme="minorHAnsi"/>
        </w:rPr>
        <w:t xml:space="preserve">práva z </w:t>
      </w:r>
      <w:r w:rsidRPr="002157C2">
        <w:rPr>
          <w:rFonts w:asciiTheme="minorHAnsi" w:hAnsiTheme="minorHAnsi" w:cstheme="minorHAnsi"/>
          <w:i/>
        </w:rPr>
        <w:t>Evaluace programu IROP, Prioritní osa 2: specifické cíle 2.1, 2.2, 2.4 se zaměřením na sociální inkluzi</w:t>
      </w:r>
      <w:r>
        <w:rPr>
          <w:rFonts w:asciiTheme="minorHAnsi" w:hAnsiTheme="minorHAnsi" w:cstheme="minorHAnsi"/>
        </w:rPr>
        <w:t xml:space="preserve">) vzešlo hodnocení, že </w:t>
      </w:r>
      <w:r w:rsidRPr="00490812">
        <w:rPr>
          <w:rFonts w:asciiTheme="minorHAnsi" w:hAnsiTheme="minorHAnsi" w:cstheme="minorHAnsi"/>
        </w:rPr>
        <w:t xml:space="preserve">podpora z IROP spočívá v jednorázové (krátkodobé) investiční intervenci, jejíž dlouhodobé přínosy je třeba podpořit také návaznými aktivitami, ideálně provazbou na </w:t>
      </w:r>
      <w:r>
        <w:rPr>
          <w:rFonts w:asciiTheme="minorHAnsi" w:hAnsiTheme="minorHAnsi" w:cstheme="minorHAnsi"/>
        </w:rPr>
        <w:t>„</w:t>
      </w:r>
      <w:r w:rsidRPr="00490812">
        <w:rPr>
          <w:rFonts w:asciiTheme="minorHAnsi" w:hAnsiTheme="minorHAnsi" w:cstheme="minorHAnsi"/>
        </w:rPr>
        <w:t>měkké projekty</w:t>
      </w:r>
      <w:r>
        <w:rPr>
          <w:rFonts w:asciiTheme="minorHAnsi" w:hAnsiTheme="minorHAnsi" w:cstheme="minorHAnsi"/>
        </w:rPr>
        <w:t>“</w:t>
      </w:r>
      <w:r w:rsidRPr="00490812">
        <w:rPr>
          <w:rFonts w:asciiTheme="minorHAnsi" w:hAnsiTheme="minorHAnsi" w:cstheme="minorHAnsi"/>
        </w:rPr>
        <w:t>, případně dalšími intervencemi (poskytnutí sociální práce, sociální služby apod.).</w:t>
      </w:r>
    </w:p>
  </w:footnote>
  <w:footnote w:id="29">
    <w:p w14:paraId="3829DF5B" w14:textId="56EBE514" w:rsidR="004D5C26" w:rsidRPr="00A05CE8" w:rsidRDefault="004D5C26" w:rsidP="00C4502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55933">
        <w:rPr>
          <w:iCs/>
        </w:rPr>
        <w:t>„</w:t>
      </w:r>
      <w:r w:rsidRPr="00A05CE8">
        <w:rPr>
          <w:i/>
        </w:rPr>
        <w:t>Řada poskytovatelů sociálních služeb se potýká s nedostatkem počtu sociálních pracovníků. Tato skutečnost se promítá v prodlužování čekací doby na umístění v pobytových zařízeních, terénní sociální služby se nerozvíjejí, podpora pečujících osob ze strany státu je nedostatečná.</w:t>
      </w:r>
      <w:r w:rsidRPr="00855933">
        <w:rPr>
          <w:iCs/>
        </w:rPr>
        <w:t>“</w:t>
      </w:r>
      <w:r w:rsidRPr="00A05CE8">
        <w:rPr>
          <w:i/>
        </w:rPr>
        <w:t xml:space="preserve"> </w:t>
      </w:r>
      <w:r w:rsidRPr="00A05CE8">
        <w:t xml:space="preserve">(Zdroj: </w:t>
      </w:r>
      <w:bookmarkStart w:id="25" w:name="_Hlk191297481"/>
      <w:r w:rsidRPr="00A05CE8">
        <w:rPr>
          <w:i/>
        </w:rPr>
        <w:t>Současná struktura služeb dlouhodobé péče a prognóza potřebnosti sociálních služeb 2019–2050</w:t>
      </w:r>
      <w:r>
        <w:rPr>
          <w:iCs/>
        </w:rPr>
        <w:t>.</w:t>
      </w:r>
      <w:r w:rsidRPr="00A05CE8">
        <w:t xml:space="preserve"> </w:t>
      </w:r>
      <w:r>
        <w:t>V</w:t>
      </w:r>
      <w:r w:rsidRPr="00A05CE8">
        <w:t>yda</w:t>
      </w:r>
      <w:r>
        <w:t>la</w:t>
      </w:r>
      <w:r w:rsidRPr="00A05CE8">
        <w:t xml:space="preserve"> Asociac</w:t>
      </w:r>
      <w:r>
        <w:t>e</w:t>
      </w:r>
      <w:r w:rsidRPr="00A05CE8">
        <w:t xml:space="preserve"> poskytovatelů sociálních služeb ČR v roce 2019</w:t>
      </w:r>
      <w:r>
        <w:t>;</w:t>
      </w:r>
      <w:r w:rsidRPr="00A05CE8">
        <w:t xml:space="preserve"> ISBN: 978-80-907053-4-0</w:t>
      </w:r>
      <w:r>
        <w:t>.</w:t>
      </w:r>
      <w:r w:rsidRPr="00A05CE8">
        <w:t>)</w:t>
      </w:r>
    </w:p>
    <w:bookmarkEnd w:id="25"/>
  </w:footnote>
  <w:footnote w:id="30">
    <w:p w14:paraId="396A6779" w14:textId="0D647312" w:rsidR="004D5C26" w:rsidRDefault="004D5C26" w:rsidP="00E4354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Vzhledem k tomu, že příjemce podpory, jenž realizoval popisovaný projekt, nebyl kontrolovanou osobou, neuvádí NKÚ u projektu konkrétní identifikační údaje. Projekt byl zařazen nad rámec vybraných projektů kontrolního vzorku jako doplňkový pro účely kontroly systému.</w:t>
      </w:r>
    </w:p>
  </w:footnote>
  <w:footnote w:id="31">
    <w:p w14:paraId="42105663" w14:textId="619F2093" w:rsidR="004D5C26" w:rsidRDefault="004D5C26" w:rsidP="004A5A33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Princip SMART využívaný k hodnocení kvality cílů znamená, že cíle by měly být: </w:t>
      </w:r>
      <w:r w:rsidRPr="001609E5">
        <w:t>konkrétní</w:t>
      </w:r>
      <w:r>
        <w:t xml:space="preserve"> (</w:t>
      </w:r>
      <w:proofErr w:type="spellStart"/>
      <w:r w:rsidRPr="00400C20">
        <w:t>Specific</w:t>
      </w:r>
      <w:proofErr w:type="spellEnd"/>
      <w:r w:rsidRPr="001609E5">
        <w:t>), měřitelné (</w:t>
      </w:r>
      <w:proofErr w:type="spellStart"/>
      <w:r w:rsidRPr="00400C20">
        <w:t>Measurable</w:t>
      </w:r>
      <w:proofErr w:type="spellEnd"/>
      <w:r w:rsidRPr="001609E5">
        <w:t>), dosažitelné (</w:t>
      </w:r>
      <w:proofErr w:type="spellStart"/>
      <w:r w:rsidRPr="00400C20">
        <w:t>Achievable</w:t>
      </w:r>
      <w:proofErr w:type="spellEnd"/>
      <w:r w:rsidRPr="001609E5">
        <w:t xml:space="preserve">), </w:t>
      </w:r>
      <w:r>
        <w:t>realistické</w:t>
      </w:r>
      <w:r w:rsidRPr="001609E5">
        <w:t xml:space="preserve"> (</w:t>
      </w:r>
      <w:proofErr w:type="spellStart"/>
      <w:r w:rsidRPr="00400C20">
        <w:t>Realistic</w:t>
      </w:r>
      <w:proofErr w:type="spellEnd"/>
      <w:r>
        <w:t>/</w:t>
      </w:r>
      <w:proofErr w:type="spellStart"/>
      <w:r w:rsidRPr="00400C20">
        <w:t>Relevant</w:t>
      </w:r>
      <w:proofErr w:type="spellEnd"/>
      <w:r w:rsidRPr="001609E5">
        <w:t>) a časově vymezené (</w:t>
      </w:r>
      <w:r>
        <w:t>Time-bound</w:t>
      </w:r>
      <w:r w:rsidRPr="001609E5">
        <w:t>).</w:t>
      </w:r>
    </w:p>
  </w:footnote>
  <w:footnote w:id="32">
    <w:p w14:paraId="07CEEE1B" w14:textId="77777777" w:rsidR="004D5C26" w:rsidRPr="00855933" w:rsidRDefault="004D5C26" w:rsidP="00B85260">
      <w:pPr>
        <w:pStyle w:val="Textpoznpodarou"/>
        <w:ind w:left="284" w:hanging="284"/>
        <w:rPr>
          <w:iCs/>
        </w:rPr>
      </w:pPr>
      <w:r>
        <w:rPr>
          <w:rStyle w:val="Znakapoznpodarou"/>
        </w:rPr>
        <w:footnoteRef/>
      </w:r>
      <w:r>
        <w:t xml:space="preserve"> </w:t>
      </w:r>
      <w:r>
        <w:tab/>
        <w:t xml:space="preserve">MMR uvedlo vymezení </w:t>
      </w:r>
      <w:r w:rsidRPr="00B85260">
        <w:t xml:space="preserve">v dokumentu </w:t>
      </w:r>
      <w:r w:rsidRPr="007A75C1">
        <w:rPr>
          <w:i/>
        </w:rPr>
        <w:t>Specifická pravidla pro žadatele a příjemce.</w:t>
      </w:r>
    </w:p>
  </w:footnote>
  <w:footnote w:id="33">
    <w:p w14:paraId="289148FE" w14:textId="77777777" w:rsidR="004D5C26" w:rsidRDefault="004D5C26" w:rsidP="005D688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Cíle vztahující se ke zvýšení kvality a zvýšení dostupnosti sociálních služeb a cíle vedoucí k deinstitucionalizaci ústavních pobytových sociálních služeb (přechod klientů od ústavní péče do péče v přirozeném prostředí).</w:t>
      </w:r>
    </w:p>
  </w:footnote>
  <w:footnote w:id="34">
    <w:p w14:paraId="68AA012D" w14:textId="17235961" w:rsidR="004D5C26" w:rsidRPr="005F5D76" w:rsidRDefault="004D5C26" w:rsidP="005D688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781D40">
        <w:rPr>
          <w:i/>
          <w:iCs/>
        </w:rPr>
        <w:t>Metodický pokyn pro přípravu programových dokumentů pro programové období 2014–2020</w:t>
      </w:r>
      <w:r>
        <w:t xml:space="preserve"> v kapitole </w:t>
      </w:r>
      <w:r w:rsidRPr="00781D40">
        <w:rPr>
          <w:i/>
          <w:iCs/>
        </w:rPr>
        <w:t>Vnitřní koherence intervenční logiky – teorie změny</w:t>
      </w:r>
      <w:r>
        <w:t xml:space="preserve"> uvádí: „</w:t>
      </w:r>
      <w:r w:rsidRPr="005F5D76">
        <w:rPr>
          <w:i/>
        </w:rPr>
        <w:t>Indikátor výsledku je ukazatel s přímou vazbou na stanovené cíle, který prokáže, zda bylo změny dosaženo</w:t>
      </w:r>
      <w:r>
        <w:rPr>
          <w:i/>
        </w:rPr>
        <w:t xml:space="preserve">. </w:t>
      </w:r>
      <w:r w:rsidRPr="005F5D76">
        <w:rPr>
          <w:i/>
        </w:rPr>
        <w:t>Indikátor musí mít vazbu na indikátory výstupu, které měří výstupy prováděných opatření a aktivit</w:t>
      </w:r>
      <w:r>
        <w:rPr>
          <w:i/>
        </w:rPr>
        <w:t>.</w:t>
      </w:r>
      <w:r w:rsidRPr="00781D40">
        <w:rPr>
          <w:iCs/>
        </w:rPr>
        <w:t>“</w:t>
      </w:r>
    </w:p>
  </w:footnote>
  <w:footnote w:id="35">
    <w:p w14:paraId="5CFC116F" w14:textId="42289204" w:rsidR="004D5C26" w:rsidRDefault="004D5C26" w:rsidP="003C445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3C4456">
        <w:t xml:space="preserve">Definice výsledkového indikátoru 6 75 10 </w:t>
      </w:r>
      <w:r w:rsidRPr="003C4456">
        <w:rPr>
          <w:i/>
          <w:iCs/>
        </w:rPr>
        <w:t>Kapacita služeb a sociální práce</w:t>
      </w:r>
      <w:r w:rsidRPr="003C4456">
        <w:t>: „</w:t>
      </w:r>
      <w:r w:rsidRPr="00781D40">
        <w:rPr>
          <w:i/>
          <w:iCs/>
        </w:rPr>
        <w:t>Kapacita služeb a sociální práce je tvořena počtem klientů, kterým může být v jeden okamžik poskytnuta služba podporující sociální začleňování nebo intervence sociální práce.</w:t>
      </w:r>
      <w:r w:rsidRPr="003C4456">
        <w:t>“</w:t>
      </w:r>
      <w:r>
        <w:t xml:space="preserve"> (Zdroj: metodické listy indikátorů k výzvám SC 2.1 IROP 1 a SC 6.1 IROP 1).</w:t>
      </w:r>
    </w:p>
  </w:footnote>
  <w:footnote w:id="36">
    <w:p w14:paraId="4D35B35A" w14:textId="29766AA3" w:rsidR="004D5C26" w:rsidRDefault="004D5C26" w:rsidP="005947B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5947B9">
        <w:t>MMR v průběhu kontroly samo připustilo, že lze v kombinaci s výchozí hodnotou indikátoru u projektu pouze dovozovat, zda došlo vlivem jeho realizace k takové změně</w:t>
      </w:r>
      <w:r>
        <w:t xml:space="preserve">, </w:t>
      </w:r>
      <w:r w:rsidRPr="005947B9">
        <w:t xml:space="preserve">která vedla k poklesu, zachování nebo navýšení </w:t>
      </w:r>
      <w:r>
        <w:t>původní</w:t>
      </w:r>
      <w:r w:rsidRPr="005947B9">
        <w:t xml:space="preserve"> kapacity.</w:t>
      </w:r>
    </w:p>
  </w:footnote>
  <w:footnote w:id="37">
    <w:p w14:paraId="202E7058" w14:textId="779367B4" w:rsidR="004D5C26" w:rsidRDefault="004D5C26" w:rsidP="00B16F6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B16F64">
        <w:t>Příkladem vhodně</w:t>
      </w:r>
      <w:r>
        <w:t>ji</w:t>
      </w:r>
      <w:r w:rsidRPr="00B16F64">
        <w:t xml:space="preserve"> zvoleného </w:t>
      </w:r>
      <w:r>
        <w:t>ukazatele</w:t>
      </w:r>
      <w:r w:rsidRPr="00B16F64">
        <w:t xml:space="preserve"> je indikátor výsledku </w:t>
      </w:r>
      <w:r>
        <w:t>„</w:t>
      </w:r>
      <w:r>
        <w:rPr>
          <w:i/>
        </w:rPr>
        <w:t>n</w:t>
      </w:r>
      <w:r w:rsidRPr="005947B9">
        <w:rPr>
          <w:i/>
        </w:rPr>
        <w:t>árůst kapacity sociálních bytů</w:t>
      </w:r>
      <w:r>
        <w:rPr>
          <w:iCs/>
        </w:rPr>
        <w:t>“;</w:t>
      </w:r>
      <w:r w:rsidRPr="005947B9">
        <w:rPr>
          <w:i/>
        </w:rPr>
        <w:t xml:space="preserve"> </w:t>
      </w:r>
      <w:r w:rsidRPr="00781D40">
        <w:rPr>
          <w:iCs/>
        </w:rPr>
        <w:t>ten</w:t>
      </w:r>
      <w:r>
        <w:rPr>
          <w:iCs/>
        </w:rPr>
        <w:t>to indikátor</w:t>
      </w:r>
      <w:r w:rsidRPr="00781D40">
        <w:rPr>
          <w:iCs/>
        </w:rPr>
        <w:t xml:space="preserve"> byl</w:t>
      </w:r>
      <w:r>
        <w:rPr>
          <w:i/>
        </w:rPr>
        <w:t xml:space="preserve"> </w:t>
      </w:r>
      <w:r w:rsidRPr="00B16F64">
        <w:t xml:space="preserve">stanoven pro výzvy na podporu sociálního bydlení v rámci </w:t>
      </w:r>
      <w:r>
        <w:t xml:space="preserve">SC </w:t>
      </w:r>
      <w:r w:rsidRPr="00B16F64">
        <w:t>2.1 IROP 1</w:t>
      </w:r>
      <w:r>
        <w:t xml:space="preserve"> a z jeho hodnot lze vyčíst, k jakým změnám v projektech v důsledku podpory došlo</w:t>
      </w:r>
      <w:r w:rsidRPr="00B16F64">
        <w:t>.</w:t>
      </w:r>
    </w:p>
  </w:footnote>
  <w:footnote w:id="38">
    <w:p w14:paraId="3098A1FB" w14:textId="77777777" w:rsidR="004D5C26" w:rsidRDefault="004D5C26" w:rsidP="0071064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</w:t>
      </w:r>
      <w:r w:rsidRPr="00052589">
        <w:t xml:space="preserve">§ 39 </w:t>
      </w:r>
      <w:r>
        <w:t>odst. 3 zákona č. 218/2000 Sb.</w:t>
      </w:r>
    </w:p>
  </w:footnote>
  <w:footnote w:id="39">
    <w:p w14:paraId="6A8AF4FF" w14:textId="77777777" w:rsidR="004D5C26" w:rsidRDefault="004D5C26" w:rsidP="006418F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</w:t>
      </w:r>
      <w:r w:rsidRPr="00956E81">
        <w:t xml:space="preserve">§ 222 odst. 1 a odst. 3 písm. a) a b) </w:t>
      </w:r>
      <w:r>
        <w:t>zákona č. 134/2016 Sb.</w:t>
      </w:r>
    </w:p>
  </w:footnote>
  <w:footnote w:id="40">
    <w:p w14:paraId="6FE5BA2B" w14:textId="77777777" w:rsidR="004D5C26" w:rsidRDefault="004D5C26" w:rsidP="006418F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</w:t>
      </w:r>
      <w:r w:rsidRPr="00245666">
        <w:t>§ 6 odst. 2 zákona č. 134/2016 Sb</w:t>
      </w:r>
      <w:r>
        <w:t>.</w:t>
      </w:r>
    </w:p>
  </w:footnote>
  <w:footnote w:id="41">
    <w:p w14:paraId="5B23F429" w14:textId="3A8FD332" w:rsidR="004D5C26" w:rsidRDefault="004D5C26" w:rsidP="0001651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Projekt </w:t>
      </w:r>
      <w:bookmarkStart w:id="51" w:name="_Hlk188949130"/>
      <w:r>
        <w:t>*</w:t>
      </w:r>
      <w:r w:rsidRPr="009C0F7F">
        <w:t xml:space="preserve">05758 </w:t>
      </w:r>
      <w:bookmarkStart w:id="52" w:name="_Hlk188949616"/>
      <w:bookmarkEnd w:id="51"/>
      <w:r w:rsidRPr="00781D40">
        <w:rPr>
          <w:i/>
          <w:iCs/>
        </w:rPr>
        <w:t>Transformace CSS Stod – III. etapa</w:t>
      </w:r>
      <w:r>
        <w:rPr>
          <w:i/>
        </w:rPr>
        <w:t xml:space="preserve"> </w:t>
      </w:r>
      <w:bookmarkEnd w:id="52"/>
      <w:r>
        <w:t xml:space="preserve">podpořený z IROP 1 je čtvrtým projektem, který se podílel na několikaletém procesu deinstitucionalizace ústavních pobytových služeb pro klienty se zdravotním postižením. Transformační proces v rámci CSS Stod, které je příspěvkovou organizací zřízenou Plzeňským krajem, započal v roce 2007 a probíhal ve třech etapách dle </w:t>
      </w:r>
      <w:r>
        <w:rPr>
          <w:i/>
        </w:rPr>
        <w:t>t</w:t>
      </w:r>
      <w:r w:rsidRPr="0016628C">
        <w:rPr>
          <w:i/>
        </w:rPr>
        <w:t>ransformačního plánu</w:t>
      </w:r>
      <w:r>
        <w:t xml:space="preserve">. Celý proces transformace CSS Stod byl podpořen jak ze zdrojů Evropské unie, tak z národních zdrojů částkou přesahující 230 mil. Kč (zdroj: </w:t>
      </w:r>
      <w:r>
        <w:rPr>
          <w:i/>
        </w:rPr>
        <w:t xml:space="preserve">studie proveditelnosti </w:t>
      </w:r>
      <w:r>
        <w:t>projektu *</w:t>
      </w:r>
      <w:r w:rsidRPr="009C0F7F">
        <w:t>05758</w:t>
      </w:r>
      <w:r>
        <w:t xml:space="preserve">). </w:t>
      </w:r>
    </w:p>
  </w:footnote>
  <w:footnote w:id="42">
    <w:p w14:paraId="0D5AC282" w14:textId="77777777" w:rsidR="004D5C26" w:rsidRDefault="004D5C26" w:rsidP="0001651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Asistivní a smart technologie k </w:t>
      </w:r>
      <w:r w:rsidRPr="00DB098B">
        <w:t>nácvik</w:t>
      </w:r>
      <w:r>
        <w:t xml:space="preserve">u </w:t>
      </w:r>
      <w:r w:rsidRPr="00DB098B">
        <w:t>alternativní komunikace a využívání IT pomůcek pro větší soběstačnost nemocných v domácím prostředí</w:t>
      </w:r>
      <w:r>
        <w:t>.</w:t>
      </w:r>
    </w:p>
  </w:footnote>
  <w:footnote w:id="43">
    <w:p w14:paraId="6DE4A122" w14:textId="4E55DEE9" w:rsidR="004D5C26" w:rsidRDefault="004D5C26" w:rsidP="00C3560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Jedná se o standardy kvality, které příjemce označí v rámci odpovědi na otázku „</w:t>
      </w:r>
      <w:r w:rsidRPr="00682A7F">
        <w:rPr>
          <w:i/>
        </w:rPr>
        <w:t>Jaký standard kvality byl realizací projektu zvýšen?</w:t>
      </w:r>
      <w:r>
        <w:t>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D678" w14:textId="77777777" w:rsidR="004D5C26" w:rsidRDefault="004D5C26" w:rsidP="007C40D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0B05"/>
    <w:multiLevelType w:val="hybridMultilevel"/>
    <w:tmpl w:val="415E3292"/>
    <w:lvl w:ilvl="0" w:tplc="0F28D54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97861CA"/>
    <w:multiLevelType w:val="hybridMultilevel"/>
    <w:tmpl w:val="6BD4010A"/>
    <w:lvl w:ilvl="0" w:tplc="028271BE">
      <w:start w:val="1"/>
      <w:numFmt w:val="upperLetter"/>
      <w:pStyle w:val="PodkapitolystiIVKZ"/>
      <w:lvlText w:val="%1."/>
      <w:lvlJc w:val="left"/>
      <w:pPr>
        <w:ind w:left="720" w:hanging="360"/>
      </w:pPr>
      <w:rPr>
        <w:rFonts w:hint="default"/>
      </w:rPr>
    </w:lvl>
    <w:lvl w:ilvl="1" w:tplc="10FACC76" w:tentative="1">
      <w:start w:val="1"/>
      <w:numFmt w:val="lowerLetter"/>
      <w:lvlText w:val="%2."/>
      <w:lvlJc w:val="left"/>
      <w:pPr>
        <w:ind w:left="1440" w:hanging="360"/>
      </w:pPr>
    </w:lvl>
    <w:lvl w:ilvl="2" w:tplc="673E34CC" w:tentative="1">
      <w:start w:val="1"/>
      <w:numFmt w:val="lowerRoman"/>
      <w:lvlText w:val="%3."/>
      <w:lvlJc w:val="right"/>
      <w:pPr>
        <w:ind w:left="2160" w:hanging="180"/>
      </w:pPr>
    </w:lvl>
    <w:lvl w:ilvl="3" w:tplc="D93ED652" w:tentative="1">
      <w:start w:val="1"/>
      <w:numFmt w:val="decimal"/>
      <w:lvlText w:val="%4."/>
      <w:lvlJc w:val="left"/>
      <w:pPr>
        <w:ind w:left="2880" w:hanging="360"/>
      </w:pPr>
    </w:lvl>
    <w:lvl w:ilvl="4" w:tplc="AD9005A0" w:tentative="1">
      <w:start w:val="1"/>
      <w:numFmt w:val="lowerLetter"/>
      <w:lvlText w:val="%5."/>
      <w:lvlJc w:val="left"/>
      <w:pPr>
        <w:ind w:left="3600" w:hanging="360"/>
      </w:pPr>
    </w:lvl>
    <w:lvl w:ilvl="5" w:tplc="034843B6" w:tentative="1">
      <w:start w:val="1"/>
      <w:numFmt w:val="lowerRoman"/>
      <w:lvlText w:val="%6."/>
      <w:lvlJc w:val="right"/>
      <w:pPr>
        <w:ind w:left="4320" w:hanging="180"/>
      </w:pPr>
    </w:lvl>
    <w:lvl w:ilvl="6" w:tplc="10ACFEFA" w:tentative="1">
      <w:start w:val="1"/>
      <w:numFmt w:val="decimal"/>
      <w:lvlText w:val="%7."/>
      <w:lvlJc w:val="left"/>
      <w:pPr>
        <w:ind w:left="5040" w:hanging="360"/>
      </w:pPr>
    </w:lvl>
    <w:lvl w:ilvl="7" w:tplc="456CA82C" w:tentative="1">
      <w:start w:val="1"/>
      <w:numFmt w:val="lowerLetter"/>
      <w:lvlText w:val="%8."/>
      <w:lvlJc w:val="left"/>
      <w:pPr>
        <w:ind w:left="5760" w:hanging="360"/>
      </w:pPr>
    </w:lvl>
    <w:lvl w:ilvl="8" w:tplc="1C949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37FEA"/>
    <w:multiLevelType w:val="hybridMultilevel"/>
    <w:tmpl w:val="1B641D7C"/>
    <w:lvl w:ilvl="0" w:tplc="6DDAB2B6">
      <w:start w:val="1"/>
      <w:numFmt w:val="decimal"/>
      <w:pStyle w:val="JK3"/>
      <w:lvlText w:val="3.%1"/>
      <w:lvlJc w:val="left"/>
      <w:pPr>
        <w:ind w:left="720" w:hanging="360"/>
      </w:pPr>
      <w:rPr>
        <w:rFonts w:hint="default"/>
        <w:b/>
      </w:rPr>
    </w:lvl>
    <w:lvl w:ilvl="1" w:tplc="BB02ADFC" w:tentative="1">
      <w:start w:val="1"/>
      <w:numFmt w:val="lowerLetter"/>
      <w:lvlText w:val="%2."/>
      <w:lvlJc w:val="left"/>
      <w:pPr>
        <w:ind w:left="1440" w:hanging="360"/>
      </w:pPr>
    </w:lvl>
    <w:lvl w:ilvl="2" w:tplc="162CF6A6" w:tentative="1">
      <w:start w:val="1"/>
      <w:numFmt w:val="lowerRoman"/>
      <w:lvlText w:val="%3."/>
      <w:lvlJc w:val="right"/>
      <w:pPr>
        <w:ind w:left="2160" w:hanging="180"/>
      </w:pPr>
    </w:lvl>
    <w:lvl w:ilvl="3" w:tplc="F148D69C" w:tentative="1">
      <w:start w:val="1"/>
      <w:numFmt w:val="decimal"/>
      <w:lvlText w:val="%4."/>
      <w:lvlJc w:val="left"/>
      <w:pPr>
        <w:ind w:left="2880" w:hanging="360"/>
      </w:pPr>
    </w:lvl>
    <w:lvl w:ilvl="4" w:tplc="AD4A8604" w:tentative="1">
      <w:start w:val="1"/>
      <w:numFmt w:val="lowerLetter"/>
      <w:lvlText w:val="%5."/>
      <w:lvlJc w:val="left"/>
      <w:pPr>
        <w:ind w:left="3600" w:hanging="360"/>
      </w:pPr>
    </w:lvl>
    <w:lvl w:ilvl="5" w:tplc="EAF08CB4" w:tentative="1">
      <w:start w:val="1"/>
      <w:numFmt w:val="lowerRoman"/>
      <w:lvlText w:val="%6."/>
      <w:lvlJc w:val="right"/>
      <w:pPr>
        <w:ind w:left="4320" w:hanging="180"/>
      </w:pPr>
    </w:lvl>
    <w:lvl w:ilvl="6" w:tplc="7CB82890" w:tentative="1">
      <w:start w:val="1"/>
      <w:numFmt w:val="decimal"/>
      <w:lvlText w:val="%7."/>
      <w:lvlJc w:val="left"/>
      <w:pPr>
        <w:ind w:left="5040" w:hanging="360"/>
      </w:pPr>
    </w:lvl>
    <w:lvl w:ilvl="7" w:tplc="A93AA8C4" w:tentative="1">
      <w:start w:val="1"/>
      <w:numFmt w:val="lowerLetter"/>
      <w:lvlText w:val="%8."/>
      <w:lvlJc w:val="left"/>
      <w:pPr>
        <w:ind w:left="5760" w:hanging="360"/>
      </w:pPr>
    </w:lvl>
    <w:lvl w:ilvl="8" w:tplc="FEB88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20"/>
    <w:multiLevelType w:val="hybridMultilevel"/>
    <w:tmpl w:val="B6AA07C0"/>
    <w:lvl w:ilvl="0" w:tplc="F3DE18FA">
      <w:start w:val="1"/>
      <w:numFmt w:val="lowerLetter"/>
      <w:lvlText w:val="%1)"/>
      <w:lvlJc w:val="left"/>
      <w:pPr>
        <w:ind w:left="1080" w:hanging="360"/>
      </w:pPr>
    </w:lvl>
    <w:lvl w:ilvl="1" w:tplc="9DFEB64A" w:tentative="1">
      <w:start w:val="1"/>
      <w:numFmt w:val="lowerLetter"/>
      <w:lvlText w:val="%2."/>
      <w:lvlJc w:val="left"/>
      <w:pPr>
        <w:ind w:left="1800" w:hanging="360"/>
      </w:pPr>
    </w:lvl>
    <w:lvl w:ilvl="2" w:tplc="C35AD3B8" w:tentative="1">
      <w:start w:val="1"/>
      <w:numFmt w:val="lowerRoman"/>
      <w:lvlText w:val="%3."/>
      <w:lvlJc w:val="right"/>
      <w:pPr>
        <w:ind w:left="2520" w:hanging="180"/>
      </w:pPr>
    </w:lvl>
    <w:lvl w:ilvl="3" w:tplc="CD4A4DCA" w:tentative="1">
      <w:start w:val="1"/>
      <w:numFmt w:val="decimal"/>
      <w:lvlText w:val="%4."/>
      <w:lvlJc w:val="left"/>
      <w:pPr>
        <w:ind w:left="3240" w:hanging="360"/>
      </w:pPr>
    </w:lvl>
    <w:lvl w:ilvl="4" w:tplc="CA14EAA8" w:tentative="1">
      <w:start w:val="1"/>
      <w:numFmt w:val="lowerLetter"/>
      <w:lvlText w:val="%5."/>
      <w:lvlJc w:val="left"/>
      <w:pPr>
        <w:ind w:left="3960" w:hanging="360"/>
      </w:pPr>
    </w:lvl>
    <w:lvl w:ilvl="5" w:tplc="C3D65A04" w:tentative="1">
      <w:start w:val="1"/>
      <w:numFmt w:val="lowerRoman"/>
      <w:lvlText w:val="%6."/>
      <w:lvlJc w:val="right"/>
      <w:pPr>
        <w:ind w:left="4680" w:hanging="180"/>
      </w:pPr>
    </w:lvl>
    <w:lvl w:ilvl="6" w:tplc="CF8EF73C" w:tentative="1">
      <w:start w:val="1"/>
      <w:numFmt w:val="decimal"/>
      <w:lvlText w:val="%7."/>
      <w:lvlJc w:val="left"/>
      <w:pPr>
        <w:ind w:left="5400" w:hanging="360"/>
      </w:pPr>
    </w:lvl>
    <w:lvl w:ilvl="7" w:tplc="407E8146" w:tentative="1">
      <w:start w:val="1"/>
      <w:numFmt w:val="lowerLetter"/>
      <w:lvlText w:val="%8."/>
      <w:lvlJc w:val="left"/>
      <w:pPr>
        <w:ind w:left="6120" w:hanging="360"/>
      </w:pPr>
    </w:lvl>
    <w:lvl w:ilvl="8" w:tplc="B7CE10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041FE"/>
    <w:multiLevelType w:val="hybridMultilevel"/>
    <w:tmpl w:val="1DB88C82"/>
    <w:lvl w:ilvl="0" w:tplc="22F2F998">
      <w:start w:val="1"/>
      <w:numFmt w:val="decimal"/>
      <w:pStyle w:val="JK1"/>
      <w:lvlText w:val="1.%1"/>
      <w:lvlJc w:val="left"/>
      <w:pPr>
        <w:ind w:left="360" w:hanging="360"/>
      </w:pPr>
      <w:rPr>
        <w:b/>
      </w:rPr>
    </w:lvl>
    <w:lvl w:ilvl="1" w:tplc="C80855D6">
      <w:start w:val="1"/>
      <w:numFmt w:val="lowerLetter"/>
      <w:lvlText w:val="%2."/>
      <w:lvlJc w:val="left"/>
      <w:pPr>
        <w:ind w:left="1440" w:hanging="360"/>
      </w:pPr>
    </w:lvl>
    <w:lvl w:ilvl="2" w:tplc="790067C6">
      <w:start w:val="1"/>
      <w:numFmt w:val="lowerRoman"/>
      <w:lvlText w:val="%3."/>
      <w:lvlJc w:val="right"/>
      <w:pPr>
        <w:ind w:left="2160" w:hanging="180"/>
      </w:pPr>
    </w:lvl>
    <w:lvl w:ilvl="3" w:tplc="A6187EFC">
      <w:start w:val="1"/>
      <w:numFmt w:val="decimal"/>
      <w:lvlText w:val="%4."/>
      <w:lvlJc w:val="left"/>
      <w:pPr>
        <w:ind w:left="2880" w:hanging="360"/>
      </w:pPr>
    </w:lvl>
    <w:lvl w:ilvl="4" w:tplc="2D94E3E4">
      <w:start w:val="1"/>
      <w:numFmt w:val="lowerLetter"/>
      <w:lvlText w:val="%5."/>
      <w:lvlJc w:val="left"/>
      <w:pPr>
        <w:ind w:left="3600" w:hanging="360"/>
      </w:pPr>
    </w:lvl>
    <w:lvl w:ilvl="5" w:tplc="41C822D4">
      <w:start w:val="1"/>
      <w:numFmt w:val="lowerRoman"/>
      <w:lvlText w:val="%6."/>
      <w:lvlJc w:val="right"/>
      <w:pPr>
        <w:ind w:left="4320" w:hanging="180"/>
      </w:pPr>
    </w:lvl>
    <w:lvl w:ilvl="6" w:tplc="A34081F6">
      <w:start w:val="1"/>
      <w:numFmt w:val="decimal"/>
      <w:lvlText w:val="%7."/>
      <w:lvlJc w:val="left"/>
      <w:pPr>
        <w:ind w:left="5040" w:hanging="360"/>
      </w:pPr>
    </w:lvl>
    <w:lvl w:ilvl="7" w:tplc="28B4E14E">
      <w:start w:val="1"/>
      <w:numFmt w:val="lowerLetter"/>
      <w:lvlText w:val="%8."/>
      <w:lvlJc w:val="left"/>
      <w:pPr>
        <w:ind w:left="5760" w:hanging="360"/>
      </w:pPr>
    </w:lvl>
    <w:lvl w:ilvl="8" w:tplc="09B23D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10B29"/>
    <w:multiLevelType w:val="hybridMultilevel"/>
    <w:tmpl w:val="A2C61D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A6C59"/>
    <w:multiLevelType w:val="hybridMultilevel"/>
    <w:tmpl w:val="DD9C2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A5A99"/>
    <w:multiLevelType w:val="hybridMultilevel"/>
    <w:tmpl w:val="B3382180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31043396"/>
    <w:multiLevelType w:val="hybridMultilevel"/>
    <w:tmpl w:val="8D1AB36E"/>
    <w:lvl w:ilvl="0" w:tplc="0405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9" w15:restartNumberingAfterBreak="0">
    <w:nsid w:val="31C4672E"/>
    <w:multiLevelType w:val="hybridMultilevel"/>
    <w:tmpl w:val="5FA6EB8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875A30"/>
    <w:multiLevelType w:val="hybridMultilevel"/>
    <w:tmpl w:val="8F308FC0"/>
    <w:lvl w:ilvl="0" w:tplc="80BE7682">
      <w:start w:val="1"/>
      <w:numFmt w:val="decimal"/>
      <w:pStyle w:val="JK2"/>
      <w:lvlText w:val="2.%1"/>
      <w:lvlJc w:val="left"/>
      <w:pPr>
        <w:ind w:left="9433" w:hanging="360"/>
      </w:pPr>
      <w:rPr>
        <w:rFonts w:hint="default"/>
        <w:b/>
        <w:i w:val="0"/>
        <w:color w:val="auto"/>
      </w:rPr>
    </w:lvl>
    <w:lvl w:ilvl="1" w:tplc="EED03178">
      <w:start w:val="1"/>
      <w:numFmt w:val="lowerLetter"/>
      <w:lvlText w:val="%2."/>
      <w:lvlJc w:val="left"/>
      <w:pPr>
        <w:ind w:left="1440" w:hanging="360"/>
      </w:pPr>
    </w:lvl>
    <w:lvl w:ilvl="2" w:tplc="36887BBE" w:tentative="1">
      <w:start w:val="1"/>
      <w:numFmt w:val="lowerRoman"/>
      <w:lvlText w:val="%3."/>
      <w:lvlJc w:val="right"/>
      <w:pPr>
        <w:ind w:left="2160" w:hanging="180"/>
      </w:pPr>
    </w:lvl>
    <w:lvl w:ilvl="3" w:tplc="C540BBF2" w:tentative="1">
      <w:start w:val="1"/>
      <w:numFmt w:val="decimal"/>
      <w:lvlText w:val="%4."/>
      <w:lvlJc w:val="left"/>
      <w:pPr>
        <w:ind w:left="2880" w:hanging="360"/>
      </w:pPr>
    </w:lvl>
    <w:lvl w:ilvl="4" w:tplc="BEDEFDFE" w:tentative="1">
      <w:start w:val="1"/>
      <w:numFmt w:val="lowerLetter"/>
      <w:lvlText w:val="%5."/>
      <w:lvlJc w:val="left"/>
      <w:pPr>
        <w:ind w:left="3600" w:hanging="360"/>
      </w:pPr>
    </w:lvl>
    <w:lvl w:ilvl="5" w:tplc="95A09E74" w:tentative="1">
      <w:start w:val="1"/>
      <w:numFmt w:val="lowerRoman"/>
      <w:lvlText w:val="%6."/>
      <w:lvlJc w:val="right"/>
      <w:pPr>
        <w:ind w:left="4320" w:hanging="180"/>
      </w:pPr>
    </w:lvl>
    <w:lvl w:ilvl="6" w:tplc="61E869CA" w:tentative="1">
      <w:start w:val="1"/>
      <w:numFmt w:val="decimal"/>
      <w:lvlText w:val="%7."/>
      <w:lvlJc w:val="left"/>
      <w:pPr>
        <w:ind w:left="5040" w:hanging="360"/>
      </w:pPr>
    </w:lvl>
    <w:lvl w:ilvl="7" w:tplc="06A42CD8" w:tentative="1">
      <w:start w:val="1"/>
      <w:numFmt w:val="lowerLetter"/>
      <w:lvlText w:val="%8."/>
      <w:lvlJc w:val="left"/>
      <w:pPr>
        <w:ind w:left="5760" w:hanging="360"/>
      </w:pPr>
    </w:lvl>
    <w:lvl w:ilvl="8" w:tplc="B1569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2C17"/>
    <w:multiLevelType w:val="hybridMultilevel"/>
    <w:tmpl w:val="CB006BA4"/>
    <w:lvl w:ilvl="0" w:tplc="EB56D546">
      <w:start w:val="1"/>
      <w:numFmt w:val="decimal"/>
      <w:pStyle w:val="JK4"/>
      <w:lvlText w:val="4.%1"/>
      <w:lvlJc w:val="left"/>
      <w:pPr>
        <w:ind w:left="2770" w:hanging="360"/>
      </w:pPr>
      <w:rPr>
        <w:b/>
        <w:i w:val="0"/>
        <w:color w:val="auto"/>
        <w:sz w:val="24"/>
        <w:szCs w:val="24"/>
      </w:rPr>
    </w:lvl>
    <w:lvl w:ilvl="1" w:tplc="68783516">
      <w:start w:val="1"/>
      <w:numFmt w:val="lowerLetter"/>
      <w:lvlText w:val="%2."/>
      <w:lvlJc w:val="left"/>
      <w:pPr>
        <w:ind w:left="1440" w:hanging="360"/>
      </w:pPr>
    </w:lvl>
    <w:lvl w:ilvl="2" w:tplc="DF600268">
      <w:start w:val="1"/>
      <w:numFmt w:val="lowerRoman"/>
      <w:lvlText w:val="%3."/>
      <w:lvlJc w:val="right"/>
      <w:pPr>
        <w:ind w:left="2160" w:hanging="180"/>
      </w:pPr>
    </w:lvl>
    <w:lvl w:ilvl="3" w:tplc="BC021B42">
      <w:start w:val="1"/>
      <w:numFmt w:val="decimal"/>
      <w:lvlText w:val="%4."/>
      <w:lvlJc w:val="left"/>
      <w:pPr>
        <w:ind w:left="2880" w:hanging="360"/>
      </w:pPr>
    </w:lvl>
    <w:lvl w:ilvl="4" w:tplc="F842A75E">
      <w:start w:val="1"/>
      <w:numFmt w:val="lowerLetter"/>
      <w:lvlText w:val="%5."/>
      <w:lvlJc w:val="left"/>
      <w:pPr>
        <w:ind w:left="3600" w:hanging="360"/>
      </w:pPr>
    </w:lvl>
    <w:lvl w:ilvl="5" w:tplc="433CA0D8">
      <w:start w:val="1"/>
      <w:numFmt w:val="lowerRoman"/>
      <w:lvlText w:val="%6."/>
      <w:lvlJc w:val="right"/>
      <w:pPr>
        <w:ind w:left="4320" w:hanging="180"/>
      </w:pPr>
    </w:lvl>
    <w:lvl w:ilvl="6" w:tplc="1B447788">
      <w:start w:val="1"/>
      <w:numFmt w:val="decimal"/>
      <w:lvlText w:val="%7."/>
      <w:lvlJc w:val="left"/>
      <w:pPr>
        <w:ind w:left="5040" w:hanging="360"/>
      </w:pPr>
    </w:lvl>
    <w:lvl w:ilvl="7" w:tplc="1988ED0E">
      <w:start w:val="1"/>
      <w:numFmt w:val="lowerLetter"/>
      <w:lvlText w:val="%8."/>
      <w:lvlJc w:val="left"/>
      <w:pPr>
        <w:ind w:left="5760" w:hanging="360"/>
      </w:pPr>
    </w:lvl>
    <w:lvl w:ilvl="8" w:tplc="F8F8EF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3275D"/>
    <w:multiLevelType w:val="hybridMultilevel"/>
    <w:tmpl w:val="5BCE6BFE"/>
    <w:lvl w:ilvl="0" w:tplc="8D5C756C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  <w:b/>
        <w:i/>
      </w:rPr>
    </w:lvl>
    <w:lvl w:ilvl="1" w:tplc="C80855D6">
      <w:start w:val="1"/>
      <w:numFmt w:val="lowerLetter"/>
      <w:lvlText w:val="%2."/>
      <w:lvlJc w:val="left"/>
      <w:pPr>
        <w:ind w:left="1440" w:hanging="360"/>
      </w:pPr>
    </w:lvl>
    <w:lvl w:ilvl="2" w:tplc="790067C6">
      <w:start w:val="1"/>
      <w:numFmt w:val="lowerRoman"/>
      <w:lvlText w:val="%3."/>
      <w:lvlJc w:val="right"/>
      <w:pPr>
        <w:ind w:left="2160" w:hanging="180"/>
      </w:pPr>
    </w:lvl>
    <w:lvl w:ilvl="3" w:tplc="A6187EFC">
      <w:start w:val="1"/>
      <w:numFmt w:val="decimal"/>
      <w:lvlText w:val="%4."/>
      <w:lvlJc w:val="left"/>
      <w:pPr>
        <w:ind w:left="2880" w:hanging="360"/>
      </w:pPr>
    </w:lvl>
    <w:lvl w:ilvl="4" w:tplc="2D94E3E4">
      <w:start w:val="1"/>
      <w:numFmt w:val="lowerLetter"/>
      <w:lvlText w:val="%5."/>
      <w:lvlJc w:val="left"/>
      <w:pPr>
        <w:ind w:left="3600" w:hanging="360"/>
      </w:pPr>
    </w:lvl>
    <w:lvl w:ilvl="5" w:tplc="41C822D4">
      <w:start w:val="1"/>
      <w:numFmt w:val="lowerRoman"/>
      <w:lvlText w:val="%6."/>
      <w:lvlJc w:val="right"/>
      <w:pPr>
        <w:ind w:left="4320" w:hanging="180"/>
      </w:pPr>
    </w:lvl>
    <w:lvl w:ilvl="6" w:tplc="A34081F6">
      <w:start w:val="1"/>
      <w:numFmt w:val="decimal"/>
      <w:lvlText w:val="%7."/>
      <w:lvlJc w:val="left"/>
      <w:pPr>
        <w:ind w:left="5040" w:hanging="360"/>
      </w:pPr>
    </w:lvl>
    <w:lvl w:ilvl="7" w:tplc="28B4E14E">
      <w:start w:val="1"/>
      <w:numFmt w:val="lowerLetter"/>
      <w:lvlText w:val="%8."/>
      <w:lvlJc w:val="left"/>
      <w:pPr>
        <w:ind w:left="5760" w:hanging="360"/>
      </w:pPr>
    </w:lvl>
    <w:lvl w:ilvl="8" w:tplc="09B23D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B2E71"/>
    <w:multiLevelType w:val="hybridMultilevel"/>
    <w:tmpl w:val="E1DEB978"/>
    <w:lvl w:ilvl="0" w:tplc="50DA52EA">
      <w:start w:val="1"/>
      <w:numFmt w:val="upperRoman"/>
      <w:pStyle w:val="Nadpismsk"/>
      <w:lvlText w:val="%1."/>
      <w:lvlJc w:val="right"/>
      <w:pPr>
        <w:ind w:left="3621" w:hanging="360"/>
      </w:pPr>
      <w:rPr>
        <w:b/>
        <w:sz w:val="32"/>
        <w:szCs w:val="32"/>
      </w:rPr>
    </w:lvl>
    <w:lvl w:ilvl="1" w:tplc="561A7642" w:tentative="1">
      <w:start w:val="1"/>
      <w:numFmt w:val="lowerLetter"/>
      <w:lvlText w:val="%2."/>
      <w:lvlJc w:val="left"/>
      <w:pPr>
        <w:ind w:left="2160" w:hanging="360"/>
      </w:pPr>
    </w:lvl>
    <w:lvl w:ilvl="2" w:tplc="677EA54C" w:tentative="1">
      <w:start w:val="1"/>
      <w:numFmt w:val="lowerRoman"/>
      <w:lvlText w:val="%3."/>
      <w:lvlJc w:val="right"/>
      <w:pPr>
        <w:ind w:left="2880" w:hanging="180"/>
      </w:pPr>
    </w:lvl>
    <w:lvl w:ilvl="3" w:tplc="D13A40D0" w:tentative="1">
      <w:start w:val="1"/>
      <w:numFmt w:val="decimal"/>
      <w:lvlText w:val="%4."/>
      <w:lvlJc w:val="left"/>
      <w:pPr>
        <w:ind w:left="3600" w:hanging="360"/>
      </w:pPr>
    </w:lvl>
    <w:lvl w:ilvl="4" w:tplc="CE8C9012" w:tentative="1">
      <w:start w:val="1"/>
      <w:numFmt w:val="lowerLetter"/>
      <w:lvlText w:val="%5."/>
      <w:lvlJc w:val="left"/>
      <w:pPr>
        <w:ind w:left="4320" w:hanging="360"/>
      </w:pPr>
    </w:lvl>
    <w:lvl w:ilvl="5" w:tplc="6D3873AC" w:tentative="1">
      <w:start w:val="1"/>
      <w:numFmt w:val="lowerRoman"/>
      <w:lvlText w:val="%6."/>
      <w:lvlJc w:val="right"/>
      <w:pPr>
        <w:ind w:left="5040" w:hanging="180"/>
      </w:pPr>
    </w:lvl>
    <w:lvl w:ilvl="6" w:tplc="0DF61212" w:tentative="1">
      <w:start w:val="1"/>
      <w:numFmt w:val="decimal"/>
      <w:lvlText w:val="%7."/>
      <w:lvlJc w:val="left"/>
      <w:pPr>
        <w:ind w:left="5760" w:hanging="360"/>
      </w:pPr>
    </w:lvl>
    <w:lvl w:ilvl="7" w:tplc="78246A8E" w:tentative="1">
      <w:start w:val="1"/>
      <w:numFmt w:val="lowerLetter"/>
      <w:lvlText w:val="%8."/>
      <w:lvlJc w:val="left"/>
      <w:pPr>
        <w:ind w:left="6480" w:hanging="360"/>
      </w:pPr>
    </w:lvl>
    <w:lvl w:ilvl="8" w:tplc="274E4A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3E60E3"/>
    <w:multiLevelType w:val="hybridMultilevel"/>
    <w:tmpl w:val="41F850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21E4136"/>
    <w:multiLevelType w:val="multilevel"/>
    <w:tmpl w:val="BA44371E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pStyle w:val="Nadpis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adpis4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CA943F4"/>
    <w:multiLevelType w:val="hybridMultilevel"/>
    <w:tmpl w:val="525E4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0"/>
  </w:num>
  <w:num w:numId="5">
    <w:abstractNumId w:val="11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5"/>
  </w:num>
  <w:num w:numId="15">
    <w:abstractNumId w:val="4"/>
  </w:num>
  <w:num w:numId="16">
    <w:abstractNumId w:val="4"/>
  </w:num>
  <w:num w:numId="17">
    <w:abstractNumId w:val="11"/>
  </w:num>
  <w:num w:numId="18">
    <w:abstractNumId w:val="11"/>
  </w:num>
  <w:num w:numId="19">
    <w:abstractNumId w:val="4"/>
  </w:num>
  <w:num w:numId="20">
    <w:abstractNumId w:val="11"/>
  </w:num>
  <w:num w:numId="21">
    <w:abstractNumId w:val="4"/>
  </w:num>
  <w:num w:numId="22">
    <w:abstractNumId w:val="4"/>
  </w:num>
  <w:num w:numId="23">
    <w:abstractNumId w:val="12"/>
  </w:num>
  <w:num w:numId="24">
    <w:abstractNumId w:val="4"/>
  </w:num>
  <w:num w:numId="25">
    <w:abstractNumId w:val="10"/>
  </w:num>
  <w:num w:numId="26">
    <w:abstractNumId w:val="0"/>
  </w:num>
  <w:num w:numId="27">
    <w:abstractNumId w:val="10"/>
  </w:num>
  <w:num w:numId="28">
    <w:abstractNumId w:val="1"/>
  </w:num>
  <w:num w:numId="29">
    <w:abstractNumId w:val="14"/>
  </w:num>
  <w:num w:numId="30">
    <w:abstractNumId w:val="9"/>
  </w:num>
  <w:num w:numId="31">
    <w:abstractNumId w:val="16"/>
  </w:num>
  <w:num w:numId="32">
    <w:abstractNumId w:val="7"/>
  </w:num>
  <w:num w:numId="3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BC"/>
    <w:rsid w:val="00000834"/>
    <w:rsid w:val="00000B8F"/>
    <w:rsid w:val="00000E91"/>
    <w:rsid w:val="000017D9"/>
    <w:rsid w:val="00001A14"/>
    <w:rsid w:val="00001C9B"/>
    <w:rsid w:val="0000200D"/>
    <w:rsid w:val="00002481"/>
    <w:rsid w:val="00002AAF"/>
    <w:rsid w:val="00002CC8"/>
    <w:rsid w:val="00003084"/>
    <w:rsid w:val="00003227"/>
    <w:rsid w:val="00003425"/>
    <w:rsid w:val="0000345D"/>
    <w:rsid w:val="00003486"/>
    <w:rsid w:val="00003F35"/>
    <w:rsid w:val="000042B0"/>
    <w:rsid w:val="000047E5"/>
    <w:rsid w:val="00004C60"/>
    <w:rsid w:val="00004F47"/>
    <w:rsid w:val="000053E2"/>
    <w:rsid w:val="000059B2"/>
    <w:rsid w:val="00005CBF"/>
    <w:rsid w:val="00006231"/>
    <w:rsid w:val="00006E4B"/>
    <w:rsid w:val="000077CB"/>
    <w:rsid w:val="00007ED8"/>
    <w:rsid w:val="00010388"/>
    <w:rsid w:val="0001151C"/>
    <w:rsid w:val="000116C4"/>
    <w:rsid w:val="00011CED"/>
    <w:rsid w:val="00012334"/>
    <w:rsid w:val="00012980"/>
    <w:rsid w:val="00012C93"/>
    <w:rsid w:val="00013200"/>
    <w:rsid w:val="0001321B"/>
    <w:rsid w:val="0001337A"/>
    <w:rsid w:val="000133A5"/>
    <w:rsid w:val="00013495"/>
    <w:rsid w:val="0001349A"/>
    <w:rsid w:val="00013CCD"/>
    <w:rsid w:val="00014439"/>
    <w:rsid w:val="00014525"/>
    <w:rsid w:val="00014B71"/>
    <w:rsid w:val="0001637C"/>
    <w:rsid w:val="00016392"/>
    <w:rsid w:val="0001651C"/>
    <w:rsid w:val="000169E6"/>
    <w:rsid w:val="00016A4B"/>
    <w:rsid w:val="000170EA"/>
    <w:rsid w:val="0001725E"/>
    <w:rsid w:val="000177EB"/>
    <w:rsid w:val="00017EBB"/>
    <w:rsid w:val="00020014"/>
    <w:rsid w:val="0002002D"/>
    <w:rsid w:val="0002047A"/>
    <w:rsid w:val="00020616"/>
    <w:rsid w:val="000208F9"/>
    <w:rsid w:val="00020D64"/>
    <w:rsid w:val="00020F70"/>
    <w:rsid w:val="00021957"/>
    <w:rsid w:val="00021F51"/>
    <w:rsid w:val="000221EC"/>
    <w:rsid w:val="000224EB"/>
    <w:rsid w:val="0002296E"/>
    <w:rsid w:val="000230F8"/>
    <w:rsid w:val="00023124"/>
    <w:rsid w:val="0002383A"/>
    <w:rsid w:val="0002384F"/>
    <w:rsid w:val="00023B1C"/>
    <w:rsid w:val="00023D90"/>
    <w:rsid w:val="00024109"/>
    <w:rsid w:val="000244AC"/>
    <w:rsid w:val="00024BB4"/>
    <w:rsid w:val="00024FE7"/>
    <w:rsid w:val="00025124"/>
    <w:rsid w:val="00025B14"/>
    <w:rsid w:val="00026B8D"/>
    <w:rsid w:val="00027469"/>
    <w:rsid w:val="00027670"/>
    <w:rsid w:val="00027E0F"/>
    <w:rsid w:val="00030225"/>
    <w:rsid w:val="000309D2"/>
    <w:rsid w:val="00030C0A"/>
    <w:rsid w:val="00030D7B"/>
    <w:rsid w:val="00030DBE"/>
    <w:rsid w:val="00031699"/>
    <w:rsid w:val="000316CD"/>
    <w:rsid w:val="00031961"/>
    <w:rsid w:val="000327E9"/>
    <w:rsid w:val="000328B7"/>
    <w:rsid w:val="00032A92"/>
    <w:rsid w:val="00032C06"/>
    <w:rsid w:val="00032C24"/>
    <w:rsid w:val="00032E20"/>
    <w:rsid w:val="00032E2B"/>
    <w:rsid w:val="00032F1D"/>
    <w:rsid w:val="000333B9"/>
    <w:rsid w:val="0003394F"/>
    <w:rsid w:val="00033BFE"/>
    <w:rsid w:val="000341CB"/>
    <w:rsid w:val="000344E7"/>
    <w:rsid w:val="00034BEC"/>
    <w:rsid w:val="00034D53"/>
    <w:rsid w:val="00034DE9"/>
    <w:rsid w:val="00035345"/>
    <w:rsid w:val="000353D5"/>
    <w:rsid w:val="000354DB"/>
    <w:rsid w:val="00035745"/>
    <w:rsid w:val="00035819"/>
    <w:rsid w:val="0003611E"/>
    <w:rsid w:val="0003635B"/>
    <w:rsid w:val="00036445"/>
    <w:rsid w:val="00036490"/>
    <w:rsid w:val="000364EB"/>
    <w:rsid w:val="00036CE6"/>
    <w:rsid w:val="00036E1D"/>
    <w:rsid w:val="00036E5B"/>
    <w:rsid w:val="00036F54"/>
    <w:rsid w:val="00037840"/>
    <w:rsid w:val="00037A02"/>
    <w:rsid w:val="00037B0B"/>
    <w:rsid w:val="00040099"/>
    <w:rsid w:val="000400DE"/>
    <w:rsid w:val="000405FE"/>
    <w:rsid w:val="0004063E"/>
    <w:rsid w:val="00040CDB"/>
    <w:rsid w:val="00040F31"/>
    <w:rsid w:val="00040F6D"/>
    <w:rsid w:val="00041147"/>
    <w:rsid w:val="00041333"/>
    <w:rsid w:val="00041FE6"/>
    <w:rsid w:val="0004242B"/>
    <w:rsid w:val="00042495"/>
    <w:rsid w:val="0004266F"/>
    <w:rsid w:val="00042C92"/>
    <w:rsid w:val="0004337C"/>
    <w:rsid w:val="00043624"/>
    <w:rsid w:val="00043A2D"/>
    <w:rsid w:val="00043A32"/>
    <w:rsid w:val="00043DD2"/>
    <w:rsid w:val="00043E22"/>
    <w:rsid w:val="00043F84"/>
    <w:rsid w:val="00043FD3"/>
    <w:rsid w:val="00044BC9"/>
    <w:rsid w:val="00045102"/>
    <w:rsid w:val="0004580E"/>
    <w:rsid w:val="0004589B"/>
    <w:rsid w:val="00045E17"/>
    <w:rsid w:val="00045F20"/>
    <w:rsid w:val="000461B0"/>
    <w:rsid w:val="00046511"/>
    <w:rsid w:val="00046579"/>
    <w:rsid w:val="00047832"/>
    <w:rsid w:val="00047937"/>
    <w:rsid w:val="00047CA9"/>
    <w:rsid w:val="00047E4D"/>
    <w:rsid w:val="000500BD"/>
    <w:rsid w:val="00050235"/>
    <w:rsid w:val="000519F6"/>
    <w:rsid w:val="00051A53"/>
    <w:rsid w:val="00051FBE"/>
    <w:rsid w:val="00052184"/>
    <w:rsid w:val="000523E8"/>
    <w:rsid w:val="00052589"/>
    <w:rsid w:val="000525D1"/>
    <w:rsid w:val="00052839"/>
    <w:rsid w:val="00052BCA"/>
    <w:rsid w:val="000532A9"/>
    <w:rsid w:val="0005396A"/>
    <w:rsid w:val="00053DFD"/>
    <w:rsid w:val="00054298"/>
    <w:rsid w:val="00054728"/>
    <w:rsid w:val="00054D67"/>
    <w:rsid w:val="00055978"/>
    <w:rsid w:val="00055B6A"/>
    <w:rsid w:val="00055C7B"/>
    <w:rsid w:val="00055DBF"/>
    <w:rsid w:val="000569BD"/>
    <w:rsid w:val="00056D61"/>
    <w:rsid w:val="00056EF5"/>
    <w:rsid w:val="0005727C"/>
    <w:rsid w:val="00057360"/>
    <w:rsid w:val="00057F13"/>
    <w:rsid w:val="00057F85"/>
    <w:rsid w:val="00057F89"/>
    <w:rsid w:val="00060BA1"/>
    <w:rsid w:val="00061EE5"/>
    <w:rsid w:val="00061F16"/>
    <w:rsid w:val="00062724"/>
    <w:rsid w:val="000636E4"/>
    <w:rsid w:val="00063BBA"/>
    <w:rsid w:val="00063DA5"/>
    <w:rsid w:val="00063DFA"/>
    <w:rsid w:val="000643BE"/>
    <w:rsid w:val="000647E9"/>
    <w:rsid w:val="00065104"/>
    <w:rsid w:val="000654B3"/>
    <w:rsid w:val="00065743"/>
    <w:rsid w:val="000661F2"/>
    <w:rsid w:val="0006632E"/>
    <w:rsid w:val="000674C3"/>
    <w:rsid w:val="00067BED"/>
    <w:rsid w:val="000700D8"/>
    <w:rsid w:val="0007162F"/>
    <w:rsid w:val="00071ECF"/>
    <w:rsid w:val="00073464"/>
    <w:rsid w:val="00073C17"/>
    <w:rsid w:val="0007406A"/>
    <w:rsid w:val="0007441D"/>
    <w:rsid w:val="00074647"/>
    <w:rsid w:val="000747D3"/>
    <w:rsid w:val="00074B23"/>
    <w:rsid w:val="00074EAB"/>
    <w:rsid w:val="00075332"/>
    <w:rsid w:val="0007591B"/>
    <w:rsid w:val="00076CF3"/>
    <w:rsid w:val="00077773"/>
    <w:rsid w:val="00077845"/>
    <w:rsid w:val="00077A31"/>
    <w:rsid w:val="00077B57"/>
    <w:rsid w:val="00080335"/>
    <w:rsid w:val="0008059E"/>
    <w:rsid w:val="00080BB2"/>
    <w:rsid w:val="00080EA3"/>
    <w:rsid w:val="00081E5D"/>
    <w:rsid w:val="00081FD8"/>
    <w:rsid w:val="000821A8"/>
    <w:rsid w:val="000821EF"/>
    <w:rsid w:val="0008286C"/>
    <w:rsid w:val="00082C77"/>
    <w:rsid w:val="00082ED9"/>
    <w:rsid w:val="0008319F"/>
    <w:rsid w:val="000835E5"/>
    <w:rsid w:val="00083839"/>
    <w:rsid w:val="000839BD"/>
    <w:rsid w:val="00083C50"/>
    <w:rsid w:val="00083C7D"/>
    <w:rsid w:val="0008453F"/>
    <w:rsid w:val="00084607"/>
    <w:rsid w:val="00084613"/>
    <w:rsid w:val="000847C2"/>
    <w:rsid w:val="00084D84"/>
    <w:rsid w:val="000853B1"/>
    <w:rsid w:val="000856AB"/>
    <w:rsid w:val="00085B3A"/>
    <w:rsid w:val="00085D45"/>
    <w:rsid w:val="00085DCE"/>
    <w:rsid w:val="00086173"/>
    <w:rsid w:val="00086260"/>
    <w:rsid w:val="00086B8D"/>
    <w:rsid w:val="00087064"/>
    <w:rsid w:val="00087141"/>
    <w:rsid w:val="000874E8"/>
    <w:rsid w:val="00090088"/>
    <w:rsid w:val="0009016D"/>
    <w:rsid w:val="000907E2"/>
    <w:rsid w:val="000914EB"/>
    <w:rsid w:val="0009163A"/>
    <w:rsid w:val="00091B4C"/>
    <w:rsid w:val="00091D47"/>
    <w:rsid w:val="00091E15"/>
    <w:rsid w:val="00091F1E"/>
    <w:rsid w:val="00092176"/>
    <w:rsid w:val="0009256B"/>
    <w:rsid w:val="0009355E"/>
    <w:rsid w:val="000936E5"/>
    <w:rsid w:val="00093D36"/>
    <w:rsid w:val="00094314"/>
    <w:rsid w:val="0009478B"/>
    <w:rsid w:val="000947FB"/>
    <w:rsid w:val="00094C0D"/>
    <w:rsid w:val="00096525"/>
    <w:rsid w:val="00097039"/>
    <w:rsid w:val="000971EF"/>
    <w:rsid w:val="00097727"/>
    <w:rsid w:val="00097F1C"/>
    <w:rsid w:val="000A078B"/>
    <w:rsid w:val="000A14FE"/>
    <w:rsid w:val="000A1DB9"/>
    <w:rsid w:val="000A1FCD"/>
    <w:rsid w:val="000A24C5"/>
    <w:rsid w:val="000A279D"/>
    <w:rsid w:val="000A2DDB"/>
    <w:rsid w:val="000A39BB"/>
    <w:rsid w:val="000A3A46"/>
    <w:rsid w:val="000A4B7E"/>
    <w:rsid w:val="000A4EBE"/>
    <w:rsid w:val="000A4F45"/>
    <w:rsid w:val="000A50C4"/>
    <w:rsid w:val="000A630C"/>
    <w:rsid w:val="000A647F"/>
    <w:rsid w:val="000A6572"/>
    <w:rsid w:val="000A6760"/>
    <w:rsid w:val="000A67D3"/>
    <w:rsid w:val="000A710F"/>
    <w:rsid w:val="000A71B9"/>
    <w:rsid w:val="000A7609"/>
    <w:rsid w:val="000A7C93"/>
    <w:rsid w:val="000A7CF6"/>
    <w:rsid w:val="000B02F0"/>
    <w:rsid w:val="000B0CB4"/>
    <w:rsid w:val="000B0F3A"/>
    <w:rsid w:val="000B10FA"/>
    <w:rsid w:val="000B175E"/>
    <w:rsid w:val="000B1B4F"/>
    <w:rsid w:val="000B1FFA"/>
    <w:rsid w:val="000B23C0"/>
    <w:rsid w:val="000B26A1"/>
    <w:rsid w:val="000B27EE"/>
    <w:rsid w:val="000B2830"/>
    <w:rsid w:val="000B333D"/>
    <w:rsid w:val="000B345B"/>
    <w:rsid w:val="000B3B80"/>
    <w:rsid w:val="000B3B94"/>
    <w:rsid w:val="000B3D33"/>
    <w:rsid w:val="000B4426"/>
    <w:rsid w:val="000B4537"/>
    <w:rsid w:val="000B5014"/>
    <w:rsid w:val="000B53EE"/>
    <w:rsid w:val="000B54E2"/>
    <w:rsid w:val="000B58C1"/>
    <w:rsid w:val="000B594A"/>
    <w:rsid w:val="000B5DEC"/>
    <w:rsid w:val="000B5DF0"/>
    <w:rsid w:val="000B5E5D"/>
    <w:rsid w:val="000B6042"/>
    <w:rsid w:val="000B658C"/>
    <w:rsid w:val="000B676C"/>
    <w:rsid w:val="000B6C0F"/>
    <w:rsid w:val="000B6D7F"/>
    <w:rsid w:val="000B727D"/>
    <w:rsid w:val="000B735B"/>
    <w:rsid w:val="000C089B"/>
    <w:rsid w:val="000C0952"/>
    <w:rsid w:val="000C0C4B"/>
    <w:rsid w:val="000C138A"/>
    <w:rsid w:val="000C14E0"/>
    <w:rsid w:val="000C1AAE"/>
    <w:rsid w:val="000C1FF9"/>
    <w:rsid w:val="000C20C6"/>
    <w:rsid w:val="000C310B"/>
    <w:rsid w:val="000C3AE3"/>
    <w:rsid w:val="000C3E05"/>
    <w:rsid w:val="000C4643"/>
    <w:rsid w:val="000C46E5"/>
    <w:rsid w:val="000C4CE5"/>
    <w:rsid w:val="000C4DD9"/>
    <w:rsid w:val="000C51DE"/>
    <w:rsid w:val="000C5E8F"/>
    <w:rsid w:val="000C7357"/>
    <w:rsid w:val="000C7924"/>
    <w:rsid w:val="000C79F0"/>
    <w:rsid w:val="000D005E"/>
    <w:rsid w:val="000D04D6"/>
    <w:rsid w:val="000D07F8"/>
    <w:rsid w:val="000D0C2D"/>
    <w:rsid w:val="000D0EAE"/>
    <w:rsid w:val="000D0F43"/>
    <w:rsid w:val="000D1220"/>
    <w:rsid w:val="000D1567"/>
    <w:rsid w:val="000D1EE0"/>
    <w:rsid w:val="000D22A6"/>
    <w:rsid w:val="000D240E"/>
    <w:rsid w:val="000D296E"/>
    <w:rsid w:val="000D34E3"/>
    <w:rsid w:val="000D3BA9"/>
    <w:rsid w:val="000D3C6E"/>
    <w:rsid w:val="000D3D66"/>
    <w:rsid w:val="000D3F0D"/>
    <w:rsid w:val="000D40C8"/>
    <w:rsid w:val="000D49A1"/>
    <w:rsid w:val="000D4B19"/>
    <w:rsid w:val="000D4B8E"/>
    <w:rsid w:val="000D4CDC"/>
    <w:rsid w:val="000D4DC5"/>
    <w:rsid w:val="000D7238"/>
    <w:rsid w:val="000D7249"/>
    <w:rsid w:val="000D7CB0"/>
    <w:rsid w:val="000D7F36"/>
    <w:rsid w:val="000E01C6"/>
    <w:rsid w:val="000E0770"/>
    <w:rsid w:val="000E0AD9"/>
    <w:rsid w:val="000E1211"/>
    <w:rsid w:val="000E2241"/>
    <w:rsid w:val="000E2AD8"/>
    <w:rsid w:val="000E2C8E"/>
    <w:rsid w:val="000E2FC7"/>
    <w:rsid w:val="000E3091"/>
    <w:rsid w:val="000E4144"/>
    <w:rsid w:val="000E45EC"/>
    <w:rsid w:val="000E497B"/>
    <w:rsid w:val="000E5041"/>
    <w:rsid w:val="000E5FB6"/>
    <w:rsid w:val="000E6CB7"/>
    <w:rsid w:val="000E7111"/>
    <w:rsid w:val="000E724C"/>
    <w:rsid w:val="000E7489"/>
    <w:rsid w:val="000E74B2"/>
    <w:rsid w:val="000E785D"/>
    <w:rsid w:val="000E799F"/>
    <w:rsid w:val="000E7EC9"/>
    <w:rsid w:val="000F0726"/>
    <w:rsid w:val="000F0C7D"/>
    <w:rsid w:val="000F0D71"/>
    <w:rsid w:val="000F126C"/>
    <w:rsid w:val="000F1D1F"/>
    <w:rsid w:val="000F1F78"/>
    <w:rsid w:val="000F26A1"/>
    <w:rsid w:val="000F2886"/>
    <w:rsid w:val="000F366F"/>
    <w:rsid w:val="000F37BF"/>
    <w:rsid w:val="000F3835"/>
    <w:rsid w:val="000F3992"/>
    <w:rsid w:val="000F3BD3"/>
    <w:rsid w:val="000F3BD8"/>
    <w:rsid w:val="000F3C29"/>
    <w:rsid w:val="000F430C"/>
    <w:rsid w:val="000F4596"/>
    <w:rsid w:val="000F4790"/>
    <w:rsid w:val="000F4A98"/>
    <w:rsid w:val="000F5368"/>
    <w:rsid w:val="000F5457"/>
    <w:rsid w:val="000F55DF"/>
    <w:rsid w:val="000F641D"/>
    <w:rsid w:val="000F657E"/>
    <w:rsid w:val="000F6B6B"/>
    <w:rsid w:val="000F6D45"/>
    <w:rsid w:val="000F7325"/>
    <w:rsid w:val="000F7538"/>
    <w:rsid w:val="000F7760"/>
    <w:rsid w:val="000F7BCD"/>
    <w:rsid w:val="000F7EBF"/>
    <w:rsid w:val="000F7EFA"/>
    <w:rsid w:val="00100025"/>
    <w:rsid w:val="00101419"/>
    <w:rsid w:val="00101B33"/>
    <w:rsid w:val="00101BF4"/>
    <w:rsid w:val="00102168"/>
    <w:rsid w:val="001022E7"/>
    <w:rsid w:val="00102C16"/>
    <w:rsid w:val="001038FE"/>
    <w:rsid w:val="00103A06"/>
    <w:rsid w:val="00103D44"/>
    <w:rsid w:val="00103D64"/>
    <w:rsid w:val="0010420B"/>
    <w:rsid w:val="00104678"/>
    <w:rsid w:val="0010489E"/>
    <w:rsid w:val="00105100"/>
    <w:rsid w:val="001056C1"/>
    <w:rsid w:val="0010573C"/>
    <w:rsid w:val="001061B8"/>
    <w:rsid w:val="001062A7"/>
    <w:rsid w:val="00106845"/>
    <w:rsid w:val="001073FB"/>
    <w:rsid w:val="00107856"/>
    <w:rsid w:val="00107C57"/>
    <w:rsid w:val="00107C9E"/>
    <w:rsid w:val="00107FB0"/>
    <w:rsid w:val="00110148"/>
    <w:rsid w:val="00110AE8"/>
    <w:rsid w:val="00110C23"/>
    <w:rsid w:val="00110ECF"/>
    <w:rsid w:val="001110CB"/>
    <w:rsid w:val="001117CA"/>
    <w:rsid w:val="0011190A"/>
    <w:rsid w:val="00111C1A"/>
    <w:rsid w:val="0011203A"/>
    <w:rsid w:val="00112040"/>
    <w:rsid w:val="001123D8"/>
    <w:rsid w:val="001128BC"/>
    <w:rsid w:val="001128D3"/>
    <w:rsid w:val="00112E66"/>
    <w:rsid w:val="00112EF8"/>
    <w:rsid w:val="00112F63"/>
    <w:rsid w:val="00112F77"/>
    <w:rsid w:val="00113741"/>
    <w:rsid w:val="0011377B"/>
    <w:rsid w:val="00113989"/>
    <w:rsid w:val="00114737"/>
    <w:rsid w:val="001149E7"/>
    <w:rsid w:val="001153CA"/>
    <w:rsid w:val="00115AFD"/>
    <w:rsid w:val="001160B6"/>
    <w:rsid w:val="001166AC"/>
    <w:rsid w:val="001168A2"/>
    <w:rsid w:val="00116905"/>
    <w:rsid w:val="00116F7A"/>
    <w:rsid w:val="00117267"/>
    <w:rsid w:val="0011730E"/>
    <w:rsid w:val="001177BE"/>
    <w:rsid w:val="00117C0B"/>
    <w:rsid w:val="001200F5"/>
    <w:rsid w:val="00120CAE"/>
    <w:rsid w:val="00120D41"/>
    <w:rsid w:val="00120FA6"/>
    <w:rsid w:val="0012152B"/>
    <w:rsid w:val="00121BEA"/>
    <w:rsid w:val="00121DFC"/>
    <w:rsid w:val="0012215E"/>
    <w:rsid w:val="00122BD9"/>
    <w:rsid w:val="00123F07"/>
    <w:rsid w:val="001241FA"/>
    <w:rsid w:val="001243CE"/>
    <w:rsid w:val="00124F9B"/>
    <w:rsid w:val="00125482"/>
    <w:rsid w:val="001256D3"/>
    <w:rsid w:val="00125997"/>
    <w:rsid w:val="00126DD7"/>
    <w:rsid w:val="001271DF"/>
    <w:rsid w:val="00127334"/>
    <w:rsid w:val="00127C87"/>
    <w:rsid w:val="0013011A"/>
    <w:rsid w:val="001302A3"/>
    <w:rsid w:val="001303F9"/>
    <w:rsid w:val="001311AE"/>
    <w:rsid w:val="00131812"/>
    <w:rsid w:val="0013242A"/>
    <w:rsid w:val="00132CD0"/>
    <w:rsid w:val="00132D4B"/>
    <w:rsid w:val="00132FA3"/>
    <w:rsid w:val="0013354C"/>
    <w:rsid w:val="00133772"/>
    <w:rsid w:val="0013397D"/>
    <w:rsid w:val="00133C15"/>
    <w:rsid w:val="0013472D"/>
    <w:rsid w:val="00134A69"/>
    <w:rsid w:val="001353D8"/>
    <w:rsid w:val="001402FF"/>
    <w:rsid w:val="00140552"/>
    <w:rsid w:val="0014058B"/>
    <w:rsid w:val="001410EB"/>
    <w:rsid w:val="001414DA"/>
    <w:rsid w:val="00141E9C"/>
    <w:rsid w:val="0014218D"/>
    <w:rsid w:val="00142D73"/>
    <w:rsid w:val="001431BF"/>
    <w:rsid w:val="00143217"/>
    <w:rsid w:val="001438FA"/>
    <w:rsid w:val="00143C9C"/>
    <w:rsid w:val="00143F1E"/>
    <w:rsid w:val="0014437A"/>
    <w:rsid w:val="00144529"/>
    <w:rsid w:val="00144602"/>
    <w:rsid w:val="001447C1"/>
    <w:rsid w:val="00144DDE"/>
    <w:rsid w:val="001451B7"/>
    <w:rsid w:val="001452E7"/>
    <w:rsid w:val="0014565A"/>
    <w:rsid w:val="00146263"/>
    <w:rsid w:val="00146488"/>
    <w:rsid w:val="001468E8"/>
    <w:rsid w:val="00146CA3"/>
    <w:rsid w:val="00146EEA"/>
    <w:rsid w:val="001477AB"/>
    <w:rsid w:val="00147E1A"/>
    <w:rsid w:val="00147E7B"/>
    <w:rsid w:val="00150180"/>
    <w:rsid w:val="001506C0"/>
    <w:rsid w:val="001507BB"/>
    <w:rsid w:val="00151569"/>
    <w:rsid w:val="001518D4"/>
    <w:rsid w:val="00151BA7"/>
    <w:rsid w:val="00151D29"/>
    <w:rsid w:val="00151DE8"/>
    <w:rsid w:val="00152049"/>
    <w:rsid w:val="00152196"/>
    <w:rsid w:val="0015290D"/>
    <w:rsid w:val="00152B6F"/>
    <w:rsid w:val="001534A2"/>
    <w:rsid w:val="00153BEF"/>
    <w:rsid w:val="00153FB1"/>
    <w:rsid w:val="0015400C"/>
    <w:rsid w:val="00154E2B"/>
    <w:rsid w:val="00155853"/>
    <w:rsid w:val="00155AB2"/>
    <w:rsid w:val="00155FAA"/>
    <w:rsid w:val="001565FA"/>
    <w:rsid w:val="00156CFA"/>
    <w:rsid w:val="00157822"/>
    <w:rsid w:val="0015798C"/>
    <w:rsid w:val="00157A5A"/>
    <w:rsid w:val="00160549"/>
    <w:rsid w:val="00160843"/>
    <w:rsid w:val="00160AD1"/>
    <w:rsid w:val="00160E7C"/>
    <w:rsid w:val="00161965"/>
    <w:rsid w:val="0016292D"/>
    <w:rsid w:val="00162B39"/>
    <w:rsid w:val="00162FC4"/>
    <w:rsid w:val="0016319E"/>
    <w:rsid w:val="001633E5"/>
    <w:rsid w:val="00164B82"/>
    <w:rsid w:val="00164C13"/>
    <w:rsid w:val="00164C1B"/>
    <w:rsid w:val="00164DD3"/>
    <w:rsid w:val="00165534"/>
    <w:rsid w:val="00165B93"/>
    <w:rsid w:val="00166251"/>
    <w:rsid w:val="0016628C"/>
    <w:rsid w:val="00166326"/>
    <w:rsid w:val="00166AEF"/>
    <w:rsid w:val="00166E5D"/>
    <w:rsid w:val="0016702B"/>
    <w:rsid w:val="00167173"/>
    <w:rsid w:val="00167650"/>
    <w:rsid w:val="00167A54"/>
    <w:rsid w:val="00167B8A"/>
    <w:rsid w:val="00167C0A"/>
    <w:rsid w:val="00167CEE"/>
    <w:rsid w:val="00170066"/>
    <w:rsid w:val="00170D92"/>
    <w:rsid w:val="00170FA8"/>
    <w:rsid w:val="00171BE9"/>
    <w:rsid w:val="0017214D"/>
    <w:rsid w:val="00172429"/>
    <w:rsid w:val="00172686"/>
    <w:rsid w:val="00172775"/>
    <w:rsid w:val="001729F0"/>
    <w:rsid w:val="00172DF2"/>
    <w:rsid w:val="00173B9B"/>
    <w:rsid w:val="00173C46"/>
    <w:rsid w:val="00173FEE"/>
    <w:rsid w:val="001740A5"/>
    <w:rsid w:val="00174265"/>
    <w:rsid w:val="0017452A"/>
    <w:rsid w:val="001754DA"/>
    <w:rsid w:val="00175828"/>
    <w:rsid w:val="00176058"/>
    <w:rsid w:val="00177172"/>
    <w:rsid w:val="00177293"/>
    <w:rsid w:val="00177626"/>
    <w:rsid w:val="00180834"/>
    <w:rsid w:val="00180B03"/>
    <w:rsid w:val="00180C98"/>
    <w:rsid w:val="00180D1A"/>
    <w:rsid w:val="00180F80"/>
    <w:rsid w:val="00181694"/>
    <w:rsid w:val="00181E7A"/>
    <w:rsid w:val="00181FDB"/>
    <w:rsid w:val="00182B8F"/>
    <w:rsid w:val="00182D7B"/>
    <w:rsid w:val="00183792"/>
    <w:rsid w:val="001838A0"/>
    <w:rsid w:val="00183E13"/>
    <w:rsid w:val="001843A9"/>
    <w:rsid w:val="00184BE3"/>
    <w:rsid w:val="00184C74"/>
    <w:rsid w:val="00184E6D"/>
    <w:rsid w:val="00185B04"/>
    <w:rsid w:val="00185CC5"/>
    <w:rsid w:val="00185D5B"/>
    <w:rsid w:val="00185E12"/>
    <w:rsid w:val="001865FA"/>
    <w:rsid w:val="00186AF1"/>
    <w:rsid w:val="00186B5C"/>
    <w:rsid w:val="001870BC"/>
    <w:rsid w:val="00187FCE"/>
    <w:rsid w:val="0019018D"/>
    <w:rsid w:val="00190B4C"/>
    <w:rsid w:val="00191137"/>
    <w:rsid w:val="0019229A"/>
    <w:rsid w:val="00193D68"/>
    <w:rsid w:val="00194B6A"/>
    <w:rsid w:val="00194C53"/>
    <w:rsid w:val="00194C6B"/>
    <w:rsid w:val="00195566"/>
    <w:rsid w:val="00195578"/>
    <w:rsid w:val="001955FB"/>
    <w:rsid w:val="001959A5"/>
    <w:rsid w:val="00195FED"/>
    <w:rsid w:val="00196112"/>
    <w:rsid w:val="0019682A"/>
    <w:rsid w:val="00196A38"/>
    <w:rsid w:val="00196B8F"/>
    <w:rsid w:val="00196E48"/>
    <w:rsid w:val="00196E59"/>
    <w:rsid w:val="001970BA"/>
    <w:rsid w:val="001973D3"/>
    <w:rsid w:val="001976E9"/>
    <w:rsid w:val="001979D4"/>
    <w:rsid w:val="001A00CE"/>
    <w:rsid w:val="001A08C8"/>
    <w:rsid w:val="001A0CE7"/>
    <w:rsid w:val="001A0EF7"/>
    <w:rsid w:val="001A237E"/>
    <w:rsid w:val="001A31DE"/>
    <w:rsid w:val="001A41A7"/>
    <w:rsid w:val="001A4398"/>
    <w:rsid w:val="001A43A9"/>
    <w:rsid w:val="001A4701"/>
    <w:rsid w:val="001A4A93"/>
    <w:rsid w:val="001A5242"/>
    <w:rsid w:val="001A55E7"/>
    <w:rsid w:val="001A5CAB"/>
    <w:rsid w:val="001A693D"/>
    <w:rsid w:val="001A6C46"/>
    <w:rsid w:val="001A78AF"/>
    <w:rsid w:val="001A7C23"/>
    <w:rsid w:val="001A7CDF"/>
    <w:rsid w:val="001B0008"/>
    <w:rsid w:val="001B051B"/>
    <w:rsid w:val="001B0861"/>
    <w:rsid w:val="001B0904"/>
    <w:rsid w:val="001B1180"/>
    <w:rsid w:val="001B1335"/>
    <w:rsid w:val="001B1587"/>
    <w:rsid w:val="001B1D52"/>
    <w:rsid w:val="001B2547"/>
    <w:rsid w:val="001B25B9"/>
    <w:rsid w:val="001B290A"/>
    <w:rsid w:val="001B2DF0"/>
    <w:rsid w:val="001B34F2"/>
    <w:rsid w:val="001B3B5B"/>
    <w:rsid w:val="001B3E3A"/>
    <w:rsid w:val="001B3E8F"/>
    <w:rsid w:val="001B3ED6"/>
    <w:rsid w:val="001B4B4C"/>
    <w:rsid w:val="001B51CC"/>
    <w:rsid w:val="001B5201"/>
    <w:rsid w:val="001B5419"/>
    <w:rsid w:val="001B5985"/>
    <w:rsid w:val="001B5DBB"/>
    <w:rsid w:val="001B5EA7"/>
    <w:rsid w:val="001B7404"/>
    <w:rsid w:val="001B76A6"/>
    <w:rsid w:val="001B7ACE"/>
    <w:rsid w:val="001B7EFD"/>
    <w:rsid w:val="001C0A62"/>
    <w:rsid w:val="001C0C23"/>
    <w:rsid w:val="001C0DE9"/>
    <w:rsid w:val="001C13B8"/>
    <w:rsid w:val="001C1760"/>
    <w:rsid w:val="001C18A7"/>
    <w:rsid w:val="001C1A0C"/>
    <w:rsid w:val="001C3A76"/>
    <w:rsid w:val="001C3F79"/>
    <w:rsid w:val="001C4022"/>
    <w:rsid w:val="001C4095"/>
    <w:rsid w:val="001C431C"/>
    <w:rsid w:val="001C47B5"/>
    <w:rsid w:val="001C50C2"/>
    <w:rsid w:val="001C51F8"/>
    <w:rsid w:val="001C5506"/>
    <w:rsid w:val="001C6779"/>
    <w:rsid w:val="001C6A66"/>
    <w:rsid w:val="001C6BC0"/>
    <w:rsid w:val="001C6F69"/>
    <w:rsid w:val="001C73DD"/>
    <w:rsid w:val="001C742D"/>
    <w:rsid w:val="001C76CE"/>
    <w:rsid w:val="001C7910"/>
    <w:rsid w:val="001C7A72"/>
    <w:rsid w:val="001C7AA5"/>
    <w:rsid w:val="001D0088"/>
    <w:rsid w:val="001D0277"/>
    <w:rsid w:val="001D0350"/>
    <w:rsid w:val="001D082A"/>
    <w:rsid w:val="001D0D7F"/>
    <w:rsid w:val="001D1E06"/>
    <w:rsid w:val="001D1E66"/>
    <w:rsid w:val="001D244B"/>
    <w:rsid w:val="001D38F2"/>
    <w:rsid w:val="001D4338"/>
    <w:rsid w:val="001D48D6"/>
    <w:rsid w:val="001D50A3"/>
    <w:rsid w:val="001D62F8"/>
    <w:rsid w:val="001D6886"/>
    <w:rsid w:val="001D68D2"/>
    <w:rsid w:val="001D68D8"/>
    <w:rsid w:val="001D70B8"/>
    <w:rsid w:val="001D73DD"/>
    <w:rsid w:val="001D73E9"/>
    <w:rsid w:val="001D74C5"/>
    <w:rsid w:val="001D74D8"/>
    <w:rsid w:val="001D75DF"/>
    <w:rsid w:val="001D794E"/>
    <w:rsid w:val="001E0BBA"/>
    <w:rsid w:val="001E0BED"/>
    <w:rsid w:val="001E0F5E"/>
    <w:rsid w:val="001E0FDC"/>
    <w:rsid w:val="001E12DB"/>
    <w:rsid w:val="001E12EE"/>
    <w:rsid w:val="001E189E"/>
    <w:rsid w:val="001E19B9"/>
    <w:rsid w:val="001E1DCB"/>
    <w:rsid w:val="001E22DB"/>
    <w:rsid w:val="001E272A"/>
    <w:rsid w:val="001E2D2F"/>
    <w:rsid w:val="001E35B6"/>
    <w:rsid w:val="001E3CEC"/>
    <w:rsid w:val="001E4BCE"/>
    <w:rsid w:val="001E501B"/>
    <w:rsid w:val="001E59B9"/>
    <w:rsid w:val="001E5C4A"/>
    <w:rsid w:val="001E6071"/>
    <w:rsid w:val="001E62F9"/>
    <w:rsid w:val="001E6DCB"/>
    <w:rsid w:val="001E76A8"/>
    <w:rsid w:val="001E774E"/>
    <w:rsid w:val="001E7D29"/>
    <w:rsid w:val="001F061B"/>
    <w:rsid w:val="001F09CE"/>
    <w:rsid w:val="001F0AAB"/>
    <w:rsid w:val="001F12A8"/>
    <w:rsid w:val="001F1B05"/>
    <w:rsid w:val="001F1C06"/>
    <w:rsid w:val="001F207E"/>
    <w:rsid w:val="001F2502"/>
    <w:rsid w:val="001F26C3"/>
    <w:rsid w:val="001F2EF8"/>
    <w:rsid w:val="001F33E2"/>
    <w:rsid w:val="001F361A"/>
    <w:rsid w:val="001F3C90"/>
    <w:rsid w:val="001F3CCC"/>
    <w:rsid w:val="001F476E"/>
    <w:rsid w:val="001F4FCE"/>
    <w:rsid w:val="001F55C1"/>
    <w:rsid w:val="001F58AA"/>
    <w:rsid w:val="001F58BD"/>
    <w:rsid w:val="001F5CE0"/>
    <w:rsid w:val="001F62DC"/>
    <w:rsid w:val="001F6A25"/>
    <w:rsid w:val="001F6BBE"/>
    <w:rsid w:val="001F7165"/>
    <w:rsid w:val="001F7896"/>
    <w:rsid w:val="002005AF"/>
    <w:rsid w:val="00200E9F"/>
    <w:rsid w:val="00201AFB"/>
    <w:rsid w:val="0020287E"/>
    <w:rsid w:val="0020347F"/>
    <w:rsid w:val="002034DB"/>
    <w:rsid w:val="002037D0"/>
    <w:rsid w:val="002039B6"/>
    <w:rsid w:val="00203C09"/>
    <w:rsid w:val="00203EA1"/>
    <w:rsid w:val="0020452B"/>
    <w:rsid w:val="0020456D"/>
    <w:rsid w:val="00204A1D"/>
    <w:rsid w:val="002056AF"/>
    <w:rsid w:val="00205CFF"/>
    <w:rsid w:val="002062F0"/>
    <w:rsid w:val="00206352"/>
    <w:rsid w:val="0020637E"/>
    <w:rsid w:val="0020638D"/>
    <w:rsid w:val="002065F4"/>
    <w:rsid w:val="002066A9"/>
    <w:rsid w:val="00206A4B"/>
    <w:rsid w:val="00206C59"/>
    <w:rsid w:val="00206F72"/>
    <w:rsid w:val="0020755D"/>
    <w:rsid w:val="00207908"/>
    <w:rsid w:val="002079AF"/>
    <w:rsid w:val="00210520"/>
    <w:rsid w:val="00210760"/>
    <w:rsid w:val="00210D35"/>
    <w:rsid w:val="0021121F"/>
    <w:rsid w:val="00211223"/>
    <w:rsid w:val="002116EA"/>
    <w:rsid w:val="00211B4C"/>
    <w:rsid w:val="00212CB6"/>
    <w:rsid w:val="00212EDF"/>
    <w:rsid w:val="002130D8"/>
    <w:rsid w:val="00213554"/>
    <w:rsid w:val="002136E1"/>
    <w:rsid w:val="00213B57"/>
    <w:rsid w:val="00214931"/>
    <w:rsid w:val="002150CF"/>
    <w:rsid w:val="002156C2"/>
    <w:rsid w:val="002157C2"/>
    <w:rsid w:val="002161EC"/>
    <w:rsid w:val="002163AF"/>
    <w:rsid w:val="002163FA"/>
    <w:rsid w:val="00216931"/>
    <w:rsid w:val="00216E03"/>
    <w:rsid w:val="00217834"/>
    <w:rsid w:val="002210C5"/>
    <w:rsid w:val="00221501"/>
    <w:rsid w:val="002221B2"/>
    <w:rsid w:val="00222C48"/>
    <w:rsid w:val="00223013"/>
    <w:rsid w:val="002235EC"/>
    <w:rsid w:val="002238F4"/>
    <w:rsid w:val="00223B0E"/>
    <w:rsid w:val="00223B7B"/>
    <w:rsid w:val="0022460C"/>
    <w:rsid w:val="00224B0F"/>
    <w:rsid w:val="00224C7F"/>
    <w:rsid w:val="00224DBA"/>
    <w:rsid w:val="0022585D"/>
    <w:rsid w:val="002259C8"/>
    <w:rsid w:val="002266A5"/>
    <w:rsid w:val="00226F02"/>
    <w:rsid w:val="0022749C"/>
    <w:rsid w:val="00227CD8"/>
    <w:rsid w:val="002301F8"/>
    <w:rsid w:val="002306B1"/>
    <w:rsid w:val="002309DE"/>
    <w:rsid w:val="00230B07"/>
    <w:rsid w:val="0023134B"/>
    <w:rsid w:val="00231466"/>
    <w:rsid w:val="00231A9D"/>
    <w:rsid w:val="00231F9C"/>
    <w:rsid w:val="0023210A"/>
    <w:rsid w:val="00232442"/>
    <w:rsid w:val="00232DF2"/>
    <w:rsid w:val="00232DF5"/>
    <w:rsid w:val="00233194"/>
    <w:rsid w:val="00233445"/>
    <w:rsid w:val="00234521"/>
    <w:rsid w:val="00234642"/>
    <w:rsid w:val="00234F54"/>
    <w:rsid w:val="00235086"/>
    <w:rsid w:val="00235717"/>
    <w:rsid w:val="00235CF1"/>
    <w:rsid w:val="00236699"/>
    <w:rsid w:val="00236940"/>
    <w:rsid w:val="00236A5A"/>
    <w:rsid w:val="002371BD"/>
    <w:rsid w:val="002372CB"/>
    <w:rsid w:val="00237839"/>
    <w:rsid w:val="00237C7F"/>
    <w:rsid w:val="00237E7B"/>
    <w:rsid w:val="002408E7"/>
    <w:rsid w:val="00240C26"/>
    <w:rsid w:val="00240D3C"/>
    <w:rsid w:val="002413CF"/>
    <w:rsid w:val="002417D4"/>
    <w:rsid w:val="00241A68"/>
    <w:rsid w:val="0024226A"/>
    <w:rsid w:val="00242342"/>
    <w:rsid w:val="00242426"/>
    <w:rsid w:val="002426A0"/>
    <w:rsid w:val="00242965"/>
    <w:rsid w:val="00242FA8"/>
    <w:rsid w:val="002436EF"/>
    <w:rsid w:val="00243791"/>
    <w:rsid w:val="00243B2B"/>
    <w:rsid w:val="00245666"/>
    <w:rsid w:val="002469BA"/>
    <w:rsid w:val="002472A9"/>
    <w:rsid w:val="00247507"/>
    <w:rsid w:val="00247F29"/>
    <w:rsid w:val="002500D2"/>
    <w:rsid w:val="002502E7"/>
    <w:rsid w:val="0025057A"/>
    <w:rsid w:val="00250A29"/>
    <w:rsid w:val="00250F9D"/>
    <w:rsid w:val="00251CCB"/>
    <w:rsid w:val="00252222"/>
    <w:rsid w:val="002522CF"/>
    <w:rsid w:val="002523B1"/>
    <w:rsid w:val="00252D7B"/>
    <w:rsid w:val="00253113"/>
    <w:rsid w:val="0025346A"/>
    <w:rsid w:val="0025349B"/>
    <w:rsid w:val="002535CF"/>
    <w:rsid w:val="00253608"/>
    <w:rsid w:val="00253855"/>
    <w:rsid w:val="0025417C"/>
    <w:rsid w:val="00254755"/>
    <w:rsid w:val="00254848"/>
    <w:rsid w:val="00254EA8"/>
    <w:rsid w:val="0025513A"/>
    <w:rsid w:val="00255174"/>
    <w:rsid w:val="00255927"/>
    <w:rsid w:val="00255DB8"/>
    <w:rsid w:val="00255DD7"/>
    <w:rsid w:val="00255FA1"/>
    <w:rsid w:val="00256586"/>
    <w:rsid w:val="00256630"/>
    <w:rsid w:val="00256C3A"/>
    <w:rsid w:val="00257778"/>
    <w:rsid w:val="002577FC"/>
    <w:rsid w:val="00257ECC"/>
    <w:rsid w:val="00260410"/>
    <w:rsid w:val="00260573"/>
    <w:rsid w:val="0026076B"/>
    <w:rsid w:val="00260A09"/>
    <w:rsid w:val="00260A89"/>
    <w:rsid w:val="00260AF5"/>
    <w:rsid w:val="002614DC"/>
    <w:rsid w:val="00261701"/>
    <w:rsid w:val="00261CA9"/>
    <w:rsid w:val="00261E34"/>
    <w:rsid w:val="00262449"/>
    <w:rsid w:val="00262DA1"/>
    <w:rsid w:val="002630CA"/>
    <w:rsid w:val="00263260"/>
    <w:rsid w:val="00264075"/>
    <w:rsid w:val="002643F5"/>
    <w:rsid w:val="0026466D"/>
    <w:rsid w:val="00264856"/>
    <w:rsid w:val="002648EA"/>
    <w:rsid w:val="00264D1A"/>
    <w:rsid w:val="00264D9D"/>
    <w:rsid w:val="002653AB"/>
    <w:rsid w:val="00265BF5"/>
    <w:rsid w:val="00265E22"/>
    <w:rsid w:val="002661A0"/>
    <w:rsid w:val="002662B8"/>
    <w:rsid w:val="0026659D"/>
    <w:rsid w:val="00266708"/>
    <w:rsid w:val="00266790"/>
    <w:rsid w:val="002667F4"/>
    <w:rsid w:val="00266C7A"/>
    <w:rsid w:val="00266D78"/>
    <w:rsid w:val="00267353"/>
    <w:rsid w:val="0026780B"/>
    <w:rsid w:val="00267D51"/>
    <w:rsid w:val="00270079"/>
    <w:rsid w:val="00270436"/>
    <w:rsid w:val="00270501"/>
    <w:rsid w:val="00272192"/>
    <w:rsid w:val="002726AD"/>
    <w:rsid w:val="002727F5"/>
    <w:rsid w:val="00272927"/>
    <w:rsid w:val="00272A88"/>
    <w:rsid w:val="00272D86"/>
    <w:rsid w:val="00272E1D"/>
    <w:rsid w:val="00273B57"/>
    <w:rsid w:val="00273DC6"/>
    <w:rsid w:val="00273E3C"/>
    <w:rsid w:val="0027416E"/>
    <w:rsid w:val="0027466B"/>
    <w:rsid w:val="00274D14"/>
    <w:rsid w:val="00274EE4"/>
    <w:rsid w:val="00274EFD"/>
    <w:rsid w:val="00274F0B"/>
    <w:rsid w:val="00275306"/>
    <w:rsid w:val="00275D7B"/>
    <w:rsid w:val="00275D8A"/>
    <w:rsid w:val="0027604D"/>
    <w:rsid w:val="002762F9"/>
    <w:rsid w:val="00276A2E"/>
    <w:rsid w:val="002774A7"/>
    <w:rsid w:val="002777E5"/>
    <w:rsid w:val="002808A3"/>
    <w:rsid w:val="00280AF3"/>
    <w:rsid w:val="00280F7B"/>
    <w:rsid w:val="00280FA6"/>
    <w:rsid w:val="0028129A"/>
    <w:rsid w:val="00281771"/>
    <w:rsid w:val="00281980"/>
    <w:rsid w:val="00281993"/>
    <w:rsid w:val="002825C0"/>
    <w:rsid w:val="00282707"/>
    <w:rsid w:val="00282911"/>
    <w:rsid w:val="0028306A"/>
    <w:rsid w:val="00283226"/>
    <w:rsid w:val="00283429"/>
    <w:rsid w:val="00283EBB"/>
    <w:rsid w:val="00284086"/>
    <w:rsid w:val="002841E7"/>
    <w:rsid w:val="00284C41"/>
    <w:rsid w:val="00284D1E"/>
    <w:rsid w:val="00284DD9"/>
    <w:rsid w:val="00284F01"/>
    <w:rsid w:val="00285C67"/>
    <w:rsid w:val="00285E8F"/>
    <w:rsid w:val="002865AA"/>
    <w:rsid w:val="00286885"/>
    <w:rsid w:val="002874B0"/>
    <w:rsid w:val="00287605"/>
    <w:rsid w:val="002877D1"/>
    <w:rsid w:val="00287A79"/>
    <w:rsid w:val="002907C3"/>
    <w:rsid w:val="00290C3B"/>
    <w:rsid w:val="00290D38"/>
    <w:rsid w:val="00291A61"/>
    <w:rsid w:val="0029203C"/>
    <w:rsid w:val="00292114"/>
    <w:rsid w:val="0029253E"/>
    <w:rsid w:val="0029285D"/>
    <w:rsid w:val="0029292D"/>
    <w:rsid w:val="00292B9C"/>
    <w:rsid w:val="002931EC"/>
    <w:rsid w:val="00293451"/>
    <w:rsid w:val="002938BE"/>
    <w:rsid w:val="00293B44"/>
    <w:rsid w:val="0029427A"/>
    <w:rsid w:val="002943B5"/>
    <w:rsid w:val="002943C6"/>
    <w:rsid w:val="00294551"/>
    <w:rsid w:val="002945EF"/>
    <w:rsid w:val="00294B36"/>
    <w:rsid w:val="0029526B"/>
    <w:rsid w:val="002954C4"/>
    <w:rsid w:val="002960F9"/>
    <w:rsid w:val="00296556"/>
    <w:rsid w:val="00296719"/>
    <w:rsid w:val="002978B2"/>
    <w:rsid w:val="002A0892"/>
    <w:rsid w:val="002A124F"/>
    <w:rsid w:val="002A1E0B"/>
    <w:rsid w:val="002A24F9"/>
    <w:rsid w:val="002A278D"/>
    <w:rsid w:val="002A2B67"/>
    <w:rsid w:val="002A2C8D"/>
    <w:rsid w:val="002A33FF"/>
    <w:rsid w:val="002A352B"/>
    <w:rsid w:val="002A370B"/>
    <w:rsid w:val="002A408D"/>
    <w:rsid w:val="002A4161"/>
    <w:rsid w:val="002A497D"/>
    <w:rsid w:val="002A50C0"/>
    <w:rsid w:val="002A50F3"/>
    <w:rsid w:val="002A50F7"/>
    <w:rsid w:val="002A5560"/>
    <w:rsid w:val="002A56A1"/>
    <w:rsid w:val="002A59C5"/>
    <w:rsid w:val="002A5A2A"/>
    <w:rsid w:val="002A5B98"/>
    <w:rsid w:val="002A5CFC"/>
    <w:rsid w:val="002A637B"/>
    <w:rsid w:val="002A68A7"/>
    <w:rsid w:val="002A6943"/>
    <w:rsid w:val="002A7388"/>
    <w:rsid w:val="002A7604"/>
    <w:rsid w:val="002B04E7"/>
    <w:rsid w:val="002B0684"/>
    <w:rsid w:val="002B0ABE"/>
    <w:rsid w:val="002B0B28"/>
    <w:rsid w:val="002B0F3E"/>
    <w:rsid w:val="002B131A"/>
    <w:rsid w:val="002B1DA9"/>
    <w:rsid w:val="002B25FA"/>
    <w:rsid w:val="002B2662"/>
    <w:rsid w:val="002B2858"/>
    <w:rsid w:val="002B2994"/>
    <w:rsid w:val="002B2B1B"/>
    <w:rsid w:val="002B2B2D"/>
    <w:rsid w:val="002B2B7F"/>
    <w:rsid w:val="002B309F"/>
    <w:rsid w:val="002B30E9"/>
    <w:rsid w:val="002B38CE"/>
    <w:rsid w:val="002B3D07"/>
    <w:rsid w:val="002B4067"/>
    <w:rsid w:val="002B45CE"/>
    <w:rsid w:val="002B4D7F"/>
    <w:rsid w:val="002B4D95"/>
    <w:rsid w:val="002B5612"/>
    <w:rsid w:val="002B565D"/>
    <w:rsid w:val="002B59F8"/>
    <w:rsid w:val="002B6136"/>
    <w:rsid w:val="002B61A9"/>
    <w:rsid w:val="002B690D"/>
    <w:rsid w:val="002B6A5A"/>
    <w:rsid w:val="002B6D9B"/>
    <w:rsid w:val="002B7AF7"/>
    <w:rsid w:val="002B7B88"/>
    <w:rsid w:val="002C0271"/>
    <w:rsid w:val="002C0306"/>
    <w:rsid w:val="002C0E0A"/>
    <w:rsid w:val="002C0F12"/>
    <w:rsid w:val="002C11D5"/>
    <w:rsid w:val="002C1573"/>
    <w:rsid w:val="002C1EF4"/>
    <w:rsid w:val="002C1FD0"/>
    <w:rsid w:val="002C24AB"/>
    <w:rsid w:val="002C2A83"/>
    <w:rsid w:val="002C3634"/>
    <w:rsid w:val="002C3978"/>
    <w:rsid w:val="002C39BE"/>
    <w:rsid w:val="002C3DE3"/>
    <w:rsid w:val="002C412F"/>
    <w:rsid w:val="002C4256"/>
    <w:rsid w:val="002C4598"/>
    <w:rsid w:val="002C45C8"/>
    <w:rsid w:val="002C49D5"/>
    <w:rsid w:val="002C4CCE"/>
    <w:rsid w:val="002C58F6"/>
    <w:rsid w:val="002C596B"/>
    <w:rsid w:val="002C5D6F"/>
    <w:rsid w:val="002C60F4"/>
    <w:rsid w:val="002C60F9"/>
    <w:rsid w:val="002C6166"/>
    <w:rsid w:val="002C643E"/>
    <w:rsid w:val="002C6572"/>
    <w:rsid w:val="002C693E"/>
    <w:rsid w:val="002C6BB9"/>
    <w:rsid w:val="002C6E42"/>
    <w:rsid w:val="002C70A9"/>
    <w:rsid w:val="002C70AF"/>
    <w:rsid w:val="002C75DE"/>
    <w:rsid w:val="002D00E6"/>
    <w:rsid w:val="002D099A"/>
    <w:rsid w:val="002D21A9"/>
    <w:rsid w:val="002D238D"/>
    <w:rsid w:val="002D3477"/>
    <w:rsid w:val="002D35EC"/>
    <w:rsid w:val="002D39A5"/>
    <w:rsid w:val="002D3AF7"/>
    <w:rsid w:val="002D3C07"/>
    <w:rsid w:val="002D467D"/>
    <w:rsid w:val="002D4A38"/>
    <w:rsid w:val="002D529D"/>
    <w:rsid w:val="002D5E59"/>
    <w:rsid w:val="002D606F"/>
    <w:rsid w:val="002D61C6"/>
    <w:rsid w:val="002D62F6"/>
    <w:rsid w:val="002D69BC"/>
    <w:rsid w:val="002D75D4"/>
    <w:rsid w:val="002D760D"/>
    <w:rsid w:val="002E0418"/>
    <w:rsid w:val="002E0581"/>
    <w:rsid w:val="002E13B3"/>
    <w:rsid w:val="002E16BC"/>
    <w:rsid w:val="002E2060"/>
    <w:rsid w:val="002E356B"/>
    <w:rsid w:val="002E359F"/>
    <w:rsid w:val="002E3BEA"/>
    <w:rsid w:val="002E4117"/>
    <w:rsid w:val="002E42A2"/>
    <w:rsid w:val="002E44C8"/>
    <w:rsid w:val="002E4A8A"/>
    <w:rsid w:val="002E4C77"/>
    <w:rsid w:val="002E5108"/>
    <w:rsid w:val="002E57EE"/>
    <w:rsid w:val="002E69AF"/>
    <w:rsid w:val="002E6B49"/>
    <w:rsid w:val="002E6FDB"/>
    <w:rsid w:val="002E7273"/>
    <w:rsid w:val="002E7E28"/>
    <w:rsid w:val="002F001A"/>
    <w:rsid w:val="002F04C0"/>
    <w:rsid w:val="002F0615"/>
    <w:rsid w:val="002F0D70"/>
    <w:rsid w:val="002F0EEA"/>
    <w:rsid w:val="002F1030"/>
    <w:rsid w:val="002F14E3"/>
    <w:rsid w:val="002F1782"/>
    <w:rsid w:val="002F1C32"/>
    <w:rsid w:val="002F1CCC"/>
    <w:rsid w:val="002F2034"/>
    <w:rsid w:val="002F2400"/>
    <w:rsid w:val="002F2C90"/>
    <w:rsid w:val="002F37D3"/>
    <w:rsid w:val="002F398C"/>
    <w:rsid w:val="002F40CA"/>
    <w:rsid w:val="002F4937"/>
    <w:rsid w:val="002F548C"/>
    <w:rsid w:val="002F6213"/>
    <w:rsid w:val="002F71DD"/>
    <w:rsid w:val="002F7642"/>
    <w:rsid w:val="002F77EA"/>
    <w:rsid w:val="002F7995"/>
    <w:rsid w:val="002F7BBC"/>
    <w:rsid w:val="002F7F8A"/>
    <w:rsid w:val="0030016A"/>
    <w:rsid w:val="00300373"/>
    <w:rsid w:val="00300DA9"/>
    <w:rsid w:val="00301328"/>
    <w:rsid w:val="00301794"/>
    <w:rsid w:val="003017D9"/>
    <w:rsid w:val="00301A7F"/>
    <w:rsid w:val="00302170"/>
    <w:rsid w:val="0030244A"/>
    <w:rsid w:val="00302608"/>
    <w:rsid w:val="0030296C"/>
    <w:rsid w:val="00302ADF"/>
    <w:rsid w:val="00302DF9"/>
    <w:rsid w:val="00302E3C"/>
    <w:rsid w:val="003030D9"/>
    <w:rsid w:val="003032B1"/>
    <w:rsid w:val="003034F5"/>
    <w:rsid w:val="00303579"/>
    <w:rsid w:val="003035E1"/>
    <w:rsid w:val="0030393F"/>
    <w:rsid w:val="003042C1"/>
    <w:rsid w:val="003046A3"/>
    <w:rsid w:val="00305A1E"/>
    <w:rsid w:val="00305E49"/>
    <w:rsid w:val="0030604F"/>
    <w:rsid w:val="0030706F"/>
    <w:rsid w:val="0030716C"/>
    <w:rsid w:val="0030754C"/>
    <w:rsid w:val="00307FB3"/>
    <w:rsid w:val="003103E9"/>
    <w:rsid w:val="003104FA"/>
    <w:rsid w:val="003105A5"/>
    <w:rsid w:val="00310636"/>
    <w:rsid w:val="0031084A"/>
    <w:rsid w:val="003109AE"/>
    <w:rsid w:val="00310C0F"/>
    <w:rsid w:val="00310C73"/>
    <w:rsid w:val="00310CCC"/>
    <w:rsid w:val="003110C9"/>
    <w:rsid w:val="003113F5"/>
    <w:rsid w:val="00311406"/>
    <w:rsid w:val="003114EE"/>
    <w:rsid w:val="003118EC"/>
    <w:rsid w:val="00311CBC"/>
    <w:rsid w:val="003121E4"/>
    <w:rsid w:val="0031239F"/>
    <w:rsid w:val="00312420"/>
    <w:rsid w:val="003125EA"/>
    <w:rsid w:val="00312E2D"/>
    <w:rsid w:val="00313551"/>
    <w:rsid w:val="0031376B"/>
    <w:rsid w:val="003137CD"/>
    <w:rsid w:val="00313BC5"/>
    <w:rsid w:val="00314777"/>
    <w:rsid w:val="003148FE"/>
    <w:rsid w:val="0031496B"/>
    <w:rsid w:val="00314AE6"/>
    <w:rsid w:val="00314AED"/>
    <w:rsid w:val="00314ED9"/>
    <w:rsid w:val="00315377"/>
    <w:rsid w:val="003155AD"/>
    <w:rsid w:val="003156B3"/>
    <w:rsid w:val="00315F7B"/>
    <w:rsid w:val="00315FE4"/>
    <w:rsid w:val="003169AB"/>
    <w:rsid w:val="00316B08"/>
    <w:rsid w:val="00316B51"/>
    <w:rsid w:val="00316D92"/>
    <w:rsid w:val="00316DE1"/>
    <w:rsid w:val="00317382"/>
    <w:rsid w:val="0031769B"/>
    <w:rsid w:val="00317D5B"/>
    <w:rsid w:val="00320201"/>
    <w:rsid w:val="003205BD"/>
    <w:rsid w:val="003206DC"/>
    <w:rsid w:val="00321207"/>
    <w:rsid w:val="003212BC"/>
    <w:rsid w:val="003218FF"/>
    <w:rsid w:val="003226C7"/>
    <w:rsid w:val="00323281"/>
    <w:rsid w:val="00323B63"/>
    <w:rsid w:val="00323C7C"/>
    <w:rsid w:val="00324026"/>
    <w:rsid w:val="00324187"/>
    <w:rsid w:val="003244A0"/>
    <w:rsid w:val="0032486C"/>
    <w:rsid w:val="00324A17"/>
    <w:rsid w:val="00324A2C"/>
    <w:rsid w:val="00324E41"/>
    <w:rsid w:val="00325CC8"/>
    <w:rsid w:val="00326204"/>
    <w:rsid w:val="003265A2"/>
    <w:rsid w:val="00326ADF"/>
    <w:rsid w:val="0032722B"/>
    <w:rsid w:val="00327961"/>
    <w:rsid w:val="00327A6D"/>
    <w:rsid w:val="00327BB5"/>
    <w:rsid w:val="00327C47"/>
    <w:rsid w:val="0033029A"/>
    <w:rsid w:val="00330327"/>
    <w:rsid w:val="003306A3"/>
    <w:rsid w:val="0033082D"/>
    <w:rsid w:val="00331A8D"/>
    <w:rsid w:val="00331E0C"/>
    <w:rsid w:val="00331F72"/>
    <w:rsid w:val="00332415"/>
    <w:rsid w:val="00332668"/>
    <w:rsid w:val="00332DDD"/>
    <w:rsid w:val="00333444"/>
    <w:rsid w:val="00333F92"/>
    <w:rsid w:val="00334425"/>
    <w:rsid w:val="0033495D"/>
    <w:rsid w:val="00334D69"/>
    <w:rsid w:val="00334E62"/>
    <w:rsid w:val="00334EA3"/>
    <w:rsid w:val="00335221"/>
    <w:rsid w:val="0033539E"/>
    <w:rsid w:val="00335787"/>
    <w:rsid w:val="00335811"/>
    <w:rsid w:val="003359F7"/>
    <w:rsid w:val="00335BF9"/>
    <w:rsid w:val="00336085"/>
    <w:rsid w:val="003361FB"/>
    <w:rsid w:val="003365EB"/>
    <w:rsid w:val="00336AC5"/>
    <w:rsid w:val="00336C4F"/>
    <w:rsid w:val="00336C71"/>
    <w:rsid w:val="00337123"/>
    <w:rsid w:val="00337910"/>
    <w:rsid w:val="003379D0"/>
    <w:rsid w:val="00337A11"/>
    <w:rsid w:val="003403E4"/>
    <w:rsid w:val="0034097B"/>
    <w:rsid w:val="00341579"/>
    <w:rsid w:val="003419ED"/>
    <w:rsid w:val="00342411"/>
    <w:rsid w:val="0034291C"/>
    <w:rsid w:val="00343003"/>
    <w:rsid w:val="00343FCE"/>
    <w:rsid w:val="00344250"/>
    <w:rsid w:val="00344660"/>
    <w:rsid w:val="00344896"/>
    <w:rsid w:val="00344B0F"/>
    <w:rsid w:val="0034547D"/>
    <w:rsid w:val="0034580A"/>
    <w:rsid w:val="0034585E"/>
    <w:rsid w:val="00346A06"/>
    <w:rsid w:val="00346A51"/>
    <w:rsid w:val="0034725D"/>
    <w:rsid w:val="003473DD"/>
    <w:rsid w:val="00347A9A"/>
    <w:rsid w:val="00347CCC"/>
    <w:rsid w:val="003518F3"/>
    <w:rsid w:val="00351D23"/>
    <w:rsid w:val="00352321"/>
    <w:rsid w:val="0035239F"/>
    <w:rsid w:val="00353769"/>
    <w:rsid w:val="00353A3E"/>
    <w:rsid w:val="0035419E"/>
    <w:rsid w:val="0035425C"/>
    <w:rsid w:val="003542F6"/>
    <w:rsid w:val="00354E38"/>
    <w:rsid w:val="00355047"/>
    <w:rsid w:val="00355309"/>
    <w:rsid w:val="00355C55"/>
    <w:rsid w:val="003560CB"/>
    <w:rsid w:val="003563FC"/>
    <w:rsid w:val="0035776B"/>
    <w:rsid w:val="00357808"/>
    <w:rsid w:val="0035780F"/>
    <w:rsid w:val="00357B06"/>
    <w:rsid w:val="00357D0D"/>
    <w:rsid w:val="00360157"/>
    <w:rsid w:val="003605BC"/>
    <w:rsid w:val="00360F0F"/>
    <w:rsid w:val="00361151"/>
    <w:rsid w:val="00361892"/>
    <w:rsid w:val="00361D34"/>
    <w:rsid w:val="00361F49"/>
    <w:rsid w:val="00363D86"/>
    <w:rsid w:val="00364143"/>
    <w:rsid w:val="0036451D"/>
    <w:rsid w:val="00364B05"/>
    <w:rsid w:val="00364F7D"/>
    <w:rsid w:val="00364FB7"/>
    <w:rsid w:val="00365526"/>
    <w:rsid w:val="00365E14"/>
    <w:rsid w:val="00365F81"/>
    <w:rsid w:val="00366660"/>
    <w:rsid w:val="003666A7"/>
    <w:rsid w:val="00366823"/>
    <w:rsid w:val="003677F1"/>
    <w:rsid w:val="00367C8D"/>
    <w:rsid w:val="0037014B"/>
    <w:rsid w:val="0037030A"/>
    <w:rsid w:val="0037078D"/>
    <w:rsid w:val="00370840"/>
    <w:rsid w:val="003708EB"/>
    <w:rsid w:val="00370D2B"/>
    <w:rsid w:val="003712D8"/>
    <w:rsid w:val="00371340"/>
    <w:rsid w:val="003723C6"/>
    <w:rsid w:val="0037252E"/>
    <w:rsid w:val="003725AA"/>
    <w:rsid w:val="00372630"/>
    <w:rsid w:val="00372C15"/>
    <w:rsid w:val="00372E78"/>
    <w:rsid w:val="003732E1"/>
    <w:rsid w:val="00373595"/>
    <w:rsid w:val="00373FE3"/>
    <w:rsid w:val="003740BB"/>
    <w:rsid w:val="003741CD"/>
    <w:rsid w:val="003743B0"/>
    <w:rsid w:val="0037473B"/>
    <w:rsid w:val="0037473F"/>
    <w:rsid w:val="0037476D"/>
    <w:rsid w:val="003749BF"/>
    <w:rsid w:val="00375112"/>
    <w:rsid w:val="003754F3"/>
    <w:rsid w:val="00375883"/>
    <w:rsid w:val="00376536"/>
    <w:rsid w:val="003765EB"/>
    <w:rsid w:val="00376631"/>
    <w:rsid w:val="0037671A"/>
    <w:rsid w:val="0037697A"/>
    <w:rsid w:val="00377AA0"/>
    <w:rsid w:val="00377BE2"/>
    <w:rsid w:val="00377DEB"/>
    <w:rsid w:val="00380117"/>
    <w:rsid w:val="00380156"/>
    <w:rsid w:val="00380D99"/>
    <w:rsid w:val="003816ED"/>
    <w:rsid w:val="003825DA"/>
    <w:rsid w:val="00382736"/>
    <w:rsid w:val="00382A7C"/>
    <w:rsid w:val="00382C81"/>
    <w:rsid w:val="00382D27"/>
    <w:rsid w:val="0038393C"/>
    <w:rsid w:val="00383F0B"/>
    <w:rsid w:val="003840FF"/>
    <w:rsid w:val="003841C5"/>
    <w:rsid w:val="00384485"/>
    <w:rsid w:val="00384C89"/>
    <w:rsid w:val="003853F1"/>
    <w:rsid w:val="003863EC"/>
    <w:rsid w:val="00386C2B"/>
    <w:rsid w:val="003871DE"/>
    <w:rsid w:val="0038778E"/>
    <w:rsid w:val="00387C6A"/>
    <w:rsid w:val="00387EB1"/>
    <w:rsid w:val="0039027D"/>
    <w:rsid w:val="003905D7"/>
    <w:rsid w:val="0039088B"/>
    <w:rsid w:val="00390E32"/>
    <w:rsid w:val="003916D0"/>
    <w:rsid w:val="00391806"/>
    <w:rsid w:val="0039197C"/>
    <w:rsid w:val="00391A45"/>
    <w:rsid w:val="0039299B"/>
    <w:rsid w:val="00392D70"/>
    <w:rsid w:val="00392D9F"/>
    <w:rsid w:val="00392F70"/>
    <w:rsid w:val="00392F89"/>
    <w:rsid w:val="0039374F"/>
    <w:rsid w:val="003940A9"/>
    <w:rsid w:val="0039478D"/>
    <w:rsid w:val="00395485"/>
    <w:rsid w:val="00395A2E"/>
    <w:rsid w:val="00396311"/>
    <w:rsid w:val="0039645E"/>
    <w:rsid w:val="0039747C"/>
    <w:rsid w:val="00397522"/>
    <w:rsid w:val="003A00BF"/>
    <w:rsid w:val="003A0B37"/>
    <w:rsid w:val="003A0DAE"/>
    <w:rsid w:val="003A2707"/>
    <w:rsid w:val="003A2744"/>
    <w:rsid w:val="003A2D0E"/>
    <w:rsid w:val="003A30B5"/>
    <w:rsid w:val="003A37DB"/>
    <w:rsid w:val="003A3A05"/>
    <w:rsid w:val="003A4AFB"/>
    <w:rsid w:val="003A4B3B"/>
    <w:rsid w:val="003A4B8A"/>
    <w:rsid w:val="003A4B99"/>
    <w:rsid w:val="003A4CA2"/>
    <w:rsid w:val="003A5116"/>
    <w:rsid w:val="003A5247"/>
    <w:rsid w:val="003A5854"/>
    <w:rsid w:val="003A6159"/>
    <w:rsid w:val="003A65A8"/>
    <w:rsid w:val="003A6C64"/>
    <w:rsid w:val="003A6D3B"/>
    <w:rsid w:val="003A6EAC"/>
    <w:rsid w:val="003A7534"/>
    <w:rsid w:val="003A7714"/>
    <w:rsid w:val="003B05C4"/>
    <w:rsid w:val="003B06EB"/>
    <w:rsid w:val="003B0B32"/>
    <w:rsid w:val="003B11EC"/>
    <w:rsid w:val="003B1226"/>
    <w:rsid w:val="003B135C"/>
    <w:rsid w:val="003B177B"/>
    <w:rsid w:val="003B1F85"/>
    <w:rsid w:val="003B2499"/>
    <w:rsid w:val="003B26A0"/>
    <w:rsid w:val="003B2A8E"/>
    <w:rsid w:val="003B3BB6"/>
    <w:rsid w:val="003B4997"/>
    <w:rsid w:val="003B4A75"/>
    <w:rsid w:val="003B4CDC"/>
    <w:rsid w:val="003B4D73"/>
    <w:rsid w:val="003B51C9"/>
    <w:rsid w:val="003B5311"/>
    <w:rsid w:val="003B5746"/>
    <w:rsid w:val="003B5781"/>
    <w:rsid w:val="003B5FB8"/>
    <w:rsid w:val="003B6DC3"/>
    <w:rsid w:val="003B745F"/>
    <w:rsid w:val="003B74D5"/>
    <w:rsid w:val="003C0694"/>
    <w:rsid w:val="003C155E"/>
    <w:rsid w:val="003C166A"/>
    <w:rsid w:val="003C1CF5"/>
    <w:rsid w:val="003C26E4"/>
    <w:rsid w:val="003C27D2"/>
    <w:rsid w:val="003C27D4"/>
    <w:rsid w:val="003C27E2"/>
    <w:rsid w:val="003C2A2E"/>
    <w:rsid w:val="003C2E63"/>
    <w:rsid w:val="003C332F"/>
    <w:rsid w:val="003C33DB"/>
    <w:rsid w:val="003C3D0A"/>
    <w:rsid w:val="003C3E31"/>
    <w:rsid w:val="003C43CF"/>
    <w:rsid w:val="003C4456"/>
    <w:rsid w:val="003C465F"/>
    <w:rsid w:val="003C4710"/>
    <w:rsid w:val="003C4842"/>
    <w:rsid w:val="003C4E9E"/>
    <w:rsid w:val="003C53FC"/>
    <w:rsid w:val="003C5606"/>
    <w:rsid w:val="003C5DFC"/>
    <w:rsid w:val="003C628A"/>
    <w:rsid w:val="003C6C90"/>
    <w:rsid w:val="003C703E"/>
    <w:rsid w:val="003C7327"/>
    <w:rsid w:val="003C738A"/>
    <w:rsid w:val="003C7569"/>
    <w:rsid w:val="003C7EED"/>
    <w:rsid w:val="003D055E"/>
    <w:rsid w:val="003D0C84"/>
    <w:rsid w:val="003D0E5B"/>
    <w:rsid w:val="003D0FE3"/>
    <w:rsid w:val="003D0FEC"/>
    <w:rsid w:val="003D0FFB"/>
    <w:rsid w:val="003D1D1D"/>
    <w:rsid w:val="003D1EEF"/>
    <w:rsid w:val="003D231C"/>
    <w:rsid w:val="003D28F4"/>
    <w:rsid w:val="003D3914"/>
    <w:rsid w:val="003D3D41"/>
    <w:rsid w:val="003D426E"/>
    <w:rsid w:val="003D447D"/>
    <w:rsid w:val="003D4823"/>
    <w:rsid w:val="003D532B"/>
    <w:rsid w:val="003D56D9"/>
    <w:rsid w:val="003D5788"/>
    <w:rsid w:val="003D594D"/>
    <w:rsid w:val="003D6A3A"/>
    <w:rsid w:val="003D6B9A"/>
    <w:rsid w:val="003D6EC5"/>
    <w:rsid w:val="003D7CAE"/>
    <w:rsid w:val="003D7E4F"/>
    <w:rsid w:val="003E0089"/>
    <w:rsid w:val="003E0446"/>
    <w:rsid w:val="003E0611"/>
    <w:rsid w:val="003E0B27"/>
    <w:rsid w:val="003E0E0D"/>
    <w:rsid w:val="003E1EDE"/>
    <w:rsid w:val="003E2533"/>
    <w:rsid w:val="003E2B07"/>
    <w:rsid w:val="003E2C09"/>
    <w:rsid w:val="003E346A"/>
    <w:rsid w:val="003E3533"/>
    <w:rsid w:val="003E37D8"/>
    <w:rsid w:val="003E3AD2"/>
    <w:rsid w:val="003E3E0A"/>
    <w:rsid w:val="003E434A"/>
    <w:rsid w:val="003E45AF"/>
    <w:rsid w:val="003E4EC4"/>
    <w:rsid w:val="003E4F68"/>
    <w:rsid w:val="003E5219"/>
    <w:rsid w:val="003E53D6"/>
    <w:rsid w:val="003E572B"/>
    <w:rsid w:val="003E614F"/>
    <w:rsid w:val="003E68C8"/>
    <w:rsid w:val="003E6980"/>
    <w:rsid w:val="003E69D6"/>
    <w:rsid w:val="003E69DD"/>
    <w:rsid w:val="003E6E6C"/>
    <w:rsid w:val="003E6E72"/>
    <w:rsid w:val="003E6ED6"/>
    <w:rsid w:val="003E73B6"/>
    <w:rsid w:val="003E7C8D"/>
    <w:rsid w:val="003F01AB"/>
    <w:rsid w:val="003F051B"/>
    <w:rsid w:val="003F0BAC"/>
    <w:rsid w:val="003F0CB5"/>
    <w:rsid w:val="003F0ECC"/>
    <w:rsid w:val="003F16C1"/>
    <w:rsid w:val="003F1954"/>
    <w:rsid w:val="003F1CC6"/>
    <w:rsid w:val="003F1CE6"/>
    <w:rsid w:val="003F1F86"/>
    <w:rsid w:val="003F248B"/>
    <w:rsid w:val="003F2789"/>
    <w:rsid w:val="003F2CD7"/>
    <w:rsid w:val="003F2D66"/>
    <w:rsid w:val="003F2FB2"/>
    <w:rsid w:val="003F32B0"/>
    <w:rsid w:val="003F34A1"/>
    <w:rsid w:val="003F34BE"/>
    <w:rsid w:val="003F3684"/>
    <w:rsid w:val="003F379B"/>
    <w:rsid w:val="003F37E1"/>
    <w:rsid w:val="003F37F3"/>
    <w:rsid w:val="003F3B7A"/>
    <w:rsid w:val="003F40E4"/>
    <w:rsid w:val="003F4266"/>
    <w:rsid w:val="003F432C"/>
    <w:rsid w:val="003F4665"/>
    <w:rsid w:val="003F5148"/>
    <w:rsid w:val="003F5320"/>
    <w:rsid w:val="003F5381"/>
    <w:rsid w:val="003F57E0"/>
    <w:rsid w:val="003F6608"/>
    <w:rsid w:val="003F6B23"/>
    <w:rsid w:val="003F6C0A"/>
    <w:rsid w:val="003F6CB0"/>
    <w:rsid w:val="003F6F78"/>
    <w:rsid w:val="003F7387"/>
    <w:rsid w:val="003F7C4D"/>
    <w:rsid w:val="00400AC3"/>
    <w:rsid w:val="00400C20"/>
    <w:rsid w:val="00401059"/>
    <w:rsid w:val="00401105"/>
    <w:rsid w:val="004018B7"/>
    <w:rsid w:val="00402153"/>
    <w:rsid w:val="004024B6"/>
    <w:rsid w:val="00402BAE"/>
    <w:rsid w:val="00402E5F"/>
    <w:rsid w:val="00403189"/>
    <w:rsid w:val="00403C1B"/>
    <w:rsid w:val="004045C1"/>
    <w:rsid w:val="0040548C"/>
    <w:rsid w:val="00405DFF"/>
    <w:rsid w:val="004065DE"/>
    <w:rsid w:val="00406AC1"/>
    <w:rsid w:val="00406D85"/>
    <w:rsid w:val="004075B3"/>
    <w:rsid w:val="004078D6"/>
    <w:rsid w:val="00407FD6"/>
    <w:rsid w:val="00410797"/>
    <w:rsid w:val="00410DF4"/>
    <w:rsid w:val="00410E3E"/>
    <w:rsid w:val="00410FCC"/>
    <w:rsid w:val="0041157E"/>
    <w:rsid w:val="004115D6"/>
    <w:rsid w:val="004124BA"/>
    <w:rsid w:val="00412A7D"/>
    <w:rsid w:val="00412ABC"/>
    <w:rsid w:val="00412C86"/>
    <w:rsid w:val="00412C9F"/>
    <w:rsid w:val="00412E76"/>
    <w:rsid w:val="00413178"/>
    <w:rsid w:val="004131C8"/>
    <w:rsid w:val="00413FFD"/>
    <w:rsid w:val="0041412A"/>
    <w:rsid w:val="004142B7"/>
    <w:rsid w:val="00414315"/>
    <w:rsid w:val="00415923"/>
    <w:rsid w:val="00416146"/>
    <w:rsid w:val="004161DD"/>
    <w:rsid w:val="00416604"/>
    <w:rsid w:val="00416779"/>
    <w:rsid w:val="00417184"/>
    <w:rsid w:val="00417683"/>
    <w:rsid w:val="00417A74"/>
    <w:rsid w:val="0042003B"/>
    <w:rsid w:val="004208D2"/>
    <w:rsid w:val="0042098C"/>
    <w:rsid w:val="00420FAB"/>
    <w:rsid w:val="00421304"/>
    <w:rsid w:val="00421E5A"/>
    <w:rsid w:val="0042265D"/>
    <w:rsid w:val="00422AF3"/>
    <w:rsid w:val="00422B56"/>
    <w:rsid w:val="004230A0"/>
    <w:rsid w:val="00423A84"/>
    <w:rsid w:val="0042408E"/>
    <w:rsid w:val="00424ACD"/>
    <w:rsid w:val="00424E75"/>
    <w:rsid w:val="004254CE"/>
    <w:rsid w:val="00425675"/>
    <w:rsid w:val="0042575A"/>
    <w:rsid w:val="00425DAD"/>
    <w:rsid w:val="00425DEB"/>
    <w:rsid w:val="004264E3"/>
    <w:rsid w:val="00426BC6"/>
    <w:rsid w:val="00426C6E"/>
    <w:rsid w:val="004273F2"/>
    <w:rsid w:val="004275CA"/>
    <w:rsid w:val="00427A30"/>
    <w:rsid w:val="00427B2F"/>
    <w:rsid w:val="00427BC4"/>
    <w:rsid w:val="004313C7"/>
    <w:rsid w:val="004314C3"/>
    <w:rsid w:val="004317EA"/>
    <w:rsid w:val="00431A31"/>
    <w:rsid w:val="00431EF4"/>
    <w:rsid w:val="0043205F"/>
    <w:rsid w:val="00432941"/>
    <w:rsid w:val="00432B23"/>
    <w:rsid w:val="00432BAA"/>
    <w:rsid w:val="00433F15"/>
    <w:rsid w:val="004340E2"/>
    <w:rsid w:val="00434154"/>
    <w:rsid w:val="00434D4A"/>
    <w:rsid w:val="004353D3"/>
    <w:rsid w:val="00435463"/>
    <w:rsid w:val="00435E06"/>
    <w:rsid w:val="00435FB0"/>
    <w:rsid w:val="0043627A"/>
    <w:rsid w:val="004363E1"/>
    <w:rsid w:val="00436457"/>
    <w:rsid w:val="004366D2"/>
    <w:rsid w:val="00436AB3"/>
    <w:rsid w:val="00436DB9"/>
    <w:rsid w:val="00437159"/>
    <w:rsid w:val="0043722F"/>
    <w:rsid w:val="00437673"/>
    <w:rsid w:val="00437740"/>
    <w:rsid w:val="0043791C"/>
    <w:rsid w:val="004404D1"/>
    <w:rsid w:val="00440561"/>
    <w:rsid w:val="00440C4B"/>
    <w:rsid w:val="00441108"/>
    <w:rsid w:val="00442368"/>
    <w:rsid w:val="00442A67"/>
    <w:rsid w:val="004432D2"/>
    <w:rsid w:val="0044344F"/>
    <w:rsid w:val="00443478"/>
    <w:rsid w:val="00443850"/>
    <w:rsid w:val="00443B4F"/>
    <w:rsid w:val="00443C39"/>
    <w:rsid w:val="00443F17"/>
    <w:rsid w:val="0044506A"/>
    <w:rsid w:val="0044560C"/>
    <w:rsid w:val="00445995"/>
    <w:rsid w:val="00445E40"/>
    <w:rsid w:val="004463B8"/>
    <w:rsid w:val="00446A5C"/>
    <w:rsid w:val="00447456"/>
    <w:rsid w:val="004479B9"/>
    <w:rsid w:val="004502C9"/>
    <w:rsid w:val="00450384"/>
    <w:rsid w:val="00450675"/>
    <w:rsid w:val="00450685"/>
    <w:rsid w:val="00450B65"/>
    <w:rsid w:val="00451125"/>
    <w:rsid w:val="004516E7"/>
    <w:rsid w:val="00451861"/>
    <w:rsid w:val="00452A1C"/>
    <w:rsid w:val="00452B78"/>
    <w:rsid w:val="00453644"/>
    <w:rsid w:val="00454008"/>
    <w:rsid w:val="00454828"/>
    <w:rsid w:val="004549A5"/>
    <w:rsid w:val="004557EE"/>
    <w:rsid w:val="0045600B"/>
    <w:rsid w:val="0045633B"/>
    <w:rsid w:val="00456402"/>
    <w:rsid w:val="00456F8C"/>
    <w:rsid w:val="004570EE"/>
    <w:rsid w:val="0045719C"/>
    <w:rsid w:val="00457383"/>
    <w:rsid w:val="00457F57"/>
    <w:rsid w:val="004601AF"/>
    <w:rsid w:val="00460747"/>
    <w:rsid w:val="00460CA3"/>
    <w:rsid w:val="00461077"/>
    <w:rsid w:val="004611EF"/>
    <w:rsid w:val="00461492"/>
    <w:rsid w:val="00462288"/>
    <w:rsid w:val="0046277E"/>
    <w:rsid w:val="00462920"/>
    <w:rsid w:val="00462CE2"/>
    <w:rsid w:val="00464454"/>
    <w:rsid w:val="004647BA"/>
    <w:rsid w:val="004648B9"/>
    <w:rsid w:val="00464D29"/>
    <w:rsid w:val="00464E6D"/>
    <w:rsid w:val="00465536"/>
    <w:rsid w:val="00465C20"/>
    <w:rsid w:val="00465E2B"/>
    <w:rsid w:val="0046603B"/>
    <w:rsid w:val="00466466"/>
    <w:rsid w:val="0046663C"/>
    <w:rsid w:val="004670E3"/>
    <w:rsid w:val="0046746C"/>
    <w:rsid w:val="0046770E"/>
    <w:rsid w:val="00467784"/>
    <w:rsid w:val="004677FF"/>
    <w:rsid w:val="00467BB5"/>
    <w:rsid w:val="00467BBE"/>
    <w:rsid w:val="00470072"/>
    <w:rsid w:val="0047024D"/>
    <w:rsid w:val="004702C2"/>
    <w:rsid w:val="00470911"/>
    <w:rsid w:val="00471106"/>
    <w:rsid w:val="004712B8"/>
    <w:rsid w:val="004716B7"/>
    <w:rsid w:val="00471F21"/>
    <w:rsid w:val="004720E6"/>
    <w:rsid w:val="0047243C"/>
    <w:rsid w:val="00472A7E"/>
    <w:rsid w:val="00472ADC"/>
    <w:rsid w:val="004731B6"/>
    <w:rsid w:val="00473305"/>
    <w:rsid w:val="004743DE"/>
    <w:rsid w:val="004744B8"/>
    <w:rsid w:val="004744F4"/>
    <w:rsid w:val="00474A97"/>
    <w:rsid w:val="00474C28"/>
    <w:rsid w:val="00474E76"/>
    <w:rsid w:val="0047511C"/>
    <w:rsid w:val="004762E2"/>
    <w:rsid w:val="00476606"/>
    <w:rsid w:val="00476A31"/>
    <w:rsid w:val="00477474"/>
    <w:rsid w:val="004774E8"/>
    <w:rsid w:val="0047793C"/>
    <w:rsid w:val="00480726"/>
    <w:rsid w:val="00480D99"/>
    <w:rsid w:val="00480F0D"/>
    <w:rsid w:val="00480F49"/>
    <w:rsid w:val="00481C9C"/>
    <w:rsid w:val="00481EEA"/>
    <w:rsid w:val="00481FC0"/>
    <w:rsid w:val="004830FA"/>
    <w:rsid w:val="004839F2"/>
    <w:rsid w:val="00484594"/>
    <w:rsid w:val="004845FE"/>
    <w:rsid w:val="00484A4E"/>
    <w:rsid w:val="00484B2E"/>
    <w:rsid w:val="00484C8D"/>
    <w:rsid w:val="00485038"/>
    <w:rsid w:val="00485897"/>
    <w:rsid w:val="00485FFF"/>
    <w:rsid w:val="0048620A"/>
    <w:rsid w:val="0048634F"/>
    <w:rsid w:val="004868C0"/>
    <w:rsid w:val="00486AFF"/>
    <w:rsid w:val="00486B6A"/>
    <w:rsid w:val="00486D7D"/>
    <w:rsid w:val="00486DCC"/>
    <w:rsid w:val="00487CA7"/>
    <w:rsid w:val="00487F9B"/>
    <w:rsid w:val="00490812"/>
    <w:rsid w:val="00490A85"/>
    <w:rsid w:val="00490B7D"/>
    <w:rsid w:val="00490EA3"/>
    <w:rsid w:val="004911FA"/>
    <w:rsid w:val="00491DAD"/>
    <w:rsid w:val="00491DDD"/>
    <w:rsid w:val="00492099"/>
    <w:rsid w:val="00492723"/>
    <w:rsid w:val="004931C9"/>
    <w:rsid w:val="004938D0"/>
    <w:rsid w:val="004938E3"/>
    <w:rsid w:val="004938FC"/>
    <w:rsid w:val="00493A08"/>
    <w:rsid w:val="00494AE8"/>
    <w:rsid w:val="00494BE8"/>
    <w:rsid w:val="00495691"/>
    <w:rsid w:val="00495E2D"/>
    <w:rsid w:val="00495E40"/>
    <w:rsid w:val="00495E5A"/>
    <w:rsid w:val="00496243"/>
    <w:rsid w:val="004966D2"/>
    <w:rsid w:val="004968B4"/>
    <w:rsid w:val="00497159"/>
    <w:rsid w:val="00497A1C"/>
    <w:rsid w:val="00497ED6"/>
    <w:rsid w:val="004A0092"/>
    <w:rsid w:val="004A0424"/>
    <w:rsid w:val="004A07C1"/>
    <w:rsid w:val="004A0C3B"/>
    <w:rsid w:val="004A0FBD"/>
    <w:rsid w:val="004A1493"/>
    <w:rsid w:val="004A1FB5"/>
    <w:rsid w:val="004A2124"/>
    <w:rsid w:val="004A219D"/>
    <w:rsid w:val="004A236C"/>
    <w:rsid w:val="004A2D42"/>
    <w:rsid w:val="004A2F5F"/>
    <w:rsid w:val="004A3060"/>
    <w:rsid w:val="004A32F1"/>
    <w:rsid w:val="004A33CF"/>
    <w:rsid w:val="004A3F81"/>
    <w:rsid w:val="004A49E9"/>
    <w:rsid w:val="004A4FCD"/>
    <w:rsid w:val="004A552C"/>
    <w:rsid w:val="004A5617"/>
    <w:rsid w:val="004A5A33"/>
    <w:rsid w:val="004A5C32"/>
    <w:rsid w:val="004A60A6"/>
    <w:rsid w:val="004A60FF"/>
    <w:rsid w:val="004A621B"/>
    <w:rsid w:val="004A646C"/>
    <w:rsid w:val="004A6631"/>
    <w:rsid w:val="004A68F4"/>
    <w:rsid w:val="004A6D02"/>
    <w:rsid w:val="004A72CC"/>
    <w:rsid w:val="004A748A"/>
    <w:rsid w:val="004A75F6"/>
    <w:rsid w:val="004A7EF0"/>
    <w:rsid w:val="004B0093"/>
    <w:rsid w:val="004B0267"/>
    <w:rsid w:val="004B1198"/>
    <w:rsid w:val="004B11A3"/>
    <w:rsid w:val="004B1BEE"/>
    <w:rsid w:val="004B1E9C"/>
    <w:rsid w:val="004B34F8"/>
    <w:rsid w:val="004B374F"/>
    <w:rsid w:val="004B3AFE"/>
    <w:rsid w:val="004B3DB0"/>
    <w:rsid w:val="004B4426"/>
    <w:rsid w:val="004B44DA"/>
    <w:rsid w:val="004B5D67"/>
    <w:rsid w:val="004B68ED"/>
    <w:rsid w:val="004B6F73"/>
    <w:rsid w:val="004B7030"/>
    <w:rsid w:val="004B70E4"/>
    <w:rsid w:val="004B7304"/>
    <w:rsid w:val="004B74BF"/>
    <w:rsid w:val="004B76FF"/>
    <w:rsid w:val="004B77A6"/>
    <w:rsid w:val="004C027A"/>
    <w:rsid w:val="004C0CC8"/>
    <w:rsid w:val="004C0E07"/>
    <w:rsid w:val="004C0E4F"/>
    <w:rsid w:val="004C26A1"/>
    <w:rsid w:val="004C29E9"/>
    <w:rsid w:val="004C34F5"/>
    <w:rsid w:val="004C3AA5"/>
    <w:rsid w:val="004C3E93"/>
    <w:rsid w:val="004C4521"/>
    <w:rsid w:val="004C4605"/>
    <w:rsid w:val="004C4F11"/>
    <w:rsid w:val="004C55BF"/>
    <w:rsid w:val="004C592B"/>
    <w:rsid w:val="004C5A60"/>
    <w:rsid w:val="004C62DA"/>
    <w:rsid w:val="004C680C"/>
    <w:rsid w:val="004C6B90"/>
    <w:rsid w:val="004C6E54"/>
    <w:rsid w:val="004C7320"/>
    <w:rsid w:val="004C78E7"/>
    <w:rsid w:val="004C7B43"/>
    <w:rsid w:val="004C7EEC"/>
    <w:rsid w:val="004D0241"/>
    <w:rsid w:val="004D0841"/>
    <w:rsid w:val="004D1538"/>
    <w:rsid w:val="004D15D8"/>
    <w:rsid w:val="004D2431"/>
    <w:rsid w:val="004D2E5B"/>
    <w:rsid w:val="004D34D1"/>
    <w:rsid w:val="004D3615"/>
    <w:rsid w:val="004D3A3E"/>
    <w:rsid w:val="004D3B86"/>
    <w:rsid w:val="004D4BC3"/>
    <w:rsid w:val="004D501A"/>
    <w:rsid w:val="004D570B"/>
    <w:rsid w:val="004D5773"/>
    <w:rsid w:val="004D57ED"/>
    <w:rsid w:val="004D5A21"/>
    <w:rsid w:val="004D5C04"/>
    <w:rsid w:val="004D5C26"/>
    <w:rsid w:val="004D5F56"/>
    <w:rsid w:val="004D6634"/>
    <w:rsid w:val="004D6F14"/>
    <w:rsid w:val="004D7B6E"/>
    <w:rsid w:val="004E0008"/>
    <w:rsid w:val="004E197E"/>
    <w:rsid w:val="004E221A"/>
    <w:rsid w:val="004E22D6"/>
    <w:rsid w:val="004E243F"/>
    <w:rsid w:val="004E2D17"/>
    <w:rsid w:val="004E2D5A"/>
    <w:rsid w:val="004E2EE9"/>
    <w:rsid w:val="004E3DBA"/>
    <w:rsid w:val="004E4218"/>
    <w:rsid w:val="004E4621"/>
    <w:rsid w:val="004E46F5"/>
    <w:rsid w:val="004E608E"/>
    <w:rsid w:val="004E6247"/>
    <w:rsid w:val="004E632E"/>
    <w:rsid w:val="004E6489"/>
    <w:rsid w:val="004E64B9"/>
    <w:rsid w:val="004E64EC"/>
    <w:rsid w:val="004E66DF"/>
    <w:rsid w:val="004E6E02"/>
    <w:rsid w:val="004E734E"/>
    <w:rsid w:val="004E7B31"/>
    <w:rsid w:val="004F08CB"/>
    <w:rsid w:val="004F1257"/>
    <w:rsid w:val="004F144C"/>
    <w:rsid w:val="004F170F"/>
    <w:rsid w:val="004F17C7"/>
    <w:rsid w:val="004F249E"/>
    <w:rsid w:val="004F24F4"/>
    <w:rsid w:val="004F2631"/>
    <w:rsid w:val="004F3129"/>
    <w:rsid w:val="004F313E"/>
    <w:rsid w:val="004F4334"/>
    <w:rsid w:val="004F47E0"/>
    <w:rsid w:val="004F4E30"/>
    <w:rsid w:val="004F57B5"/>
    <w:rsid w:val="004F5A62"/>
    <w:rsid w:val="004F63D9"/>
    <w:rsid w:val="004F7807"/>
    <w:rsid w:val="004F7FB6"/>
    <w:rsid w:val="005001EA"/>
    <w:rsid w:val="005001EE"/>
    <w:rsid w:val="005002A1"/>
    <w:rsid w:val="00501564"/>
    <w:rsid w:val="00501988"/>
    <w:rsid w:val="00501C0B"/>
    <w:rsid w:val="00501CD5"/>
    <w:rsid w:val="005023FA"/>
    <w:rsid w:val="005025BC"/>
    <w:rsid w:val="005025F6"/>
    <w:rsid w:val="00502614"/>
    <w:rsid w:val="0050292C"/>
    <w:rsid w:val="00502F3B"/>
    <w:rsid w:val="005035D8"/>
    <w:rsid w:val="00504587"/>
    <w:rsid w:val="00504BE5"/>
    <w:rsid w:val="00504F32"/>
    <w:rsid w:val="00505118"/>
    <w:rsid w:val="00505982"/>
    <w:rsid w:val="00505DA9"/>
    <w:rsid w:val="005067CD"/>
    <w:rsid w:val="005073BE"/>
    <w:rsid w:val="005102AF"/>
    <w:rsid w:val="00510643"/>
    <w:rsid w:val="0051078C"/>
    <w:rsid w:val="00511109"/>
    <w:rsid w:val="005111AA"/>
    <w:rsid w:val="005111CB"/>
    <w:rsid w:val="005112CA"/>
    <w:rsid w:val="0051188A"/>
    <w:rsid w:val="00511BA8"/>
    <w:rsid w:val="00512D5A"/>
    <w:rsid w:val="005134BE"/>
    <w:rsid w:val="005134E5"/>
    <w:rsid w:val="00513583"/>
    <w:rsid w:val="00513986"/>
    <w:rsid w:val="00514288"/>
    <w:rsid w:val="00514342"/>
    <w:rsid w:val="00514572"/>
    <w:rsid w:val="00514681"/>
    <w:rsid w:val="00514749"/>
    <w:rsid w:val="00514B5E"/>
    <w:rsid w:val="00516109"/>
    <w:rsid w:val="005161C3"/>
    <w:rsid w:val="00516466"/>
    <w:rsid w:val="00516473"/>
    <w:rsid w:val="005166DC"/>
    <w:rsid w:val="005167CA"/>
    <w:rsid w:val="00516DB6"/>
    <w:rsid w:val="005173C2"/>
    <w:rsid w:val="00517702"/>
    <w:rsid w:val="00517C4D"/>
    <w:rsid w:val="00520686"/>
    <w:rsid w:val="005209F1"/>
    <w:rsid w:val="00520EC8"/>
    <w:rsid w:val="00520FFB"/>
    <w:rsid w:val="005217A8"/>
    <w:rsid w:val="005226C3"/>
    <w:rsid w:val="00522C77"/>
    <w:rsid w:val="00522E85"/>
    <w:rsid w:val="005232BD"/>
    <w:rsid w:val="005233B5"/>
    <w:rsid w:val="00523764"/>
    <w:rsid w:val="00523825"/>
    <w:rsid w:val="005242B2"/>
    <w:rsid w:val="005242ED"/>
    <w:rsid w:val="005249F9"/>
    <w:rsid w:val="00524F9F"/>
    <w:rsid w:val="0052509E"/>
    <w:rsid w:val="005250CF"/>
    <w:rsid w:val="00525771"/>
    <w:rsid w:val="00525B85"/>
    <w:rsid w:val="00525D15"/>
    <w:rsid w:val="00526F95"/>
    <w:rsid w:val="00527444"/>
    <w:rsid w:val="0052793B"/>
    <w:rsid w:val="0052794E"/>
    <w:rsid w:val="005279F6"/>
    <w:rsid w:val="00527BB6"/>
    <w:rsid w:val="0053098C"/>
    <w:rsid w:val="00531B6E"/>
    <w:rsid w:val="00532CAD"/>
    <w:rsid w:val="00532CCD"/>
    <w:rsid w:val="005333D5"/>
    <w:rsid w:val="005333F7"/>
    <w:rsid w:val="00533733"/>
    <w:rsid w:val="00533ED3"/>
    <w:rsid w:val="00534A16"/>
    <w:rsid w:val="005354A2"/>
    <w:rsid w:val="00535992"/>
    <w:rsid w:val="00535B5B"/>
    <w:rsid w:val="00535F4D"/>
    <w:rsid w:val="00535FAF"/>
    <w:rsid w:val="005360C8"/>
    <w:rsid w:val="00536963"/>
    <w:rsid w:val="005404A6"/>
    <w:rsid w:val="00540889"/>
    <w:rsid w:val="00540DE2"/>
    <w:rsid w:val="0054182E"/>
    <w:rsid w:val="0054186F"/>
    <w:rsid w:val="005418BD"/>
    <w:rsid w:val="0054217F"/>
    <w:rsid w:val="00542513"/>
    <w:rsid w:val="00542B02"/>
    <w:rsid w:val="00542B18"/>
    <w:rsid w:val="0054313E"/>
    <w:rsid w:val="005431FA"/>
    <w:rsid w:val="0054321C"/>
    <w:rsid w:val="0054391B"/>
    <w:rsid w:val="00543FBD"/>
    <w:rsid w:val="005441AB"/>
    <w:rsid w:val="00544441"/>
    <w:rsid w:val="0054463D"/>
    <w:rsid w:val="005447CF"/>
    <w:rsid w:val="00544DC0"/>
    <w:rsid w:val="00544E65"/>
    <w:rsid w:val="005451E9"/>
    <w:rsid w:val="005452E4"/>
    <w:rsid w:val="005454D5"/>
    <w:rsid w:val="00545898"/>
    <w:rsid w:val="00545B1D"/>
    <w:rsid w:val="0054627F"/>
    <w:rsid w:val="005465C5"/>
    <w:rsid w:val="0054697E"/>
    <w:rsid w:val="00546A42"/>
    <w:rsid w:val="00546D37"/>
    <w:rsid w:val="005478CC"/>
    <w:rsid w:val="00547CBC"/>
    <w:rsid w:val="00550AD4"/>
    <w:rsid w:val="00550CB0"/>
    <w:rsid w:val="00551294"/>
    <w:rsid w:val="00551310"/>
    <w:rsid w:val="0055138F"/>
    <w:rsid w:val="005518CD"/>
    <w:rsid w:val="005520BA"/>
    <w:rsid w:val="00552395"/>
    <w:rsid w:val="005534A5"/>
    <w:rsid w:val="0055389F"/>
    <w:rsid w:val="00553CC4"/>
    <w:rsid w:val="00554CF2"/>
    <w:rsid w:val="00554EC9"/>
    <w:rsid w:val="00555122"/>
    <w:rsid w:val="0055594C"/>
    <w:rsid w:val="005560B0"/>
    <w:rsid w:val="00556167"/>
    <w:rsid w:val="00556659"/>
    <w:rsid w:val="00556A4B"/>
    <w:rsid w:val="00556CAB"/>
    <w:rsid w:val="00556D8E"/>
    <w:rsid w:val="00556DDD"/>
    <w:rsid w:val="00557593"/>
    <w:rsid w:val="005575DA"/>
    <w:rsid w:val="005579B4"/>
    <w:rsid w:val="00557A73"/>
    <w:rsid w:val="00557B61"/>
    <w:rsid w:val="005608A9"/>
    <w:rsid w:val="00560972"/>
    <w:rsid w:val="00560B64"/>
    <w:rsid w:val="00560E26"/>
    <w:rsid w:val="005611F0"/>
    <w:rsid w:val="005616A2"/>
    <w:rsid w:val="00561B84"/>
    <w:rsid w:val="0056246E"/>
    <w:rsid w:val="00562609"/>
    <w:rsid w:val="0056276D"/>
    <w:rsid w:val="00562FE4"/>
    <w:rsid w:val="005634D4"/>
    <w:rsid w:val="00563A9D"/>
    <w:rsid w:val="00563B5D"/>
    <w:rsid w:val="00563BAA"/>
    <w:rsid w:val="00563F14"/>
    <w:rsid w:val="005649EE"/>
    <w:rsid w:val="00564A4C"/>
    <w:rsid w:val="00564BB8"/>
    <w:rsid w:val="00564E1D"/>
    <w:rsid w:val="005650C5"/>
    <w:rsid w:val="00565162"/>
    <w:rsid w:val="005653A6"/>
    <w:rsid w:val="0056540F"/>
    <w:rsid w:val="005657EE"/>
    <w:rsid w:val="0056587E"/>
    <w:rsid w:val="00565E05"/>
    <w:rsid w:val="00565F2B"/>
    <w:rsid w:val="005665E6"/>
    <w:rsid w:val="00566616"/>
    <w:rsid w:val="0056667D"/>
    <w:rsid w:val="00566771"/>
    <w:rsid w:val="00566A9B"/>
    <w:rsid w:val="00566C16"/>
    <w:rsid w:val="00567045"/>
    <w:rsid w:val="00567249"/>
    <w:rsid w:val="00567396"/>
    <w:rsid w:val="00567C98"/>
    <w:rsid w:val="00570ACA"/>
    <w:rsid w:val="00571609"/>
    <w:rsid w:val="005718AC"/>
    <w:rsid w:val="0057217E"/>
    <w:rsid w:val="00572783"/>
    <w:rsid w:val="00572C72"/>
    <w:rsid w:val="00573629"/>
    <w:rsid w:val="005737AD"/>
    <w:rsid w:val="00573827"/>
    <w:rsid w:val="00573AA2"/>
    <w:rsid w:val="00573C2C"/>
    <w:rsid w:val="00573CBE"/>
    <w:rsid w:val="00573D81"/>
    <w:rsid w:val="00573EF5"/>
    <w:rsid w:val="0057431E"/>
    <w:rsid w:val="00574376"/>
    <w:rsid w:val="0057470A"/>
    <w:rsid w:val="005754C0"/>
    <w:rsid w:val="00575AB5"/>
    <w:rsid w:val="0057623F"/>
    <w:rsid w:val="00576A0E"/>
    <w:rsid w:val="00576D1C"/>
    <w:rsid w:val="00576EA4"/>
    <w:rsid w:val="00576F3C"/>
    <w:rsid w:val="00576FDE"/>
    <w:rsid w:val="0057733C"/>
    <w:rsid w:val="0057748C"/>
    <w:rsid w:val="005779C2"/>
    <w:rsid w:val="00577B5D"/>
    <w:rsid w:val="00580842"/>
    <w:rsid w:val="00580A01"/>
    <w:rsid w:val="00580B42"/>
    <w:rsid w:val="0058137F"/>
    <w:rsid w:val="00581BC4"/>
    <w:rsid w:val="0058229B"/>
    <w:rsid w:val="00582672"/>
    <w:rsid w:val="005828BC"/>
    <w:rsid w:val="005833F9"/>
    <w:rsid w:val="005840F7"/>
    <w:rsid w:val="005847EC"/>
    <w:rsid w:val="00585798"/>
    <w:rsid w:val="005875A2"/>
    <w:rsid w:val="00587A9F"/>
    <w:rsid w:val="0059089D"/>
    <w:rsid w:val="0059091A"/>
    <w:rsid w:val="00590942"/>
    <w:rsid w:val="00590972"/>
    <w:rsid w:val="00591222"/>
    <w:rsid w:val="005913FC"/>
    <w:rsid w:val="0059236D"/>
    <w:rsid w:val="00592500"/>
    <w:rsid w:val="005935C2"/>
    <w:rsid w:val="0059367F"/>
    <w:rsid w:val="00593B27"/>
    <w:rsid w:val="005946E3"/>
    <w:rsid w:val="005947B9"/>
    <w:rsid w:val="0059509F"/>
    <w:rsid w:val="005950C1"/>
    <w:rsid w:val="00595162"/>
    <w:rsid w:val="005953AA"/>
    <w:rsid w:val="005954D3"/>
    <w:rsid w:val="00595EFC"/>
    <w:rsid w:val="00596106"/>
    <w:rsid w:val="00596DA7"/>
    <w:rsid w:val="00597169"/>
    <w:rsid w:val="00597445"/>
    <w:rsid w:val="00597644"/>
    <w:rsid w:val="005978E5"/>
    <w:rsid w:val="00597DBD"/>
    <w:rsid w:val="00597FBA"/>
    <w:rsid w:val="005A024A"/>
    <w:rsid w:val="005A0409"/>
    <w:rsid w:val="005A0A65"/>
    <w:rsid w:val="005A151B"/>
    <w:rsid w:val="005A1DB9"/>
    <w:rsid w:val="005A2993"/>
    <w:rsid w:val="005A2E5D"/>
    <w:rsid w:val="005A3159"/>
    <w:rsid w:val="005A38EF"/>
    <w:rsid w:val="005A3F1E"/>
    <w:rsid w:val="005A40D0"/>
    <w:rsid w:val="005A44DF"/>
    <w:rsid w:val="005A4DC2"/>
    <w:rsid w:val="005A5160"/>
    <w:rsid w:val="005A57ED"/>
    <w:rsid w:val="005A5C82"/>
    <w:rsid w:val="005A6225"/>
    <w:rsid w:val="005A6339"/>
    <w:rsid w:val="005A6451"/>
    <w:rsid w:val="005A66E0"/>
    <w:rsid w:val="005A67ED"/>
    <w:rsid w:val="005A6C46"/>
    <w:rsid w:val="005A6E13"/>
    <w:rsid w:val="005A7950"/>
    <w:rsid w:val="005A7B11"/>
    <w:rsid w:val="005A7D0F"/>
    <w:rsid w:val="005A7D90"/>
    <w:rsid w:val="005B1A07"/>
    <w:rsid w:val="005B2039"/>
    <w:rsid w:val="005B2378"/>
    <w:rsid w:val="005B2A74"/>
    <w:rsid w:val="005B2A84"/>
    <w:rsid w:val="005B30F8"/>
    <w:rsid w:val="005B368F"/>
    <w:rsid w:val="005B3971"/>
    <w:rsid w:val="005B40CC"/>
    <w:rsid w:val="005B467A"/>
    <w:rsid w:val="005B4A6B"/>
    <w:rsid w:val="005B4E65"/>
    <w:rsid w:val="005B5015"/>
    <w:rsid w:val="005B51C7"/>
    <w:rsid w:val="005B5502"/>
    <w:rsid w:val="005B5658"/>
    <w:rsid w:val="005B5696"/>
    <w:rsid w:val="005B5DEB"/>
    <w:rsid w:val="005B6434"/>
    <w:rsid w:val="005B75C1"/>
    <w:rsid w:val="005B7989"/>
    <w:rsid w:val="005C0CD4"/>
    <w:rsid w:val="005C14D0"/>
    <w:rsid w:val="005C1605"/>
    <w:rsid w:val="005C1860"/>
    <w:rsid w:val="005C1EC5"/>
    <w:rsid w:val="005C254D"/>
    <w:rsid w:val="005C26E1"/>
    <w:rsid w:val="005C2DB2"/>
    <w:rsid w:val="005C3341"/>
    <w:rsid w:val="005C3666"/>
    <w:rsid w:val="005C38E0"/>
    <w:rsid w:val="005C3EF7"/>
    <w:rsid w:val="005C473D"/>
    <w:rsid w:val="005C49B4"/>
    <w:rsid w:val="005C57B4"/>
    <w:rsid w:val="005C5A62"/>
    <w:rsid w:val="005C5DF0"/>
    <w:rsid w:val="005C6044"/>
    <w:rsid w:val="005C6055"/>
    <w:rsid w:val="005C61B2"/>
    <w:rsid w:val="005C6680"/>
    <w:rsid w:val="005C6DA7"/>
    <w:rsid w:val="005C7078"/>
    <w:rsid w:val="005C76C2"/>
    <w:rsid w:val="005C77E9"/>
    <w:rsid w:val="005C7940"/>
    <w:rsid w:val="005D02DA"/>
    <w:rsid w:val="005D0E3E"/>
    <w:rsid w:val="005D137A"/>
    <w:rsid w:val="005D1AAD"/>
    <w:rsid w:val="005D1F86"/>
    <w:rsid w:val="005D25C6"/>
    <w:rsid w:val="005D2748"/>
    <w:rsid w:val="005D2922"/>
    <w:rsid w:val="005D2A37"/>
    <w:rsid w:val="005D31E5"/>
    <w:rsid w:val="005D339D"/>
    <w:rsid w:val="005D3583"/>
    <w:rsid w:val="005D3A60"/>
    <w:rsid w:val="005D3AFF"/>
    <w:rsid w:val="005D3C60"/>
    <w:rsid w:val="005D3D6A"/>
    <w:rsid w:val="005D44A8"/>
    <w:rsid w:val="005D57D4"/>
    <w:rsid w:val="005D5997"/>
    <w:rsid w:val="005D5A12"/>
    <w:rsid w:val="005D5BC1"/>
    <w:rsid w:val="005D5F0A"/>
    <w:rsid w:val="005D66D3"/>
    <w:rsid w:val="005D6722"/>
    <w:rsid w:val="005D675A"/>
    <w:rsid w:val="005D6888"/>
    <w:rsid w:val="005D71FF"/>
    <w:rsid w:val="005D7211"/>
    <w:rsid w:val="005D78F9"/>
    <w:rsid w:val="005D7A30"/>
    <w:rsid w:val="005D7C2B"/>
    <w:rsid w:val="005E04D6"/>
    <w:rsid w:val="005E06FC"/>
    <w:rsid w:val="005E0FFD"/>
    <w:rsid w:val="005E1225"/>
    <w:rsid w:val="005E139D"/>
    <w:rsid w:val="005E1424"/>
    <w:rsid w:val="005E1824"/>
    <w:rsid w:val="005E1839"/>
    <w:rsid w:val="005E1C5C"/>
    <w:rsid w:val="005E1D23"/>
    <w:rsid w:val="005E1E6B"/>
    <w:rsid w:val="005E1EAE"/>
    <w:rsid w:val="005E2358"/>
    <w:rsid w:val="005E23AB"/>
    <w:rsid w:val="005E243C"/>
    <w:rsid w:val="005E28B6"/>
    <w:rsid w:val="005E29F1"/>
    <w:rsid w:val="005E2CEF"/>
    <w:rsid w:val="005E2D54"/>
    <w:rsid w:val="005E34F3"/>
    <w:rsid w:val="005E380C"/>
    <w:rsid w:val="005E39DE"/>
    <w:rsid w:val="005E3A8A"/>
    <w:rsid w:val="005E40AD"/>
    <w:rsid w:val="005E503F"/>
    <w:rsid w:val="005E5353"/>
    <w:rsid w:val="005E54D6"/>
    <w:rsid w:val="005E59D7"/>
    <w:rsid w:val="005E6670"/>
    <w:rsid w:val="005E70EA"/>
    <w:rsid w:val="005E750D"/>
    <w:rsid w:val="005E763A"/>
    <w:rsid w:val="005E7B7C"/>
    <w:rsid w:val="005F0071"/>
    <w:rsid w:val="005F0567"/>
    <w:rsid w:val="005F0591"/>
    <w:rsid w:val="005F064A"/>
    <w:rsid w:val="005F0685"/>
    <w:rsid w:val="005F091A"/>
    <w:rsid w:val="005F0E31"/>
    <w:rsid w:val="005F13ED"/>
    <w:rsid w:val="005F1417"/>
    <w:rsid w:val="005F2316"/>
    <w:rsid w:val="005F263C"/>
    <w:rsid w:val="005F299E"/>
    <w:rsid w:val="005F29CF"/>
    <w:rsid w:val="005F30C1"/>
    <w:rsid w:val="005F3252"/>
    <w:rsid w:val="005F339D"/>
    <w:rsid w:val="005F356A"/>
    <w:rsid w:val="005F3893"/>
    <w:rsid w:val="005F3B02"/>
    <w:rsid w:val="005F4276"/>
    <w:rsid w:val="005F42E6"/>
    <w:rsid w:val="005F455F"/>
    <w:rsid w:val="005F4B50"/>
    <w:rsid w:val="005F4CCC"/>
    <w:rsid w:val="005F629C"/>
    <w:rsid w:val="005F6345"/>
    <w:rsid w:val="005F6349"/>
    <w:rsid w:val="005F65C8"/>
    <w:rsid w:val="005F6CBA"/>
    <w:rsid w:val="005F6CF8"/>
    <w:rsid w:val="005F739E"/>
    <w:rsid w:val="005F7719"/>
    <w:rsid w:val="006016FF"/>
    <w:rsid w:val="006018E9"/>
    <w:rsid w:val="00601D72"/>
    <w:rsid w:val="00601DAF"/>
    <w:rsid w:val="00601F03"/>
    <w:rsid w:val="006021F5"/>
    <w:rsid w:val="00602C90"/>
    <w:rsid w:val="0060321D"/>
    <w:rsid w:val="006035BC"/>
    <w:rsid w:val="006036EC"/>
    <w:rsid w:val="006038A8"/>
    <w:rsid w:val="00603D75"/>
    <w:rsid w:val="00603F6A"/>
    <w:rsid w:val="00604106"/>
    <w:rsid w:val="00604253"/>
    <w:rsid w:val="0060445A"/>
    <w:rsid w:val="0060459F"/>
    <w:rsid w:val="00604872"/>
    <w:rsid w:val="00604B9C"/>
    <w:rsid w:val="00604C5A"/>
    <w:rsid w:val="00604CB6"/>
    <w:rsid w:val="00604EAE"/>
    <w:rsid w:val="00605043"/>
    <w:rsid w:val="006054E1"/>
    <w:rsid w:val="006068E9"/>
    <w:rsid w:val="00606A2E"/>
    <w:rsid w:val="00606C50"/>
    <w:rsid w:val="0060729F"/>
    <w:rsid w:val="006078C8"/>
    <w:rsid w:val="00607EB2"/>
    <w:rsid w:val="00607EE4"/>
    <w:rsid w:val="00610116"/>
    <w:rsid w:val="0061095F"/>
    <w:rsid w:val="00610EAE"/>
    <w:rsid w:val="006110B8"/>
    <w:rsid w:val="006115AC"/>
    <w:rsid w:val="0061292F"/>
    <w:rsid w:val="00612FF2"/>
    <w:rsid w:val="00613601"/>
    <w:rsid w:val="00613BA6"/>
    <w:rsid w:val="00613DA6"/>
    <w:rsid w:val="00613F3E"/>
    <w:rsid w:val="00614288"/>
    <w:rsid w:val="006149BA"/>
    <w:rsid w:val="00614A8B"/>
    <w:rsid w:val="0061505A"/>
    <w:rsid w:val="00615815"/>
    <w:rsid w:val="00615EB1"/>
    <w:rsid w:val="006161F6"/>
    <w:rsid w:val="006169C2"/>
    <w:rsid w:val="00616C58"/>
    <w:rsid w:val="0061726A"/>
    <w:rsid w:val="006178D3"/>
    <w:rsid w:val="00617FAB"/>
    <w:rsid w:val="00621335"/>
    <w:rsid w:val="00621395"/>
    <w:rsid w:val="00621C6B"/>
    <w:rsid w:val="00621FC2"/>
    <w:rsid w:val="0062248F"/>
    <w:rsid w:val="00622A55"/>
    <w:rsid w:val="00623147"/>
    <w:rsid w:val="0062387C"/>
    <w:rsid w:val="00623D05"/>
    <w:rsid w:val="00623D3F"/>
    <w:rsid w:val="00623D56"/>
    <w:rsid w:val="00623EB1"/>
    <w:rsid w:val="00623F50"/>
    <w:rsid w:val="00624087"/>
    <w:rsid w:val="006246A9"/>
    <w:rsid w:val="006246F9"/>
    <w:rsid w:val="00624BD7"/>
    <w:rsid w:val="00624D07"/>
    <w:rsid w:val="00624E14"/>
    <w:rsid w:val="0062512E"/>
    <w:rsid w:val="006252CB"/>
    <w:rsid w:val="00625433"/>
    <w:rsid w:val="00626233"/>
    <w:rsid w:val="006270C0"/>
    <w:rsid w:val="00627AE3"/>
    <w:rsid w:val="006306EE"/>
    <w:rsid w:val="0063082E"/>
    <w:rsid w:val="006314B2"/>
    <w:rsid w:val="006317E6"/>
    <w:rsid w:val="00631A50"/>
    <w:rsid w:val="00631C0D"/>
    <w:rsid w:val="00631E13"/>
    <w:rsid w:val="00631F76"/>
    <w:rsid w:val="006322E5"/>
    <w:rsid w:val="00632348"/>
    <w:rsid w:val="00632D12"/>
    <w:rsid w:val="00632D39"/>
    <w:rsid w:val="00632FD0"/>
    <w:rsid w:val="006330DC"/>
    <w:rsid w:val="0063331F"/>
    <w:rsid w:val="006347A1"/>
    <w:rsid w:val="006355C1"/>
    <w:rsid w:val="006357A5"/>
    <w:rsid w:val="00635E21"/>
    <w:rsid w:val="006360E7"/>
    <w:rsid w:val="006361B0"/>
    <w:rsid w:val="00636C78"/>
    <w:rsid w:val="00637019"/>
    <w:rsid w:val="00637F56"/>
    <w:rsid w:val="00640290"/>
    <w:rsid w:val="00640635"/>
    <w:rsid w:val="00640BA6"/>
    <w:rsid w:val="00641219"/>
    <w:rsid w:val="00641360"/>
    <w:rsid w:val="006418FF"/>
    <w:rsid w:val="00641A5A"/>
    <w:rsid w:val="00641B39"/>
    <w:rsid w:val="00641E77"/>
    <w:rsid w:val="00642592"/>
    <w:rsid w:val="00642A3E"/>
    <w:rsid w:val="00642C7E"/>
    <w:rsid w:val="00642D76"/>
    <w:rsid w:val="00643A33"/>
    <w:rsid w:val="006441E1"/>
    <w:rsid w:val="006443DD"/>
    <w:rsid w:val="00644895"/>
    <w:rsid w:val="00644951"/>
    <w:rsid w:val="00645592"/>
    <w:rsid w:val="00645630"/>
    <w:rsid w:val="006463D6"/>
    <w:rsid w:val="0064641F"/>
    <w:rsid w:val="006466C6"/>
    <w:rsid w:val="00646ADA"/>
    <w:rsid w:val="00646D97"/>
    <w:rsid w:val="0064760B"/>
    <w:rsid w:val="00647893"/>
    <w:rsid w:val="00647B9E"/>
    <w:rsid w:val="0065055B"/>
    <w:rsid w:val="00650722"/>
    <w:rsid w:val="00650A93"/>
    <w:rsid w:val="00650FA9"/>
    <w:rsid w:val="00651063"/>
    <w:rsid w:val="006510DA"/>
    <w:rsid w:val="0065130B"/>
    <w:rsid w:val="00652307"/>
    <w:rsid w:val="0065263B"/>
    <w:rsid w:val="00653E79"/>
    <w:rsid w:val="00654074"/>
    <w:rsid w:val="0065475D"/>
    <w:rsid w:val="00654B4D"/>
    <w:rsid w:val="0065555B"/>
    <w:rsid w:val="0065697E"/>
    <w:rsid w:val="00657BA4"/>
    <w:rsid w:val="00657D0C"/>
    <w:rsid w:val="006614A9"/>
    <w:rsid w:val="00661531"/>
    <w:rsid w:val="00661774"/>
    <w:rsid w:val="00661859"/>
    <w:rsid w:val="00661D2F"/>
    <w:rsid w:val="00662726"/>
    <w:rsid w:val="006627A5"/>
    <w:rsid w:val="00662E28"/>
    <w:rsid w:val="00662F4A"/>
    <w:rsid w:val="00662F8A"/>
    <w:rsid w:val="00663314"/>
    <w:rsid w:val="00663971"/>
    <w:rsid w:val="00663FE8"/>
    <w:rsid w:val="00664069"/>
    <w:rsid w:val="006642C0"/>
    <w:rsid w:val="006643F9"/>
    <w:rsid w:val="00665077"/>
    <w:rsid w:val="00665250"/>
    <w:rsid w:val="00665289"/>
    <w:rsid w:val="0066549E"/>
    <w:rsid w:val="0066559D"/>
    <w:rsid w:val="00665C11"/>
    <w:rsid w:val="00665F33"/>
    <w:rsid w:val="0066697F"/>
    <w:rsid w:val="00666F12"/>
    <w:rsid w:val="00667191"/>
    <w:rsid w:val="006672F6"/>
    <w:rsid w:val="0066768B"/>
    <w:rsid w:val="0067034A"/>
    <w:rsid w:val="00670659"/>
    <w:rsid w:val="0067072F"/>
    <w:rsid w:val="00670E1F"/>
    <w:rsid w:val="00671503"/>
    <w:rsid w:val="00671F3A"/>
    <w:rsid w:val="00672692"/>
    <w:rsid w:val="006726D1"/>
    <w:rsid w:val="006728DB"/>
    <w:rsid w:val="00672D54"/>
    <w:rsid w:val="006730C7"/>
    <w:rsid w:val="00673E0B"/>
    <w:rsid w:val="006744F0"/>
    <w:rsid w:val="006748DB"/>
    <w:rsid w:val="006749C1"/>
    <w:rsid w:val="00674B25"/>
    <w:rsid w:val="00676C1D"/>
    <w:rsid w:val="00676E0F"/>
    <w:rsid w:val="0067719C"/>
    <w:rsid w:val="00677299"/>
    <w:rsid w:val="00677956"/>
    <w:rsid w:val="00677A0B"/>
    <w:rsid w:val="00680AC1"/>
    <w:rsid w:val="00680F92"/>
    <w:rsid w:val="0068106A"/>
    <w:rsid w:val="006811D0"/>
    <w:rsid w:val="006812DD"/>
    <w:rsid w:val="006818B8"/>
    <w:rsid w:val="00681F40"/>
    <w:rsid w:val="00682022"/>
    <w:rsid w:val="006827D9"/>
    <w:rsid w:val="006828B9"/>
    <w:rsid w:val="00682A7F"/>
    <w:rsid w:val="00682C87"/>
    <w:rsid w:val="00682E9B"/>
    <w:rsid w:val="006831D7"/>
    <w:rsid w:val="006832C1"/>
    <w:rsid w:val="00683B5A"/>
    <w:rsid w:val="0068419A"/>
    <w:rsid w:val="00684377"/>
    <w:rsid w:val="00684574"/>
    <w:rsid w:val="0068480F"/>
    <w:rsid w:val="00684915"/>
    <w:rsid w:val="00684BF0"/>
    <w:rsid w:val="006853A7"/>
    <w:rsid w:val="006853FF"/>
    <w:rsid w:val="0068554B"/>
    <w:rsid w:val="006856A3"/>
    <w:rsid w:val="00685FB1"/>
    <w:rsid w:val="00686202"/>
    <w:rsid w:val="00686315"/>
    <w:rsid w:val="006866C9"/>
    <w:rsid w:val="00686DAB"/>
    <w:rsid w:val="00686FFA"/>
    <w:rsid w:val="0068718F"/>
    <w:rsid w:val="00687767"/>
    <w:rsid w:val="00687AC7"/>
    <w:rsid w:val="00687B82"/>
    <w:rsid w:val="00687DDF"/>
    <w:rsid w:val="00687F65"/>
    <w:rsid w:val="006906B7"/>
    <w:rsid w:val="00690742"/>
    <w:rsid w:val="006908A3"/>
    <w:rsid w:val="00690F2B"/>
    <w:rsid w:val="00691037"/>
    <w:rsid w:val="006912B3"/>
    <w:rsid w:val="00691933"/>
    <w:rsid w:val="006925FE"/>
    <w:rsid w:val="00693258"/>
    <w:rsid w:val="0069354D"/>
    <w:rsid w:val="006937BE"/>
    <w:rsid w:val="00693C99"/>
    <w:rsid w:val="0069426D"/>
    <w:rsid w:val="00694A52"/>
    <w:rsid w:val="00694B30"/>
    <w:rsid w:val="00694C7E"/>
    <w:rsid w:val="006954EE"/>
    <w:rsid w:val="006959C7"/>
    <w:rsid w:val="00695AD2"/>
    <w:rsid w:val="00696ACA"/>
    <w:rsid w:val="00696DCD"/>
    <w:rsid w:val="00696EC7"/>
    <w:rsid w:val="0069703F"/>
    <w:rsid w:val="00697226"/>
    <w:rsid w:val="006977D3"/>
    <w:rsid w:val="00697859"/>
    <w:rsid w:val="006A0269"/>
    <w:rsid w:val="006A030F"/>
    <w:rsid w:val="006A0F09"/>
    <w:rsid w:val="006A24D8"/>
    <w:rsid w:val="006A2976"/>
    <w:rsid w:val="006A2E52"/>
    <w:rsid w:val="006A337C"/>
    <w:rsid w:val="006A35C1"/>
    <w:rsid w:val="006A360D"/>
    <w:rsid w:val="006A37EE"/>
    <w:rsid w:val="006A3C39"/>
    <w:rsid w:val="006A3E43"/>
    <w:rsid w:val="006A42C8"/>
    <w:rsid w:val="006A4606"/>
    <w:rsid w:val="006A54B8"/>
    <w:rsid w:val="006A5784"/>
    <w:rsid w:val="006A59A4"/>
    <w:rsid w:val="006A5CAC"/>
    <w:rsid w:val="006A6252"/>
    <w:rsid w:val="006A65ED"/>
    <w:rsid w:val="006A6BF1"/>
    <w:rsid w:val="006A7427"/>
    <w:rsid w:val="006A7897"/>
    <w:rsid w:val="006A7DC6"/>
    <w:rsid w:val="006B0BFA"/>
    <w:rsid w:val="006B12F2"/>
    <w:rsid w:val="006B14B2"/>
    <w:rsid w:val="006B225C"/>
    <w:rsid w:val="006B3E8D"/>
    <w:rsid w:val="006B474D"/>
    <w:rsid w:val="006B4C03"/>
    <w:rsid w:val="006B527F"/>
    <w:rsid w:val="006B54DF"/>
    <w:rsid w:val="006B5C90"/>
    <w:rsid w:val="006B5D53"/>
    <w:rsid w:val="006B5E7E"/>
    <w:rsid w:val="006B656F"/>
    <w:rsid w:val="006B65DE"/>
    <w:rsid w:val="006B69CA"/>
    <w:rsid w:val="006B7127"/>
    <w:rsid w:val="006B737D"/>
    <w:rsid w:val="006B7699"/>
    <w:rsid w:val="006B76DF"/>
    <w:rsid w:val="006C02A5"/>
    <w:rsid w:val="006C073F"/>
    <w:rsid w:val="006C0ED2"/>
    <w:rsid w:val="006C172A"/>
    <w:rsid w:val="006C19C1"/>
    <w:rsid w:val="006C206F"/>
    <w:rsid w:val="006C2C5F"/>
    <w:rsid w:val="006C2DF7"/>
    <w:rsid w:val="006C31AB"/>
    <w:rsid w:val="006C32C8"/>
    <w:rsid w:val="006C3B7E"/>
    <w:rsid w:val="006C3E2D"/>
    <w:rsid w:val="006C4E83"/>
    <w:rsid w:val="006C6072"/>
    <w:rsid w:val="006C6815"/>
    <w:rsid w:val="006C695A"/>
    <w:rsid w:val="006C6E63"/>
    <w:rsid w:val="006C70FD"/>
    <w:rsid w:val="006C7174"/>
    <w:rsid w:val="006C73CA"/>
    <w:rsid w:val="006C7CEA"/>
    <w:rsid w:val="006C7D0D"/>
    <w:rsid w:val="006C7E2A"/>
    <w:rsid w:val="006D002C"/>
    <w:rsid w:val="006D0151"/>
    <w:rsid w:val="006D07DB"/>
    <w:rsid w:val="006D0A7E"/>
    <w:rsid w:val="006D0C6D"/>
    <w:rsid w:val="006D0D34"/>
    <w:rsid w:val="006D0F24"/>
    <w:rsid w:val="006D1017"/>
    <w:rsid w:val="006D1149"/>
    <w:rsid w:val="006D1923"/>
    <w:rsid w:val="006D1BDB"/>
    <w:rsid w:val="006D1FBB"/>
    <w:rsid w:val="006D24F5"/>
    <w:rsid w:val="006D279D"/>
    <w:rsid w:val="006D2816"/>
    <w:rsid w:val="006D2CAC"/>
    <w:rsid w:val="006D2EAA"/>
    <w:rsid w:val="006D4000"/>
    <w:rsid w:val="006D46AA"/>
    <w:rsid w:val="006D553C"/>
    <w:rsid w:val="006D5659"/>
    <w:rsid w:val="006D576A"/>
    <w:rsid w:val="006D5792"/>
    <w:rsid w:val="006D5FD6"/>
    <w:rsid w:val="006D60BD"/>
    <w:rsid w:val="006D6356"/>
    <w:rsid w:val="006D6A54"/>
    <w:rsid w:val="006D6A8F"/>
    <w:rsid w:val="006D6C7A"/>
    <w:rsid w:val="006D7461"/>
    <w:rsid w:val="006D7D0A"/>
    <w:rsid w:val="006D7D2D"/>
    <w:rsid w:val="006D7D47"/>
    <w:rsid w:val="006E016F"/>
    <w:rsid w:val="006E0388"/>
    <w:rsid w:val="006E1083"/>
    <w:rsid w:val="006E12B0"/>
    <w:rsid w:val="006E1319"/>
    <w:rsid w:val="006E1888"/>
    <w:rsid w:val="006E1D83"/>
    <w:rsid w:val="006E1F51"/>
    <w:rsid w:val="006E1F7F"/>
    <w:rsid w:val="006E2C20"/>
    <w:rsid w:val="006E3294"/>
    <w:rsid w:val="006E3397"/>
    <w:rsid w:val="006E3986"/>
    <w:rsid w:val="006E3DC2"/>
    <w:rsid w:val="006E4070"/>
    <w:rsid w:val="006E4421"/>
    <w:rsid w:val="006E4688"/>
    <w:rsid w:val="006E474C"/>
    <w:rsid w:val="006E553F"/>
    <w:rsid w:val="006E59B7"/>
    <w:rsid w:val="006E603D"/>
    <w:rsid w:val="006E7652"/>
    <w:rsid w:val="006E7BA6"/>
    <w:rsid w:val="006F0355"/>
    <w:rsid w:val="006F05ED"/>
    <w:rsid w:val="006F0A47"/>
    <w:rsid w:val="006F0D57"/>
    <w:rsid w:val="006F1236"/>
    <w:rsid w:val="006F13BD"/>
    <w:rsid w:val="006F142E"/>
    <w:rsid w:val="006F14D6"/>
    <w:rsid w:val="006F1941"/>
    <w:rsid w:val="006F1B50"/>
    <w:rsid w:val="006F1CA9"/>
    <w:rsid w:val="006F1F3C"/>
    <w:rsid w:val="006F20CF"/>
    <w:rsid w:val="006F236C"/>
    <w:rsid w:val="006F26D1"/>
    <w:rsid w:val="006F2F55"/>
    <w:rsid w:val="006F3954"/>
    <w:rsid w:val="006F3C0D"/>
    <w:rsid w:val="006F4181"/>
    <w:rsid w:val="006F59FF"/>
    <w:rsid w:val="006F5F3D"/>
    <w:rsid w:val="006F62F8"/>
    <w:rsid w:val="006F6559"/>
    <w:rsid w:val="006F67D4"/>
    <w:rsid w:val="006F6E63"/>
    <w:rsid w:val="006F7278"/>
    <w:rsid w:val="00700B62"/>
    <w:rsid w:val="00701489"/>
    <w:rsid w:val="007019B8"/>
    <w:rsid w:val="00701B8E"/>
    <w:rsid w:val="00702339"/>
    <w:rsid w:val="007023A5"/>
    <w:rsid w:val="00702932"/>
    <w:rsid w:val="00702EE1"/>
    <w:rsid w:val="00703621"/>
    <w:rsid w:val="007037CB"/>
    <w:rsid w:val="00703A7A"/>
    <w:rsid w:val="00703B83"/>
    <w:rsid w:val="0070435E"/>
    <w:rsid w:val="007043F3"/>
    <w:rsid w:val="00704B61"/>
    <w:rsid w:val="00704E14"/>
    <w:rsid w:val="0070557F"/>
    <w:rsid w:val="00705CAC"/>
    <w:rsid w:val="00705CE9"/>
    <w:rsid w:val="00705EAA"/>
    <w:rsid w:val="007063CA"/>
    <w:rsid w:val="00706DDB"/>
    <w:rsid w:val="007073E2"/>
    <w:rsid w:val="00707667"/>
    <w:rsid w:val="00707E32"/>
    <w:rsid w:val="00710646"/>
    <w:rsid w:val="00710A4A"/>
    <w:rsid w:val="00711317"/>
    <w:rsid w:val="007120A6"/>
    <w:rsid w:val="007120C8"/>
    <w:rsid w:val="007130B0"/>
    <w:rsid w:val="007143D8"/>
    <w:rsid w:val="00714F15"/>
    <w:rsid w:val="00715787"/>
    <w:rsid w:val="00715D03"/>
    <w:rsid w:val="00715F6C"/>
    <w:rsid w:val="00716372"/>
    <w:rsid w:val="0071667B"/>
    <w:rsid w:val="00716883"/>
    <w:rsid w:val="00717517"/>
    <w:rsid w:val="0071751F"/>
    <w:rsid w:val="007175F8"/>
    <w:rsid w:val="00717996"/>
    <w:rsid w:val="00717DE1"/>
    <w:rsid w:val="007204EA"/>
    <w:rsid w:val="00720A89"/>
    <w:rsid w:val="00720AAC"/>
    <w:rsid w:val="00721096"/>
    <w:rsid w:val="007211E4"/>
    <w:rsid w:val="007215BA"/>
    <w:rsid w:val="007218FC"/>
    <w:rsid w:val="00721B43"/>
    <w:rsid w:val="00722CF4"/>
    <w:rsid w:val="00722DB9"/>
    <w:rsid w:val="007234B8"/>
    <w:rsid w:val="007237DC"/>
    <w:rsid w:val="00723850"/>
    <w:rsid w:val="00723B92"/>
    <w:rsid w:val="00723B9A"/>
    <w:rsid w:val="00724101"/>
    <w:rsid w:val="007249D9"/>
    <w:rsid w:val="00724CD8"/>
    <w:rsid w:val="00724D1A"/>
    <w:rsid w:val="00724F28"/>
    <w:rsid w:val="0072510E"/>
    <w:rsid w:val="007251DF"/>
    <w:rsid w:val="00726013"/>
    <w:rsid w:val="007262A6"/>
    <w:rsid w:val="007264CF"/>
    <w:rsid w:val="00726AA7"/>
    <w:rsid w:val="00726BE7"/>
    <w:rsid w:val="00726F24"/>
    <w:rsid w:val="00726F69"/>
    <w:rsid w:val="00727584"/>
    <w:rsid w:val="00727D8D"/>
    <w:rsid w:val="00730905"/>
    <w:rsid w:val="00731468"/>
    <w:rsid w:val="00731928"/>
    <w:rsid w:val="00731977"/>
    <w:rsid w:val="00732009"/>
    <w:rsid w:val="00732241"/>
    <w:rsid w:val="00732321"/>
    <w:rsid w:val="00732B92"/>
    <w:rsid w:val="00732C3A"/>
    <w:rsid w:val="007334FD"/>
    <w:rsid w:val="007336BF"/>
    <w:rsid w:val="007337AF"/>
    <w:rsid w:val="00733818"/>
    <w:rsid w:val="0073482D"/>
    <w:rsid w:val="00734B8F"/>
    <w:rsid w:val="00735345"/>
    <w:rsid w:val="007364DE"/>
    <w:rsid w:val="00736AA7"/>
    <w:rsid w:val="00737122"/>
    <w:rsid w:val="00737191"/>
    <w:rsid w:val="00737372"/>
    <w:rsid w:val="00737386"/>
    <w:rsid w:val="00737644"/>
    <w:rsid w:val="00740142"/>
    <w:rsid w:val="0074035F"/>
    <w:rsid w:val="007406C5"/>
    <w:rsid w:val="00740C04"/>
    <w:rsid w:val="007414E1"/>
    <w:rsid w:val="00741923"/>
    <w:rsid w:val="00741F8E"/>
    <w:rsid w:val="0074265E"/>
    <w:rsid w:val="00742E41"/>
    <w:rsid w:val="00743508"/>
    <w:rsid w:val="007436B4"/>
    <w:rsid w:val="00743E0C"/>
    <w:rsid w:val="0074436B"/>
    <w:rsid w:val="00744455"/>
    <w:rsid w:val="0074453F"/>
    <w:rsid w:val="00744750"/>
    <w:rsid w:val="007456AA"/>
    <w:rsid w:val="007458E0"/>
    <w:rsid w:val="00745A0C"/>
    <w:rsid w:val="00745B7F"/>
    <w:rsid w:val="00746202"/>
    <w:rsid w:val="00746839"/>
    <w:rsid w:val="00746CDE"/>
    <w:rsid w:val="00746E68"/>
    <w:rsid w:val="0074744C"/>
    <w:rsid w:val="007475E4"/>
    <w:rsid w:val="00747721"/>
    <w:rsid w:val="00747831"/>
    <w:rsid w:val="007509A1"/>
    <w:rsid w:val="00750A8B"/>
    <w:rsid w:val="00750A94"/>
    <w:rsid w:val="00750B0A"/>
    <w:rsid w:val="007513C0"/>
    <w:rsid w:val="00751BB5"/>
    <w:rsid w:val="00751D35"/>
    <w:rsid w:val="007520DA"/>
    <w:rsid w:val="007529FD"/>
    <w:rsid w:val="007538A8"/>
    <w:rsid w:val="007539C2"/>
    <w:rsid w:val="00754255"/>
    <w:rsid w:val="007544C0"/>
    <w:rsid w:val="007545A1"/>
    <w:rsid w:val="00755660"/>
    <w:rsid w:val="00755D80"/>
    <w:rsid w:val="007560D9"/>
    <w:rsid w:val="00756131"/>
    <w:rsid w:val="00756E3B"/>
    <w:rsid w:val="00757663"/>
    <w:rsid w:val="00757769"/>
    <w:rsid w:val="00757799"/>
    <w:rsid w:val="00757D57"/>
    <w:rsid w:val="007605E6"/>
    <w:rsid w:val="00760DAC"/>
    <w:rsid w:val="0076214E"/>
    <w:rsid w:val="00762571"/>
    <w:rsid w:val="00762D65"/>
    <w:rsid w:val="0076307E"/>
    <w:rsid w:val="00763572"/>
    <w:rsid w:val="00764880"/>
    <w:rsid w:val="0076495F"/>
    <w:rsid w:val="007649C3"/>
    <w:rsid w:val="00764ED3"/>
    <w:rsid w:val="0076603A"/>
    <w:rsid w:val="0076610A"/>
    <w:rsid w:val="007662A0"/>
    <w:rsid w:val="00766429"/>
    <w:rsid w:val="007665D5"/>
    <w:rsid w:val="007667EF"/>
    <w:rsid w:val="00766BC4"/>
    <w:rsid w:val="0076705A"/>
    <w:rsid w:val="00767865"/>
    <w:rsid w:val="00767E39"/>
    <w:rsid w:val="00770665"/>
    <w:rsid w:val="0077109E"/>
    <w:rsid w:val="007719DB"/>
    <w:rsid w:val="00771ADE"/>
    <w:rsid w:val="00771CD3"/>
    <w:rsid w:val="00772477"/>
    <w:rsid w:val="007725C9"/>
    <w:rsid w:val="007737FA"/>
    <w:rsid w:val="00773B42"/>
    <w:rsid w:val="00774155"/>
    <w:rsid w:val="007747E2"/>
    <w:rsid w:val="00774801"/>
    <w:rsid w:val="00774925"/>
    <w:rsid w:val="00774DC1"/>
    <w:rsid w:val="00774FCF"/>
    <w:rsid w:val="00774FD4"/>
    <w:rsid w:val="00775B62"/>
    <w:rsid w:val="00775DBD"/>
    <w:rsid w:val="0077611F"/>
    <w:rsid w:val="007761BB"/>
    <w:rsid w:val="00776539"/>
    <w:rsid w:val="0077657C"/>
    <w:rsid w:val="0077684C"/>
    <w:rsid w:val="007774A1"/>
    <w:rsid w:val="007802A1"/>
    <w:rsid w:val="007806B5"/>
    <w:rsid w:val="007815FB"/>
    <w:rsid w:val="0078178D"/>
    <w:rsid w:val="00781D40"/>
    <w:rsid w:val="00781D56"/>
    <w:rsid w:val="00782112"/>
    <w:rsid w:val="00782732"/>
    <w:rsid w:val="007827C7"/>
    <w:rsid w:val="0078280D"/>
    <w:rsid w:val="00782AE7"/>
    <w:rsid w:val="00782D9B"/>
    <w:rsid w:val="00782DF2"/>
    <w:rsid w:val="0078300F"/>
    <w:rsid w:val="00783723"/>
    <w:rsid w:val="00783E6C"/>
    <w:rsid w:val="00783E7A"/>
    <w:rsid w:val="007848AC"/>
    <w:rsid w:val="00784A66"/>
    <w:rsid w:val="0078534B"/>
    <w:rsid w:val="00785515"/>
    <w:rsid w:val="00785B19"/>
    <w:rsid w:val="00785F9A"/>
    <w:rsid w:val="007868CB"/>
    <w:rsid w:val="00786F1E"/>
    <w:rsid w:val="0078708F"/>
    <w:rsid w:val="00787EA6"/>
    <w:rsid w:val="00790105"/>
    <w:rsid w:val="0079028D"/>
    <w:rsid w:val="007905C9"/>
    <w:rsid w:val="00790DAD"/>
    <w:rsid w:val="00790F1A"/>
    <w:rsid w:val="00790F3C"/>
    <w:rsid w:val="00790F42"/>
    <w:rsid w:val="00791602"/>
    <w:rsid w:val="00791C05"/>
    <w:rsid w:val="00791C11"/>
    <w:rsid w:val="00791E52"/>
    <w:rsid w:val="007922DA"/>
    <w:rsid w:val="00792459"/>
    <w:rsid w:val="007928C3"/>
    <w:rsid w:val="007933DE"/>
    <w:rsid w:val="00793D08"/>
    <w:rsid w:val="0079409B"/>
    <w:rsid w:val="007942BE"/>
    <w:rsid w:val="0079463E"/>
    <w:rsid w:val="007949E7"/>
    <w:rsid w:val="00796467"/>
    <w:rsid w:val="00796725"/>
    <w:rsid w:val="00796B6A"/>
    <w:rsid w:val="00796F1E"/>
    <w:rsid w:val="00797622"/>
    <w:rsid w:val="0079780E"/>
    <w:rsid w:val="0079796E"/>
    <w:rsid w:val="00797DC3"/>
    <w:rsid w:val="007A0987"/>
    <w:rsid w:val="007A16AE"/>
    <w:rsid w:val="007A193D"/>
    <w:rsid w:val="007A19CF"/>
    <w:rsid w:val="007A1DC5"/>
    <w:rsid w:val="007A2B3E"/>
    <w:rsid w:val="007A3020"/>
    <w:rsid w:val="007A3D8D"/>
    <w:rsid w:val="007A3E85"/>
    <w:rsid w:val="007A3F5E"/>
    <w:rsid w:val="007A4000"/>
    <w:rsid w:val="007A47EC"/>
    <w:rsid w:val="007A4824"/>
    <w:rsid w:val="007A4BEF"/>
    <w:rsid w:val="007A52DA"/>
    <w:rsid w:val="007A57E3"/>
    <w:rsid w:val="007A668B"/>
    <w:rsid w:val="007A6A3B"/>
    <w:rsid w:val="007A6A76"/>
    <w:rsid w:val="007A70A1"/>
    <w:rsid w:val="007A7406"/>
    <w:rsid w:val="007A7429"/>
    <w:rsid w:val="007A75C1"/>
    <w:rsid w:val="007A766E"/>
    <w:rsid w:val="007A785C"/>
    <w:rsid w:val="007A799B"/>
    <w:rsid w:val="007A7BE4"/>
    <w:rsid w:val="007A7C78"/>
    <w:rsid w:val="007B02E1"/>
    <w:rsid w:val="007B03CC"/>
    <w:rsid w:val="007B04B3"/>
    <w:rsid w:val="007B04CD"/>
    <w:rsid w:val="007B0818"/>
    <w:rsid w:val="007B19F7"/>
    <w:rsid w:val="007B1B0A"/>
    <w:rsid w:val="007B28BF"/>
    <w:rsid w:val="007B2992"/>
    <w:rsid w:val="007B2A81"/>
    <w:rsid w:val="007B3431"/>
    <w:rsid w:val="007B3A71"/>
    <w:rsid w:val="007B3FDD"/>
    <w:rsid w:val="007B40A1"/>
    <w:rsid w:val="007B44DC"/>
    <w:rsid w:val="007B49C9"/>
    <w:rsid w:val="007B58A1"/>
    <w:rsid w:val="007B5AA7"/>
    <w:rsid w:val="007B5D1E"/>
    <w:rsid w:val="007B5D38"/>
    <w:rsid w:val="007B653D"/>
    <w:rsid w:val="007B7668"/>
    <w:rsid w:val="007C04CB"/>
    <w:rsid w:val="007C088B"/>
    <w:rsid w:val="007C0A6C"/>
    <w:rsid w:val="007C0D41"/>
    <w:rsid w:val="007C0E7E"/>
    <w:rsid w:val="007C135A"/>
    <w:rsid w:val="007C15DE"/>
    <w:rsid w:val="007C1DD0"/>
    <w:rsid w:val="007C2262"/>
    <w:rsid w:val="007C2E96"/>
    <w:rsid w:val="007C37A0"/>
    <w:rsid w:val="007C3879"/>
    <w:rsid w:val="007C3A3F"/>
    <w:rsid w:val="007C40D5"/>
    <w:rsid w:val="007C4541"/>
    <w:rsid w:val="007C48EB"/>
    <w:rsid w:val="007C5096"/>
    <w:rsid w:val="007C514F"/>
    <w:rsid w:val="007C5B5C"/>
    <w:rsid w:val="007C5B69"/>
    <w:rsid w:val="007C5CBF"/>
    <w:rsid w:val="007C5D0F"/>
    <w:rsid w:val="007C6729"/>
    <w:rsid w:val="007C6C2B"/>
    <w:rsid w:val="007C7241"/>
    <w:rsid w:val="007C775A"/>
    <w:rsid w:val="007C79BC"/>
    <w:rsid w:val="007D03C9"/>
    <w:rsid w:val="007D077E"/>
    <w:rsid w:val="007D0C9B"/>
    <w:rsid w:val="007D1A53"/>
    <w:rsid w:val="007D27EA"/>
    <w:rsid w:val="007D2F66"/>
    <w:rsid w:val="007D3DE2"/>
    <w:rsid w:val="007D3FF2"/>
    <w:rsid w:val="007D4081"/>
    <w:rsid w:val="007D4188"/>
    <w:rsid w:val="007D4BCC"/>
    <w:rsid w:val="007D4D34"/>
    <w:rsid w:val="007D5137"/>
    <w:rsid w:val="007D5A6C"/>
    <w:rsid w:val="007D5D2D"/>
    <w:rsid w:val="007D6378"/>
    <w:rsid w:val="007D6947"/>
    <w:rsid w:val="007D6D8F"/>
    <w:rsid w:val="007D7090"/>
    <w:rsid w:val="007E09A2"/>
    <w:rsid w:val="007E1EE6"/>
    <w:rsid w:val="007E24D9"/>
    <w:rsid w:val="007E2934"/>
    <w:rsid w:val="007E2D08"/>
    <w:rsid w:val="007E31BC"/>
    <w:rsid w:val="007E35C0"/>
    <w:rsid w:val="007E37E7"/>
    <w:rsid w:val="007E38BC"/>
    <w:rsid w:val="007E39F0"/>
    <w:rsid w:val="007E3DDA"/>
    <w:rsid w:val="007E500B"/>
    <w:rsid w:val="007E58A4"/>
    <w:rsid w:val="007E5904"/>
    <w:rsid w:val="007E5EE0"/>
    <w:rsid w:val="007E6C49"/>
    <w:rsid w:val="007E726C"/>
    <w:rsid w:val="007E7455"/>
    <w:rsid w:val="007E7486"/>
    <w:rsid w:val="007E7570"/>
    <w:rsid w:val="007E7630"/>
    <w:rsid w:val="007E7B92"/>
    <w:rsid w:val="007F0269"/>
    <w:rsid w:val="007F092F"/>
    <w:rsid w:val="007F0B33"/>
    <w:rsid w:val="007F0BEB"/>
    <w:rsid w:val="007F11C6"/>
    <w:rsid w:val="007F1D4A"/>
    <w:rsid w:val="007F1F4D"/>
    <w:rsid w:val="007F320B"/>
    <w:rsid w:val="007F33E8"/>
    <w:rsid w:val="007F3B54"/>
    <w:rsid w:val="007F45AF"/>
    <w:rsid w:val="007F4CCA"/>
    <w:rsid w:val="007F4CEF"/>
    <w:rsid w:val="007F5862"/>
    <w:rsid w:val="007F5D79"/>
    <w:rsid w:val="007F6644"/>
    <w:rsid w:val="007F667D"/>
    <w:rsid w:val="007F6A28"/>
    <w:rsid w:val="007F6AB1"/>
    <w:rsid w:val="007F6AC2"/>
    <w:rsid w:val="007F6D87"/>
    <w:rsid w:val="007F6E7B"/>
    <w:rsid w:val="007F785D"/>
    <w:rsid w:val="007F7991"/>
    <w:rsid w:val="00800A6A"/>
    <w:rsid w:val="008011E1"/>
    <w:rsid w:val="0080149D"/>
    <w:rsid w:val="008014D5"/>
    <w:rsid w:val="008017A4"/>
    <w:rsid w:val="00801CA5"/>
    <w:rsid w:val="00802595"/>
    <w:rsid w:val="00802E95"/>
    <w:rsid w:val="0080305F"/>
    <w:rsid w:val="00803183"/>
    <w:rsid w:val="00803310"/>
    <w:rsid w:val="00803365"/>
    <w:rsid w:val="008038AD"/>
    <w:rsid w:val="00803ABB"/>
    <w:rsid w:val="00803AC9"/>
    <w:rsid w:val="0080450E"/>
    <w:rsid w:val="00804E1F"/>
    <w:rsid w:val="00805776"/>
    <w:rsid w:val="0080624C"/>
    <w:rsid w:val="00806824"/>
    <w:rsid w:val="00806917"/>
    <w:rsid w:val="00806FA8"/>
    <w:rsid w:val="0080702E"/>
    <w:rsid w:val="0080712A"/>
    <w:rsid w:val="00807B73"/>
    <w:rsid w:val="00807C2E"/>
    <w:rsid w:val="00807CE1"/>
    <w:rsid w:val="00810472"/>
    <w:rsid w:val="0081072B"/>
    <w:rsid w:val="00810936"/>
    <w:rsid w:val="00810CA5"/>
    <w:rsid w:val="00810CD7"/>
    <w:rsid w:val="00810CD9"/>
    <w:rsid w:val="00810D3F"/>
    <w:rsid w:val="00810FEA"/>
    <w:rsid w:val="0081138F"/>
    <w:rsid w:val="00811632"/>
    <w:rsid w:val="008117A4"/>
    <w:rsid w:val="00811EF3"/>
    <w:rsid w:val="0081208A"/>
    <w:rsid w:val="00812407"/>
    <w:rsid w:val="00812457"/>
    <w:rsid w:val="008138D0"/>
    <w:rsid w:val="0081391F"/>
    <w:rsid w:val="00813E67"/>
    <w:rsid w:val="0081426F"/>
    <w:rsid w:val="00814539"/>
    <w:rsid w:val="0081480B"/>
    <w:rsid w:val="0081496C"/>
    <w:rsid w:val="00814CED"/>
    <w:rsid w:val="008158B8"/>
    <w:rsid w:val="008159F5"/>
    <w:rsid w:val="0081618E"/>
    <w:rsid w:val="00816CA0"/>
    <w:rsid w:val="00816EC1"/>
    <w:rsid w:val="00816F59"/>
    <w:rsid w:val="00817200"/>
    <w:rsid w:val="008175BC"/>
    <w:rsid w:val="00817AC5"/>
    <w:rsid w:val="00817B00"/>
    <w:rsid w:val="00817CB4"/>
    <w:rsid w:val="0082091F"/>
    <w:rsid w:val="00820993"/>
    <w:rsid w:val="00820E30"/>
    <w:rsid w:val="008219EF"/>
    <w:rsid w:val="008220D4"/>
    <w:rsid w:val="00822C3F"/>
    <w:rsid w:val="00822DD6"/>
    <w:rsid w:val="0082301D"/>
    <w:rsid w:val="0082382F"/>
    <w:rsid w:val="00823B71"/>
    <w:rsid w:val="008241F5"/>
    <w:rsid w:val="008242CF"/>
    <w:rsid w:val="00824709"/>
    <w:rsid w:val="00824C56"/>
    <w:rsid w:val="00826A08"/>
    <w:rsid w:val="008271AA"/>
    <w:rsid w:val="00827253"/>
    <w:rsid w:val="0082744F"/>
    <w:rsid w:val="00827D5A"/>
    <w:rsid w:val="00830157"/>
    <w:rsid w:val="008301BF"/>
    <w:rsid w:val="0083027A"/>
    <w:rsid w:val="00830D9E"/>
    <w:rsid w:val="008313A3"/>
    <w:rsid w:val="0083176E"/>
    <w:rsid w:val="00831F08"/>
    <w:rsid w:val="008321DA"/>
    <w:rsid w:val="008324D1"/>
    <w:rsid w:val="008324F8"/>
    <w:rsid w:val="0083269F"/>
    <w:rsid w:val="00832FC6"/>
    <w:rsid w:val="00833401"/>
    <w:rsid w:val="00833540"/>
    <w:rsid w:val="00833B5D"/>
    <w:rsid w:val="00834344"/>
    <w:rsid w:val="008344D5"/>
    <w:rsid w:val="00834670"/>
    <w:rsid w:val="00834AF5"/>
    <w:rsid w:val="008355C4"/>
    <w:rsid w:val="008356FC"/>
    <w:rsid w:val="00836389"/>
    <w:rsid w:val="008364B6"/>
    <w:rsid w:val="008368B3"/>
    <w:rsid w:val="00837109"/>
    <w:rsid w:val="00837182"/>
    <w:rsid w:val="0083787F"/>
    <w:rsid w:val="00837C72"/>
    <w:rsid w:val="00837E20"/>
    <w:rsid w:val="00837F5B"/>
    <w:rsid w:val="008402A7"/>
    <w:rsid w:val="0084082C"/>
    <w:rsid w:val="008409BA"/>
    <w:rsid w:val="00840EFF"/>
    <w:rsid w:val="00840F03"/>
    <w:rsid w:val="008412E8"/>
    <w:rsid w:val="008414E7"/>
    <w:rsid w:val="00841589"/>
    <w:rsid w:val="0084167A"/>
    <w:rsid w:val="00841D1D"/>
    <w:rsid w:val="00843147"/>
    <w:rsid w:val="0084363E"/>
    <w:rsid w:val="00843D65"/>
    <w:rsid w:val="00843E9F"/>
    <w:rsid w:val="008440CE"/>
    <w:rsid w:val="0084430B"/>
    <w:rsid w:val="0084444C"/>
    <w:rsid w:val="00844A5A"/>
    <w:rsid w:val="00844A5F"/>
    <w:rsid w:val="0084541E"/>
    <w:rsid w:val="00845579"/>
    <w:rsid w:val="00845697"/>
    <w:rsid w:val="0084569B"/>
    <w:rsid w:val="008456A9"/>
    <w:rsid w:val="00845782"/>
    <w:rsid w:val="00845A48"/>
    <w:rsid w:val="00845E40"/>
    <w:rsid w:val="008460E4"/>
    <w:rsid w:val="008460FB"/>
    <w:rsid w:val="00846448"/>
    <w:rsid w:val="008466E6"/>
    <w:rsid w:val="00847110"/>
    <w:rsid w:val="008474F6"/>
    <w:rsid w:val="00847FA7"/>
    <w:rsid w:val="00850079"/>
    <w:rsid w:val="00850B39"/>
    <w:rsid w:val="008512E6"/>
    <w:rsid w:val="0085148D"/>
    <w:rsid w:val="008523D6"/>
    <w:rsid w:val="00852B55"/>
    <w:rsid w:val="00852B98"/>
    <w:rsid w:val="0085324C"/>
    <w:rsid w:val="00853461"/>
    <w:rsid w:val="00853A05"/>
    <w:rsid w:val="00853B2E"/>
    <w:rsid w:val="00853CD0"/>
    <w:rsid w:val="00853D1B"/>
    <w:rsid w:val="00853E8D"/>
    <w:rsid w:val="00854841"/>
    <w:rsid w:val="00854908"/>
    <w:rsid w:val="00854A1D"/>
    <w:rsid w:val="00854B04"/>
    <w:rsid w:val="00855440"/>
    <w:rsid w:val="008555B8"/>
    <w:rsid w:val="0085565B"/>
    <w:rsid w:val="00855933"/>
    <w:rsid w:val="00855B4D"/>
    <w:rsid w:val="00855C19"/>
    <w:rsid w:val="00855FD2"/>
    <w:rsid w:val="00856877"/>
    <w:rsid w:val="008568E9"/>
    <w:rsid w:val="00856F7E"/>
    <w:rsid w:val="008571D3"/>
    <w:rsid w:val="0085743F"/>
    <w:rsid w:val="008574D0"/>
    <w:rsid w:val="00857790"/>
    <w:rsid w:val="00857DEB"/>
    <w:rsid w:val="00857EDD"/>
    <w:rsid w:val="0086005A"/>
    <w:rsid w:val="00860110"/>
    <w:rsid w:val="00860777"/>
    <w:rsid w:val="00860B63"/>
    <w:rsid w:val="00860C83"/>
    <w:rsid w:val="00860E51"/>
    <w:rsid w:val="0086133E"/>
    <w:rsid w:val="00861413"/>
    <w:rsid w:val="00861417"/>
    <w:rsid w:val="00861886"/>
    <w:rsid w:val="00861D20"/>
    <w:rsid w:val="00861EE5"/>
    <w:rsid w:val="00861F68"/>
    <w:rsid w:val="0086207E"/>
    <w:rsid w:val="00863426"/>
    <w:rsid w:val="00863577"/>
    <w:rsid w:val="008635B2"/>
    <w:rsid w:val="0086378F"/>
    <w:rsid w:val="008639CD"/>
    <w:rsid w:val="008645D9"/>
    <w:rsid w:val="00864627"/>
    <w:rsid w:val="008650B1"/>
    <w:rsid w:val="00865FA7"/>
    <w:rsid w:val="008672A7"/>
    <w:rsid w:val="008673E7"/>
    <w:rsid w:val="008676D2"/>
    <w:rsid w:val="008676F7"/>
    <w:rsid w:val="00867FA9"/>
    <w:rsid w:val="00870265"/>
    <w:rsid w:val="00870825"/>
    <w:rsid w:val="00871A6D"/>
    <w:rsid w:val="00871BCE"/>
    <w:rsid w:val="00871E95"/>
    <w:rsid w:val="00872280"/>
    <w:rsid w:val="00873864"/>
    <w:rsid w:val="00873CA4"/>
    <w:rsid w:val="00873E60"/>
    <w:rsid w:val="00873F39"/>
    <w:rsid w:val="008740CA"/>
    <w:rsid w:val="00874145"/>
    <w:rsid w:val="00874842"/>
    <w:rsid w:val="00875D1B"/>
    <w:rsid w:val="00876251"/>
    <w:rsid w:val="00876857"/>
    <w:rsid w:val="008769FD"/>
    <w:rsid w:val="00876A9E"/>
    <w:rsid w:val="00876D80"/>
    <w:rsid w:val="00876F82"/>
    <w:rsid w:val="008771B8"/>
    <w:rsid w:val="00877326"/>
    <w:rsid w:val="00880908"/>
    <w:rsid w:val="008811C8"/>
    <w:rsid w:val="008816A3"/>
    <w:rsid w:val="0088170E"/>
    <w:rsid w:val="008819C3"/>
    <w:rsid w:val="00881CB0"/>
    <w:rsid w:val="00881ED4"/>
    <w:rsid w:val="0088217E"/>
    <w:rsid w:val="0088282F"/>
    <w:rsid w:val="00882E0D"/>
    <w:rsid w:val="00883952"/>
    <w:rsid w:val="008839E0"/>
    <w:rsid w:val="00883A2C"/>
    <w:rsid w:val="00883AED"/>
    <w:rsid w:val="00883AF2"/>
    <w:rsid w:val="00883F5B"/>
    <w:rsid w:val="008842E0"/>
    <w:rsid w:val="0088511A"/>
    <w:rsid w:val="008856B9"/>
    <w:rsid w:val="00886284"/>
    <w:rsid w:val="00886497"/>
    <w:rsid w:val="00886A30"/>
    <w:rsid w:val="008870AE"/>
    <w:rsid w:val="00887A08"/>
    <w:rsid w:val="00887AB6"/>
    <w:rsid w:val="00887D44"/>
    <w:rsid w:val="0089030E"/>
    <w:rsid w:val="00890868"/>
    <w:rsid w:val="008916B8"/>
    <w:rsid w:val="00892025"/>
    <w:rsid w:val="008921B9"/>
    <w:rsid w:val="00892425"/>
    <w:rsid w:val="008927BF"/>
    <w:rsid w:val="00892DDA"/>
    <w:rsid w:val="008941CF"/>
    <w:rsid w:val="008943E6"/>
    <w:rsid w:val="008945CF"/>
    <w:rsid w:val="008945D5"/>
    <w:rsid w:val="00894729"/>
    <w:rsid w:val="00894AD0"/>
    <w:rsid w:val="00894B0F"/>
    <w:rsid w:val="00894F5F"/>
    <w:rsid w:val="008951C2"/>
    <w:rsid w:val="0089573B"/>
    <w:rsid w:val="00895E2A"/>
    <w:rsid w:val="008968BC"/>
    <w:rsid w:val="00896910"/>
    <w:rsid w:val="00896C5A"/>
    <w:rsid w:val="008A0749"/>
    <w:rsid w:val="008A0ABE"/>
    <w:rsid w:val="008A0D5A"/>
    <w:rsid w:val="008A0DEA"/>
    <w:rsid w:val="008A1B18"/>
    <w:rsid w:val="008A1C9B"/>
    <w:rsid w:val="008A220E"/>
    <w:rsid w:val="008A2893"/>
    <w:rsid w:val="008A2E53"/>
    <w:rsid w:val="008A328E"/>
    <w:rsid w:val="008A3703"/>
    <w:rsid w:val="008A4098"/>
    <w:rsid w:val="008A476E"/>
    <w:rsid w:val="008A4850"/>
    <w:rsid w:val="008A612C"/>
    <w:rsid w:val="008A619B"/>
    <w:rsid w:val="008A632F"/>
    <w:rsid w:val="008A6CE1"/>
    <w:rsid w:val="008A6DE4"/>
    <w:rsid w:val="008A6E11"/>
    <w:rsid w:val="008A709C"/>
    <w:rsid w:val="008A72F2"/>
    <w:rsid w:val="008A7539"/>
    <w:rsid w:val="008B0C7C"/>
    <w:rsid w:val="008B0E85"/>
    <w:rsid w:val="008B218C"/>
    <w:rsid w:val="008B25B1"/>
    <w:rsid w:val="008B34BE"/>
    <w:rsid w:val="008B35D8"/>
    <w:rsid w:val="008B3C86"/>
    <w:rsid w:val="008B42A0"/>
    <w:rsid w:val="008B591E"/>
    <w:rsid w:val="008B6085"/>
    <w:rsid w:val="008B6E3D"/>
    <w:rsid w:val="008B7EDA"/>
    <w:rsid w:val="008C0222"/>
    <w:rsid w:val="008C0372"/>
    <w:rsid w:val="008C0555"/>
    <w:rsid w:val="008C1948"/>
    <w:rsid w:val="008C1BD0"/>
    <w:rsid w:val="008C2317"/>
    <w:rsid w:val="008C255F"/>
    <w:rsid w:val="008C25A5"/>
    <w:rsid w:val="008C30AF"/>
    <w:rsid w:val="008C35FD"/>
    <w:rsid w:val="008C3A00"/>
    <w:rsid w:val="008C3DD4"/>
    <w:rsid w:val="008C3EBA"/>
    <w:rsid w:val="008C4610"/>
    <w:rsid w:val="008C4D81"/>
    <w:rsid w:val="008C4E47"/>
    <w:rsid w:val="008C54A3"/>
    <w:rsid w:val="008C5510"/>
    <w:rsid w:val="008C554A"/>
    <w:rsid w:val="008C5A3F"/>
    <w:rsid w:val="008C5ACF"/>
    <w:rsid w:val="008C6691"/>
    <w:rsid w:val="008C67E2"/>
    <w:rsid w:val="008C6A59"/>
    <w:rsid w:val="008C6DA7"/>
    <w:rsid w:val="008C7813"/>
    <w:rsid w:val="008C7AAC"/>
    <w:rsid w:val="008C7CA5"/>
    <w:rsid w:val="008C7DAA"/>
    <w:rsid w:val="008C7DD7"/>
    <w:rsid w:val="008C7DDB"/>
    <w:rsid w:val="008D0271"/>
    <w:rsid w:val="008D0E49"/>
    <w:rsid w:val="008D0F32"/>
    <w:rsid w:val="008D1051"/>
    <w:rsid w:val="008D1553"/>
    <w:rsid w:val="008D1B97"/>
    <w:rsid w:val="008D1D1A"/>
    <w:rsid w:val="008D2221"/>
    <w:rsid w:val="008D22FF"/>
    <w:rsid w:val="008D2618"/>
    <w:rsid w:val="008D27E2"/>
    <w:rsid w:val="008D376B"/>
    <w:rsid w:val="008D38A8"/>
    <w:rsid w:val="008D39F6"/>
    <w:rsid w:val="008D3C25"/>
    <w:rsid w:val="008D3D29"/>
    <w:rsid w:val="008D430B"/>
    <w:rsid w:val="008D4782"/>
    <w:rsid w:val="008D4925"/>
    <w:rsid w:val="008D4A07"/>
    <w:rsid w:val="008D502B"/>
    <w:rsid w:val="008D5381"/>
    <w:rsid w:val="008D53F4"/>
    <w:rsid w:val="008D54DF"/>
    <w:rsid w:val="008D5748"/>
    <w:rsid w:val="008D5CC1"/>
    <w:rsid w:val="008D5E2D"/>
    <w:rsid w:val="008D6586"/>
    <w:rsid w:val="008D6C80"/>
    <w:rsid w:val="008D6E00"/>
    <w:rsid w:val="008D6FE3"/>
    <w:rsid w:val="008D7230"/>
    <w:rsid w:val="008D73AA"/>
    <w:rsid w:val="008D7DFA"/>
    <w:rsid w:val="008E0408"/>
    <w:rsid w:val="008E0560"/>
    <w:rsid w:val="008E069D"/>
    <w:rsid w:val="008E099C"/>
    <w:rsid w:val="008E16E1"/>
    <w:rsid w:val="008E16FA"/>
    <w:rsid w:val="008E1C29"/>
    <w:rsid w:val="008E2741"/>
    <w:rsid w:val="008E2788"/>
    <w:rsid w:val="008E3684"/>
    <w:rsid w:val="008E3BA0"/>
    <w:rsid w:val="008E4092"/>
    <w:rsid w:val="008E49F5"/>
    <w:rsid w:val="008E4D08"/>
    <w:rsid w:val="008E4D1F"/>
    <w:rsid w:val="008E514B"/>
    <w:rsid w:val="008E56D7"/>
    <w:rsid w:val="008E5795"/>
    <w:rsid w:val="008E58B8"/>
    <w:rsid w:val="008E5BCB"/>
    <w:rsid w:val="008E6282"/>
    <w:rsid w:val="008E671B"/>
    <w:rsid w:val="008E67E6"/>
    <w:rsid w:val="008E687F"/>
    <w:rsid w:val="008E6C5A"/>
    <w:rsid w:val="008E72F3"/>
    <w:rsid w:val="008E7567"/>
    <w:rsid w:val="008E7589"/>
    <w:rsid w:val="008E75E7"/>
    <w:rsid w:val="008E7A19"/>
    <w:rsid w:val="008E7B70"/>
    <w:rsid w:val="008E7C51"/>
    <w:rsid w:val="008F009C"/>
    <w:rsid w:val="008F017E"/>
    <w:rsid w:val="008F0320"/>
    <w:rsid w:val="008F09EB"/>
    <w:rsid w:val="008F1B07"/>
    <w:rsid w:val="008F1B60"/>
    <w:rsid w:val="008F1C58"/>
    <w:rsid w:val="008F1CF6"/>
    <w:rsid w:val="008F1D02"/>
    <w:rsid w:val="008F1D3E"/>
    <w:rsid w:val="008F257A"/>
    <w:rsid w:val="008F281C"/>
    <w:rsid w:val="008F2BEE"/>
    <w:rsid w:val="008F3BE2"/>
    <w:rsid w:val="008F3E34"/>
    <w:rsid w:val="008F4163"/>
    <w:rsid w:val="008F4BF0"/>
    <w:rsid w:val="008F500C"/>
    <w:rsid w:val="008F55D1"/>
    <w:rsid w:val="008F611E"/>
    <w:rsid w:val="008F7746"/>
    <w:rsid w:val="008F7998"/>
    <w:rsid w:val="008F7D49"/>
    <w:rsid w:val="00900769"/>
    <w:rsid w:val="00900777"/>
    <w:rsid w:val="00900882"/>
    <w:rsid w:val="00900E06"/>
    <w:rsid w:val="00901A2A"/>
    <w:rsid w:val="00901ABA"/>
    <w:rsid w:val="009020D4"/>
    <w:rsid w:val="0090267C"/>
    <w:rsid w:val="00902771"/>
    <w:rsid w:val="00902831"/>
    <w:rsid w:val="009032AB"/>
    <w:rsid w:val="00903462"/>
    <w:rsid w:val="00904328"/>
    <w:rsid w:val="0090455B"/>
    <w:rsid w:val="009045B4"/>
    <w:rsid w:val="0090479B"/>
    <w:rsid w:val="0090480A"/>
    <w:rsid w:val="00905471"/>
    <w:rsid w:val="00905518"/>
    <w:rsid w:val="00905808"/>
    <w:rsid w:val="009063A9"/>
    <w:rsid w:val="00906861"/>
    <w:rsid w:val="00906A66"/>
    <w:rsid w:val="00906B59"/>
    <w:rsid w:val="00906B5E"/>
    <w:rsid w:val="00907001"/>
    <w:rsid w:val="00907DA4"/>
    <w:rsid w:val="00910626"/>
    <w:rsid w:val="00910913"/>
    <w:rsid w:val="00910FE2"/>
    <w:rsid w:val="0091122A"/>
    <w:rsid w:val="00911882"/>
    <w:rsid w:val="0091192B"/>
    <w:rsid w:val="00911A3D"/>
    <w:rsid w:val="0091224F"/>
    <w:rsid w:val="00912392"/>
    <w:rsid w:val="009125B6"/>
    <w:rsid w:val="0091345D"/>
    <w:rsid w:val="009135DF"/>
    <w:rsid w:val="0091361C"/>
    <w:rsid w:val="00913BF9"/>
    <w:rsid w:val="00914133"/>
    <w:rsid w:val="00914152"/>
    <w:rsid w:val="00914398"/>
    <w:rsid w:val="00914A2F"/>
    <w:rsid w:val="009156BD"/>
    <w:rsid w:val="00916FBB"/>
    <w:rsid w:val="009177F6"/>
    <w:rsid w:val="009202DB"/>
    <w:rsid w:val="009204C0"/>
    <w:rsid w:val="009215CB"/>
    <w:rsid w:val="00921AC2"/>
    <w:rsid w:val="00922710"/>
    <w:rsid w:val="009227D4"/>
    <w:rsid w:val="00922A1A"/>
    <w:rsid w:val="009235D0"/>
    <w:rsid w:val="009241E2"/>
    <w:rsid w:val="009243E5"/>
    <w:rsid w:val="00924577"/>
    <w:rsid w:val="00924DB6"/>
    <w:rsid w:val="009255B6"/>
    <w:rsid w:val="00925742"/>
    <w:rsid w:val="0092588C"/>
    <w:rsid w:val="009268B4"/>
    <w:rsid w:val="009268CB"/>
    <w:rsid w:val="00926A1E"/>
    <w:rsid w:val="00927489"/>
    <w:rsid w:val="009277F0"/>
    <w:rsid w:val="00930C8D"/>
    <w:rsid w:val="00930EBC"/>
    <w:rsid w:val="00931AE2"/>
    <w:rsid w:val="00931C16"/>
    <w:rsid w:val="00932A26"/>
    <w:rsid w:val="00932B08"/>
    <w:rsid w:val="00933241"/>
    <w:rsid w:val="0093355E"/>
    <w:rsid w:val="009339B6"/>
    <w:rsid w:val="00933D2A"/>
    <w:rsid w:val="00933E6E"/>
    <w:rsid w:val="00934354"/>
    <w:rsid w:val="00934B49"/>
    <w:rsid w:val="0093504B"/>
    <w:rsid w:val="00935340"/>
    <w:rsid w:val="009355ED"/>
    <w:rsid w:val="00935627"/>
    <w:rsid w:val="0093576D"/>
    <w:rsid w:val="00935844"/>
    <w:rsid w:val="009362C2"/>
    <w:rsid w:val="00936539"/>
    <w:rsid w:val="00936709"/>
    <w:rsid w:val="00936791"/>
    <w:rsid w:val="00936934"/>
    <w:rsid w:val="00937309"/>
    <w:rsid w:val="00937A62"/>
    <w:rsid w:val="00937ADC"/>
    <w:rsid w:val="00937DB1"/>
    <w:rsid w:val="00940234"/>
    <w:rsid w:val="00941559"/>
    <w:rsid w:val="0094181F"/>
    <w:rsid w:val="00941D82"/>
    <w:rsid w:val="00941F69"/>
    <w:rsid w:val="0094237F"/>
    <w:rsid w:val="009424E1"/>
    <w:rsid w:val="0094261D"/>
    <w:rsid w:val="00942D8D"/>
    <w:rsid w:val="009435FA"/>
    <w:rsid w:val="009440BF"/>
    <w:rsid w:val="009443D9"/>
    <w:rsid w:val="00944859"/>
    <w:rsid w:val="00944F49"/>
    <w:rsid w:val="009454BC"/>
    <w:rsid w:val="009455D4"/>
    <w:rsid w:val="00945D79"/>
    <w:rsid w:val="00945FAD"/>
    <w:rsid w:val="00946D07"/>
    <w:rsid w:val="00946EED"/>
    <w:rsid w:val="00947430"/>
    <w:rsid w:val="009476A3"/>
    <w:rsid w:val="00947B8D"/>
    <w:rsid w:val="00947DFD"/>
    <w:rsid w:val="00950111"/>
    <w:rsid w:val="0095030A"/>
    <w:rsid w:val="00950328"/>
    <w:rsid w:val="00950EE5"/>
    <w:rsid w:val="009510C7"/>
    <w:rsid w:val="00952246"/>
    <w:rsid w:val="0095279D"/>
    <w:rsid w:val="00953929"/>
    <w:rsid w:val="00954086"/>
    <w:rsid w:val="00954862"/>
    <w:rsid w:val="00954B70"/>
    <w:rsid w:val="00954F4D"/>
    <w:rsid w:val="009559AF"/>
    <w:rsid w:val="0095684B"/>
    <w:rsid w:val="00956D76"/>
    <w:rsid w:val="00956E81"/>
    <w:rsid w:val="00957102"/>
    <w:rsid w:val="00957781"/>
    <w:rsid w:val="0095785E"/>
    <w:rsid w:val="0095799A"/>
    <w:rsid w:val="00957C3F"/>
    <w:rsid w:val="009600C7"/>
    <w:rsid w:val="009601E9"/>
    <w:rsid w:val="009604BE"/>
    <w:rsid w:val="009607E6"/>
    <w:rsid w:val="00960B74"/>
    <w:rsid w:val="00961427"/>
    <w:rsid w:val="00961BAC"/>
    <w:rsid w:val="00961E8E"/>
    <w:rsid w:val="00962747"/>
    <w:rsid w:val="0096332E"/>
    <w:rsid w:val="009636A9"/>
    <w:rsid w:val="009636C6"/>
    <w:rsid w:val="00963E65"/>
    <w:rsid w:val="00963EF1"/>
    <w:rsid w:val="00964248"/>
    <w:rsid w:val="00964335"/>
    <w:rsid w:val="009649B7"/>
    <w:rsid w:val="00964ADC"/>
    <w:rsid w:val="00964CB1"/>
    <w:rsid w:val="00964FF7"/>
    <w:rsid w:val="00965206"/>
    <w:rsid w:val="009659D8"/>
    <w:rsid w:val="00966102"/>
    <w:rsid w:val="00966105"/>
    <w:rsid w:val="009663E2"/>
    <w:rsid w:val="009665FA"/>
    <w:rsid w:val="00966897"/>
    <w:rsid w:val="00966C10"/>
    <w:rsid w:val="00966DDE"/>
    <w:rsid w:val="009672AA"/>
    <w:rsid w:val="00967346"/>
    <w:rsid w:val="0096799E"/>
    <w:rsid w:val="00967E7E"/>
    <w:rsid w:val="00967F46"/>
    <w:rsid w:val="009701D4"/>
    <w:rsid w:val="009706EC"/>
    <w:rsid w:val="009709AE"/>
    <w:rsid w:val="00970EBA"/>
    <w:rsid w:val="00971B98"/>
    <w:rsid w:val="00971D02"/>
    <w:rsid w:val="00971DA1"/>
    <w:rsid w:val="00972181"/>
    <w:rsid w:val="0097226A"/>
    <w:rsid w:val="00972356"/>
    <w:rsid w:val="00972A4E"/>
    <w:rsid w:val="00972B79"/>
    <w:rsid w:val="00973286"/>
    <w:rsid w:val="00973404"/>
    <w:rsid w:val="00974074"/>
    <w:rsid w:val="009740EF"/>
    <w:rsid w:val="00974248"/>
    <w:rsid w:val="00974826"/>
    <w:rsid w:val="009759D6"/>
    <w:rsid w:val="00975FA5"/>
    <w:rsid w:val="009760A8"/>
    <w:rsid w:val="00976505"/>
    <w:rsid w:val="0097655F"/>
    <w:rsid w:val="009766CF"/>
    <w:rsid w:val="009768B8"/>
    <w:rsid w:val="00976932"/>
    <w:rsid w:val="009775A8"/>
    <w:rsid w:val="00977C6C"/>
    <w:rsid w:val="00977F48"/>
    <w:rsid w:val="00977F68"/>
    <w:rsid w:val="00977FBF"/>
    <w:rsid w:val="009809DE"/>
    <w:rsid w:val="00980AD7"/>
    <w:rsid w:val="00980E94"/>
    <w:rsid w:val="009823EC"/>
    <w:rsid w:val="00982B0B"/>
    <w:rsid w:val="00982CEA"/>
    <w:rsid w:val="00982D48"/>
    <w:rsid w:val="00983A89"/>
    <w:rsid w:val="009842F9"/>
    <w:rsid w:val="00984333"/>
    <w:rsid w:val="0098463E"/>
    <w:rsid w:val="009847C8"/>
    <w:rsid w:val="00985213"/>
    <w:rsid w:val="009855AD"/>
    <w:rsid w:val="00985A95"/>
    <w:rsid w:val="00985BCE"/>
    <w:rsid w:val="00985C84"/>
    <w:rsid w:val="009864C6"/>
    <w:rsid w:val="00986DFB"/>
    <w:rsid w:val="0098726B"/>
    <w:rsid w:val="009907CF"/>
    <w:rsid w:val="00990EFC"/>
    <w:rsid w:val="00990FB8"/>
    <w:rsid w:val="009914F8"/>
    <w:rsid w:val="00991864"/>
    <w:rsid w:val="00991914"/>
    <w:rsid w:val="009919A5"/>
    <w:rsid w:val="00991D42"/>
    <w:rsid w:val="00992A32"/>
    <w:rsid w:val="00992CC0"/>
    <w:rsid w:val="00992DC4"/>
    <w:rsid w:val="009936B6"/>
    <w:rsid w:val="0099384B"/>
    <w:rsid w:val="009949D6"/>
    <w:rsid w:val="00994DE8"/>
    <w:rsid w:val="0099560C"/>
    <w:rsid w:val="00995B51"/>
    <w:rsid w:val="00995B7E"/>
    <w:rsid w:val="00995BA7"/>
    <w:rsid w:val="00995C4B"/>
    <w:rsid w:val="00995FAA"/>
    <w:rsid w:val="00996A73"/>
    <w:rsid w:val="00996C06"/>
    <w:rsid w:val="00996C8B"/>
    <w:rsid w:val="00996F5D"/>
    <w:rsid w:val="0099756F"/>
    <w:rsid w:val="00997A23"/>
    <w:rsid w:val="00997BB3"/>
    <w:rsid w:val="009A0814"/>
    <w:rsid w:val="009A0A54"/>
    <w:rsid w:val="009A0F24"/>
    <w:rsid w:val="009A0FE2"/>
    <w:rsid w:val="009A123B"/>
    <w:rsid w:val="009A12F6"/>
    <w:rsid w:val="009A148B"/>
    <w:rsid w:val="009A1CFC"/>
    <w:rsid w:val="009A2837"/>
    <w:rsid w:val="009A30D2"/>
    <w:rsid w:val="009A3A93"/>
    <w:rsid w:val="009A3BFA"/>
    <w:rsid w:val="009A3F33"/>
    <w:rsid w:val="009A40AF"/>
    <w:rsid w:val="009A5234"/>
    <w:rsid w:val="009A574C"/>
    <w:rsid w:val="009A5EF3"/>
    <w:rsid w:val="009A63BD"/>
    <w:rsid w:val="009A658A"/>
    <w:rsid w:val="009A6E1E"/>
    <w:rsid w:val="009A6E3E"/>
    <w:rsid w:val="009A77A8"/>
    <w:rsid w:val="009A79E9"/>
    <w:rsid w:val="009A7B7E"/>
    <w:rsid w:val="009A7C40"/>
    <w:rsid w:val="009B0694"/>
    <w:rsid w:val="009B0AAB"/>
    <w:rsid w:val="009B0BD5"/>
    <w:rsid w:val="009B1B6C"/>
    <w:rsid w:val="009B1EEE"/>
    <w:rsid w:val="009B26F2"/>
    <w:rsid w:val="009B2B27"/>
    <w:rsid w:val="009B2FD7"/>
    <w:rsid w:val="009B3941"/>
    <w:rsid w:val="009B3F53"/>
    <w:rsid w:val="009B410F"/>
    <w:rsid w:val="009B43A0"/>
    <w:rsid w:val="009B4870"/>
    <w:rsid w:val="009B4AF1"/>
    <w:rsid w:val="009B4EC8"/>
    <w:rsid w:val="009B52EE"/>
    <w:rsid w:val="009B5425"/>
    <w:rsid w:val="009B598C"/>
    <w:rsid w:val="009B5AD3"/>
    <w:rsid w:val="009B5B4E"/>
    <w:rsid w:val="009B70CC"/>
    <w:rsid w:val="009B792C"/>
    <w:rsid w:val="009B7CCD"/>
    <w:rsid w:val="009B7E39"/>
    <w:rsid w:val="009C0391"/>
    <w:rsid w:val="009C083B"/>
    <w:rsid w:val="009C09F3"/>
    <w:rsid w:val="009C0A1B"/>
    <w:rsid w:val="009C0A94"/>
    <w:rsid w:val="009C0AC2"/>
    <w:rsid w:val="009C0ECA"/>
    <w:rsid w:val="009C0F7F"/>
    <w:rsid w:val="009C1664"/>
    <w:rsid w:val="009C1A18"/>
    <w:rsid w:val="009C1B2A"/>
    <w:rsid w:val="009C2901"/>
    <w:rsid w:val="009C2D1E"/>
    <w:rsid w:val="009C310F"/>
    <w:rsid w:val="009C331F"/>
    <w:rsid w:val="009C33B0"/>
    <w:rsid w:val="009C39A5"/>
    <w:rsid w:val="009C3A12"/>
    <w:rsid w:val="009C3D44"/>
    <w:rsid w:val="009C3DB2"/>
    <w:rsid w:val="009C45FC"/>
    <w:rsid w:val="009C484F"/>
    <w:rsid w:val="009C4A01"/>
    <w:rsid w:val="009C4A35"/>
    <w:rsid w:val="009C4AD0"/>
    <w:rsid w:val="009C4BC2"/>
    <w:rsid w:val="009C52F6"/>
    <w:rsid w:val="009C579C"/>
    <w:rsid w:val="009C5B8A"/>
    <w:rsid w:val="009C714E"/>
    <w:rsid w:val="009C74D0"/>
    <w:rsid w:val="009C75AA"/>
    <w:rsid w:val="009D1426"/>
    <w:rsid w:val="009D25BF"/>
    <w:rsid w:val="009D2A7A"/>
    <w:rsid w:val="009D3145"/>
    <w:rsid w:val="009D3742"/>
    <w:rsid w:val="009D3796"/>
    <w:rsid w:val="009D3982"/>
    <w:rsid w:val="009D3C33"/>
    <w:rsid w:val="009D3D6C"/>
    <w:rsid w:val="009D3DB3"/>
    <w:rsid w:val="009D42C5"/>
    <w:rsid w:val="009D437A"/>
    <w:rsid w:val="009D517B"/>
    <w:rsid w:val="009D51CE"/>
    <w:rsid w:val="009D51D2"/>
    <w:rsid w:val="009D52F4"/>
    <w:rsid w:val="009D6672"/>
    <w:rsid w:val="009E003F"/>
    <w:rsid w:val="009E1089"/>
    <w:rsid w:val="009E1569"/>
    <w:rsid w:val="009E19CC"/>
    <w:rsid w:val="009E1A35"/>
    <w:rsid w:val="009E23BC"/>
    <w:rsid w:val="009E27CE"/>
    <w:rsid w:val="009E2B3A"/>
    <w:rsid w:val="009E2BDA"/>
    <w:rsid w:val="009E2F85"/>
    <w:rsid w:val="009E333C"/>
    <w:rsid w:val="009E3515"/>
    <w:rsid w:val="009E36E2"/>
    <w:rsid w:val="009E4868"/>
    <w:rsid w:val="009E49D8"/>
    <w:rsid w:val="009E4B7E"/>
    <w:rsid w:val="009E515D"/>
    <w:rsid w:val="009E55B6"/>
    <w:rsid w:val="009E560F"/>
    <w:rsid w:val="009E58CB"/>
    <w:rsid w:val="009E6A3F"/>
    <w:rsid w:val="009E6C96"/>
    <w:rsid w:val="009E6EC9"/>
    <w:rsid w:val="009E6FE6"/>
    <w:rsid w:val="009E7035"/>
    <w:rsid w:val="009E769C"/>
    <w:rsid w:val="009F008E"/>
    <w:rsid w:val="009F0CD0"/>
    <w:rsid w:val="009F11C2"/>
    <w:rsid w:val="009F124E"/>
    <w:rsid w:val="009F12F5"/>
    <w:rsid w:val="009F1E9F"/>
    <w:rsid w:val="009F25D5"/>
    <w:rsid w:val="009F29FE"/>
    <w:rsid w:val="009F31A1"/>
    <w:rsid w:val="009F5069"/>
    <w:rsid w:val="009F5364"/>
    <w:rsid w:val="009F5421"/>
    <w:rsid w:val="009F5E4A"/>
    <w:rsid w:val="009F6154"/>
    <w:rsid w:val="009F63E1"/>
    <w:rsid w:val="009F668F"/>
    <w:rsid w:val="009F697E"/>
    <w:rsid w:val="009F70E4"/>
    <w:rsid w:val="009F7E71"/>
    <w:rsid w:val="00A010DB"/>
    <w:rsid w:val="00A01AA3"/>
    <w:rsid w:val="00A01AD0"/>
    <w:rsid w:val="00A01CB9"/>
    <w:rsid w:val="00A01D5F"/>
    <w:rsid w:val="00A01DB5"/>
    <w:rsid w:val="00A01E32"/>
    <w:rsid w:val="00A03034"/>
    <w:rsid w:val="00A03081"/>
    <w:rsid w:val="00A03171"/>
    <w:rsid w:val="00A037F5"/>
    <w:rsid w:val="00A0399C"/>
    <w:rsid w:val="00A03EE5"/>
    <w:rsid w:val="00A042AD"/>
    <w:rsid w:val="00A04A10"/>
    <w:rsid w:val="00A04A18"/>
    <w:rsid w:val="00A04A92"/>
    <w:rsid w:val="00A0512B"/>
    <w:rsid w:val="00A054FB"/>
    <w:rsid w:val="00A05CE8"/>
    <w:rsid w:val="00A05F8E"/>
    <w:rsid w:val="00A06BD8"/>
    <w:rsid w:val="00A06C4D"/>
    <w:rsid w:val="00A06ED0"/>
    <w:rsid w:val="00A075DD"/>
    <w:rsid w:val="00A0784D"/>
    <w:rsid w:val="00A10002"/>
    <w:rsid w:val="00A1008F"/>
    <w:rsid w:val="00A1053A"/>
    <w:rsid w:val="00A10956"/>
    <w:rsid w:val="00A109CA"/>
    <w:rsid w:val="00A1156D"/>
    <w:rsid w:val="00A1159F"/>
    <w:rsid w:val="00A119AF"/>
    <w:rsid w:val="00A11DE1"/>
    <w:rsid w:val="00A1255C"/>
    <w:rsid w:val="00A128F9"/>
    <w:rsid w:val="00A12B50"/>
    <w:rsid w:val="00A12DB6"/>
    <w:rsid w:val="00A13339"/>
    <w:rsid w:val="00A13405"/>
    <w:rsid w:val="00A135ED"/>
    <w:rsid w:val="00A13C85"/>
    <w:rsid w:val="00A144EA"/>
    <w:rsid w:val="00A14829"/>
    <w:rsid w:val="00A14A3E"/>
    <w:rsid w:val="00A14CFE"/>
    <w:rsid w:val="00A14D45"/>
    <w:rsid w:val="00A14F9F"/>
    <w:rsid w:val="00A15027"/>
    <w:rsid w:val="00A153A2"/>
    <w:rsid w:val="00A1594D"/>
    <w:rsid w:val="00A15CFB"/>
    <w:rsid w:val="00A16DDE"/>
    <w:rsid w:val="00A1726B"/>
    <w:rsid w:val="00A1734E"/>
    <w:rsid w:val="00A17732"/>
    <w:rsid w:val="00A17D99"/>
    <w:rsid w:val="00A17E31"/>
    <w:rsid w:val="00A20099"/>
    <w:rsid w:val="00A207EF"/>
    <w:rsid w:val="00A21391"/>
    <w:rsid w:val="00A2199F"/>
    <w:rsid w:val="00A21C65"/>
    <w:rsid w:val="00A2233E"/>
    <w:rsid w:val="00A22E81"/>
    <w:rsid w:val="00A238DE"/>
    <w:rsid w:val="00A23E54"/>
    <w:rsid w:val="00A242A4"/>
    <w:rsid w:val="00A252DD"/>
    <w:rsid w:val="00A256EE"/>
    <w:rsid w:val="00A259C7"/>
    <w:rsid w:val="00A25DDA"/>
    <w:rsid w:val="00A25FD8"/>
    <w:rsid w:val="00A26255"/>
    <w:rsid w:val="00A26455"/>
    <w:rsid w:val="00A2650D"/>
    <w:rsid w:val="00A26C31"/>
    <w:rsid w:val="00A27871"/>
    <w:rsid w:val="00A279A7"/>
    <w:rsid w:val="00A3055F"/>
    <w:rsid w:val="00A30874"/>
    <w:rsid w:val="00A3135F"/>
    <w:rsid w:val="00A31DC6"/>
    <w:rsid w:val="00A31F51"/>
    <w:rsid w:val="00A32034"/>
    <w:rsid w:val="00A325D5"/>
    <w:rsid w:val="00A325DE"/>
    <w:rsid w:val="00A3277C"/>
    <w:rsid w:val="00A32B6F"/>
    <w:rsid w:val="00A32BE9"/>
    <w:rsid w:val="00A32E14"/>
    <w:rsid w:val="00A33574"/>
    <w:rsid w:val="00A339AB"/>
    <w:rsid w:val="00A33B1C"/>
    <w:rsid w:val="00A33F0D"/>
    <w:rsid w:val="00A3447F"/>
    <w:rsid w:val="00A3494D"/>
    <w:rsid w:val="00A34C43"/>
    <w:rsid w:val="00A34D62"/>
    <w:rsid w:val="00A351E8"/>
    <w:rsid w:val="00A358C8"/>
    <w:rsid w:val="00A35A19"/>
    <w:rsid w:val="00A35F90"/>
    <w:rsid w:val="00A371A9"/>
    <w:rsid w:val="00A37782"/>
    <w:rsid w:val="00A400EB"/>
    <w:rsid w:val="00A401C3"/>
    <w:rsid w:val="00A405DD"/>
    <w:rsid w:val="00A4062D"/>
    <w:rsid w:val="00A40CC5"/>
    <w:rsid w:val="00A414E0"/>
    <w:rsid w:val="00A417D5"/>
    <w:rsid w:val="00A41964"/>
    <w:rsid w:val="00A43935"/>
    <w:rsid w:val="00A439CC"/>
    <w:rsid w:val="00A43BEC"/>
    <w:rsid w:val="00A43E3A"/>
    <w:rsid w:val="00A43FF8"/>
    <w:rsid w:val="00A44C36"/>
    <w:rsid w:val="00A44D15"/>
    <w:rsid w:val="00A45068"/>
    <w:rsid w:val="00A45430"/>
    <w:rsid w:val="00A45734"/>
    <w:rsid w:val="00A45C40"/>
    <w:rsid w:val="00A45E11"/>
    <w:rsid w:val="00A46029"/>
    <w:rsid w:val="00A46159"/>
    <w:rsid w:val="00A46264"/>
    <w:rsid w:val="00A469DF"/>
    <w:rsid w:val="00A46BF6"/>
    <w:rsid w:val="00A46D56"/>
    <w:rsid w:val="00A4784E"/>
    <w:rsid w:val="00A47920"/>
    <w:rsid w:val="00A500A5"/>
    <w:rsid w:val="00A5021B"/>
    <w:rsid w:val="00A50D7A"/>
    <w:rsid w:val="00A50D8B"/>
    <w:rsid w:val="00A50EF1"/>
    <w:rsid w:val="00A514D1"/>
    <w:rsid w:val="00A5165D"/>
    <w:rsid w:val="00A517DF"/>
    <w:rsid w:val="00A51B3B"/>
    <w:rsid w:val="00A51FE8"/>
    <w:rsid w:val="00A523CE"/>
    <w:rsid w:val="00A52979"/>
    <w:rsid w:val="00A532A7"/>
    <w:rsid w:val="00A53331"/>
    <w:rsid w:val="00A533F6"/>
    <w:rsid w:val="00A53AA2"/>
    <w:rsid w:val="00A53C7A"/>
    <w:rsid w:val="00A54489"/>
    <w:rsid w:val="00A54824"/>
    <w:rsid w:val="00A5496F"/>
    <w:rsid w:val="00A55042"/>
    <w:rsid w:val="00A5522F"/>
    <w:rsid w:val="00A55530"/>
    <w:rsid w:val="00A55650"/>
    <w:rsid w:val="00A56053"/>
    <w:rsid w:val="00A56193"/>
    <w:rsid w:val="00A566A2"/>
    <w:rsid w:val="00A56B79"/>
    <w:rsid w:val="00A578DB"/>
    <w:rsid w:val="00A57E69"/>
    <w:rsid w:val="00A57E9D"/>
    <w:rsid w:val="00A606ED"/>
    <w:rsid w:val="00A60C41"/>
    <w:rsid w:val="00A60ECD"/>
    <w:rsid w:val="00A6119A"/>
    <w:rsid w:val="00A615A4"/>
    <w:rsid w:val="00A6192E"/>
    <w:rsid w:val="00A62C54"/>
    <w:rsid w:val="00A62EEC"/>
    <w:rsid w:val="00A63903"/>
    <w:rsid w:val="00A63D3D"/>
    <w:rsid w:val="00A64389"/>
    <w:rsid w:val="00A64CEE"/>
    <w:rsid w:val="00A64D70"/>
    <w:rsid w:val="00A6517E"/>
    <w:rsid w:val="00A65BF1"/>
    <w:rsid w:val="00A660F9"/>
    <w:rsid w:val="00A66191"/>
    <w:rsid w:val="00A66494"/>
    <w:rsid w:val="00A66631"/>
    <w:rsid w:val="00A6726C"/>
    <w:rsid w:val="00A70C70"/>
    <w:rsid w:val="00A71538"/>
    <w:rsid w:val="00A71771"/>
    <w:rsid w:val="00A71A5C"/>
    <w:rsid w:val="00A71AD2"/>
    <w:rsid w:val="00A71C85"/>
    <w:rsid w:val="00A71E6B"/>
    <w:rsid w:val="00A721E6"/>
    <w:rsid w:val="00A7248E"/>
    <w:rsid w:val="00A728D0"/>
    <w:rsid w:val="00A72D37"/>
    <w:rsid w:val="00A734EE"/>
    <w:rsid w:val="00A7441A"/>
    <w:rsid w:val="00A7491B"/>
    <w:rsid w:val="00A7494B"/>
    <w:rsid w:val="00A7522C"/>
    <w:rsid w:val="00A7526C"/>
    <w:rsid w:val="00A75420"/>
    <w:rsid w:val="00A75660"/>
    <w:rsid w:val="00A75EF0"/>
    <w:rsid w:val="00A760F4"/>
    <w:rsid w:val="00A768BE"/>
    <w:rsid w:val="00A76C37"/>
    <w:rsid w:val="00A776AE"/>
    <w:rsid w:val="00A77A57"/>
    <w:rsid w:val="00A77D3F"/>
    <w:rsid w:val="00A8032B"/>
    <w:rsid w:val="00A80434"/>
    <w:rsid w:val="00A80B70"/>
    <w:rsid w:val="00A80BC6"/>
    <w:rsid w:val="00A81033"/>
    <w:rsid w:val="00A81569"/>
    <w:rsid w:val="00A81714"/>
    <w:rsid w:val="00A817EF"/>
    <w:rsid w:val="00A81C79"/>
    <w:rsid w:val="00A82295"/>
    <w:rsid w:val="00A825DF"/>
    <w:rsid w:val="00A836FC"/>
    <w:rsid w:val="00A83DD1"/>
    <w:rsid w:val="00A84054"/>
    <w:rsid w:val="00A8487C"/>
    <w:rsid w:val="00A84A3D"/>
    <w:rsid w:val="00A84D9B"/>
    <w:rsid w:val="00A85071"/>
    <w:rsid w:val="00A855B6"/>
    <w:rsid w:val="00A85699"/>
    <w:rsid w:val="00A856D6"/>
    <w:rsid w:val="00A85893"/>
    <w:rsid w:val="00A85E42"/>
    <w:rsid w:val="00A85F1C"/>
    <w:rsid w:val="00A85F6B"/>
    <w:rsid w:val="00A86153"/>
    <w:rsid w:val="00A86294"/>
    <w:rsid w:val="00A86BE9"/>
    <w:rsid w:val="00A86C3F"/>
    <w:rsid w:val="00A86DD7"/>
    <w:rsid w:val="00A87B59"/>
    <w:rsid w:val="00A902DE"/>
    <w:rsid w:val="00A90D36"/>
    <w:rsid w:val="00A916EA"/>
    <w:rsid w:val="00A91BF4"/>
    <w:rsid w:val="00A91D5A"/>
    <w:rsid w:val="00A91D5F"/>
    <w:rsid w:val="00A91F53"/>
    <w:rsid w:val="00A92662"/>
    <w:rsid w:val="00A93225"/>
    <w:rsid w:val="00A934D2"/>
    <w:rsid w:val="00A9396B"/>
    <w:rsid w:val="00A93B2C"/>
    <w:rsid w:val="00A93DF2"/>
    <w:rsid w:val="00A940EC"/>
    <w:rsid w:val="00A94258"/>
    <w:rsid w:val="00A955E7"/>
    <w:rsid w:val="00A95E1B"/>
    <w:rsid w:val="00A963ED"/>
    <w:rsid w:val="00A969BA"/>
    <w:rsid w:val="00A96B17"/>
    <w:rsid w:val="00A96D23"/>
    <w:rsid w:val="00A9764E"/>
    <w:rsid w:val="00A9773B"/>
    <w:rsid w:val="00A97A20"/>
    <w:rsid w:val="00A97C97"/>
    <w:rsid w:val="00AA0208"/>
    <w:rsid w:val="00AA035D"/>
    <w:rsid w:val="00AA0655"/>
    <w:rsid w:val="00AA0E21"/>
    <w:rsid w:val="00AA169E"/>
    <w:rsid w:val="00AA1850"/>
    <w:rsid w:val="00AA1CA1"/>
    <w:rsid w:val="00AA2024"/>
    <w:rsid w:val="00AA2ECE"/>
    <w:rsid w:val="00AA301F"/>
    <w:rsid w:val="00AA31B4"/>
    <w:rsid w:val="00AA330E"/>
    <w:rsid w:val="00AA3925"/>
    <w:rsid w:val="00AA3C50"/>
    <w:rsid w:val="00AA49C5"/>
    <w:rsid w:val="00AA515D"/>
    <w:rsid w:val="00AA5725"/>
    <w:rsid w:val="00AA59CF"/>
    <w:rsid w:val="00AA59FE"/>
    <w:rsid w:val="00AA6AEC"/>
    <w:rsid w:val="00AA6DA2"/>
    <w:rsid w:val="00AA79AB"/>
    <w:rsid w:val="00AA7A03"/>
    <w:rsid w:val="00AA7F6C"/>
    <w:rsid w:val="00AA7F6F"/>
    <w:rsid w:val="00AB03AA"/>
    <w:rsid w:val="00AB058E"/>
    <w:rsid w:val="00AB0669"/>
    <w:rsid w:val="00AB06B6"/>
    <w:rsid w:val="00AB0EB0"/>
    <w:rsid w:val="00AB0F3E"/>
    <w:rsid w:val="00AB162D"/>
    <w:rsid w:val="00AB1B9C"/>
    <w:rsid w:val="00AB1BC6"/>
    <w:rsid w:val="00AB1D53"/>
    <w:rsid w:val="00AB2552"/>
    <w:rsid w:val="00AB2C91"/>
    <w:rsid w:val="00AB2DC1"/>
    <w:rsid w:val="00AB2E88"/>
    <w:rsid w:val="00AB2F3C"/>
    <w:rsid w:val="00AB32DD"/>
    <w:rsid w:val="00AB34E6"/>
    <w:rsid w:val="00AB3597"/>
    <w:rsid w:val="00AB3FE2"/>
    <w:rsid w:val="00AB4463"/>
    <w:rsid w:val="00AB471D"/>
    <w:rsid w:val="00AB485F"/>
    <w:rsid w:val="00AB4B1C"/>
    <w:rsid w:val="00AB5553"/>
    <w:rsid w:val="00AB6F75"/>
    <w:rsid w:val="00AB73C6"/>
    <w:rsid w:val="00AC0068"/>
    <w:rsid w:val="00AC017B"/>
    <w:rsid w:val="00AC08DE"/>
    <w:rsid w:val="00AC0E12"/>
    <w:rsid w:val="00AC13E7"/>
    <w:rsid w:val="00AC1B95"/>
    <w:rsid w:val="00AC1BE7"/>
    <w:rsid w:val="00AC1EBC"/>
    <w:rsid w:val="00AC2204"/>
    <w:rsid w:val="00AC27EF"/>
    <w:rsid w:val="00AC2C8E"/>
    <w:rsid w:val="00AC348A"/>
    <w:rsid w:val="00AC34D1"/>
    <w:rsid w:val="00AC39BB"/>
    <w:rsid w:val="00AC40C5"/>
    <w:rsid w:val="00AC41D2"/>
    <w:rsid w:val="00AC45F4"/>
    <w:rsid w:val="00AC4A4A"/>
    <w:rsid w:val="00AC504D"/>
    <w:rsid w:val="00AC5556"/>
    <w:rsid w:val="00AC568E"/>
    <w:rsid w:val="00AC5D69"/>
    <w:rsid w:val="00AC5DF4"/>
    <w:rsid w:val="00AC66A6"/>
    <w:rsid w:val="00AC6785"/>
    <w:rsid w:val="00AC6B87"/>
    <w:rsid w:val="00AC7354"/>
    <w:rsid w:val="00AC7485"/>
    <w:rsid w:val="00AC7840"/>
    <w:rsid w:val="00AC7898"/>
    <w:rsid w:val="00AC7967"/>
    <w:rsid w:val="00AC7A3B"/>
    <w:rsid w:val="00AC7BFE"/>
    <w:rsid w:val="00AD0157"/>
    <w:rsid w:val="00AD0D9C"/>
    <w:rsid w:val="00AD164D"/>
    <w:rsid w:val="00AD2391"/>
    <w:rsid w:val="00AD2DE1"/>
    <w:rsid w:val="00AD38DE"/>
    <w:rsid w:val="00AD41B3"/>
    <w:rsid w:val="00AD44F3"/>
    <w:rsid w:val="00AD47D4"/>
    <w:rsid w:val="00AD49ED"/>
    <w:rsid w:val="00AD4F11"/>
    <w:rsid w:val="00AD6ADA"/>
    <w:rsid w:val="00AD7872"/>
    <w:rsid w:val="00AD78F3"/>
    <w:rsid w:val="00AD7E3F"/>
    <w:rsid w:val="00AE0189"/>
    <w:rsid w:val="00AE069B"/>
    <w:rsid w:val="00AE0BAB"/>
    <w:rsid w:val="00AE12A8"/>
    <w:rsid w:val="00AE19BA"/>
    <w:rsid w:val="00AE1F79"/>
    <w:rsid w:val="00AE2AB3"/>
    <w:rsid w:val="00AE2AD1"/>
    <w:rsid w:val="00AE2B18"/>
    <w:rsid w:val="00AE2E83"/>
    <w:rsid w:val="00AE2FA9"/>
    <w:rsid w:val="00AE4771"/>
    <w:rsid w:val="00AE4844"/>
    <w:rsid w:val="00AE4B32"/>
    <w:rsid w:val="00AE501B"/>
    <w:rsid w:val="00AE6045"/>
    <w:rsid w:val="00AE611C"/>
    <w:rsid w:val="00AE628C"/>
    <w:rsid w:val="00AE6395"/>
    <w:rsid w:val="00AE69D9"/>
    <w:rsid w:val="00AE6B44"/>
    <w:rsid w:val="00AE6C6F"/>
    <w:rsid w:val="00AE6F38"/>
    <w:rsid w:val="00AE71D4"/>
    <w:rsid w:val="00AE75A9"/>
    <w:rsid w:val="00AE7F33"/>
    <w:rsid w:val="00AF01E3"/>
    <w:rsid w:val="00AF0E6A"/>
    <w:rsid w:val="00AF0E7E"/>
    <w:rsid w:val="00AF1108"/>
    <w:rsid w:val="00AF1306"/>
    <w:rsid w:val="00AF1594"/>
    <w:rsid w:val="00AF180D"/>
    <w:rsid w:val="00AF2149"/>
    <w:rsid w:val="00AF21C7"/>
    <w:rsid w:val="00AF221F"/>
    <w:rsid w:val="00AF2770"/>
    <w:rsid w:val="00AF2EB4"/>
    <w:rsid w:val="00AF3165"/>
    <w:rsid w:val="00AF3177"/>
    <w:rsid w:val="00AF464D"/>
    <w:rsid w:val="00AF484A"/>
    <w:rsid w:val="00AF5044"/>
    <w:rsid w:val="00AF55B3"/>
    <w:rsid w:val="00AF712B"/>
    <w:rsid w:val="00AF7265"/>
    <w:rsid w:val="00AF7F82"/>
    <w:rsid w:val="00AF7FB7"/>
    <w:rsid w:val="00B00095"/>
    <w:rsid w:val="00B006BB"/>
    <w:rsid w:val="00B00758"/>
    <w:rsid w:val="00B01CF3"/>
    <w:rsid w:val="00B0208F"/>
    <w:rsid w:val="00B020AC"/>
    <w:rsid w:val="00B0256F"/>
    <w:rsid w:val="00B02816"/>
    <w:rsid w:val="00B02A53"/>
    <w:rsid w:val="00B02AD1"/>
    <w:rsid w:val="00B02FB1"/>
    <w:rsid w:val="00B042CF"/>
    <w:rsid w:val="00B04498"/>
    <w:rsid w:val="00B04828"/>
    <w:rsid w:val="00B0549B"/>
    <w:rsid w:val="00B055D2"/>
    <w:rsid w:val="00B0597C"/>
    <w:rsid w:val="00B05CD6"/>
    <w:rsid w:val="00B05EA3"/>
    <w:rsid w:val="00B05FAF"/>
    <w:rsid w:val="00B069F1"/>
    <w:rsid w:val="00B06E08"/>
    <w:rsid w:val="00B071C9"/>
    <w:rsid w:val="00B07215"/>
    <w:rsid w:val="00B07345"/>
    <w:rsid w:val="00B07481"/>
    <w:rsid w:val="00B075F2"/>
    <w:rsid w:val="00B0767B"/>
    <w:rsid w:val="00B076FE"/>
    <w:rsid w:val="00B07A80"/>
    <w:rsid w:val="00B07EFD"/>
    <w:rsid w:val="00B10245"/>
    <w:rsid w:val="00B10312"/>
    <w:rsid w:val="00B109B9"/>
    <w:rsid w:val="00B116D9"/>
    <w:rsid w:val="00B1194E"/>
    <w:rsid w:val="00B11CA9"/>
    <w:rsid w:val="00B1287C"/>
    <w:rsid w:val="00B134D7"/>
    <w:rsid w:val="00B13C35"/>
    <w:rsid w:val="00B13C4B"/>
    <w:rsid w:val="00B13F00"/>
    <w:rsid w:val="00B14D88"/>
    <w:rsid w:val="00B15119"/>
    <w:rsid w:val="00B151D5"/>
    <w:rsid w:val="00B15D63"/>
    <w:rsid w:val="00B16E27"/>
    <w:rsid w:val="00B16F64"/>
    <w:rsid w:val="00B16F71"/>
    <w:rsid w:val="00B1734A"/>
    <w:rsid w:val="00B202F5"/>
    <w:rsid w:val="00B20F43"/>
    <w:rsid w:val="00B21358"/>
    <w:rsid w:val="00B2174D"/>
    <w:rsid w:val="00B2189E"/>
    <w:rsid w:val="00B2219C"/>
    <w:rsid w:val="00B227FA"/>
    <w:rsid w:val="00B23103"/>
    <w:rsid w:val="00B23308"/>
    <w:rsid w:val="00B23C8C"/>
    <w:rsid w:val="00B24189"/>
    <w:rsid w:val="00B24762"/>
    <w:rsid w:val="00B24888"/>
    <w:rsid w:val="00B248E5"/>
    <w:rsid w:val="00B24B0D"/>
    <w:rsid w:val="00B25357"/>
    <w:rsid w:val="00B259AB"/>
    <w:rsid w:val="00B25DCD"/>
    <w:rsid w:val="00B25DE9"/>
    <w:rsid w:val="00B25E42"/>
    <w:rsid w:val="00B26A5C"/>
    <w:rsid w:val="00B26B66"/>
    <w:rsid w:val="00B26E02"/>
    <w:rsid w:val="00B26FBD"/>
    <w:rsid w:val="00B277B1"/>
    <w:rsid w:val="00B27EE2"/>
    <w:rsid w:val="00B27F69"/>
    <w:rsid w:val="00B27F95"/>
    <w:rsid w:val="00B3050E"/>
    <w:rsid w:val="00B30702"/>
    <w:rsid w:val="00B30735"/>
    <w:rsid w:val="00B307B4"/>
    <w:rsid w:val="00B31803"/>
    <w:rsid w:val="00B319C5"/>
    <w:rsid w:val="00B31A86"/>
    <w:rsid w:val="00B31B15"/>
    <w:rsid w:val="00B320C7"/>
    <w:rsid w:val="00B320E4"/>
    <w:rsid w:val="00B32114"/>
    <w:rsid w:val="00B32BEE"/>
    <w:rsid w:val="00B32C8D"/>
    <w:rsid w:val="00B3371F"/>
    <w:rsid w:val="00B33B66"/>
    <w:rsid w:val="00B33DAE"/>
    <w:rsid w:val="00B33F37"/>
    <w:rsid w:val="00B34086"/>
    <w:rsid w:val="00B3411B"/>
    <w:rsid w:val="00B347EA"/>
    <w:rsid w:val="00B34EBB"/>
    <w:rsid w:val="00B34FB8"/>
    <w:rsid w:val="00B361D0"/>
    <w:rsid w:val="00B36228"/>
    <w:rsid w:val="00B37130"/>
    <w:rsid w:val="00B37660"/>
    <w:rsid w:val="00B37E4A"/>
    <w:rsid w:val="00B37F71"/>
    <w:rsid w:val="00B40074"/>
    <w:rsid w:val="00B405A2"/>
    <w:rsid w:val="00B40D1B"/>
    <w:rsid w:val="00B40F19"/>
    <w:rsid w:val="00B41224"/>
    <w:rsid w:val="00B41284"/>
    <w:rsid w:val="00B41BE0"/>
    <w:rsid w:val="00B42307"/>
    <w:rsid w:val="00B42385"/>
    <w:rsid w:val="00B42885"/>
    <w:rsid w:val="00B42D53"/>
    <w:rsid w:val="00B42EC9"/>
    <w:rsid w:val="00B436E1"/>
    <w:rsid w:val="00B43B27"/>
    <w:rsid w:val="00B44021"/>
    <w:rsid w:val="00B4426A"/>
    <w:rsid w:val="00B443DF"/>
    <w:rsid w:val="00B456C4"/>
    <w:rsid w:val="00B45AD9"/>
    <w:rsid w:val="00B45BBC"/>
    <w:rsid w:val="00B45FDB"/>
    <w:rsid w:val="00B46871"/>
    <w:rsid w:val="00B46873"/>
    <w:rsid w:val="00B46BB0"/>
    <w:rsid w:val="00B47034"/>
    <w:rsid w:val="00B475C4"/>
    <w:rsid w:val="00B4778A"/>
    <w:rsid w:val="00B478D2"/>
    <w:rsid w:val="00B47973"/>
    <w:rsid w:val="00B47F92"/>
    <w:rsid w:val="00B501BE"/>
    <w:rsid w:val="00B509A3"/>
    <w:rsid w:val="00B50BA0"/>
    <w:rsid w:val="00B51801"/>
    <w:rsid w:val="00B51831"/>
    <w:rsid w:val="00B5221C"/>
    <w:rsid w:val="00B523F0"/>
    <w:rsid w:val="00B52497"/>
    <w:rsid w:val="00B52B3F"/>
    <w:rsid w:val="00B52C11"/>
    <w:rsid w:val="00B52E1C"/>
    <w:rsid w:val="00B5309E"/>
    <w:rsid w:val="00B53A70"/>
    <w:rsid w:val="00B541B6"/>
    <w:rsid w:val="00B543CF"/>
    <w:rsid w:val="00B54527"/>
    <w:rsid w:val="00B5452E"/>
    <w:rsid w:val="00B55565"/>
    <w:rsid w:val="00B55F0A"/>
    <w:rsid w:val="00B5602C"/>
    <w:rsid w:val="00B56535"/>
    <w:rsid w:val="00B56D71"/>
    <w:rsid w:val="00B60301"/>
    <w:rsid w:val="00B606AF"/>
    <w:rsid w:val="00B6070F"/>
    <w:rsid w:val="00B607A6"/>
    <w:rsid w:val="00B60B7E"/>
    <w:rsid w:val="00B61D27"/>
    <w:rsid w:val="00B62F82"/>
    <w:rsid w:val="00B63035"/>
    <w:rsid w:val="00B63CC8"/>
    <w:rsid w:val="00B63D4C"/>
    <w:rsid w:val="00B6468E"/>
    <w:rsid w:val="00B64692"/>
    <w:rsid w:val="00B655DD"/>
    <w:rsid w:val="00B65661"/>
    <w:rsid w:val="00B65A01"/>
    <w:rsid w:val="00B66655"/>
    <w:rsid w:val="00B66F31"/>
    <w:rsid w:val="00B6718F"/>
    <w:rsid w:val="00B673DF"/>
    <w:rsid w:val="00B7027B"/>
    <w:rsid w:val="00B707F9"/>
    <w:rsid w:val="00B70975"/>
    <w:rsid w:val="00B70D16"/>
    <w:rsid w:val="00B710A2"/>
    <w:rsid w:val="00B713B5"/>
    <w:rsid w:val="00B714A8"/>
    <w:rsid w:val="00B71528"/>
    <w:rsid w:val="00B725E6"/>
    <w:rsid w:val="00B72AE1"/>
    <w:rsid w:val="00B72D7D"/>
    <w:rsid w:val="00B7399D"/>
    <w:rsid w:val="00B73A0F"/>
    <w:rsid w:val="00B73BA5"/>
    <w:rsid w:val="00B73DD2"/>
    <w:rsid w:val="00B74074"/>
    <w:rsid w:val="00B745D7"/>
    <w:rsid w:val="00B747AC"/>
    <w:rsid w:val="00B74FFC"/>
    <w:rsid w:val="00B7584F"/>
    <w:rsid w:val="00B758EF"/>
    <w:rsid w:val="00B75A04"/>
    <w:rsid w:val="00B75B14"/>
    <w:rsid w:val="00B75D7D"/>
    <w:rsid w:val="00B75DF3"/>
    <w:rsid w:val="00B75F17"/>
    <w:rsid w:val="00B7639D"/>
    <w:rsid w:val="00B766A0"/>
    <w:rsid w:val="00B766CC"/>
    <w:rsid w:val="00B7671D"/>
    <w:rsid w:val="00B76AB7"/>
    <w:rsid w:val="00B76E8A"/>
    <w:rsid w:val="00B76F0C"/>
    <w:rsid w:val="00B77F2A"/>
    <w:rsid w:val="00B77F6C"/>
    <w:rsid w:val="00B80359"/>
    <w:rsid w:val="00B80C00"/>
    <w:rsid w:val="00B80C08"/>
    <w:rsid w:val="00B80F2B"/>
    <w:rsid w:val="00B81B11"/>
    <w:rsid w:val="00B82A02"/>
    <w:rsid w:val="00B82A93"/>
    <w:rsid w:val="00B83434"/>
    <w:rsid w:val="00B83A99"/>
    <w:rsid w:val="00B84045"/>
    <w:rsid w:val="00B85260"/>
    <w:rsid w:val="00B855A7"/>
    <w:rsid w:val="00B85AEC"/>
    <w:rsid w:val="00B86DE3"/>
    <w:rsid w:val="00B870EA"/>
    <w:rsid w:val="00B8743F"/>
    <w:rsid w:val="00B87AED"/>
    <w:rsid w:val="00B90078"/>
    <w:rsid w:val="00B901DF"/>
    <w:rsid w:val="00B907ED"/>
    <w:rsid w:val="00B90AC7"/>
    <w:rsid w:val="00B910FC"/>
    <w:rsid w:val="00B91557"/>
    <w:rsid w:val="00B9164F"/>
    <w:rsid w:val="00B918E0"/>
    <w:rsid w:val="00B91AF1"/>
    <w:rsid w:val="00B91D3C"/>
    <w:rsid w:val="00B91DFD"/>
    <w:rsid w:val="00B92406"/>
    <w:rsid w:val="00B92C19"/>
    <w:rsid w:val="00B92CCB"/>
    <w:rsid w:val="00B92F06"/>
    <w:rsid w:val="00B933C3"/>
    <w:rsid w:val="00B93791"/>
    <w:rsid w:val="00B938AA"/>
    <w:rsid w:val="00B93B8B"/>
    <w:rsid w:val="00B93FEA"/>
    <w:rsid w:val="00B9475B"/>
    <w:rsid w:val="00B94899"/>
    <w:rsid w:val="00B94C41"/>
    <w:rsid w:val="00B9564A"/>
    <w:rsid w:val="00B95FAA"/>
    <w:rsid w:val="00B96522"/>
    <w:rsid w:val="00B9654A"/>
    <w:rsid w:val="00B9660C"/>
    <w:rsid w:val="00B96741"/>
    <w:rsid w:val="00B96D6E"/>
    <w:rsid w:val="00B9728A"/>
    <w:rsid w:val="00B97430"/>
    <w:rsid w:val="00BA09D5"/>
    <w:rsid w:val="00BA14AD"/>
    <w:rsid w:val="00BA15BF"/>
    <w:rsid w:val="00BA185C"/>
    <w:rsid w:val="00BA18F4"/>
    <w:rsid w:val="00BA1E4F"/>
    <w:rsid w:val="00BA2641"/>
    <w:rsid w:val="00BA2719"/>
    <w:rsid w:val="00BA28A9"/>
    <w:rsid w:val="00BA2D1D"/>
    <w:rsid w:val="00BA2DD8"/>
    <w:rsid w:val="00BA33E3"/>
    <w:rsid w:val="00BA34A4"/>
    <w:rsid w:val="00BA3605"/>
    <w:rsid w:val="00BA3BF5"/>
    <w:rsid w:val="00BA3C98"/>
    <w:rsid w:val="00BA3F86"/>
    <w:rsid w:val="00BA452D"/>
    <w:rsid w:val="00BA4845"/>
    <w:rsid w:val="00BA48B1"/>
    <w:rsid w:val="00BA492A"/>
    <w:rsid w:val="00BA4B06"/>
    <w:rsid w:val="00BA4DAA"/>
    <w:rsid w:val="00BA4FB0"/>
    <w:rsid w:val="00BA53C7"/>
    <w:rsid w:val="00BA5466"/>
    <w:rsid w:val="00BA63FA"/>
    <w:rsid w:val="00BA696D"/>
    <w:rsid w:val="00BA726C"/>
    <w:rsid w:val="00BA7A1E"/>
    <w:rsid w:val="00BB025F"/>
    <w:rsid w:val="00BB0492"/>
    <w:rsid w:val="00BB0728"/>
    <w:rsid w:val="00BB0A1C"/>
    <w:rsid w:val="00BB0AAD"/>
    <w:rsid w:val="00BB16E8"/>
    <w:rsid w:val="00BB1743"/>
    <w:rsid w:val="00BB1BB1"/>
    <w:rsid w:val="00BB1D5D"/>
    <w:rsid w:val="00BB2455"/>
    <w:rsid w:val="00BB2564"/>
    <w:rsid w:val="00BB29C8"/>
    <w:rsid w:val="00BB33F0"/>
    <w:rsid w:val="00BB38B6"/>
    <w:rsid w:val="00BB38FE"/>
    <w:rsid w:val="00BB3A3A"/>
    <w:rsid w:val="00BB3BC0"/>
    <w:rsid w:val="00BB41CC"/>
    <w:rsid w:val="00BB497F"/>
    <w:rsid w:val="00BB4CF1"/>
    <w:rsid w:val="00BB52A8"/>
    <w:rsid w:val="00BB5471"/>
    <w:rsid w:val="00BB55AE"/>
    <w:rsid w:val="00BB569D"/>
    <w:rsid w:val="00BB5DEA"/>
    <w:rsid w:val="00BB5EC5"/>
    <w:rsid w:val="00BB6516"/>
    <w:rsid w:val="00BB6B67"/>
    <w:rsid w:val="00BB70C7"/>
    <w:rsid w:val="00BB79DF"/>
    <w:rsid w:val="00BC0062"/>
    <w:rsid w:val="00BC10C8"/>
    <w:rsid w:val="00BC11F5"/>
    <w:rsid w:val="00BC12E9"/>
    <w:rsid w:val="00BC132B"/>
    <w:rsid w:val="00BC1C79"/>
    <w:rsid w:val="00BC2738"/>
    <w:rsid w:val="00BC2F2B"/>
    <w:rsid w:val="00BC2FDB"/>
    <w:rsid w:val="00BC3190"/>
    <w:rsid w:val="00BC32E2"/>
    <w:rsid w:val="00BC334E"/>
    <w:rsid w:val="00BC335F"/>
    <w:rsid w:val="00BC34C9"/>
    <w:rsid w:val="00BC4562"/>
    <w:rsid w:val="00BC57E4"/>
    <w:rsid w:val="00BC652C"/>
    <w:rsid w:val="00BC6B4C"/>
    <w:rsid w:val="00BC6DA3"/>
    <w:rsid w:val="00BC6F96"/>
    <w:rsid w:val="00BC7961"/>
    <w:rsid w:val="00BC7E1D"/>
    <w:rsid w:val="00BC7E8F"/>
    <w:rsid w:val="00BC7F3C"/>
    <w:rsid w:val="00BD0383"/>
    <w:rsid w:val="00BD0615"/>
    <w:rsid w:val="00BD08CC"/>
    <w:rsid w:val="00BD0F42"/>
    <w:rsid w:val="00BD132B"/>
    <w:rsid w:val="00BD14C7"/>
    <w:rsid w:val="00BD1637"/>
    <w:rsid w:val="00BD1882"/>
    <w:rsid w:val="00BD1CA3"/>
    <w:rsid w:val="00BD209B"/>
    <w:rsid w:val="00BD2E16"/>
    <w:rsid w:val="00BD31A6"/>
    <w:rsid w:val="00BD3518"/>
    <w:rsid w:val="00BD3B45"/>
    <w:rsid w:val="00BD40A6"/>
    <w:rsid w:val="00BD43CE"/>
    <w:rsid w:val="00BD4CFA"/>
    <w:rsid w:val="00BD53FB"/>
    <w:rsid w:val="00BD552D"/>
    <w:rsid w:val="00BD575F"/>
    <w:rsid w:val="00BD5AC7"/>
    <w:rsid w:val="00BD5B30"/>
    <w:rsid w:val="00BD5F8B"/>
    <w:rsid w:val="00BD60E3"/>
    <w:rsid w:val="00BD6361"/>
    <w:rsid w:val="00BD6545"/>
    <w:rsid w:val="00BD6647"/>
    <w:rsid w:val="00BD6737"/>
    <w:rsid w:val="00BD6CB1"/>
    <w:rsid w:val="00BD6D90"/>
    <w:rsid w:val="00BD73F3"/>
    <w:rsid w:val="00BD755F"/>
    <w:rsid w:val="00BD767A"/>
    <w:rsid w:val="00BD76EF"/>
    <w:rsid w:val="00BD782A"/>
    <w:rsid w:val="00BE03F6"/>
    <w:rsid w:val="00BE07E5"/>
    <w:rsid w:val="00BE0E3D"/>
    <w:rsid w:val="00BE2115"/>
    <w:rsid w:val="00BE21F5"/>
    <w:rsid w:val="00BE22C0"/>
    <w:rsid w:val="00BE22FB"/>
    <w:rsid w:val="00BE2712"/>
    <w:rsid w:val="00BE2C79"/>
    <w:rsid w:val="00BE2C85"/>
    <w:rsid w:val="00BE2E9A"/>
    <w:rsid w:val="00BE3CFF"/>
    <w:rsid w:val="00BE3F09"/>
    <w:rsid w:val="00BE4198"/>
    <w:rsid w:val="00BE4370"/>
    <w:rsid w:val="00BE43C8"/>
    <w:rsid w:val="00BE4FD6"/>
    <w:rsid w:val="00BE61C2"/>
    <w:rsid w:val="00BE65DD"/>
    <w:rsid w:val="00BE66B0"/>
    <w:rsid w:val="00BE675D"/>
    <w:rsid w:val="00BE6D08"/>
    <w:rsid w:val="00BE6E08"/>
    <w:rsid w:val="00BE76CA"/>
    <w:rsid w:val="00BF02D5"/>
    <w:rsid w:val="00BF0717"/>
    <w:rsid w:val="00BF0CBE"/>
    <w:rsid w:val="00BF0D1D"/>
    <w:rsid w:val="00BF1BEA"/>
    <w:rsid w:val="00BF1D0F"/>
    <w:rsid w:val="00BF1F5D"/>
    <w:rsid w:val="00BF2107"/>
    <w:rsid w:val="00BF22BA"/>
    <w:rsid w:val="00BF3161"/>
    <w:rsid w:val="00BF3775"/>
    <w:rsid w:val="00BF3A97"/>
    <w:rsid w:val="00BF3BFC"/>
    <w:rsid w:val="00BF3E98"/>
    <w:rsid w:val="00BF3F82"/>
    <w:rsid w:val="00BF527C"/>
    <w:rsid w:val="00BF5D08"/>
    <w:rsid w:val="00BF5EB0"/>
    <w:rsid w:val="00BF6043"/>
    <w:rsid w:val="00BF6223"/>
    <w:rsid w:val="00BF6331"/>
    <w:rsid w:val="00BF66FF"/>
    <w:rsid w:val="00BF6822"/>
    <w:rsid w:val="00BF682A"/>
    <w:rsid w:val="00BF6EFE"/>
    <w:rsid w:val="00BF6F7C"/>
    <w:rsid w:val="00BF7423"/>
    <w:rsid w:val="00C00703"/>
    <w:rsid w:val="00C00788"/>
    <w:rsid w:val="00C00809"/>
    <w:rsid w:val="00C00D3B"/>
    <w:rsid w:val="00C010A6"/>
    <w:rsid w:val="00C013EA"/>
    <w:rsid w:val="00C0162D"/>
    <w:rsid w:val="00C016DC"/>
    <w:rsid w:val="00C02969"/>
    <w:rsid w:val="00C02B12"/>
    <w:rsid w:val="00C03010"/>
    <w:rsid w:val="00C04B36"/>
    <w:rsid w:val="00C04C51"/>
    <w:rsid w:val="00C04D72"/>
    <w:rsid w:val="00C05104"/>
    <w:rsid w:val="00C05AE2"/>
    <w:rsid w:val="00C06168"/>
    <w:rsid w:val="00C06910"/>
    <w:rsid w:val="00C07EA1"/>
    <w:rsid w:val="00C07F92"/>
    <w:rsid w:val="00C1015F"/>
    <w:rsid w:val="00C102AA"/>
    <w:rsid w:val="00C1034C"/>
    <w:rsid w:val="00C10CDF"/>
    <w:rsid w:val="00C1113E"/>
    <w:rsid w:val="00C11599"/>
    <w:rsid w:val="00C11C19"/>
    <w:rsid w:val="00C12362"/>
    <w:rsid w:val="00C1288A"/>
    <w:rsid w:val="00C12E5E"/>
    <w:rsid w:val="00C130BA"/>
    <w:rsid w:val="00C13149"/>
    <w:rsid w:val="00C1383A"/>
    <w:rsid w:val="00C13E73"/>
    <w:rsid w:val="00C13F8D"/>
    <w:rsid w:val="00C1455E"/>
    <w:rsid w:val="00C152A3"/>
    <w:rsid w:val="00C152B6"/>
    <w:rsid w:val="00C157D2"/>
    <w:rsid w:val="00C1665B"/>
    <w:rsid w:val="00C16BD2"/>
    <w:rsid w:val="00C17184"/>
    <w:rsid w:val="00C17A19"/>
    <w:rsid w:val="00C203B6"/>
    <w:rsid w:val="00C20889"/>
    <w:rsid w:val="00C20EAF"/>
    <w:rsid w:val="00C21ACE"/>
    <w:rsid w:val="00C21BCE"/>
    <w:rsid w:val="00C21BFE"/>
    <w:rsid w:val="00C21C8D"/>
    <w:rsid w:val="00C21E16"/>
    <w:rsid w:val="00C21EC1"/>
    <w:rsid w:val="00C227D6"/>
    <w:rsid w:val="00C22E17"/>
    <w:rsid w:val="00C23159"/>
    <w:rsid w:val="00C235F1"/>
    <w:rsid w:val="00C2376E"/>
    <w:rsid w:val="00C241CC"/>
    <w:rsid w:val="00C2441A"/>
    <w:rsid w:val="00C2451E"/>
    <w:rsid w:val="00C247E1"/>
    <w:rsid w:val="00C24AC1"/>
    <w:rsid w:val="00C24C27"/>
    <w:rsid w:val="00C24D64"/>
    <w:rsid w:val="00C25929"/>
    <w:rsid w:val="00C2795E"/>
    <w:rsid w:val="00C3013D"/>
    <w:rsid w:val="00C302DA"/>
    <w:rsid w:val="00C30A98"/>
    <w:rsid w:val="00C31131"/>
    <w:rsid w:val="00C3118B"/>
    <w:rsid w:val="00C3129A"/>
    <w:rsid w:val="00C3173F"/>
    <w:rsid w:val="00C32907"/>
    <w:rsid w:val="00C32963"/>
    <w:rsid w:val="00C3319C"/>
    <w:rsid w:val="00C33210"/>
    <w:rsid w:val="00C33FEF"/>
    <w:rsid w:val="00C34250"/>
    <w:rsid w:val="00C34471"/>
    <w:rsid w:val="00C349CB"/>
    <w:rsid w:val="00C34B50"/>
    <w:rsid w:val="00C34F9A"/>
    <w:rsid w:val="00C351C4"/>
    <w:rsid w:val="00C35605"/>
    <w:rsid w:val="00C35825"/>
    <w:rsid w:val="00C35E77"/>
    <w:rsid w:val="00C3734F"/>
    <w:rsid w:val="00C37AEA"/>
    <w:rsid w:val="00C408D4"/>
    <w:rsid w:val="00C40C43"/>
    <w:rsid w:val="00C40D86"/>
    <w:rsid w:val="00C4163F"/>
    <w:rsid w:val="00C41FF0"/>
    <w:rsid w:val="00C4259B"/>
    <w:rsid w:val="00C43230"/>
    <w:rsid w:val="00C438E6"/>
    <w:rsid w:val="00C444B9"/>
    <w:rsid w:val="00C45020"/>
    <w:rsid w:val="00C45547"/>
    <w:rsid w:val="00C4592F"/>
    <w:rsid w:val="00C45D59"/>
    <w:rsid w:val="00C45E35"/>
    <w:rsid w:val="00C464D4"/>
    <w:rsid w:val="00C4655A"/>
    <w:rsid w:val="00C468CC"/>
    <w:rsid w:val="00C46A77"/>
    <w:rsid w:val="00C46A83"/>
    <w:rsid w:val="00C46DC6"/>
    <w:rsid w:val="00C47214"/>
    <w:rsid w:val="00C47AC1"/>
    <w:rsid w:val="00C47EE9"/>
    <w:rsid w:val="00C47F65"/>
    <w:rsid w:val="00C5043B"/>
    <w:rsid w:val="00C50823"/>
    <w:rsid w:val="00C50B6E"/>
    <w:rsid w:val="00C50CB4"/>
    <w:rsid w:val="00C50F53"/>
    <w:rsid w:val="00C51249"/>
    <w:rsid w:val="00C51CBF"/>
    <w:rsid w:val="00C51F50"/>
    <w:rsid w:val="00C52098"/>
    <w:rsid w:val="00C52455"/>
    <w:rsid w:val="00C52468"/>
    <w:rsid w:val="00C524C6"/>
    <w:rsid w:val="00C52A12"/>
    <w:rsid w:val="00C52AEA"/>
    <w:rsid w:val="00C52E5D"/>
    <w:rsid w:val="00C53889"/>
    <w:rsid w:val="00C53AFD"/>
    <w:rsid w:val="00C55253"/>
    <w:rsid w:val="00C554B2"/>
    <w:rsid w:val="00C55AD3"/>
    <w:rsid w:val="00C55EC1"/>
    <w:rsid w:val="00C56104"/>
    <w:rsid w:val="00C56BDC"/>
    <w:rsid w:val="00C56BEA"/>
    <w:rsid w:val="00C5706A"/>
    <w:rsid w:val="00C57BA3"/>
    <w:rsid w:val="00C60313"/>
    <w:rsid w:val="00C6086E"/>
    <w:rsid w:val="00C60A6F"/>
    <w:rsid w:val="00C60EAC"/>
    <w:rsid w:val="00C611A1"/>
    <w:rsid w:val="00C61FE4"/>
    <w:rsid w:val="00C6211C"/>
    <w:rsid w:val="00C62400"/>
    <w:rsid w:val="00C62637"/>
    <w:rsid w:val="00C62922"/>
    <w:rsid w:val="00C62A1F"/>
    <w:rsid w:val="00C62AF2"/>
    <w:rsid w:val="00C62E46"/>
    <w:rsid w:val="00C62FCF"/>
    <w:rsid w:val="00C62FE1"/>
    <w:rsid w:val="00C63384"/>
    <w:rsid w:val="00C639A9"/>
    <w:rsid w:val="00C63F03"/>
    <w:rsid w:val="00C63FCD"/>
    <w:rsid w:val="00C644F5"/>
    <w:rsid w:val="00C645A5"/>
    <w:rsid w:val="00C648C7"/>
    <w:rsid w:val="00C64B31"/>
    <w:rsid w:val="00C65231"/>
    <w:rsid w:val="00C652C3"/>
    <w:rsid w:val="00C657C1"/>
    <w:rsid w:val="00C65949"/>
    <w:rsid w:val="00C65E66"/>
    <w:rsid w:val="00C6630C"/>
    <w:rsid w:val="00C6645F"/>
    <w:rsid w:val="00C666FB"/>
    <w:rsid w:val="00C67675"/>
    <w:rsid w:val="00C67742"/>
    <w:rsid w:val="00C678FF"/>
    <w:rsid w:val="00C67ED6"/>
    <w:rsid w:val="00C702BB"/>
    <w:rsid w:val="00C70306"/>
    <w:rsid w:val="00C7037D"/>
    <w:rsid w:val="00C709C2"/>
    <w:rsid w:val="00C70C9F"/>
    <w:rsid w:val="00C70E61"/>
    <w:rsid w:val="00C720B3"/>
    <w:rsid w:val="00C72119"/>
    <w:rsid w:val="00C72179"/>
    <w:rsid w:val="00C72A24"/>
    <w:rsid w:val="00C72DEC"/>
    <w:rsid w:val="00C73554"/>
    <w:rsid w:val="00C73620"/>
    <w:rsid w:val="00C737F4"/>
    <w:rsid w:val="00C73BCB"/>
    <w:rsid w:val="00C7428C"/>
    <w:rsid w:val="00C74562"/>
    <w:rsid w:val="00C7470A"/>
    <w:rsid w:val="00C7495A"/>
    <w:rsid w:val="00C74ADB"/>
    <w:rsid w:val="00C74F99"/>
    <w:rsid w:val="00C75706"/>
    <w:rsid w:val="00C7593D"/>
    <w:rsid w:val="00C75D28"/>
    <w:rsid w:val="00C75ECF"/>
    <w:rsid w:val="00C76326"/>
    <w:rsid w:val="00C76689"/>
    <w:rsid w:val="00C76710"/>
    <w:rsid w:val="00C767D1"/>
    <w:rsid w:val="00C7683F"/>
    <w:rsid w:val="00C76B08"/>
    <w:rsid w:val="00C76CEF"/>
    <w:rsid w:val="00C77473"/>
    <w:rsid w:val="00C777BC"/>
    <w:rsid w:val="00C778CC"/>
    <w:rsid w:val="00C800A6"/>
    <w:rsid w:val="00C80329"/>
    <w:rsid w:val="00C80527"/>
    <w:rsid w:val="00C80E80"/>
    <w:rsid w:val="00C81037"/>
    <w:rsid w:val="00C81046"/>
    <w:rsid w:val="00C816C0"/>
    <w:rsid w:val="00C81A45"/>
    <w:rsid w:val="00C82188"/>
    <w:rsid w:val="00C82631"/>
    <w:rsid w:val="00C82CFE"/>
    <w:rsid w:val="00C8303B"/>
    <w:rsid w:val="00C832CA"/>
    <w:rsid w:val="00C83706"/>
    <w:rsid w:val="00C839C9"/>
    <w:rsid w:val="00C83CD9"/>
    <w:rsid w:val="00C83D79"/>
    <w:rsid w:val="00C8403F"/>
    <w:rsid w:val="00C84882"/>
    <w:rsid w:val="00C84F17"/>
    <w:rsid w:val="00C85397"/>
    <w:rsid w:val="00C858BE"/>
    <w:rsid w:val="00C8623D"/>
    <w:rsid w:val="00C8653E"/>
    <w:rsid w:val="00C86FB4"/>
    <w:rsid w:val="00C87134"/>
    <w:rsid w:val="00C87142"/>
    <w:rsid w:val="00C872B1"/>
    <w:rsid w:val="00C87781"/>
    <w:rsid w:val="00C908D6"/>
    <w:rsid w:val="00C90E84"/>
    <w:rsid w:val="00C9106A"/>
    <w:rsid w:val="00C91313"/>
    <w:rsid w:val="00C91EF2"/>
    <w:rsid w:val="00C91F99"/>
    <w:rsid w:val="00C9260C"/>
    <w:rsid w:val="00C92737"/>
    <w:rsid w:val="00C92A2E"/>
    <w:rsid w:val="00C92E49"/>
    <w:rsid w:val="00C93293"/>
    <w:rsid w:val="00C939A0"/>
    <w:rsid w:val="00C93A5A"/>
    <w:rsid w:val="00C93B5A"/>
    <w:rsid w:val="00C949A9"/>
    <w:rsid w:val="00C94F37"/>
    <w:rsid w:val="00C9545C"/>
    <w:rsid w:val="00C9551B"/>
    <w:rsid w:val="00C95780"/>
    <w:rsid w:val="00C95B1E"/>
    <w:rsid w:val="00C95C0A"/>
    <w:rsid w:val="00C96211"/>
    <w:rsid w:val="00C963E2"/>
    <w:rsid w:val="00C96D4B"/>
    <w:rsid w:val="00C97053"/>
    <w:rsid w:val="00C971A4"/>
    <w:rsid w:val="00CA022C"/>
    <w:rsid w:val="00CA03FE"/>
    <w:rsid w:val="00CA073A"/>
    <w:rsid w:val="00CA0869"/>
    <w:rsid w:val="00CA086F"/>
    <w:rsid w:val="00CA08F5"/>
    <w:rsid w:val="00CA20E1"/>
    <w:rsid w:val="00CA210E"/>
    <w:rsid w:val="00CA2139"/>
    <w:rsid w:val="00CA25EC"/>
    <w:rsid w:val="00CA2BE4"/>
    <w:rsid w:val="00CA30CC"/>
    <w:rsid w:val="00CA3671"/>
    <w:rsid w:val="00CA396A"/>
    <w:rsid w:val="00CA46AC"/>
    <w:rsid w:val="00CA4922"/>
    <w:rsid w:val="00CA49F2"/>
    <w:rsid w:val="00CA4AD3"/>
    <w:rsid w:val="00CA4CAF"/>
    <w:rsid w:val="00CA642B"/>
    <w:rsid w:val="00CA753C"/>
    <w:rsid w:val="00CA75AF"/>
    <w:rsid w:val="00CA75E1"/>
    <w:rsid w:val="00CA7ACF"/>
    <w:rsid w:val="00CB0080"/>
    <w:rsid w:val="00CB031C"/>
    <w:rsid w:val="00CB0855"/>
    <w:rsid w:val="00CB0A7F"/>
    <w:rsid w:val="00CB0ED9"/>
    <w:rsid w:val="00CB0EDA"/>
    <w:rsid w:val="00CB0F4F"/>
    <w:rsid w:val="00CB1839"/>
    <w:rsid w:val="00CB1858"/>
    <w:rsid w:val="00CB27C0"/>
    <w:rsid w:val="00CB2E34"/>
    <w:rsid w:val="00CB3AAA"/>
    <w:rsid w:val="00CB3EA8"/>
    <w:rsid w:val="00CB46B4"/>
    <w:rsid w:val="00CB4797"/>
    <w:rsid w:val="00CB47A5"/>
    <w:rsid w:val="00CB4B56"/>
    <w:rsid w:val="00CB5B2C"/>
    <w:rsid w:val="00CB5D99"/>
    <w:rsid w:val="00CB6365"/>
    <w:rsid w:val="00CB6576"/>
    <w:rsid w:val="00CB66FA"/>
    <w:rsid w:val="00CB6A2A"/>
    <w:rsid w:val="00CB718C"/>
    <w:rsid w:val="00CB7380"/>
    <w:rsid w:val="00CB78C9"/>
    <w:rsid w:val="00CB792D"/>
    <w:rsid w:val="00CB7BDD"/>
    <w:rsid w:val="00CB7ECB"/>
    <w:rsid w:val="00CC032E"/>
    <w:rsid w:val="00CC08A4"/>
    <w:rsid w:val="00CC09D5"/>
    <w:rsid w:val="00CC09D8"/>
    <w:rsid w:val="00CC0BFF"/>
    <w:rsid w:val="00CC1509"/>
    <w:rsid w:val="00CC15ED"/>
    <w:rsid w:val="00CC17F0"/>
    <w:rsid w:val="00CC2F55"/>
    <w:rsid w:val="00CC37E6"/>
    <w:rsid w:val="00CC3889"/>
    <w:rsid w:val="00CC4BAC"/>
    <w:rsid w:val="00CC4DF5"/>
    <w:rsid w:val="00CC50AF"/>
    <w:rsid w:val="00CC54A0"/>
    <w:rsid w:val="00CC627C"/>
    <w:rsid w:val="00CC6A32"/>
    <w:rsid w:val="00CC755E"/>
    <w:rsid w:val="00CC7940"/>
    <w:rsid w:val="00CD069E"/>
    <w:rsid w:val="00CD092A"/>
    <w:rsid w:val="00CD0C28"/>
    <w:rsid w:val="00CD0FE0"/>
    <w:rsid w:val="00CD1269"/>
    <w:rsid w:val="00CD1AC8"/>
    <w:rsid w:val="00CD1E78"/>
    <w:rsid w:val="00CD22DB"/>
    <w:rsid w:val="00CD28BD"/>
    <w:rsid w:val="00CD2C36"/>
    <w:rsid w:val="00CD2D36"/>
    <w:rsid w:val="00CD35BE"/>
    <w:rsid w:val="00CD383F"/>
    <w:rsid w:val="00CD396D"/>
    <w:rsid w:val="00CD42CB"/>
    <w:rsid w:val="00CD436C"/>
    <w:rsid w:val="00CD472D"/>
    <w:rsid w:val="00CD4ADE"/>
    <w:rsid w:val="00CD4D4E"/>
    <w:rsid w:val="00CD4DB6"/>
    <w:rsid w:val="00CD519A"/>
    <w:rsid w:val="00CD5246"/>
    <w:rsid w:val="00CD54D8"/>
    <w:rsid w:val="00CD5C77"/>
    <w:rsid w:val="00CD653D"/>
    <w:rsid w:val="00CD6913"/>
    <w:rsid w:val="00CD6F80"/>
    <w:rsid w:val="00CD756A"/>
    <w:rsid w:val="00CD7679"/>
    <w:rsid w:val="00CE003E"/>
    <w:rsid w:val="00CE08FE"/>
    <w:rsid w:val="00CE0D24"/>
    <w:rsid w:val="00CE136A"/>
    <w:rsid w:val="00CE19EF"/>
    <w:rsid w:val="00CE2118"/>
    <w:rsid w:val="00CE22CC"/>
    <w:rsid w:val="00CE235C"/>
    <w:rsid w:val="00CE25DC"/>
    <w:rsid w:val="00CE28BE"/>
    <w:rsid w:val="00CE2BD9"/>
    <w:rsid w:val="00CE379E"/>
    <w:rsid w:val="00CE3D7D"/>
    <w:rsid w:val="00CE3F8E"/>
    <w:rsid w:val="00CE4BE2"/>
    <w:rsid w:val="00CE5F92"/>
    <w:rsid w:val="00CE644D"/>
    <w:rsid w:val="00CE6812"/>
    <w:rsid w:val="00CE6938"/>
    <w:rsid w:val="00CE6CD2"/>
    <w:rsid w:val="00CE6EE3"/>
    <w:rsid w:val="00CE7378"/>
    <w:rsid w:val="00CE7899"/>
    <w:rsid w:val="00CE7B9E"/>
    <w:rsid w:val="00CE7CFC"/>
    <w:rsid w:val="00CF035F"/>
    <w:rsid w:val="00CF03E1"/>
    <w:rsid w:val="00CF1377"/>
    <w:rsid w:val="00CF14EB"/>
    <w:rsid w:val="00CF17DE"/>
    <w:rsid w:val="00CF1E6B"/>
    <w:rsid w:val="00CF2081"/>
    <w:rsid w:val="00CF2BF6"/>
    <w:rsid w:val="00CF2D1D"/>
    <w:rsid w:val="00CF2F25"/>
    <w:rsid w:val="00CF2F76"/>
    <w:rsid w:val="00CF3BBD"/>
    <w:rsid w:val="00CF443B"/>
    <w:rsid w:val="00CF515A"/>
    <w:rsid w:val="00CF516C"/>
    <w:rsid w:val="00CF5725"/>
    <w:rsid w:val="00CF5812"/>
    <w:rsid w:val="00CF5B1D"/>
    <w:rsid w:val="00CF5FC7"/>
    <w:rsid w:val="00CF74F6"/>
    <w:rsid w:val="00CF750A"/>
    <w:rsid w:val="00CF7AA0"/>
    <w:rsid w:val="00CF7F91"/>
    <w:rsid w:val="00D00321"/>
    <w:rsid w:val="00D009E3"/>
    <w:rsid w:val="00D00E36"/>
    <w:rsid w:val="00D01486"/>
    <w:rsid w:val="00D01BCF"/>
    <w:rsid w:val="00D01C71"/>
    <w:rsid w:val="00D01DC0"/>
    <w:rsid w:val="00D020A6"/>
    <w:rsid w:val="00D0234F"/>
    <w:rsid w:val="00D02921"/>
    <w:rsid w:val="00D02A0D"/>
    <w:rsid w:val="00D02AE3"/>
    <w:rsid w:val="00D02ED2"/>
    <w:rsid w:val="00D031FC"/>
    <w:rsid w:val="00D03235"/>
    <w:rsid w:val="00D032C9"/>
    <w:rsid w:val="00D03401"/>
    <w:rsid w:val="00D0390B"/>
    <w:rsid w:val="00D039F0"/>
    <w:rsid w:val="00D03CD2"/>
    <w:rsid w:val="00D03FDC"/>
    <w:rsid w:val="00D041D9"/>
    <w:rsid w:val="00D044C1"/>
    <w:rsid w:val="00D04A23"/>
    <w:rsid w:val="00D04B3C"/>
    <w:rsid w:val="00D05261"/>
    <w:rsid w:val="00D0554B"/>
    <w:rsid w:val="00D06887"/>
    <w:rsid w:val="00D068CF"/>
    <w:rsid w:val="00D07D2E"/>
    <w:rsid w:val="00D10159"/>
    <w:rsid w:val="00D105EE"/>
    <w:rsid w:val="00D10ABB"/>
    <w:rsid w:val="00D10D70"/>
    <w:rsid w:val="00D10F75"/>
    <w:rsid w:val="00D118D1"/>
    <w:rsid w:val="00D11AA8"/>
    <w:rsid w:val="00D11C09"/>
    <w:rsid w:val="00D12A8A"/>
    <w:rsid w:val="00D12BAF"/>
    <w:rsid w:val="00D12C72"/>
    <w:rsid w:val="00D13448"/>
    <w:rsid w:val="00D13667"/>
    <w:rsid w:val="00D136CE"/>
    <w:rsid w:val="00D13804"/>
    <w:rsid w:val="00D13F5E"/>
    <w:rsid w:val="00D14232"/>
    <w:rsid w:val="00D145A9"/>
    <w:rsid w:val="00D14622"/>
    <w:rsid w:val="00D14724"/>
    <w:rsid w:val="00D14DA1"/>
    <w:rsid w:val="00D1518D"/>
    <w:rsid w:val="00D152F8"/>
    <w:rsid w:val="00D154EB"/>
    <w:rsid w:val="00D16053"/>
    <w:rsid w:val="00D16DAB"/>
    <w:rsid w:val="00D1703C"/>
    <w:rsid w:val="00D17403"/>
    <w:rsid w:val="00D17AC2"/>
    <w:rsid w:val="00D17BAD"/>
    <w:rsid w:val="00D201C1"/>
    <w:rsid w:val="00D2068A"/>
    <w:rsid w:val="00D207FB"/>
    <w:rsid w:val="00D210ED"/>
    <w:rsid w:val="00D21569"/>
    <w:rsid w:val="00D216C8"/>
    <w:rsid w:val="00D21950"/>
    <w:rsid w:val="00D21C33"/>
    <w:rsid w:val="00D21E42"/>
    <w:rsid w:val="00D220FE"/>
    <w:rsid w:val="00D22253"/>
    <w:rsid w:val="00D226E1"/>
    <w:rsid w:val="00D22EB1"/>
    <w:rsid w:val="00D231D8"/>
    <w:rsid w:val="00D23970"/>
    <w:rsid w:val="00D24397"/>
    <w:rsid w:val="00D24993"/>
    <w:rsid w:val="00D24F61"/>
    <w:rsid w:val="00D25943"/>
    <w:rsid w:val="00D25CEA"/>
    <w:rsid w:val="00D25EDE"/>
    <w:rsid w:val="00D265E9"/>
    <w:rsid w:val="00D26730"/>
    <w:rsid w:val="00D26A1A"/>
    <w:rsid w:val="00D26C38"/>
    <w:rsid w:val="00D2706D"/>
    <w:rsid w:val="00D279E9"/>
    <w:rsid w:val="00D27B16"/>
    <w:rsid w:val="00D27F86"/>
    <w:rsid w:val="00D30EA1"/>
    <w:rsid w:val="00D320BF"/>
    <w:rsid w:val="00D32A7D"/>
    <w:rsid w:val="00D32F71"/>
    <w:rsid w:val="00D32FB7"/>
    <w:rsid w:val="00D338CF"/>
    <w:rsid w:val="00D33F45"/>
    <w:rsid w:val="00D34527"/>
    <w:rsid w:val="00D345C1"/>
    <w:rsid w:val="00D34A34"/>
    <w:rsid w:val="00D34B73"/>
    <w:rsid w:val="00D3562B"/>
    <w:rsid w:val="00D356F0"/>
    <w:rsid w:val="00D35A55"/>
    <w:rsid w:val="00D36097"/>
    <w:rsid w:val="00D37F2F"/>
    <w:rsid w:val="00D408DF"/>
    <w:rsid w:val="00D40AC2"/>
    <w:rsid w:val="00D410BD"/>
    <w:rsid w:val="00D41A01"/>
    <w:rsid w:val="00D41BB9"/>
    <w:rsid w:val="00D42591"/>
    <w:rsid w:val="00D42875"/>
    <w:rsid w:val="00D43D6D"/>
    <w:rsid w:val="00D43EE8"/>
    <w:rsid w:val="00D44B66"/>
    <w:rsid w:val="00D44F9B"/>
    <w:rsid w:val="00D458C9"/>
    <w:rsid w:val="00D4610D"/>
    <w:rsid w:val="00D465A8"/>
    <w:rsid w:val="00D466FA"/>
    <w:rsid w:val="00D46758"/>
    <w:rsid w:val="00D468B3"/>
    <w:rsid w:val="00D468FA"/>
    <w:rsid w:val="00D47739"/>
    <w:rsid w:val="00D478F3"/>
    <w:rsid w:val="00D47A36"/>
    <w:rsid w:val="00D50C33"/>
    <w:rsid w:val="00D50CAD"/>
    <w:rsid w:val="00D50EF0"/>
    <w:rsid w:val="00D50FFB"/>
    <w:rsid w:val="00D524C0"/>
    <w:rsid w:val="00D534DE"/>
    <w:rsid w:val="00D535F3"/>
    <w:rsid w:val="00D53AA8"/>
    <w:rsid w:val="00D53D7C"/>
    <w:rsid w:val="00D53E4A"/>
    <w:rsid w:val="00D5413D"/>
    <w:rsid w:val="00D543D3"/>
    <w:rsid w:val="00D547D3"/>
    <w:rsid w:val="00D548CC"/>
    <w:rsid w:val="00D54E32"/>
    <w:rsid w:val="00D5546F"/>
    <w:rsid w:val="00D554C1"/>
    <w:rsid w:val="00D5588E"/>
    <w:rsid w:val="00D55A59"/>
    <w:rsid w:val="00D55ED9"/>
    <w:rsid w:val="00D55FED"/>
    <w:rsid w:val="00D56926"/>
    <w:rsid w:val="00D56A80"/>
    <w:rsid w:val="00D56AB1"/>
    <w:rsid w:val="00D578D0"/>
    <w:rsid w:val="00D60016"/>
    <w:rsid w:val="00D60086"/>
    <w:rsid w:val="00D60B82"/>
    <w:rsid w:val="00D60BB8"/>
    <w:rsid w:val="00D60C75"/>
    <w:rsid w:val="00D60DD7"/>
    <w:rsid w:val="00D60FE7"/>
    <w:rsid w:val="00D61FCC"/>
    <w:rsid w:val="00D62724"/>
    <w:rsid w:val="00D63350"/>
    <w:rsid w:val="00D637D3"/>
    <w:rsid w:val="00D63D36"/>
    <w:rsid w:val="00D64CCE"/>
    <w:rsid w:val="00D64DAC"/>
    <w:rsid w:val="00D64F51"/>
    <w:rsid w:val="00D65662"/>
    <w:rsid w:val="00D65BC3"/>
    <w:rsid w:val="00D662B5"/>
    <w:rsid w:val="00D665B6"/>
    <w:rsid w:val="00D66EE7"/>
    <w:rsid w:val="00D700E8"/>
    <w:rsid w:val="00D70714"/>
    <w:rsid w:val="00D70729"/>
    <w:rsid w:val="00D70866"/>
    <w:rsid w:val="00D708DF"/>
    <w:rsid w:val="00D70991"/>
    <w:rsid w:val="00D70B56"/>
    <w:rsid w:val="00D70E20"/>
    <w:rsid w:val="00D70E61"/>
    <w:rsid w:val="00D718AD"/>
    <w:rsid w:val="00D7241D"/>
    <w:rsid w:val="00D7247F"/>
    <w:rsid w:val="00D729A2"/>
    <w:rsid w:val="00D72EBB"/>
    <w:rsid w:val="00D730B3"/>
    <w:rsid w:val="00D73263"/>
    <w:rsid w:val="00D737A4"/>
    <w:rsid w:val="00D73D69"/>
    <w:rsid w:val="00D73E06"/>
    <w:rsid w:val="00D7402E"/>
    <w:rsid w:val="00D741F6"/>
    <w:rsid w:val="00D74426"/>
    <w:rsid w:val="00D74D81"/>
    <w:rsid w:val="00D751F1"/>
    <w:rsid w:val="00D75210"/>
    <w:rsid w:val="00D75A8B"/>
    <w:rsid w:val="00D75DF5"/>
    <w:rsid w:val="00D75E5D"/>
    <w:rsid w:val="00D7610F"/>
    <w:rsid w:val="00D7667B"/>
    <w:rsid w:val="00D766A7"/>
    <w:rsid w:val="00D76808"/>
    <w:rsid w:val="00D76B9C"/>
    <w:rsid w:val="00D77614"/>
    <w:rsid w:val="00D77861"/>
    <w:rsid w:val="00D801FE"/>
    <w:rsid w:val="00D8074F"/>
    <w:rsid w:val="00D80908"/>
    <w:rsid w:val="00D80AA5"/>
    <w:rsid w:val="00D80D25"/>
    <w:rsid w:val="00D80F07"/>
    <w:rsid w:val="00D80F35"/>
    <w:rsid w:val="00D81058"/>
    <w:rsid w:val="00D81BA2"/>
    <w:rsid w:val="00D82039"/>
    <w:rsid w:val="00D82774"/>
    <w:rsid w:val="00D83068"/>
    <w:rsid w:val="00D830D6"/>
    <w:rsid w:val="00D84071"/>
    <w:rsid w:val="00D843AA"/>
    <w:rsid w:val="00D8451E"/>
    <w:rsid w:val="00D84B7A"/>
    <w:rsid w:val="00D84F2A"/>
    <w:rsid w:val="00D85024"/>
    <w:rsid w:val="00D858B9"/>
    <w:rsid w:val="00D85B9D"/>
    <w:rsid w:val="00D85E07"/>
    <w:rsid w:val="00D85E47"/>
    <w:rsid w:val="00D86112"/>
    <w:rsid w:val="00D86DAB"/>
    <w:rsid w:val="00D86E04"/>
    <w:rsid w:val="00D86EDD"/>
    <w:rsid w:val="00D870E4"/>
    <w:rsid w:val="00D871D7"/>
    <w:rsid w:val="00D874AC"/>
    <w:rsid w:val="00D8770A"/>
    <w:rsid w:val="00D87AD7"/>
    <w:rsid w:val="00D87ED7"/>
    <w:rsid w:val="00D9008C"/>
    <w:rsid w:val="00D90E3A"/>
    <w:rsid w:val="00D91D0B"/>
    <w:rsid w:val="00D91DFF"/>
    <w:rsid w:val="00D9225B"/>
    <w:rsid w:val="00D926A8"/>
    <w:rsid w:val="00D92B68"/>
    <w:rsid w:val="00D92E3B"/>
    <w:rsid w:val="00D92E64"/>
    <w:rsid w:val="00D93A65"/>
    <w:rsid w:val="00D9406A"/>
    <w:rsid w:val="00D940A8"/>
    <w:rsid w:val="00D9454A"/>
    <w:rsid w:val="00D9499E"/>
    <w:rsid w:val="00D96F73"/>
    <w:rsid w:val="00D97037"/>
    <w:rsid w:val="00D97310"/>
    <w:rsid w:val="00D97C3B"/>
    <w:rsid w:val="00DA0417"/>
    <w:rsid w:val="00DA063D"/>
    <w:rsid w:val="00DA087E"/>
    <w:rsid w:val="00DA0C1B"/>
    <w:rsid w:val="00DA117A"/>
    <w:rsid w:val="00DA11F1"/>
    <w:rsid w:val="00DA1E6B"/>
    <w:rsid w:val="00DA1F13"/>
    <w:rsid w:val="00DA21F5"/>
    <w:rsid w:val="00DA2237"/>
    <w:rsid w:val="00DA23BA"/>
    <w:rsid w:val="00DA2412"/>
    <w:rsid w:val="00DA3C09"/>
    <w:rsid w:val="00DA3F9D"/>
    <w:rsid w:val="00DA4215"/>
    <w:rsid w:val="00DA47EA"/>
    <w:rsid w:val="00DA4DC7"/>
    <w:rsid w:val="00DA53A6"/>
    <w:rsid w:val="00DA55E5"/>
    <w:rsid w:val="00DA57EA"/>
    <w:rsid w:val="00DA5976"/>
    <w:rsid w:val="00DA5EA4"/>
    <w:rsid w:val="00DA6035"/>
    <w:rsid w:val="00DA60CB"/>
    <w:rsid w:val="00DA6461"/>
    <w:rsid w:val="00DA649E"/>
    <w:rsid w:val="00DA6F58"/>
    <w:rsid w:val="00DA7845"/>
    <w:rsid w:val="00DA78E8"/>
    <w:rsid w:val="00DB050F"/>
    <w:rsid w:val="00DB0723"/>
    <w:rsid w:val="00DB082C"/>
    <w:rsid w:val="00DB098B"/>
    <w:rsid w:val="00DB10FF"/>
    <w:rsid w:val="00DB1B30"/>
    <w:rsid w:val="00DB1BF1"/>
    <w:rsid w:val="00DB2384"/>
    <w:rsid w:val="00DB26C0"/>
    <w:rsid w:val="00DB2D5E"/>
    <w:rsid w:val="00DB2E06"/>
    <w:rsid w:val="00DB3206"/>
    <w:rsid w:val="00DB3323"/>
    <w:rsid w:val="00DB374F"/>
    <w:rsid w:val="00DB3777"/>
    <w:rsid w:val="00DB3A4B"/>
    <w:rsid w:val="00DB4034"/>
    <w:rsid w:val="00DB45D9"/>
    <w:rsid w:val="00DB4E7F"/>
    <w:rsid w:val="00DB5177"/>
    <w:rsid w:val="00DB51CD"/>
    <w:rsid w:val="00DB60AB"/>
    <w:rsid w:val="00DB6B15"/>
    <w:rsid w:val="00DB7361"/>
    <w:rsid w:val="00DB76B4"/>
    <w:rsid w:val="00DB7773"/>
    <w:rsid w:val="00DC036D"/>
    <w:rsid w:val="00DC0381"/>
    <w:rsid w:val="00DC082B"/>
    <w:rsid w:val="00DC0BE9"/>
    <w:rsid w:val="00DC0CAF"/>
    <w:rsid w:val="00DC0EC0"/>
    <w:rsid w:val="00DC0F4F"/>
    <w:rsid w:val="00DC125C"/>
    <w:rsid w:val="00DC138D"/>
    <w:rsid w:val="00DC1868"/>
    <w:rsid w:val="00DC24E5"/>
    <w:rsid w:val="00DC2F29"/>
    <w:rsid w:val="00DC3138"/>
    <w:rsid w:val="00DC3316"/>
    <w:rsid w:val="00DC3808"/>
    <w:rsid w:val="00DC38CC"/>
    <w:rsid w:val="00DC3DC7"/>
    <w:rsid w:val="00DC426C"/>
    <w:rsid w:val="00DC4338"/>
    <w:rsid w:val="00DC48B4"/>
    <w:rsid w:val="00DC4D15"/>
    <w:rsid w:val="00DC5150"/>
    <w:rsid w:val="00DC549B"/>
    <w:rsid w:val="00DC54A9"/>
    <w:rsid w:val="00DC6668"/>
    <w:rsid w:val="00DC6944"/>
    <w:rsid w:val="00DC7111"/>
    <w:rsid w:val="00DC732F"/>
    <w:rsid w:val="00DC7E4D"/>
    <w:rsid w:val="00DD007D"/>
    <w:rsid w:val="00DD02F8"/>
    <w:rsid w:val="00DD0873"/>
    <w:rsid w:val="00DD0AD0"/>
    <w:rsid w:val="00DD0E51"/>
    <w:rsid w:val="00DD104A"/>
    <w:rsid w:val="00DD1A46"/>
    <w:rsid w:val="00DD1E24"/>
    <w:rsid w:val="00DD2200"/>
    <w:rsid w:val="00DD26F9"/>
    <w:rsid w:val="00DD2CC0"/>
    <w:rsid w:val="00DD2F46"/>
    <w:rsid w:val="00DD2FC8"/>
    <w:rsid w:val="00DD35C4"/>
    <w:rsid w:val="00DD3A29"/>
    <w:rsid w:val="00DD3C51"/>
    <w:rsid w:val="00DD4150"/>
    <w:rsid w:val="00DD4690"/>
    <w:rsid w:val="00DD542B"/>
    <w:rsid w:val="00DD5804"/>
    <w:rsid w:val="00DD5862"/>
    <w:rsid w:val="00DD5878"/>
    <w:rsid w:val="00DD5B5C"/>
    <w:rsid w:val="00DD5F2E"/>
    <w:rsid w:val="00DD677B"/>
    <w:rsid w:val="00DD67D4"/>
    <w:rsid w:val="00DD6CB7"/>
    <w:rsid w:val="00DD7085"/>
    <w:rsid w:val="00DD7464"/>
    <w:rsid w:val="00DD7830"/>
    <w:rsid w:val="00DD7DD7"/>
    <w:rsid w:val="00DE01B4"/>
    <w:rsid w:val="00DE03DD"/>
    <w:rsid w:val="00DE0DED"/>
    <w:rsid w:val="00DE26CB"/>
    <w:rsid w:val="00DE3A86"/>
    <w:rsid w:val="00DE3FB3"/>
    <w:rsid w:val="00DE4E5E"/>
    <w:rsid w:val="00DE53B3"/>
    <w:rsid w:val="00DE5404"/>
    <w:rsid w:val="00DE55D7"/>
    <w:rsid w:val="00DE5820"/>
    <w:rsid w:val="00DE5CE7"/>
    <w:rsid w:val="00DE5FC1"/>
    <w:rsid w:val="00DE627E"/>
    <w:rsid w:val="00DE68F4"/>
    <w:rsid w:val="00DE6F0F"/>
    <w:rsid w:val="00DE6FC2"/>
    <w:rsid w:val="00DE7124"/>
    <w:rsid w:val="00DE7384"/>
    <w:rsid w:val="00DF0052"/>
    <w:rsid w:val="00DF045A"/>
    <w:rsid w:val="00DF06EA"/>
    <w:rsid w:val="00DF0E96"/>
    <w:rsid w:val="00DF1267"/>
    <w:rsid w:val="00DF1542"/>
    <w:rsid w:val="00DF2187"/>
    <w:rsid w:val="00DF2245"/>
    <w:rsid w:val="00DF2D21"/>
    <w:rsid w:val="00DF35EA"/>
    <w:rsid w:val="00DF4A5A"/>
    <w:rsid w:val="00DF4F65"/>
    <w:rsid w:val="00DF5066"/>
    <w:rsid w:val="00DF5DD8"/>
    <w:rsid w:val="00DF6C96"/>
    <w:rsid w:val="00DF70EC"/>
    <w:rsid w:val="00DF746C"/>
    <w:rsid w:val="00DF7671"/>
    <w:rsid w:val="00DF782A"/>
    <w:rsid w:val="00DF7D4A"/>
    <w:rsid w:val="00DF7EC2"/>
    <w:rsid w:val="00DF7FE6"/>
    <w:rsid w:val="00E00A3A"/>
    <w:rsid w:val="00E01262"/>
    <w:rsid w:val="00E01509"/>
    <w:rsid w:val="00E01871"/>
    <w:rsid w:val="00E0248E"/>
    <w:rsid w:val="00E0268F"/>
    <w:rsid w:val="00E02778"/>
    <w:rsid w:val="00E02AA4"/>
    <w:rsid w:val="00E02B0F"/>
    <w:rsid w:val="00E03013"/>
    <w:rsid w:val="00E040E8"/>
    <w:rsid w:val="00E0486C"/>
    <w:rsid w:val="00E048E5"/>
    <w:rsid w:val="00E04DFB"/>
    <w:rsid w:val="00E04E79"/>
    <w:rsid w:val="00E0509E"/>
    <w:rsid w:val="00E056DA"/>
    <w:rsid w:val="00E05AD0"/>
    <w:rsid w:val="00E06260"/>
    <w:rsid w:val="00E0629B"/>
    <w:rsid w:val="00E06FF8"/>
    <w:rsid w:val="00E07257"/>
    <w:rsid w:val="00E073C6"/>
    <w:rsid w:val="00E07A60"/>
    <w:rsid w:val="00E106DF"/>
    <w:rsid w:val="00E108A0"/>
    <w:rsid w:val="00E1091A"/>
    <w:rsid w:val="00E1098B"/>
    <w:rsid w:val="00E10EF8"/>
    <w:rsid w:val="00E116D0"/>
    <w:rsid w:val="00E11B88"/>
    <w:rsid w:val="00E12254"/>
    <w:rsid w:val="00E12853"/>
    <w:rsid w:val="00E12E02"/>
    <w:rsid w:val="00E12E73"/>
    <w:rsid w:val="00E13C61"/>
    <w:rsid w:val="00E1403B"/>
    <w:rsid w:val="00E14374"/>
    <w:rsid w:val="00E149DE"/>
    <w:rsid w:val="00E14A26"/>
    <w:rsid w:val="00E150C2"/>
    <w:rsid w:val="00E15678"/>
    <w:rsid w:val="00E1593B"/>
    <w:rsid w:val="00E1602E"/>
    <w:rsid w:val="00E16292"/>
    <w:rsid w:val="00E16295"/>
    <w:rsid w:val="00E164CD"/>
    <w:rsid w:val="00E164E1"/>
    <w:rsid w:val="00E16935"/>
    <w:rsid w:val="00E1693D"/>
    <w:rsid w:val="00E1721F"/>
    <w:rsid w:val="00E17AF1"/>
    <w:rsid w:val="00E20100"/>
    <w:rsid w:val="00E20192"/>
    <w:rsid w:val="00E20696"/>
    <w:rsid w:val="00E20949"/>
    <w:rsid w:val="00E20D97"/>
    <w:rsid w:val="00E213D3"/>
    <w:rsid w:val="00E219B5"/>
    <w:rsid w:val="00E224F5"/>
    <w:rsid w:val="00E2476B"/>
    <w:rsid w:val="00E24B65"/>
    <w:rsid w:val="00E24BC0"/>
    <w:rsid w:val="00E24F6A"/>
    <w:rsid w:val="00E25DD2"/>
    <w:rsid w:val="00E27078"/>
    <w:rsid w:val="00E27919"/>
    <w:rsid w:val="00E279C2"/>
    <w:rsid w:val="00E27ACC"/>
    <w:rsid w:val="00E27F24"/>
    <w:rsid w:val="00E30116"/>
    <w:rsid w:val="00E31019"/>
    <w:rsid w:val="00E3170A"/>
    <w:rsid w:val="00E31C7A"/>
    <w:rsid w:val="00E32226"/>
    <w:rsid w:val="00E32818"/>
    <w:rsid w:val="00E335D4"/>
    <w:rsid w:val="00E33761"/>
    <w:rsid w:val="00E337DB"/>
    <w:rsid w:val="00E33DEB"/>
    <w:rsid w:val="00E340C3"/>
    <w:rsid w:val="00E340E7"/>
    <w:rsid w:val="00E349CB"/>
    <w:rsid w:val="00E34AB7"/>
    <w:rsid w:val="00E34F50"/>
    <w:rsid w:val="00E35B65"/>
    <w:rsid w:val="00E35BD0"/>
    <w:rsid w:val="00E35EF8"/>
    <w:rsid w:val="00E36337"/>
    <w:rsid w:val="00E363E9"/>
    <w:rsid w:val="00E3684D"/>
    <w:rsid w:val="00E368FD"/>
    <w:rsid w:val="00E36AB1"/>
    <w:rsid w:val="00E36BE4"/>
    <w:rsid w:val="00E37266"/>
    <w:rsid w:val="00E40071"/>
    <w:rsid w:val="00E418A9"/>
    <w:rsid w:val="00E41FAC"/>
    <w:rsid w:val="00E420D5"/>
    <w:rsid w:val="00E43321"/>
    <w:rsid w:val="00E43547"/>
    <w:rsid w:val="00E435CD"/>
    <w:rsid w:val="00E4366E"/>
    <w:rsid w:val="00E439A7"/>
    <w:rsid w:val="00E442D5"/>
    <w:rsid w:val="00E4469E"/>
    <w:rsid w:val="00E446A4"/>
    <w:rsid w:val="00E44AEC"/>
    <w:rsid w:val="00E44CA4"/>
    <w:rsid w:val="00E44D57"/>
    <w:rsid w:val="00E451CE"/>
    <w:rsid w:val="00E451EA"/>
    <w:rsid w:val="00E45283"/>
    <w:rsid w:val="00E46194"/>
    <w:rsid w:val="00E46806"/>
    <w:rsid w:val="00E46A53"/>
    <w:rsid w:val="00E47369"/>
    <w:rsid w:val="00E47EB9"/>
    <w:rsid w:val="00E50318"/>
    <w:rsid w:val="00E503A4"/>
    <w:rsid w:val="00E50AC0"/>
    <w:rsid w:val="00E50F36"/>
    <w:rsid w:val="00E512AA"/>
    <w:rsid w:val="00E51C78"/>
    <w:rsid w:val="00E51D31"/>
    <w:rsid w:val="00E52388"/>
    <w:rsid w:val="00E52A23"/>
    <w:rsid w:val="00E532FA"/>
    <w:rsid w:val="00E53474"/>
    <w:rsid w:val="00E539FD"/>
    <w:rsid w:val="00E53EFA"/>
    <w:rsid w:val="00E53FA8"/>
    <w:rsid w:val="00E54004"/>
    <w:rsid w:val="00E54830"/>
    <w:rsid w:val="00E54FD6"/>
    <w:rsid w:val="00E55A45"/>
    <w:rsid w:val="00E55AD3"/>
    <w:rsid w:val="00E560A7"/>
    <w:rsid w:val="00E60295"/>
    <w:rsid w:val="00E60847"/>
    <w:rsid w:val="00E60BA5"/>
    <w:rsid w:val="00E6159B"/>
    <w:rsid w:val="00E6166D"/>
    <w:rsid w:val="00E616D7"/>
    <w:rsid w:val="00E61A5F"/>
    <w:rsid w:val="00E628EA"/>
    <w:rsid w:val="00E62985"/>
    <w:rsid w:val="00E62A89"/>
    <w:rsid w:val="00E62F30"/>
    <w:rsid w:val="00E631A9"/>
    <w:rsid w:val="00E63D9F"/>
    <w:rsid w:val="00E63E88"/>
    <w:rsid w:val="00E64146"/>
    <w:rsid w:val="00E64496"/>
    <w:rsid w:val="00E64604"/>
    <w:rsid w:val="00E64E0C"/>
    <w:rsid w:val="00E64FBE"/>
    <w:rsid w:val="00E65499"/>
    <w:rsid w:val="00E65679"/>
    <w:rsid w:val="00E656D5"/>
    <w:rsid w:val="00E6577B"/>
    <w:rsid w:val="00E6615D"/>
    <w:rsid w:val="00E66192"/>
    <w:rsid w:val="00E66403"/>
    <w:rsid w:val="00E665F9"/>
    <w:rsid w:val="00E66A95"/>
    <w:rsid w:val="00E66BFD"/>
    <w:rsid w:val="00E66CA2"/>
    <w:rsid w:val="00E70088"/>
    <w:rsid w:val="00E70118"/>
    <w:rsid w:val="00E70FA3"/>
    <w:rsid w:val="00E710FB"/>
    <w:rsid w:val="00E7116C"/>
    <w:rsid w:val="00E7140F"/>
    <w:rsid w:val="00E717CE"/>
    <w:rsid w:val="00E7215C"/>
    <w:rsid w:val="00E7243C"/>
    <w:rsid w:val="00E72FD2"/>
    <w:rsid w:val="00E733FB"/>
    <w:rsid w:val="00E7368B"/>
    <w:rsid w:val="00E73A1E"/>
    <w:rsid w:val="00E74050"/>
    <w:rsid w:val="00E743F1"/>
    <w:rsid w:val="00E74851"/>
    <w:rsid w:val="00E748DD"/>
    <w:rsid w:val="00E756B6"/>
    <w:rsid w:val="00E75A9B"/>
    <w:rsid w:val="00E75B41"/>
    <w:rsid w:val="00E75D59"/>
    <w:rsid w:val="00E75E8A"/>
    <w:rsid w:val="00E766AB"/>
    <w:rsid w:val="00E76828"/>
    <w:rsid w:val="00E769EB"/>
    <w:rsid w:val="00E76B4D"/>
    <w:rsid w:val="00E76F9B"/>
    <w:rsid w:val="00E778DE"/>
    <w:rsid w:val="00E77CDA"/>
    <w:rsid w:val="00E80CFF"/>
    <w:rsid w:val="00E8122C"/>
    <w:rsid w:val="00E815C6"/>
    <w:rsid w:val="00E81F4B"/>
    <w:rsid w:val="00E81FD6"/>
    <w:rsid w:val="00E8215E"/>
    <w:rsid w:val="00E84188"/>
    <w:rsid w:val="00E8428E"/>
    <w:rsid w:val="00E845E7"/>
    <w:rsid w:val="00E845EF"/>
    <w:rsid w:val="00E84A77"/>
    <w:rsid w:val="00E84BF1"/>
    <w:rsid w:val="00E85077"/>
    <w:rsid w:val="00E85143"/>
    <w:rsid w:val="00E85A47"/>
    <w:rsid w:val="00E85ACE"/>
    <w:rsid w:val="00E85EAE"/>
    <w:rsid w:val="00E862D3"/>
    <w:rsid w:val="00E863CB"/>
    <w:rsid w:val="00E869FA"/>
    <w:rsid w:val="00E872B7"/>
    <w:rsid w:val="00E87469"/>
    <w:rsid w:val="00E87482"/>
    <w:rsid w:val="00E8754E"/>
    <w:rsid w:val="00E87CA6"/>
    <w:rsid w:val="00E87E8E"/>
    <w:rsid w:val="00E900CC"/>
    <w:rsid w:val="00E900F6"/>
    <w:rsid w:val="00E90E37"/>
    <w:rsid w:val="00E90F66"/>
    <w:rsid w:val="00E91990"/>
    <w:rsid w:val="00E91A1B"/>
    <w:rsid w:val="00E920BE"/>
    <w:rsid w:val="00E926A8"/>
    <w:rsid w:val="00E92D5E"/>
    <w:rsid w:val="00E93444"/>
    <w:rsid w:val="00E93B23"/>
    <w:rsid w:val="00E93D2C"/>
    <w:rsid w:val="00E94616"/>
    <w:rsid w:val="00E94661"/>
    <w:rsid w:val="00E94D07"/>
    <w:rsid w:val="00E952A2"/>
    <w:rsid w:val="00E95627"/>
    <w:rsid w:val="00E9564B"/>
    <w:rsid w:val="00E95E5C"/>
    <w:rsid w:val="00E95E91"/>
    <w:rsid w:val="00E967BC"/>
    <w:rsid w:val="00E969F4"/>
    <w:rsid w:val="00E96BEA"/>
    <w:rsid w:val="00E977EF"/>
    <w:rsid w:val="00E97A4A"/>
    <w:rsid w:val="00E97C63"/>
    <w:rsid w:val="00EA0077"/>
    <w:rsid w:val="00EA01B0"/>
    <w:rsid w:val="00EA0505"/>
    <w:rsid w:val="00EA089E"/>
    <w:rsid w:val="00EA0C02"/>
    <w:rsid w:val="00EA0C4E"/>
    <w:rsid w:val="00EA0EEE"/>
    <w:rsid w:val="00EA1201"/>
    <w:rsid w:val="00EA12A8"/>
    <w:rsid w:val="00EA1709"/>
    <w:rsid w:val="00EA2075"/>
    <w:rsid w:val="00EA2856"/>
    <w:rsid w:val="00EA2D5F"/>
    <w:rsid w:val="00EA2D89"/>
    <w:rsid w:val="00EA41F2"/>
    <w:rsid w:val="00EA4839"/>
    <w:rsid w:val="00EA48C3"/>
    <w:rsid w:val="00EA5370"/>
    <w:rsid w:val="00EA5972"/>
    <w:rsid w:val="00EA60BD"/>
    <w:rsid w:val="00EA6535"/>
    <w:rsid w:val="00EA6A36"/>
    <w:rsid w:val="00EA6E08"/>
    <w:rsid w:val="00EB018D"/>
    <w:rsid w:val="00EB0A14"/>
    <w:rsid w:val="00EB0C87"/>
    <w:rsid w:val="00EB0F49"/>
    <w:rsid w:val="00EB1399"/>
    <w:rsid w:val="00EB194B"/>
    <w:rsid w:val="00EB307D"/>
    <w:rsid w:val="00EB330C"/>
    <w:rsid w:val="00EB3806"/>
    <w:rsid w:val="00EB3DE4"/>
    <w:rsid w:val="00EB3F52"/>
    <w:rsid w:val="00EB401A"/>
    <w:rsid w:val="00EB4080"/>
    <w:rsid w:val="00EB4354"/>
    <w:rsid w:val="00EB4B13"/>
    <w:rsid w:val="00EB50A4"/>
    <w:rsid w:val="00EB520B"/>
    <w:rsid w:val="00EB5227"/>
    <w:rsid w:val="00EB55B2"/>
    <w:rsid w:val="00EB58FE"/>
    <w:rsid w:val="00EB5C52"/>
    <w:rsid w:val="00EB6176"/>
    <w:rsid w:val="00EB620D"/>
    <w:rsid w:val="00EB6527"/>
    <w:rsid w:val="00EB77EA"/>
    <w:rsid w:val="00EB7AFD"/>
    <w:rsid w:val="00EB7E49"/>
    <w:rsid w:val="00EC000B"/>
    <w:rsid w:val="00EC05C5"/>
    <w:rsid w:val="00EC1148"/>
    <w:rsid w:val="00EC139F"/>
    <w:rsid w:val="00EC14DA"/>
    <w:rsid w:val="00EC1656"/>
    <w:rsid w:val="00EC1920"/>
    <w:rsid w:val="00EC1FFB"/>
    <w:rsid w:val="00EC253A"/>
    <w:rsid w:val="00EC2791"/>
    <w:rsid w:val="00EC2D7D"/>
    <w:rsid w:val="00EC3A80"/>
    <w:rsid w:val="00EC3B62"/>
    <w:rsid w:val="00EC43FE"/>
    <w:rsid w:val="00EC47D3"/>
    <w:rsid w:val="00EC4C85"/>
    <w:rsid w:val="00EC50BD"/>
    <w:rsid w:val="00EC582D"/>
    <w:rsid w:val="00EC58BD"/>
    <w:rsid w:val="00EC6516"/>
    <w:rsid w:val="00EC651C"/>
    <w:rsid w:val="00EC6762"/>
    <w:rsid w:val="00EC72E9"/>
    <w:rsid w:val="00ED02D6"/>
    <w:rsid w:val="00ED0FD5"/>
    <w:rsid w:val="00ED0FD7"/>
    <w:rsid w:val="00ED1671"/>
    <w:rsid w:val="00ED1B90"/>
    <w:rsid w:val="00ED275B"/>
    <w:rsid w:val="00ED3094"/>
    <w:rsid w:val="00ED33E4"/>
    <w:rsid w:val="00ED34EC"/>
    <w:rsid w:val="00ED386D"/>
    <w:rsid w:val="00ED38F8"/>
    <w:rsid w:val="00ED3A20"/>
    <w:rsid w:val="00ED418B"/>
    <w:rsid w:val="00ED5515"/>
    <w:rsid w:val="00ED56D2"/>
    <w:rsid w:val="00ED5F25"/>
    <w:rsid w:val="00ED613A"/>
    <w:rsid w:val="00ED656C"/>
    <w:rsid w:val="00ED685F"/>
    <w:rsid w:val="00ED6979"/>
    <w:rsid w:val="00ED6B38"/>
    <w:rsid w:val="00ED6C16"/>
    <w:rsid w:val="00ED70F0"/>
    <w:rsid w:val="00ED786E"/>
    <w:rsid w:val="00ED79C9"/>
    <w:rsid w:val="00EE0885"/>
    <w:rsid w:val="00EE0A19"/>
    <w:rsid w:val="00EE0B44"/>
    <w:rsid w:val="00EE0CCB"/>
    <w:rsid w:val="00EE1101"/>
    <w:rsid w:val="00EE12F1"/>
    <w:rsid w:val="00EE15FC"/>
    <w:rsid w:val="00EE1674"/>
    <w:rsid w:val="00EE1C4B"/>
    <w:rsid w:val="00EE1F55"/>
    <w:rsid w:val="00EE2421"/>
    <w:rsid w:val="00EE2AC8"/>
    <w:rsid w:val="00EE2BDB"/>
    <w:rsid w:val="00EE40CB"/>
    <w:rsid w:val="00EE42AE"/>
    <w:rsid w:val="00EE54A8"/>
    <w:rsid w:val="00EE5B38"/>
    <w:rsid w:val="00EE6D05"/>
    <w:rsid w:val="00EE6E3B"/>
    <w:rsid w:val="00EE724A"/>
    <w:rsid w:val="00EE7A0D"/>
    <w:rsid w:val="00EE7E47"/>
    <w:rsid w:val="00EE7F8A"/>
    <w:rsid w:val="00EF034E"/>
    <w:rsid w:val="00EF0D63"/>
    <w:rsid w:val="00EF0DF5"/>
    <w:rsid w:val="00EF0F10"/>
    <w:rsid w:val="00EF192A"/>
    <w:rsid w:val="00EF1BB4"/>
    <w:rsid w:val="00EF27A7"/>
    <w:rsid w:val="00EF2F63"/>
    <w:rsid w:val="00EF33E7"/>
    <w:rsid w:val="00EF35AF"/>
    <w:rsid w:val="00EF3B11"/>
    <w:rsid w:val="00EF4660"/>
    <w:rsid w:val="00EF57C3"/>
    <w:rsid w:val="00EF60A8"/>
    <w:rsid w:val="00EF69E6"/>
    <w:rsid w:val="00EF6F9F"/>
    <w:rsid w:val="00EF77CD"/>
    <w:rsid w:val="00EF7A14"/>
    <w:rsid w:val="00F0030D"/>
    <w:rsid w:val="00F005A5"/>
    <w:rsid w:val="00F008E4"/>
    <w:rsid w:val="00F00BBA"/>
    <w:rsid w:val="00F01A50"/>
    <w:rsid w:val="00F01F46"/>
    <w:rsid w:val="00F02380"/>
    <w:rsid w:val="00F0241D"/>
    <w:rsid w:val="00F02719"/>
    <w:rsid w:val="00F0280E"/>
    <w:rsid w:val="00F031B3"/>
    <w:rsid w:val="00F03ABF"/>
    <w:rsid w:val="00F0430A"/>
    <w:rsid w:val="00F04438"/>
    <w:rsid w:val="00F04A9E"/>
    <w:rsid w:val="00F04B56"/>
    <w:rsid w:val="00F054B8"/>
    <w:rsid w:val="00F0566E"/>
    <w:rsid w:val="00F056CB"/>
    <w:rsid w:val="00F05899"/>
    <w:rsid w:val="00F059D6"/>
    <w:rsid w:val="00F05CFC"/>
    <w:rsid w:val="00F05DF5"/>
    <w:rsid w:val="00F05EBC"/>
    <w:rsid w:val="00F0613C"/>
    <w:rsid w:val="00F06ED6"/>
    <w:rsid w:val="00F070B1"/>
    <w:rsid w:val="00F077D7"/>
    <w:rsid w:val="00F0790C"/>
    <w:rsid w:val="00F10354"/>
    <w:rsid w:val="00F10A52"/>
    <w:rsid w:val="00F10BFF"/>
    <w:rsid w:val="00F10DBE"/>
    <w:rsid w:val="00F11253"/>
    <w:rsid w:val="00F1149D"/>
    <w:rsid w:val="00F11541"/>
    <w:rsid w:val="00F117B9"/>
    <w:rsid w:val="00F11C2A"/>
    <w:rsid w:val="00F12D81"/>
    <w:rsid w:val="00F13290"/>
    <w:rsid w:val="00F1355E"/>
    <w:rsid w:val="00F13624"/>
    <w:rsid w:val="00F1382D"/>
    <w:rsid w:val="00F138D4"/>
    <w:rsid w:val="00F13D91"/>
    <w:rsid w:val="00F13DC6"/>
    <w:rsid w:val="00F13E91"/>
    <w:rsid w:val="00F1421E"/>
    <w:rsid w:val="00F1432B"/>
    <w:rsid w:val="00F1474C"/>
    <w:rsid w:val="00F14F7C"/>
    <w:rsid w:val="00F15613"/>
    <w:rsid w:val="00F16D92"/>
    <w:rsid w:val="00F17264"/>
    <w:rsid w:val="00F1759E"/>
    <w:rsid w:val="00F17863"/>
    <w:rsid w:val="00F17FEC"/>
    <w:rsid w:val="00F2022F"/>
    <w:rsid w:val="00F206E5"/>
    <w:rsid w:val="00F2091D"/>
    <w:rsid w:val="00F20BA9"/>
    <w:rsid w:val="00F21B50"/>
    <w:rsid w:val="00F21C02"/>
    <w:rsid w:val="00F21D16"/>
    <w:rsid w:val="00F21DF8"/>
    <w:rsid w:val="00F226F6"/>
    <w:rsid w:val="00F23038"/>
    <w:rsid w:val="00F23BDA"/>
    <w:rsid w:val="00F24F51"/>
    <w:rsid w:val="00F255FA"/>
    <w:rsid w:val="00F256C4"/>
    <w:rsid w:val="00F25806"/>
    <w:rsid w:val="00F25AA3"/>
    <w:rsid w:val="00F26254"/>
    <w:rsid w:val="00F26379"/>
    <w:rsid w:val="00F265BD"/>
    <w:rsid w:val="00F269B4"/>
    <w:rsid w:val="00F26EA6"/>
    <w:rsid w:val="00F27650"/>
    <w:rsid w:val="00F27814"/>
    <w:rsid w:val="00F303F7"/>
    <w:rsid w:val="00F309FA"/>
    <w:rsid w:val="00F30F23"/>
    <w:rsid w:val="00F31041"/>
    <w:rsid w:val="00F3149F"/>
    <w:rsid w:val="00F31A1D"/>
    <w:rsid w:val="00F31BFA"/>
    <w:rsid w:val="00F32161"/>
    <w:rsid w:val="00F323F7"/>
    <w:rsid w:val="00F324DE"/>
    <w:rsid w:val="00F325FC"/>
    <w:rsid w:val="00F3268D"/>
    <w:rsid w:val="00F33308"/>
    <w:rsid w:val="00F33AC4"/>
    <w:rsid w:val="00F33C8A"/>
    <w:rsid w:val="00F341FA"/>
    <w:rsid w:val="00F34228"/>
    <w:rsid w:val="00F34542"/>
    <w:rsid w:val="00F345F5"/>
    <w:rsid w:val="00F34625"/>
    <w:rsid w:val="00F34673"/>
    <w:rsid w:val="00F36131"/>
    <w:rsid w:val="00F3689F"/>
    <w:rsid w:val="00F37C4F"/>
    <w:rsid w:val="00F4101C"/>
    <w:rsid w:val="00F41854"/>
    <w:rsid w:val="00F41C1E"/>
    <w:rsid w:val="00F41CCD"/>
    <w:rsid w:val="00F42090"/>
    <w:rsid w:val="00F422C4"/>
    <w:rsid w:val="00F42A49"/>
    <w:rsid w:val="00F433A4"/>
    <w:rsid w:val="00F433B0"/>
    <w:rsid w:val="00F435EB"/>
    <w:rsid w:val="00F436E8"/>
    <w:rsid w:val="00F436FF"/>
    <w:rsid w:val="00F4391F"/>
    <w:rsid w:val="00F442BF"/>
    <w:rsid w:val="00F4432C"/>
    <w:rsid w:val="00F44786"/>
    <w:rsid w:val="00F44901"/>
    <w:rsid w:val="00F4546C"/>
    <w:rsid w:val="00F456C3"/>
    <w:rsid w:val="00F45AD5"/>
    <w:rsid w:val="00F4653F"/>
    <w:rsid w:val="00F46DD5"/>
    <w:rsid w:val="00F46E34"/>
    <w:rsid w:val="00F46E52"/>
    <w:rsid w:val="00F470EC"/>
    <w:rsid w:val="00F47991"/>
    <w:rsid w:val="00F47FBB"/>
    <w:rsid w:val="00F50248"/>
    <w:rsid w:val="00F50332"/>
    <w:rsid w:val="00F50621"/>
    <w:rsid w:val="00F508B9"/>
    <w:rsid w:val="00F50948"/>
    <w:rsid w:val="00F51734"/>
    <w:rsid w:val="00F5178A"/>
    <w:rsid w:val="00F51A4F"/>
    <w:rsid w:val="00F51C0C"/>
    <w:rsid w:val="00F520E9"/>
    <w:rsid w:val="00F526A8"/>
    <w:rsid w:val="00F5275C"/>
    <w:rsid w:val="00F538F1"/>
    <w:rsid w:val="00F53A84"/>
    <w:rsid w:val="00F53ADF"/>
    <w:rsid w:val="00F53CD4"/>
    <w:rsid w:val="00F541B2"/>
    <w:rsid w:val="00F54357"/>
    <w:rsid w:val="00F543C2"/>
    <w:rsid w:val="00F5493E"/>
    <w:rsid w:val="00F54A93"/>
    <w:rsid w:val="00F54E88"/>
    <w:rsid w:val="00F54E9E"/>
    <w:rsid w:val="00F54EA6"/>
    <w:rsid w:val="00F5505F"/>
    <w:rsid w:val="00F5509D"/>
    <w:rsid w:val="00F562DA"/>
    <w:rsid w:val="00F56668"/>
    <w:rsid w:val="00F56831"/>
    <w:rsid w:val="00F56B95"/>
    <w:rsid w:val="00F56DBB"/>
    <w:rsid w:val="00F56E00"/>
    <w:rsid w:val="00F56E02"/>
    <w:rsid w:val="00F56FE4"/>
    <w:rsid w:val="00F5750F"/>
    <w:rsid w:val="00F60F5F"/>
    <w:rsid w:val="00F6112D"/>
    <w:rsid w:val="00F612AC"/>
    <w:rsid w:val="00F61D37"/>
    <w:rsid w:val="00F62654"/>
    <w:rsid w:val="00F62FA1"/>
    <w:rsid w:val="00F63950"/>
    <w:rsid w:val="00F63DFE"/>
    <w:rsid w:val="00F642C6"/>
    <w:rsid w:val="00F64E12"/>
    <w:rsid w:val="00F65064"/>
    <w:rsid w:val="00F6557B"/>
    <w:rsid w:val="00F65AE7"/>
    <w:rsid w:val="00F65C7E"/>
    <w:rsid w:val="00F65C95"/>
    <w:rsid w:val="00F70036"/>
    <w:rsid w:val="00F709FF"/>
    <w:rsid w:val="00F70F7B"/>
    <w:rsid w:val="00F710DC"/>
    <w:rsid w:val="00F712B0"/>
    <w:rsid w:val="00F71368"/>
    <w:rsid w:val="00F718E4"/>
    <w:rsid w:val="00F72769"/>
    <w:rsid w:val="00F72787"/>
    <w:rsid w:val="00F72BCB"/>
    <w:rsid w:val="00F72E0B"/>
    <w:rsid w:val="00F736D4"/>
    <w:rsid w:val="00F73F72"/>
    <w:rsid w:val="00F741B5"/>
    <w:rsid w:val="00F741D9"/>
    <w:rsid w:val="00F7442E"/>
    <w:rsid w:val="00F74A7E"/>
    <w:rsid w:val="00F74CB2"/>
    <w:rsid w:val="00F7511F"/>
    <w:rsid w:val="00F75222"/>
    <w:rsid w:val="00F75279"/>
    <w:rsid w:val="00F7533C"/>
    <w:rsid w:val="00F757A1"/>
    <w:rsid w:val="00F757B3"/>
    <w:rsid w:val="00F75AAF"/>
    <w:rsid w:val="00F761C1"/>
    <w:rsid w:val="00F76587"/>
    <w:rsid w:val="00F76ADA"/>
    <w:rsid w:val="00F77289"/>
    <w:rsid w:val="00F7776C"/>
    <w:rsid w:val="00F801D6"/>
    <w:rsid w:val="00F80267"/>
    <w:rsid w:val="00F802B7"/>
    <w:rsid w:val="00F824B3"/>
    <w:rsid w:val="00F8256D"/>
    <w:rsid w:val="00F825B1"/>
    <w:rsid w:val="00F82FCF"/>
    <w:rsid w:val="00F84102"/>
    <w:rsid w:val="00F846F8"/>
    <w:rsid w:val="00F84803"/>
    <w:rsid w:val="00F84EAA"/>
    <w:rsid w:val="00F85227"/>
    <w:rsid w:val="00F85655"/>
    <w:rsid w:val="00F8573A"/>
    <w:rsid w:val="00F85E00"/>
    <w:rsid w:val="00F86191"/>
    <w:rsid w:val="00F86975"/>
    <w:rsid w:val="00F86B2E"/>
    <w:rsid w:val="00F86F65"/>
    <w:rsid w:val="00F86F96"/>
    <w:rsid w:val="00F870F8"/>
    <w:rsid w:val="00F876C9"/>
    <w:rsid w:val="00F879B1"/>
    <w:rsid w:val="00F906C2"/>
    <w:rsid w:val="00F9076B"/>
    <w:rsid w:val="00F90CA8"/>
    <w:rsid w:val="00F90DAD"/>
    <w:rsid w:val="00F91464"/>
    <w:rsid w:val="00F923F6"/>
    <w:rsid w:val="00F926B5"/>
    <w:rsid w:val="00F92CFE"/>
    <w:rsid w:val="00F92D8C"/>
    <w:rsid w:val="00F93495"/>
    <w:rsid w:val="00F95029"/>
    <w:rsid w:val="00F95770"/>
    <w:rsid w:val="00F95A40"/>
    <w:rsid w:val="00F95A57"/>
    <w:rsid w:val="00F960DC"/>
    <w:rsid w:val="00F9650A"/>
    <w:rsid w:val="00F971CB"/>
    <w:rsid w:val="00FA05D5"/>
    <w:rsid w:val="00FA06B0"/>
    <w:rsid w:val="00FA0DAF"/>
    <w:rsid w:val="00FA0E98"/>
    <w:rsid w:val="00FA10D4"/>
    <w:rsid w:val="00FA1898"/>
    <w:rsid w:val="00FA1C06"/>
    <w:rsid w:val="00FA1C0C"/>
    <w:rsid w:val="00FA1E92"/>
    <w:rsid w:val="00FA1EB5"/>
    <w:rsid w:val="00FA2A99"/>
    <w:rsid w:val="00FA2F55"/>
    <w:rsid w:val="00FA3006"/>
    <w:rsid w:val="00FA3218"/>
    <w:rsid w:val="00FA397B"/>
    <w:rsid w:val="00FA3AFD"/>
    <w:rsid w:val="00FA40F3"/>
    <w:rsid w:val="00FA4391"/>
    <w:rsid w:val="00FA4C53"/>
    <w:rsid w:val="00FA4CF6"/>
    <w:rsid w:val="00FA4E4E"/>
    <w:rsid w:val="00FA50FB"/>
    <w:rsid w:val="00FA54B7"/>
    <w:rsid w:val="00FA5573"/>
    <w:rsid w:val="00FA5BE5"/>
    <w:rsid w:val="00FA626B"/>
    <w:rsid w:val="00FA6B8A"/>
    <w:rsid w:val="00FA6BBB"/>
    <w:rsid w:val="00FA6EBC"/>
    <w:rsid w:val="00FA6FB2"/>
    <w:rsid w:val="00FA72B1"/>
    <w:rsid w:val="00FA753E"/>
    <w:rsid w:val="00FA7565"/>
    <w:rsid w:val="00FA782A"/>
    <w:rsid w:val="00FA785E"/>
    <w:rsid w:val="00FA7FDB"/>
    <w:rsid w:val="00FB01BF"/>
    <w:rsid w:val="00FB0340"/>
    <w:rsid w:val="00FB0377"/>
    <w:rsid w:val="00FB095D"/>
    <w:rsid w:val="00FB0B57"/>
    <w:rsid w:val="00FB0B7E"/>
    <w:rsid w:val="00FB0BF8"/>
    <w:rsid w:val="00FB14FE"/>
    <w:rsid w:val="00FB16BE"/>
    <w:rsid w:val="00FB1701"/>
    <w:rsid w:val="00FB1BF5"/>
    <w:rsid w:val="00FB2534"/>
    <w:rsid w:val="00FB2C12"/>
    <w:rsid w:val="00FB3274"/>
    <w:rsid w:val="00FB3CCD"/>
    <w:rsid w:val="00FB4315"/>
    <w:rsid w:val="00FB450F"/>
    <w:rsid w:val="00FB4CE7"/>
    <w:rsid w:val="00FB603F"/>
    <w:rsid w:val="00FB610B"/>
    <w:rsid w:val="00FB64A7"/>
    <w:rsid w:val="00FB64AB"/>
    <w:rsid w:val="00FB6E97"/>
    <w:rsid w:val="00FB70EC"/>
    <w:rsid w:val="00FB71E8"/>
    <w:rsid w:val="00FB7356"/>
    <w:rsid w:val="00FC0306"/>
    <w:rsid w:val="00FC0707"/>
    <w:rsid w:val="00FC08A1"/>
    <w:rsid w:val="00FC0B67"/>
    <w:rsid w:val="00FC13FD"/>
    <w:rsid w:val="00FC15A8"/>
    <w:rsid w:val="00FC1DA1"/>
    <w:rsid w:val="00FC1F11"/>
    <w:rsid w:val="00FC28C4"/>
    <w:rsid w:val="00FC295D"/>
    <w:rsid w:val="00FC3111"/>
    <w:rsid w:val="00FC369F"/>
    <w:rsid w:val="00FC36D4"/>
    <w:rsid w:val="00FC3830"/>
    <w:rsid w:val="00FC4213"/>
    <w:rsid w:val="00FC43C7"/>
    <w:rsid w:val="00FC4553"/>
    <w:rsid w:val="00FC476D"/>
    <w:rsid w:val="00FC4E6F"/>
    <w:rsid w:val="00FC5A0E"/>
    <w:rsid w:val="00FC5C2A"/>
    <w:rsid w:val="00FC5FB6"/>
    <w:rsid w:val="00FC62B2"/>
    <w:rsid w:val="00FC651A"/>
    <w:rsid w:val="00FC666B"/>
    <w:rsid w:val="00FC6BB3"/>
    <w:rsid w:val="00FC6BC4"/>
    <w:rsid w:val="00FC6EDB"/>
    <w:rsid w:val="00FC7378"/>
    <w:rsid w:val="00FC7999"/>
    <w:rsid w:val="00FC7A0F"/>
    <w:rsid w:val="00FD00AE"/>
    <w:rsid w:val="00FD098A"/>
    <w:rsid w:val="00FD10CE"/>
    <w:rsid w:val="00FD1324"/>
    <w:rsid w:val="00FD18BD"/>
    <w:rsid w:val="00FD219F"/>
    <w:rsid w:val="00FD263F"/>
    <w:rsid w:val="00FD2B50"/>
    <w:rsid w:val="00FD3187"/>
    <w:rsid w:val="00FD3335"/>
    <w:rsid w:val="00FD347D"/>
    <w:rsid w:val="00FD359B"/>
    <w:rsid w:val="00FD3C81"/>
    <w:rsid w:val="00FD4A47"/>
    <w:rsid w:val="00FD4EEA"/>
    <w:rsid w:val="00FD57A0"/>
    <w:rsid w:val="00FD5FF4"/>
    <w:rsid w:val="00FD6F9A"/>
    <w:rsid w:val="00FD76E6"/>
    <w:rsid w:val="00FE06D6"/>
    <w:rsid w:val="00FE0DC3"/>
    <w:rsid w:val="00FE100E"/>
    <w:rsid w:val="00FE1936"/>
    <w:rsid w:val="00FE208D"/>
    <w:rsid w:val="00FE20AC"/>
    <w:rsid w:val="00FE20D8"/>
    <w:rsid w:val="00FE3CE6"/>
    <w:rsid w:val="00FE3FA3"/>
    <w:rsid w:val="00FE3FD9"/>
    <w:rsid w:val="00FE406B"/>
    <w:rsid w:val="00FE450C"/>
    <w:rsid w:val="00FE48EC"/>
    <w:rsid w:val="00FE4A23"/>
    <w:rsid w:val="00FE5296"/>
    <w:rsid w:val="00FE55A3"/>
    <w:rsid w:val="00FE5AF6"/>
    <w:rsid w:val="00FE5E8D"/>
    <w:rsid w:val="00FE5FD5"/>
    <w:rsid w:val="00FE6825"/>
    <w:rsid w:val="00FE69B0"/>
    <w:rsid w:val="00FE6E4B"/>
    <w:rsid w:val="00FE6ED9"/>
    <w:rsid w:val="00FE72FD"/>
    <w:rsid w:val="00FF019F"/>
    <w:rsid w:val="00FF0959"/>
    <w:rsid w:val="00FF0D76"/>
    <w:rsid w:val="00FF18B2"/>
    <w:rsid w:val="00FF220E"/>
    <w:rsid w:val="00FF24C5"/>
    <w:rsid w:val="00FF33DE"/>
    <w:rsid w:val="00FF4A82"/>
    <w:rsid w:val="00FF5127"/>
    <w:rsid w:val="00FF51C5"/>
    <w:rsid w:val="00FF544A"/>
    <w:rsid w:val="00FF5D6F"/>
    <w:rsid w:val="00FF684A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75428DD"/>
  <w15:docId w15:val="{63606A11-D4EC-4A1A-8380-4E7E05AC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0913"/>
    <w:pPr>
      <w:spacing w:before="12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177B"/>
    <w:pPr>
      <w:keepNext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B0657"/>
    <w:pPr>
      <w:numPr>
        <w:numId w:val="1"/>
      </w:numPr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E20B8"/>
    <w:pPr>
      <w:numPr>
        <w:ilvl w:val="1"/>
        <w:numId w:val="1"/>
      </w:numPr>
      <w:ind w:hanging="720"/>
      <w:outlineLvl w:val="2"/>
    </w:pPr>
    <w:rPr>
      <w:b/>
    </w:rPr>
  </w:style>
  <w:style w:type="paragraph" w:styleId="Nadpis4">
    <w:name w:val="heading 4"/>
    <w:basedOn w:val="Odstavecseseznamem"/>
    <w:next w:val="Normln"/>
    <w:link w:val="Nadpis4Char"/>
    <w:qFormat/>
    <w:rsid w:val="00EE20B8"/>
    <w:pPr>
      <w:numPr>
        <w:ilvl w:val="2"/>
        <w:numId w:val="1"/>
      </w:numPr>
      <w:spacing w:after="160"/>
      <w:ind w:left="1434" w:hanging="1434"/>
      <w:jc w:val="left"/>
      <w:outlineLvl w:val="3"/>
    </w:pPr>
  </w:style>
  <w:style w:type="paragraph" w:styleId="Nadpis5">
    <w:name w:val="heading 5"/>
    <w:basedOn w:val="Normln"/>
    <w:next w:val="Normln"/>
    <w:link w:val="Nadpis5Char"/>
    <w:qFormat/>
    <w:rsid w:val="00FC2455"/>
    <w:pPr>
      <w:keepNext/>
      <w:outlineLvl w:val="4"/>
    </w:pPr>
    <w:rPr>
      <w:b/>
      <w:bCs/>
      <w:color w:val="0000FF"/>
      <w:sz w:val="28"/>
    </w:rPr>
  </w:style>
  <w:style w:type="paragraph" w:styleId="Nadpis6">
    <w:name w:val="heading 6"/>
    <w:basedOn w:val="Normln"/>
    <w:next w:val="Normln"/>
    <w:link w:val="Nadpis6Char"/>
    <w:qFormat/>
    <w:rsid w:val="00FC2455"/>
    <w:pPr>
      <w:keepNext/>
      <w:spacing w:before="360"/>
      <w:ind w:firstLine="357"/>
      <w:jc w:val="center"/>
      <w:outlineLvl w:val="5"/>
    </w:pPr>
    <w:rPr>
      <w:rFonts w:ascii="Arial" w:hAnsi="Arial" w:cs="Arial"/>
      <w:b/>
      <w:bCs/>
      <w:sz w:val="28"/>
    </w:rPr>
  </w:style>
  <w:style w:type="paragraph" w:styleId="Nadpis7">
    <w:name w:val="heading 7"/>
    <w:basedOn w:val="Normln"/>
    <w:next w:val="Normln"/>
    <w:link w:val="Nadpis7Char"/>
    <w:qFormat/>
    <w:rsid w:val="00FC2455"/>
    <w:pPr>
      <w:keepNext/>
      <w:ind w:firstLine="540"/>
      <w:outlineLvl w:val="6"/>
    </w:pPr>
    <w:rPr>
      <w:b/>
      <w:bCs/>
      <w:color w:val="0000F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6EB"/>
    <w:pPr>
      <w:spacing w:before="240" w:after="60"/>
      <w:outlineLvl w:val="7"/>
    </w:pPr>
    <w:rPr>
      <w:rFonts w:cs="Times New Roman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KZ">
    <w:name w:val="Číslo KZ"/>
    <w:basedOn w:val="Normln"/>
    <w:rsid w:val="00FC2455"/>
    <w:rPr>
      <w:b/>
      <w:bCs/>
      <w:sz w:val="32"/>
      <w:lang w:eastAsia="cs-CZ"/>
    </w:rPr>
  </w:style>
  <w:style w:type="paragraph" w:customStyle="1" w:styleId="odsazen">
    <w:name w:val="odsazený"/>
    <w:basedOn w:val="Normln"/>
    <w:rsid w:val="00FC2455"/>
    <w:pPr>
      <w:ind w:firstLine="567"/>
    </w:pPr>
    <w:rPr>
      <w:iCs/>
      <w:lang w:eastAsia="cs-CZ"/>
    </w:rPr>
  </w:style>
  <w:style w:type="paragraph" w:styleId="Zkladntext">
    <w:name w:val="Body Text"/>
    <w:basedOn w:val="Normln"/>
    <w:link w:val="ZkladntextChar"/>
    <w:semiHidden/>
    <w:rsid w:val="00FC2455"/>
    <w:rPr>
      <w:b/>
      <w:bCs/>
      <w:sz w:val="28"/>
      <w:szCs w:val="28"/>
    </w:rPr>
  </w:style>
  <w:style w:type="paragraph" w:styleId="Zkladntextodsazen2">
    <w:name w:val="Body Text Indent 2"/>
    <w:basedOn w:val="Normln"/>
    <w:link w:val="Zkladntextodsazen2Char"/>
    <w:semiHidden/>
    <w:rsid w:val="00FC2455"/>
    <w:pPr>
      <w:ind w:left="1080" w:hanging="1080"/>
    </w:pPr>
    <w:rPr>
      <w:sz w:val="20"/>
      <w:szCs w:val="20"/>
    </w:rPr>
  </w:style>
  <w:style w:type="paragraph" w:customStyle="1" w:styleId="vod">
    <w:name w:val="Úvod"/>
    <w:basedOn w:val="Normln"/>
    <w:rsid w:val="00FC2455"/>
    <w:pPr>
      <w:keepNext/>
      <w:spacing w:before="360" w:after="240"/>
      <w:outlineLvl w:val="0"/>
    </w:pPr>
    <w:rPr>
      <w:b/>
      <w:bCs/>
      <w:sz w:val="28"/>
      <w:szCs w:val="28"/>
      <w:lang w:eastAsia="cs-CZ"/>
    </w:rPr>
  </w:style>
  <w:style w:type="paragraph" w:customStyle="1" w:styleId="Prosttext1">
    <w:name w:val="Prostý text1"/>
    <w:basedOn w:val="Normln"/>
    <w:rsid w:val="00FC2455"/>
    <w:rPr>
      <w:rFonts w:ascii="Courier New" w:hAnsi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C2455"/>
    <w:pPr>
      <w:ind w:firstLine="720"/>
    </w:pPr>
  </w:style>
  <w:style w:type="paragraph" w:styleId="Zkladntext3">
    <w:name w:val="Body Text 3"/>
    <w:basedOn w:val="Normln"/>
    <w:link w:val="Zkladntext3Char"/>
    <w:semiHidden/>
    <w:rsid w:val="00FC2455"/>
    <w:pPr>
      <w:keepNext/>
      <w:keepLines/>
    </w:pPr>
    <w:rPr>
      <w:b/>
      <w:bCs/>
    </w:rPr>
  </w:style>
  <w:style w:type="paragraph" w:styleId="Zkladntext2">
    <w:name w:val="Body Text 2"/>
    <w:basedOn w:val="Normln"/>
    <w:link w:val="Zkladntext2Char"/>
    <w:semiHidden/>
    <w:rsid w:val="00FC2455"/>
    <w:pPr>
      <w:spacing w:after="120" w:line="480" w:lineRule="auto"/>
    </w:pPr>
  </w:style>
  <w:style w:type="paragraph" w:customStyle="1" w:styleId="BodyText21">
    <w:name w:val="Body Text 21"/>
    <w:basedOn w:val="Normln"/>
    <w:rsid w:val="00FC2455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C24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C2455"/>
  </w:style>
  <w:style w:type="paragraph" w:styleId="Zhlav">
    <w:name w:val="header"/>
    <w:basedOn w:val="Normln"/>
    <w:link w:val="ZhlavChar"/>
    <w:uiPriority w:val="99"/>
    <w:rsid w:val="00FC2455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FC24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C2455"/>
    <w:rPr>
      <w:sz w:val="20"/>
      <w:szCs w:val="20"/>
    </w:rPr>
  </w:style>
  <w:style w:type="paragraph" w:customStyle="1" w:styleId="Zkladntext21">
    <w:name w:val="Základní text 21"/>
    <w:basedOn w:val="Normln"/>
    <w:rsid w:val="00FC2455"/>
    <w:pPr>
      <w:overflowPunct w:val="0"/>
      <w:autoSpaceDE w:val="0"/>
      <w:autoSpaceDN w:val="0"/>
      <w:adjustRightInd w:val="0"/>
      <w:spacing w:line="240" w:lineRule="atLeast"/>
      <w:ind w:firstLine="425"/>
    </w:pPr>
    <w:rPr>
      <w:color w:val="FF0000"/>
      <w:szCs w:val="20"/>
      <w:lang w:eastAsia="cs-CZ"/>
    </w:rPr>
  </w:style>
  <w:style w:type="paragraph" w:styleId="Titulek">
    <w:name w:val="caption"/>
    <w:basedOn w:val="Normln"/>
    <w:next w:val="Normln"/>
    <w:uiPriority w:val="35"/>
    <w:qFormat/>
    <w:rsid w:val="00FC2455"/>
    <w:rPr>
      <w:rFonts w:ascii="Arial" w:hAnsi="Arial" w:cs="Arial"/>
      <w:i/>
      <w:iCs/>
      <w:sz w:val="18"/>
    </w:rPr>
  </w:style>
  <w:style w:type="paragraph" w:styleId="Zkladntextodsazen3">
    <w:name w:val="Body Text Indent 3"/>
    <w:basedOn w:val="Normln"/>
    <w:link w:val="Zkladntextodsazen3Char"/>
    <w:semiHidden/>
    <w:rsid w:val="00FC2455"/>
    <w:pPr>
      <w:autoSpaceDE w:val="0"/>
      <w:autoSpaceDN w:val="0"/>
      <w:adjustRightInd w:val="0"/>
      <w:spacing w:line="240" w:lineRule="atLeast"/>
      <w:ind w:left="360" w:hanging="360"/>
    </w:pPr>
  </w:style>
  <w:style w:type="character" w:customStyle="1" w:styleId="ZpatChar">
    <w:name w:val="Zápatí Char"/>
    <w:link w:val="Zpat"/>
    <w:uiPriority w:val="99"/>
    <w:rsid w:val="005E3F4A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8945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5D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5D30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aliases w:val="Nad,Nadpis pro KZ,odrážky,List Paragraph_0,List Paragraph_1,List Paragraph_2,Odstavec se seznamem1,Odstavec se seznamem2,můj Nadpis 2,List Paragraph,Odstavec cíl se seznamem,Odstavec_muj,List Paragraph (Czech Tourism),Odstavec_muj1"/>
    <w:basedOn w:val="Normln"/>
    <w:link w:val="OdstavecseseznamemChar"/>
    <w:uiPriority w:val="34"/>
    <w:qFormat/>
    <w:rsid w:val="00C94B2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3B7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8D73B7"/>
    <w:rPr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8D73B7"/>
    <w:rPr>
      <w:b/>
      <w:bCs/>
      <w:lang w:val="en-US" w:eastAsia="en-US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Char,Text pozn. pod čarou1,Char Char Char1,Footnote Text Char1,o,ft"/>
    <w:basedOn w:val="Normln"/>
    <w:link w:val="TextpoznpodarouChar"/>
    <w:uiPriority w:val="99"/>
    <w:unhideWhenUsed/>
    <w:qFormat/>
    <w:rsid w:val="00EA73F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link w:val="Textpoznpodarou"/>
    <w:uiPriority w:val="99"/>
    <w:qFormat/>
    <w:rsid w:val="00EA73F6"/>
    <w:rPr>
      <w:rFonts w:ascii="Calibri" w:hAnsi="Calibri" w:cs="Calibri"/>
      <w:color w:val="000000"/>
      <w:lang w:eastAsia="en-US"/>
    </w:rPr>
  </w:style>
  <w:style w:type="character" w:styleId="Znakapoznpodarou">
    <w:name w:val="footnote reference"/>
    <w:aliases w:val="Appel note de bas de p,Appel note de bas de page,BVI fnr,Char Car Car Car Car,Footnote Reference Superscript,Footnote reference number,Footnote symbol,Légende,Légende;Char Car Car Car Car,PGI Fußnote Ziffer,Voetnootverwijzing,12 b"/>
    <w:link w:val="BVIfnrCharChar"/>
    <w:uiPriority w:val="99"/>
    <w:unhideWhenUsed/>
    <w:qFormat/>
    <w:rsid w:val="00E73CB0"/>
    <w:rPr>
      <w:vertAlign w:val="superscript"/>
    </w:rPr>
  </w:style>
  <w:style w:type="paragraph" w:styleId="Normlnweb">
    <w:name w:val="Normal (Web)"/>
    <w:basedOn w:val="Normln"/>
    <w:uiPriority w:val="99"/>
    <w:rsid w:val="003D6E7E"/>
  </w:style>
  <w:style w:type="character" w:styleId="Zdraznn">
    <w:name w:val="Emphasis"/>
    <w:aliases w:val="běžný text"/>
    <w:uiPriority w:val="20"/>
    <w:qFormat/>
    <w:rsid w:val="003D6E7E"/>
    <w:rPr>
      <w:i/>
      <w:iCs/>
    </w:rPr>
  </w:style>
  <w:style w:type="paragraph" w:customStyle="1" w:styleId="NormlnKZ">
    <w:name w:val="Normální KZ"/>
    <w:basedOn w:val="Normln"/>
    <w:rsid w:val="00AF495B"/>
    <w:pPr>
      <w:spacing w:after="120"/>
      <w:ind w:firstLine="425"/>
    </w:pPr>
    <w:rPr>
      <w:rFonts w:eastAsia="Calibri"/>
      <w:sz w:val="22"/>
      <w:szCs w:val="22"/>
      <w:lang w:eastAsia="cs-CZ"/>
    </w:rPr>
  </w:style>
  <w:style w:type="character" w:customStyle="1" w:styleId="OdstavecseseznamemChar">
    <w:name w:val="Odstavec se seznamem Char"/>
    <w:aliases w:val="Nad Char,Nadpis pro KZ Char,odrážky Char,List Paragraph_0 Char,List Paragraph_1 Char,List Paragraph_2 Char,Odstavec se seznamem1 Char,Odstavec se seznamem2 Char,můj Nadpis 2 Char,List Paragraph Char,Odstavec_muj Char"/>
    <w:link w:val="Odstavecseseznamem"/>
    <w:uiPriority w:val="34"/>
    <w:qFormat/>
    <w:rsid w:val="00B707FC"/>
    <w:rPr>
      <w:sz w:val="24"/>
      <w:szCs w:val="24"/>
      <w:lang w:eastAsia="en-US"/>
    </w:rPr>
  </w:style>
  <w:style w:type="paragraph" w:customStyle="1" w:styleId="Default">
    <w:name w:val="Default"/>
    <w:rsid w:val="00CD75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AB0657"/>
    <w:rPr>
      <w:rFonts w:ascii="Calibri" w:hAnsi="Calibri" w:cs="Calibri"/>
      <w:b/>
      <w:color w:val="000000"/>
      <w:sz w:val="28"/>
      <w:szCs w:val="28"/>
      <w:lang w:eastAsia="en-US"/>
    </w:rPr>
  </w:style>
  <w:style w:type="character" w:customStyle="1" w:styleId="Nadpis8Char">
    <w:name w:val="Nadpis 8 Char"/>
    <w:link w:val="Nadpis8"/>
    <w:uiPriority w:val="9"/>
    <w:semiHidden/>
    <w:rsid w:val="00AA56EB"/>
    <w:rPr>
      <w:rFonts w:ascii="Calibri" w:eastAsia="Times New Roman" w:hAnsi="Calibri" w:cs="Times New Roman"/>
      <w:i/>
      <w:iCs/>
      <w:color w:val="000000"/>
      <w:sz w:val="24"/>
      <w:szCs w:val="24"/>
      <w:lang w:eastAsia="en-US"/>
    </w:rPr>
  </w:style>
  <w:style w:type="paragraph" w:customStyle="1" w:styleId="KP-normlntext">
    <w:name w:val="KP-normální text"/>
    <w:basedOn w:val="Normln"/>
    <w:link w:val="KP-normlntextChar"/>
    <w:qFormat/>
    <w:rsid w:val="00AA56EB"/>
    <w:pPr>
      <w:spacing w:after="120"/>
      <w:ind w:firstLine="720"/>
    </w:pPr>
    <w:rPr>
      <w:rFonts w:ascii="Arial" w:hAnsi="Arial" w:cs="Arial"/>
      <w:sz w:val="22"/>
      <w:szCs w:val="22"/>
    </w:rPr>
  </w:style>
  <w:style w:type="character" w:customStyle="1" w:styleId="KP-normlntextChar">
    <w:name w:val="KP-normální text Char"/>
    <w:link w:val="KP-normlntext"/>
    <w:rsid w:val="00AA56EB"/>
    <w:rPr>
      <w:rFonts w:ascii="Arial" w:hAnsi="Arial" w:cs="Arial"/>
      <w:color w:val="000000"/>
      <w:sz w:val="22"/>
      <w:szCs w:val="22"/>
      <w:lang w:eastAsia="en-US"/>
    </w:rPr>
  </w:style>
  <w:style w:type="character" w:styleId="Hypertextovodkaz">
    <w:name w:val="Hyperlink"/>
    <w:uiPriority w:val="99"/>
    <w:rsid w:val="00270B04"/>
    <w:rPr>
      <w:color w:val="0000FF"/>
      <w:u w:val="single"/>
    </w:rPr>
  </w:style>
  <w:style w:type="character" w:styleId="Siln">
    <w:name w:val="Strong"/>
    <w:uiPriority w:val="22"/>
    <w:qFormat/>
    <w:rsid w:val="00FE5478"/>
    <w:rPr>
      <w:b/>
      <w:bCs/>
    </w:rPr>
  </w:style>
  <w:style w:type="paragraph" w:customStyle="1" w:styleId="Pa18">
    <w:name w:val="Pa18"/>
    <w:basedOn w:val="Normln"/>
    <w:next w:val="Normln"/>
    <w:uiPriority w:val="99"/>
    <w:rsid w:val="00653E37"/>
    <w:pPr>
      <w:autoSpaceDE w:val="0"/>
      <w:autoSpaceDN w:val="0"/>
      <w:adjustRightInd w:val="0"/>
      <w:spacing w:before="0" w:line="211" w:lineRule="atLeast"/>
      <w:jc w:val="left"/>
    </w:pPr>
    <w:rPr>
      <w:rFonts w:cs="Times New Roman"/>
      <w:color w:val="auto"/>
      <w:lang w:eastAsia="cs-CZ"/>
    </w:rPr>
  </w:style>
  <w:style w:type="character" w:customStyle="1" w:styleId="A14">
    <w:name w:val="A14"/>
    <w:uiPriority w:val="99"/>
    <w:rsid w:val="00653E37"/>
    <w:rPr>
      <w:b/>
      <w:color w:val="000000"/>
      <w:sz w:val="54"/>
    </w:rPr>
  </w:style>
  <w:style w:type="paragraph" w:customStyle="1" w:styleId="Pa19">
    <w:name w:val="Pa19"/>
    <w:basedOn w:val="Normln"/>
    <w:next w:val="Normln"/>
    <w:uiPriority w:val="99"/>
    <w:rsid w:val="00653E37"/>
    <w:pPr>
      <w:autoSpaceDE w:val="0"/>
      <w:autoSpaceDN w:val="0"/>
      <w:adjustRightInd w:val="0"/>
      <w:spacing w:before="0" w:line="211" w:lineRule="atLeast"/>
      <w:jc w:val="left"/>
    </w:pPr>
    <w:rPr>
      <w:rFonts w:cs="Times New Roman"/>
      <w:color w:val="auto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46EED"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tlid-translation">
    <w:name w:val="tlid-translation"/>
    <w:basedOn w:val="Standardnpsmoodstavce"/>
    <w:rsid w:val="00BD6545"/>
  </w:style>
  <w:style w:type="paragraph" w:styleId="Revize">
    <w:name w:val="Revision"/>
    <w:hidden/>
    <w:uiPriority w:val="99"/>
    <w:semiHidden/>
    <w:rsid w:val="00740142"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D07D2E"/>
    <w:rPr>
      <w:color w:val="000000"/>
      <w:sz w:val="28"/>
    </w:rPr>
  </w:style>
  <w:style w:type="character" w:customStyle="1" w:styleId="A4">
    <w:name w:val="A4"/>
    <w:uiPriority w:val="99"/>
    <w:rsid w:val="00D07D2E"/>
    <w:rPr>
      <w:color w:val="000000"/>
      <w:sz w:val="60"/>
    </w:rPr>
  </w:style>
  <w:style w:type="character" w:customStyle="1" w:styleId="A5">
    <w:name w:val="A5"/>
    <w:uiPriority w:val="99"/>
    <w:rsid w:val="00D07D2E"/>
    <w:rPr>
      <w:b/>
      <w:color w:val="000000"/>
      <w:sz w:val="40"/>
    </w:rPr>
  </w:style>
  <w:style w:type="paragraph" w:customStyle="1" w:styleId="Kontrolnprotokol">
    <w:name w:val="Kontrolní protokol"/>
    <w:basedOn w:val="Normln"/>
    <w:link w:val="KontrolnprotokolChar"/>
    <w:qFormat/>
    <w:rsid w:val="00860C83"/>
    <w:pPr>
      <w:spacing w:before="240"/>
    </w:pPr>
    <w:rPr>
      <w:rFonts w:asciiTheme="minorHAnsi" w:hAnsiTheme="minorHAnsi" w:cstheme="minorHAnsi"/>
      <w:color w:val="auto"/>
    </w:rPr>
  </w:style>
  <w:style w:type="character" w:customStyle="1" w:styleId="KontrolnprotokolChar">
    <w:name w:val="Kontrolní protokol Char"/>
    <w:basedOn w:val="Standardnpsmoodstavce"/>
    <w:link w:val="Kontrolnprotokol"/>
    <w:rsid w:val="00860C83"/>
    <w:rPr>
      <w:rFonts w:asciiTheme="minorHAnsi" w:hAnsiTheme="minorHAnsi" w:cstheme="minorHAnsi"/>
      <w:sz w:val="24"/>
      <w:szCs w:val="24"/>
      <w:lang w:eastAsia="en-US"/>
    </w:rPr>
  </w:style>
  <w:style w:type="character" w:customStyle="1" w:styleId="KPnormlnChar">
    <w:name w:val="KP normální Char"/>
    <w:basedOn w:val="Standardnpsmoodstavce"/>
    <w:link w:val="KPnormln"/>
    <w:locked/>
    <w:rsid w:val="00AC4A4A"/>
    <w:rPr>
      <w:rFonts w:cstheme="minorHAnsi"/>
      <w:color w:val="000000"/>
      <w:sz w:val="24"/>
    </w:rPr>
  </w:style>
  <w:style w:type="paragraph" w:customStyle="1" w:styleId="KPnormln">
    <w:name w:val="KP normální"/>
    <w:basedOn w:val="Normln"/>
    <w:link w:val="KPnormlnChar"/>
    <w:qFormat/>
    <w:rsid w:val="00AC4A4A"/>
    <w:pPr>
      <w:spacing w:after="120"/>
      <w:ind w:firstLine="720"/>
    </w:pPr>
    <w:rPr>
      <w:rFonts w:ascii="Times New Roman" w:hAnsi="Times New Roman" w:cstheme="minorHAnsi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B6A5A"/>
    <w:rPr>
      <w:rFonts w:ascii="Calibri" w:hAnsi="Calibri" w:cs="Calibri"/>
      <w:b/>
      <w:bCs/>
      <w:color w:val="000000"/>
      <w:sz w:val="36"/>
      <w:szCs w:val="36"/>
      <w:lang w:eastAsia="en-US"/>
    </w:rPr>
  </w:style>
  <w:style w:type="character" w:customStyle="1" w:styleId="Nadpis3Char">
    <w:name w:val="Nadpis 3 Char"/>
    <w:basedOn w:val="Standardnpsmoodstavce"/>
    <w:link w:val="Nadpis3"/>
    <w:rsid w:val="002B6A5A"/>
    <w:rPr>
      <w:rFonts w:ascii="Calibri" w:hAnsi="Calibri" w:cs="Calibri"/>
      <w:b/>
      <w:color w:val="000000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2B6A5A"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2B6A5A"/>
    <w:rPr>
      <w:rFonts w:ascii="Calibri" w:hAnsi="Calibri" w:cs="Calibri"/>
      <w:b/>
      <w:bCs/>
      <w:color w:val="0000FF"/>
      <w:sz w:val="28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rsid w:val="002B6A5A"/>
    <w:rPr>
      <w:rFonts w:ascii="Arial" w:hAnsi="Arial" w:cs="Arial"/>
      <w:b/>
      <w:bCs/>
      <w:color w:val="000000"/>
      <w:sz w:val="28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rsid w:val="002B6A5A"/>
    <w:rPr>
      <w:rFonts w:ascii="Calibri" w:hAnsi="Calibri" w:cs="Calibri"/>
      <w:b/>
      <w:bCs/>
      <w:color w:val="0000FF"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2B6A5A"/>
    <w:rPr>
      <w:rFonts w:ascii="Calibri" w:hAnsi="Calibri" w:cs="Calibri"/>
      <w:b/>
      <w:bCs/>
      <w:color w:val="000000"/>
      <w:sz w:val="28"/>
      <w:szCs w:val="28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B6A5A"/>
    <w:rPr>
      <w:rFonts w:ascii="Calibri" w:hAnsi="Calibri" w:cs="Calibri"/>
      <w:color w:val="00000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B6A5A"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semiHidden/>
    <w:rsid w:val="002B6A5A"/>
    <w:rPr>
      <w:rFonts w:ascii="Calibri" w:hAnsi="Calibri" w:cs="Calibri"/>
      <w:b/>
      <w:bCs/>
      <w:color w:val="000000"/>
      <w:sz w:val="24"/>
      <w:szCs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2B6A5A"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B6A5A"/>
    <w:rPr>
      <w:rFonts w:ascii="Calibri" w:hAnsi="Calibri" w:cs="Calibri"/>
      <w:color w:val="000000"/>
      <w:sz w:val="24"/>
      <w:szCs w:val="24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80A01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31FC"/>
    <w:rPr>
      <w:color w:val="605E5C"/>
      <w:shd w:val="clear" w:color="auto" w:fill="E1DFDD"/>
    </w:r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2A50F3"/>
    <w:pPr>
      <w:spacing w:before="0" w:after="160" w:line="240" w:lineRule="exact"/>
    </w:pPr>
    <w:rPr>
      <w:rFonts w:ascii="Times New Roman" w:hAnsi="Times New Roman" w:cs="Times New Roman"/>
      <w:color w:val="auto"/>
      <w:sz w:val="20"/>
      <w:szCs w:val="20"/>
      <w:vertAlign w:val="superscript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2A50F7"/>
    <w:pPr>
      <w:spacing w:before="0" w:after="160" w:line="240" w:lineRule="exact"/>
      <w:jc w:val="left"/>
    </w:pPr>
    <w:rPr>
      <w:rFonts w:ascii="Times New Roman Bold" w:hAnsi="Times New Roman Bold" w:cs="Times New Roman"/>
      <w:color w:val="auto"/>
      <w:sz w:val="22"/>
      <w:szCs w:val="26"/>
      <w:lang w:val="sk-SK"/>
    </w:rPr>
  </w:style>
  <w:style w:type="paragraph" w:styleId="Bezmezer">
    <w:name w:val="No Spacing"/>
    <w:uiPriority w:val="1"/>
    <w:qFormat/>
    <w:rsid w:val="00317D5B"/>
    <w:pPr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KPnormal">
    <w:name w:val="KP_normal"/>
    <w:basedOn w:val="Normln"/>
    <w:link w:val="KPnormalChar"/>
    <w:qFormat/>
    <w:rsid w:val="00861417"/>
    <w:pPr>
      <w:spacing w:before="160" w:line="276" w:lineRule="auto"/>
      <w:ind w:firstLine="720"/>
    </w:pPr>
    <w:rPr>
      <w:rFonts w:cs="Times New Roman"/>
      <w:szCs w:val="22"/>
      <w:lang w:eastAsia="cs-CZ"/>
    </w:rPr>
  </w:style>
  <w:style w:type="character" w:customStyle="1" w:styleId="KPnormalChar">
    <w:name w:val="KP_normal Char"/>
    <w:basedOn w:val="Standardnpsmoodstavce"/>
    <w:link w:val="KPnormal"/>
    <w:rsid w:val="00861417"/>
    <w:rPr>
      <w:rFonts w:ascii="Calibri" w:hAnsi="Calibri"/>
      <w:color w:val="000000"/>
      <w:sz w:val="24"/>
      <w:szCs w:val="22"/>
    </w:rPr>
  </w:style>
  <w:style w:type="paragraph" w:customStyle="1" w:styleId="JK1">
    <w:name w:val="JK1"/>
    <w:basedOn w:val="Normln"/>
    <w:qFormat/>
    <w:rsid w:val="00E94D07"/>
    <w:pPr>
      <w:numPr>
        <w:numId w:val="2"/>
      </w:numPr>
    </w:pPr>
    <w:rPr>
      <w:rFonts w:eastAsiaTheme="minorHAnsi"/>
      <w:lang w:eastAsia="cs-CZ"/>
    </w:rPr>
  </w:style>
  <w:style w:type="paragraph" w:customStyle="1" w:styleId="JK4">
    <w:name w:val="JK4"/>
    <w:basedOn w:val="Normln"/>
    <w:qFormat/>
    <w:rsid w:val="00E94D07"/>
    <w:pPr>
      <w:numPr>
        <w:numId w:val="5"/>
      </w:numPr>
      <w:tabs>
        <w:tab w:val="left" w:pos="482"/>
      </w:tabs>
      <w:spacing w:after="120"/>
    </w:pPr>
    <w:rPr>
      <w:rFonts w:asciiTheme="minorHAnsi" w:eastAsiaTheme="minorHAnsi" w:hAnsiTheme="minorHAnsi" w:cstheme="minorBidi"/>
      <w:color w:val="auto"/>
      <w:szCs w:val="22"/>
    </w:rPr>
  </w:style>
  <w:style w:type="table" w:customStyle="1" w:styleId="Mkatabulky1">
    <w:name w:val="Mřížka tabulky1"/>
    <w:basedOn w:val="Normlntabulka"/>
    <w:next w:val="Mkatabulky"/>
    <w:uiPriority w:val="39"/>
    <w:rsid w:val="00CE25DC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D3615"/>
    <w:rPr>
      <w:color w:val="605E5C"/>
      <w:shd w:val="clear" w:color="auto" w:fill="E1DFDD"/>
    </w:rPr>
  </w:style>
  <w:style w:type="paragraph" w:customStyle="1" w:styleId="JK3">
    <w:name w:val="JK3"/>
    <w:basedOn w:val="Odstavecseseznamem"/>
    <w:autoRedefine/>
    <w:qFormat/>
    <w:rsid w:val="00B910FC"/>
    <w:pPr>
      <w:numPr>
        <w:numId w:val="8"/>
      </w:numPr>
      <w:tabs>
        <w:tab w:val="left" w:pos="482"/>
      </w:tabs>
      <w:spacing w:after="120"/>
      <w:ind w:left="0" w:firstLine="0"/>
      <w:contextualSpacing w:val="0"/>
    </w:pPr>
    <w:rPr>
      <w:rFonts w:asciiTheme="minorHAnsi" w:eastAsiaTheme="minorHAnsi" w:hAnsiTheme="minorHAnsi" w:cstheme="minorBidi"/>
      <w:color w:val="auto"/>
      <w:szCs w:val="22"/>
    </w:rPr>
  </w:style>
  <w:style w:type="paragraph" w:customStyle="1" w:styleId="JK2">
    <w:name w:val="JK2"/>
    <w:basedOn w:val="JK1"/>
    <w:qFormat/>
    <w:rsid w:val="00504F32"/>
    <w:pPr>
      <w:numPr>
        <w:numId w:val="4"/>
      </w:numPr>
      <w:tabs>
        <w:tab w:val="left" w:pos="567"/>
      </w:tabs>
      <w:spacing w:after="120"/>
    </w:pPr>
    <w:rPr>
      <w:rFonts w:eastAsia="Times New Roman" w:cs="Times New Roman"/>
    </w:rPr>
  </w:style>
  <w:style w:type="paragraph" w:customStyle="1" w:styleId="Mluvcnadpis">
    <w:name w:val="Mluvící nadpis"/>
    <w:basedOn w:val="Nadpis2"/>
    <w:next w:val="JK4"/>
    <w:link w:val="MluvcnadpisChar"/>
    <w:qFormat/>
    <w:rsid w:val="00504F32"/>
    <w:pPr>
      <w:keepNext/>
      <w:numPr>
        <w:numId w:val="0"/>
      </w:numPr>
      <w:spacing w:before="140" w:after="120"/>
      <w:ind w:left="284" w:hanging="284"/>
    </w:pPr>
    <w:rPr>
      <w:rFonts w:asciiTheme="minorHAnsi" w:eastAsiaTheme="minorHAnsi" w:hAnsiTheme="minorHAnsi" w:cstheme="minorHAnsi"/>
      <w:bCs/>
      <w:i/>
      <w:color w:val="FF0000"/>
      <w:sz w:val="24"/>
      <w:szCs w:val="24"/>
    </w:rPr>
  </w:style>
  <w:style w:type="paragraph" w:customStyle="1" w:styleId="Nadpismsk">
    <w:name w:val="Nadpis římská"/>
    <w:basedOn w:val="Nadpis1"/>
    <w:qFormat/>
    <w:rsid w:val="00504F32"/>
    <w:pPr>
      <w:numPr>
        <w:numId w:val="3"/>
      </w:numPr>
      <w:spacing w:before="600" w:after="240" w:line="276" w:lineRule="auto"/>
    </w:pPr>
    <w:rPr>
      <w:rFonts w:asciiTheme="minorHAnsi" w:eastAsiaTheme="minorHAnsi" w:hAnsiTheme="minorHAnsi" w:cstheme="minorBidi"/>
      <w:b w:val="0"/>
      <w:bCs w:val="0"/>
      <w:color w:val="auto"/>
      <w:sz w:val="28"/>
      <w:szCs w:val="22"/>
    </w:rPr>
  </w:style>
  <w:style w:type="paragraph" w:customStyle="1" w:styleId="KPnormalni">
    <w:name w:val="KP_normalni"/>
    <w:basedOn w:val="Normln"/>
    <w:qFormat/>
    <w:rsid w:val="00504F32"/>
    <w:pPr>
      <w:spacing w:before="0"/>
    </w:pPr>
    <w:rPr>
      <w:rFonts w:eastAsiaTheme="minorHAnsi"/>
      <w:color w:val="auto"/>
    </w:rPr>
  </w:style>
  <w:style w:type="paragraph" w:customStyle="1" w:styleId="KP-normlnbezodsazen">
    <w:name w:val="KP-normální bez odsazení"/>
    <w:basedOn w:val="KP-normlntext"/>
    <w:qFormat/>
    <w:rsid w:val="00504F32"/>
    <w:pPr>
      <w:spacing w:before="0" w:after="0"/>
      <w:ind w:firstLine="0"/>
    </w:pPr>
    <w:rPr>
      <w:rFonts w:asciiTheme="minorHAnsi" w:hAnsiTheme="minorHAnsi" w:cstheme="minorHAnsi"/>
      <w:color w:val="auto"/>
      <w:sz w:val="24"/>
      <w:szCs w:val="24"/>
    </w:rPr>
  </w:style>
  <w:style w:type="paragraph" w:customStyle="1" w:styleId="Pkladyvrmeku">
    <w:name w:val="Příklady v rámečku"/>
    <w:basedOn w:val="Normln"/>
    <w:qFormat/>
    <w:rsid w:val="00504F32"/>
    <w:pPr>
      <w:keepLines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pacing w:before="0" w:line="280" w:lineRule="atLeast"/>
      <w:ind w:right="142"/>
    </w:pPr>
    <w:rPr>
      <w:rFonts w:asciiTheme="minorHAnsi" w:eastAsiaTheme="minorHAnsi" w:hAnsiTheme="minorHAnsi" w:cstheme="minorBidi"/>
      <w:i/>
      <w:color w:val="auto"/>
    </w:rPr>
  </w:style>
  <w:style w:type="character" w:customStyle="1" w:styleId="MluvcnadpisChar">
    <w:name w:val="Mluvící nadpis Char"/>
    <w:basedOn w:val="Nadpis2Char"/>
    <w:link w:val="Mluvcnadpis"/>
    <w:rsid w:val="00504F32"/>
    <w:rPr>
      <w:rFonts w:asciiTheme="minorHAnsi" w:eastAsiaTheme="minorHAnsi" w:hAnsiTheme="minorHAnsi" w:cstheme="minorHAnsi"/>
      <w:b/>
      <w:bCs/>
      <w:i/>
      <w:color w:val="FF0000"/>
      <w:sz w:val="24"/>
      <w:szCs w:val="24"/>
      <w:lang w:eastAsia="en-US"/>
    </w:rPr>
  </w:style>
  <w:style w:type="paragraph" w:customStyle="1" w:styleId="Nadpistabulkynebografu">
    <w:name w:val="Nadpis tabulky nebo grafu"/>
    <w:basedOn w:val="KPnormalni"/>
    <w:next w:val="KPnormalni"/>
    <w:qFormat/>
    <w:rsid w:val="00504F32"/>
    <w:pPr>
      <w:keepNext/>
      <w:keepLines/>
      <w:tabs>
        <w:tab w:val="right" w:pos="9070"/>
      </w:tabs>
      <w:spacing w:after="40"/>
      <w:ind w:left="1418" w:hanging="1418"/>
    </w:pPr>
    <w:rPr>
      <w:b/>
    </w:rPr>
  </w:style>
  <w:style w:type="paragraph" w:customStyle="1" w:styleId="Zdrojnebovysvtlivkapodtabulkou">
    <w:name w:val="Zdroj nebo vysvětlivka pod tabulkou"/>
    <w:aliases w:val="grafem"/>
    <w:basedOn w:val="KPnormalni"/>
    <w:next w:val="JK4"/>
    <w:qFormat/>
    <w:rsid w:val="00504F32"/>
    <w:pPr>
      <w:keepNext/>
      <w:keepLines/>
      <w:contextualSpacing/>
    </w:pPr>
    <w:rPr>
      <w:sz w:val="20"/>
      <w:szCs w:val="20"/>
    </w:rPr>
  </w:style>
  <w:style w:type="paragraph" w:customStyle="1" w:styleId="PodkapitolystiIVKZ">
    <w:name w:val="Podkapitoly části IV. KZ"/>
    <w:basedOn w:val="Nadpis2"/>
    <w:next w:val="JK4"/>
    <w:link w:val="PodkapitolystiIVKZChar"/>
    <w:qFormat/>
    <w:rsid w:val="00504F32"/>
    <w:pPr>
      <w:keepNext/>
      <w:numPr>
        <w:numId w:val="7"/>
      </w:numPr>
      <w:spacing w:before="360"/>
    </w:pPr>
    <w:rPr>
      <w:rFonts w:asciiTheme="minorHAnsi" w:eastAsiaTheme="minorHAnsi" w:hAnsiTheme="minorHAnsi" w:cstheme="minorHAnsi"/>
      <w:i/>
      <w:color w:val="244061" w:themeColor="accent1" w:themeShade="80"/>
      <w:sz w:val="24"/>
    </w:rPr>
  </w:style>
  <w:style w:type="character" w:customStyle="1" w:styleId="PodkapitolystiIVKZChar">
    <w:name w:val="Podkapitoly části IV. KZ Char"/>
    <w:basedOn w:val="Nadpis3Char"/>
    <w:link w:val="PodkapitolystiIVKZ"/>
    <w:rsid w:val="00504F32"/>
    <w:rPr>
      <w:rFonts w:asciiTheme="minorHAnsi" w:eastAsiaTheme="minorHAnsi" w:hAnsiTheme="minorHAnsi" w:cstheme="minorHAnsi"/>
      <w:b/>
      <w:i/>
      <w:color w:val="244061" w:themeColor="accent1" w:themeShade="80"/>
      <w:sz w:val="24"/>
      <w:szCs w:val="28"/>
      <w:lang w:eastAsia="en-US"/>
    </w:rPr>
  </w:style>
  <w:style w:type="paragraph" w:customStyle="1" w:styleId="Nadpispklad">
    <w:name w:val="Nadpis příkladů"/>
    <w:basedOn w:val="Normln"/>
    <w:qFormat/>
    <w:rsid w:val="00504F32"/>
    <w:pPr>
      <w:keepNext/>
    </w:pPr>
    <w:rPr>
      <w:rFonts w:asciiTheme="minorHAnsi" w:hAnsiTheme="minorHAnsi" w:cstheme="minorHAnsi"/>
      <w:b/>
      <w:color w:val="244061" w:themeColor="accent1" w:themeShade="80"/>
    </w:rPr>
  </w:style>
  <w:style w:type="paragraph" w:customStyle="1" w:styleId="Odstavecsmalmodsazenm">
    <w:name w:val="Odstavec s malým odsazením"/>
    <w:basedOn w:val="Normln"/>
    <w:rsid w:val="00081E5D"/>
    <w:pPr>
      <w:spacing w:before="0" w:after="60"/>
    </w:pPr>
    <w:rPr>
      <w:rFonts w:eastAsiaTheme="minorHAnsi"/>
      <w:color w:val="auto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4938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cs-CZ" sz="900" b="1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Žádný projekt 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cs-CZ" sz="900" b="1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nebyl 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cs-CZ" sz="900" b="1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zcela</a:t>
            </a:r>
            <a:r>
              <a:rPr lang="cs-CZ" sz="900" b="1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 neúčelný</a:t>
            </a:r>
            <a:endParaRPr lang="cs-CZ" sz="900" b="1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endParaRPr>
          </a:p>
        </c:rich>
      </c:tx>
      <c:layout>
        <c:manualLayout>
          <c:xMode val="edge"/>
          <c:yMode val="edge"/>
          <c:x val="0.41666407251419146"/>
          <c:y val="0.392935982339955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25060912740698926"/>
          <c:y val="0.10476213715240303"/>
          <c:w val="0.51301432887749499"/>
          <c:h val="0.77914758999495926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2EB3A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57-439A-BBCD-A412FC8BB131}"/>
              </c:ext>
            </c:extLst>
          </c:dPt>
          <c:dPt>
            <c:idx val="1"/>
            <c:bubble3D val="0"/>
            <c:spPr>
              <a:solidFill>
                <a:srgbClr val="C2E2D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657-439A-BBCD-A412FC8BB131}"/>
              </c:ext>
            </c:extLst>
          </c:dPt>
          <c:dPt>
            <c:idx val="2"/>
            <c:bubble3D val="0"/>
            <c:spPr>
              <a:solidFill>
                <a:srgbClr val="FDC3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657-439A-BBCD-A412FC8BB131}"/>
              </c:ext>
            </c:extLst>
          </c:dPt>
          <c:dLbls>
            <c:dLbl>
              <c:idx val="0"/>
              <c:layout>
                <c:manualLayout>
                  <c:x val="0.19670299590843024"/>
                  <c:y val="7.9018022426726842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6FB799E-CD5C-4811-8884-8C72756713FD}" type="CELLRANGE">
                      <a:rPr lang="en-US" b="1">
                        <a:solidFill>
                          <a:sysClr val="windowText" lastClr="000000"/>
                        </a:solidFill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[OBLAST BUNĚK]</a:t>
                    </a:fld>
                    <a:endParaRPr lang="cs-CZ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8175901018956392"/>
                      <c:h val="0.19640028905802745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E657-439A-BBCD-A412FC8BB131}"/>
                </c:ext>
              </c:extLst>
            </c:dLbl>
            <c:dLbl>
              <c:idx val="1"/>
              <c:layout>
                <c:manualLayout>
                  <c:x val="-0.1890372042924042"/>
                  <c:y val="6.4262855104971234E-2"/>
                </c:manualLayout>
              </c:layout>
              <c:tx>
                <c:rich>
                  <a:bodyPr/>
                  <a:lstStyle/>
                  <a:p>
                    <a:fld id="{85DE2E57-4F1A-499F-949C-11AD13EEC44C}" type="CELLRANGE">
                      <a:rPr lang="en-US" b="1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pPr/>
                      <a:t>[OBLAST BUNĚK]</a:t>
                    </a:fld>
                    <a:endParaRPr lang="cs-CZ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128489882436971"/>
                      <c:h val="0.19737032275018065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E657-439A-BBCD-A412FC8BB131}"/>
                </c:ext>
              </c:extLst>
            </c:dLbl>
            <c:dLbl>
              <c:idx val="2"/>
              <c:layout>
                <c:manualLayout>
                  <c:x val="-0.27994896577942385"/>
                  <c:y val="-8.2681857854776497E-2"/>
                </c:manualLayout>
              </c:layout>
              <c:tx>
                <c:rich>
                  <a:bodyPr/>
                  <a:lstStyle/>
                  <a:p>
                    <a:fld id="{C69331C7-8BBA-4DE7-9F0E-286BA27C962D}" type="CELLRANGE">
                      <a:rPr lang="en-US" sz="900" b="1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pPr/>
                      <a:t>[OBLAST BUNĚK]</a:t>
                    </a:fld>
                    <a:endParaRPr lang="cs-CZ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54207443162507"/>
                      <c:h val="0.2014569275384081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E657-439A-BBCD-A412FC8BB131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</c:ext>
            </c:extLst>
          </c:dLbls>
          <c:cat>
            <c:numRef>
              <c:f>'[Tabulky-grafy-výpočty KZ.xlsx]Graf_účelnost projektů'!$B$2:$B$4</c:f>
              <c:numCache>
                <c:formatCode>General</c:formatCode>
                <c:ptCount val="3"/>
              </c:numCache>
            </c:numRef>
          </c:cat>
          <c:val>
            <c:numRef>
              <c:f>'[Tabulky-grafy-výpočty KZ.xlsx]Graf_účelnost projektů'!$C$2:$C$4</c:f>
              <c:numCache>
                <c:formatCode>General</c:formatCode>
                <c:ptCount val="3"/>
                <c:pt idx="0">
                  <c:v>10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'[Tabulky-grafy-výpočty KZ.xlsx]Graf_účelnost projektů'!$D$2:$D$4</c15:f>
                <c15:dlblRangeCache>
                  <c:ptCount val="3"/>
                  <c:pt idx="0">
                    <c:v>10 projektů bylo účelných </c:v>
                  </c:pt>
                  <c:pt idx="1">
                    <c:v>2 projekty byly účelné s mírnými nedostatky</c:v>
                  </c:pt>
                  <c:pt idx="2">
                    <c:v>2 projekty byly účelné jen omezeně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6-E657-439A-BBCD-A412FC8BB1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DCBFA233B954FA9A728E5C9FBA618" ma:contentTypeVersion="0" ma:contentTypeDescription="Vytvoří nový dokument" ma:contentTypeScope="" ma:versionID="baa1bd43755736657167b8f02013f1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FD99E-E87B-41B9-B3EB-5DFD039CA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BEEBC8-6C84-4482-819F-9B61FE15D75C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660B1BE-EA1C-46FD-BB66-B96F883C31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A2638AC-E15C-40C1-BF5F-6ACB054EEE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CEA98B-3296-4E62-AA85-D9018539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8255</Words>
  <Characters>50414</Characters>
  <Application>Microsoft Office Word</Application>
  <DocSecurity>0</DocSecurity>
  <Lines>420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24/10 - Peněžní prostředky určené na podporu infrastruktury regionálních sociálních služeb</vt:lpstr>
    </vt:vector>
  </TitlesOfParts>
  <Company>NKU</Company>
  <LinksUpToDate>false</LinksUpToDate>
  <CharactersWithSpaces>58552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24/10 - Peněžní prostředky určené na podporu infrastruktury regionálních sociálních služeb</dc:title>
  <dc:subject>Kontrolní závěr z kontrolní akce NKÚ č. 24/10 - Peněžní prostředky určené na podporu infrastruktury regionálních sociálních služeb</dc:subject>
  <dc:creator>Nejvyšší kontrolní úřad</dc:creator>
  <cp:keywords>kontrolní závěr, infrastruktura sociálních služeb; sociální služby</cp:keywords>
  <cp:lastModifiedBy>KOKRDA Daniel</cp:lastModifiedBy>
  <cp:revision>3</cp:revision>
  <cp:lastPrinted>2025-04-14T09:38:00Z</cp:lastPrinted>
  <dcterms:created xsi:type="dcterms:W3CDTF">2025-04-14T09:37:00Z</dcterms:created>
  <dcterms:modified xsi:type="dcterms:W3CDTF">2025-04-14T09:39:00Z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17/26-NKU30/311/18</vt:lpwstr>
  </property>
  <property fmtid="{D5CDD505-2E9C-101B-9397-08002B2CF9AE}" pid="4" name="CJ_PostaDoruc_PisemnostOdpovedNa_Pisemnost">
    <vt:lpwstr>XXX-XXX-XXX</vt:lpwstr>
  </property>
  <property fmtid="{D5CDD505-2E9C-101B-9397-08002B2CF9AE}" pid="5" name="CJ_Spis_Pisemnost">
    <vt:lpwstr>CJ/SPIS/ROK</vt:lpwstr>
  </property>
  <property fmtid="{D5CDD505-2E9C-101B-9397-08002B2CF9AE}" pid="6" name="Contact_PostaOdes_All">
    <vt:lpwstr>ROZDĚLOVNÍK...</vt:lpwstr>
  </property>
  <property fmtid="{D5CDD505-2E9C-101B-9397-08002B2CF9AE}" pid="7" name="ContentType">
    <vt:lpwstr>Dokument</vt:lpwstr>
  </property>
  <property fmtid="{D5CDD505-2E9C-101B-9397-08002B2CF9AE}" pid="8" name="ContentTypeId">
    <vt:lpwstr>0x0101001A9DCBFA233B954FA9A728E5C9FBA618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19.4.2018</vt:lpwstr>
  </property>
  <property fmtid="{D5CDD505-2E9C-101B-9397-08002B2CF9AE}" pid="12" name="DisplayName_SpisovyUzel_PoziceZodpo_Pisemnost">
    <vt:lpwstr>Členové Úřadu</vt:lpwstr>
  </property>
  <property fmtid="{D5CDD505-2E9C-101B-9397-08002B2CF9AE}" pid="13" name="DisplayName_UserPoriz_Pisemnost">
    <vt:lpwstr>Bc. Jana Pokorná</vt:lpwstr>
  </property>
  <property fmtid="{D5CDD505-2E9C-101B-9397-08002B2CF9AE}" pid="14" name="EC_Pisemnost">
    <vt:lpwstr>18-5057/NKU</vt:lpwstr>
  </property>
  <property fmtid="{D5CDD505-2E9C-101B-9397-08002B2CF9AE}" pid="15" name="Key_BarCode_Pisemnost">
    <vt:lpwstr>*B000311673*</vt:lpwstr>
  </property>
  <property fmtid="{D5CDD505-2E9C-101B-9397-08002B2CF9AE}" pid="16" name="KRukam">
    <vt:lpwstr>{KRukam}</vt:lpwstr>
  </property>
  <property fmtid="{D5CDD505-2E9C-101B-9397-08002B2CF9AE}" pid="17" name="NameAddress_Contact_SpisovyUzel_PoziceZodpo_Pisemnost">
    <vt:lpwstr>ADRESÁT SU...</vt:lpwstr>
  </property>
  <property fmtid="{D5CDD505-2E9C-101B-9397-08002B2CF9AE}" pid="18" name="Odkaz">
    <vt:lpwstr>ODKAZ</vt:lpwstr>
  </property>
  <property fmtid="{D5CDD505-2E9C-101B-9397-08002B2CF9AE}" pid="19" name="Password_PisemnostTypZpristupneniInformaciZOSZ_Pisemnost">
    <vt:lpwstr>ZOSZ_Password</vt:lpwstr>
  </property>
  <property fmtid="{D5CDD505-2E9C-101B-9397-08002B2CF9AE}" pid="20" name="PocetListuDokumentu_Pisemnost">
    <vt:lpwstr>1</vt:lpwstr>
  </property>
  <property fmtid="{D5CDD505-2E9C-101B-9397-08002B2CF9AE}" pid="21" name="PocetListu_Pisemnost">
    <vt:lpwstr>1</vt:lpwstr>
  </property>
  <property fmtid="{D5CDD505-2E9C-101B-9397-08002B2CF9AE}" pid="22" name="PocetPriloh_Pisemnost">
    <vt:lpwstr>0</vt:lpwstr>
  </property>
  <property fmtid="{D5CDD505-2E9C-101B-9397-08002B2CF9AE}" pid="23" name="Podpis">
    <vt:lpwstr/>
  </property>
  <property fmtid="{D5CDD505-2E9C-101B-9397-08002B2CF9AE}" pid="24" name="PostalAddress_Contact_SpisovyUzel_PoziceZodpo_Pisemnost">
    <vt:lpwstr>ADRESA SU...</vt:lpwstr>
  </property>
  <property fmtid="{D5CDD505-2E9C-101B-9397-08002B2CF9AE}" pid="25" name="RC">
    <vt:lpwstr/>
  </property>
  <property fmtid="{D5CDD505-2E9C-101B-9397-08002B2CF9AE}" pid="26" name="SkartacniZnakLhuta_PisemnostZnak">
    <vt:lpwstr>?/?</vt:lpwstr>
  </property>
  <property fmtid="{D5CDD505-2E9C-101B-9397-08002B2CF9AE}" pid="27" name="SmlouvaCislo">
    <vt:lpwstr>ČÍSLO SMLOUVY</vt:lpwstr>
  </property>
  <property fmtid="{D5CDD505-2E9C-101B-9397-08002B2CF9AE}" pid="28" name="SZ_Spis_Pisemnost">
    <vt:lpwstr>17/26</vt:lpwstr>
  </property>
  <property fmtid="{D5CDD505-2E9C-101B-9397-08002B2CF9AE}" pid="29" name="TEST">
    <vt:lpwstr>testovací pole</vt:lpwstr>
  </property>
  <property fmtid="{D5CDD505-2E9C-101B-9397-08002B2CF9AE}" pid="30" name="TypPrilohy_Pisemnost">
    <vt:lpwstr>TYP PŘÍLOHY</vt:lpwstr>
  </property>
  <property fmtid="{D5CDD505-2E9C-101B-9397-08002B2CF9AE}" pid="31" name="UserName_PisemnostTypZpristupneniInformaciZOSZ_Pisemnost">
    <vt:lpwstr>ZOSZ_UserName</vt:lpwstr>
  </property>
  <property fmtid="{D5CDD505-2E9C-101B-9397-08002B2CF9AE}" pid="32" name="Vec_Pisemnost">
    <vt:lpwstr>Návrh kontrolního závěru 17/26 do připomínek</vt:lpwstr>
  </property>
  <property fmtid="{D5CDD505-2E9C-101B-9397-08002B2CF9AE}" pid="33" name="Zkratka_SpisovyUzel_PoziceZodpo_Pisemnost">
    <vt:lpwstr>30</vt:lpwstr>
  </property>
  <property fmtid="{D5CDD505-2E9C-101B-9397-08002B2CF9AE}" pid="34" name="MSIP_Label_577fbee6-ebd8-4412-8950-2ac0a4298383_Enabled">
    <vt:lpwstr>true</vt:lpwstr>
  </property>
  <property fmtid="{D5CDD505-2E9C-101B-9397-08002B2CF9AE}" pid="35" name="MSIP_Label_577fbee6-ebd8-4412-8950-2ac0a4298383_SetDate">
    <vt:lpwstr>2025-01-25T18:43:56Z</vt:lpwstr>
  </property>
  <property fmtid="{D5CDD505-2E9C-101B-9397-08002B2CF9AE}" pid="36" name="MSIP_Label_577fbee6-ebd8-4412-8950-2ac0a4298383_Method">
    <vt:lpwstr>Standard</vt:lpwstr>
  </property>
  <property fmtid="{D5CDD505-2E9C-101B-9397-08002B2CF9AE}" pid="37" name="MSIP_Label_577fbee6-ebd8-4412-8950-2ac0a4298383_Name">
    <vt:lpwstr>Střední</vt:lpwstr>
  </property>
  <property fmtid="{D5CDD505-2E9C-101B-9397-08002B2CF9AE}" pid="38" name="MSIP_Label_577fbee6-ebd8-4412-8950-2ac0a4298383_SiteId">
    <vt:lpwstr>e6d36204-fa0a-4bdb-9b60-80f84bb090cf</vt:lpwstr>
  </property>
  <property fmtid="{D5CDD505-2E9C-101B-9397-08002B2CF9AE}" pid="39" name="MSIP_Label_577fbee6-ebd8-4412-8950-2ac0a4298383_ActionId">
    <vt:lpwstr>a2f08ec6-5d56-4e24-9507-faf53dc46213</vt:lpwstr>
  </property>
  <property fmtid="{D5CDD505-2E9C-101B-9397-08002B2CF9AE}" pid="40" name="MSIP_Label_577fbee6-ebd8-4412-8950-2ac0a4298383_ContentBits">
    <vt:lpwstr>0</vt:lpwstr>
  </property>
</Properties>
</file>