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1C937" w14:textId="0E8A3472" w:rsidR="00246D13" w:rsidRPr="0021043F" w:rsidRDefault="00246D13" w:rsidP="00D723A6">
      <w:pPr>
        <w:widowControl/>
        <w:jc w:val="center"/>
        <w:rPr>
          <w:rFonts w:cs="Calibri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3FBE08" wp14:editId="073BD8EB">
            <wp:simplePos x="0" y="0"/>
            <wp:positionH relativeFrom="column">
              <wp:posOffset>2548255</wp:posOffset>
            </wp:positionH>
            <wp:positionV relativeFrom="paragraph">
              <wp:posOffset>5080</wp:posOffset>
            </wp:positionV>
            <wp:extent cx="714375" cy="615950"/>
            <wp:effectExtent l="0" t="0" r="9525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KU_LOGO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710956" w14:textId="77777777" w:rsidR="00246D13" w:rsidRPr="0021043F" w:rsidRDefault="00246D13" w:rsidP="00D723A6">
      <w:pPr>
        <w:widowControl/>
        <w:jc w:val="center"/>
        <w:rPr>
          <w:rFonts w:cs="Calibri"/>
          <w:color w:val="000000"/>
        </w:rPr>
      </w:pPr>
    </w:p>
    <w:p w14:paraId="5D801796" w14:textId="77777777" w:rsidR="00246D13" w:rsidRPr="0021043F" w:rsidRDefault="00246D13" w:rsidP="00D723A6">
      <w:pPr>
        <w:widowControl/>
        <w:jc w:val="center"/>
        <w:rPr>
          <w:rFonts w:cs="Calibri"/>
          <w:color w:val="000000"/>
        </w:rPr>
      </w:pPr>
    </w:p>
    <w:p w14:paraId="1615AC56" w14:textId="77777777" w:rsidR="00246D13" w:rsidRPr="0021043F" w:rsidRDefault="00246D13" w:rsidP="00D723A6">
      <w:pPr>
        <w:pStyle w:val="Nadpis8"/>
        <w:keepNext w:val="0"/>
        <w:rPr>
          <w:rFonts w:cs="Calibri"/>
          <w:color w:val="000000"/>
          <w:sz w:val="28"/>
          <w:szCs w:val="28"/>
        </w:rPr>
      </w:pPr>
      <w:bookmarkStart w:id="0" w:name="_GoBack"/>
      <w:r w:rsidRPr="0021043F">
        <w:rPr>
          <w:rFonts w:cs="Calibri"/>
          <w:color w:val="000000"/>
          <w:sz w:val="28"/>
          <w:szCs w:val="28"/>
        </w:rPr>
        <w:t>Kontrolní závěr z kontrolní akce</w:t>
      </w:r>
    </w:p>
    <w:p w14:paraId="588126B9" w14:textId="77777777" w:rsidR="00246D13" w:rsidRPr="0021043F" w:rsidRDefault="00246D13" w:rsidP="00D723A6">
      <w:pPr>
        <w:widowControl/>
        <w:jc w:val="center"/>
        <w:rPr>
          <w:rFonts w:cs="Calibri"/>
          <w:color w:val="000000"/>
        </w:rPr>
      </w:pPr>
    </w:p>
    <w:p w14:paraId="6DB76BFC" w14:textId="77777777" w:rsidR="00246D13" w:rsidRPr="0021043F" w:rsidRDefault="008F28CB" w:rsidP="00D723A6">
      <w:pPr>
        <w:pStyle w:val="Nadpis8"/>
        <w:keepNext w:val="0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23/12</w:t>
      </w:r>
    </w:p>
    <w:p w14:paraId="30B68827" w14:textId="77777777" w:rsidR="00246D13" w:rsidRPr="0021043F" w:rsidRDefault="00246D13" w:rsidP="00D723A6">
      <w:pPr>
        <w:widowControl/>
        <w:jc w:val="center"/>
        <w:rPr>
          <w:rFonts w:cs="Calibri"/>
          <w:color w:val="000000"/>
        </w:rPr>
      </w:pPr>
    </w:p>
    <w:p w14:paraId="6591FF55" w14:textId="77777777" w:rsidR="00246D13" w:rsidRPr="0021043F" w:rsidRDefault="00EB6471" w:rsidP="00D723A6">
      <w:pPr>
        <w:widowControl/>
        <w:jc w:val="center"/>
        <w:rPr>
          <w:rFonts w:cs="Calibri"/>
          <w:b/>
          <w:color w:val="000000"/>
          <w:sz w:val="28"/>
        </w:rPr>
      </w:pPr>
      <w:r w:rsidRPr="00EB6471">
        <w:rPr>
          <w:rFonts w:cs="Calibri"/>
          <w:b/>
          <w:color w:val="000000"/>
          <w:sz w:val="28"/>
        </w:rPr>
        <w:t>Prostředky vybírané na základě zákona ve prospěch Zdravotní pojišťovny ministerstva vnitra České republiky</w:t>
      </w:r>
      <w:bookmarkEnd w:id="0"/>
    </w:p>
    <w:p w14:paraId="2CFD3E71" w14:textId="77777777" w:rsidR="00246D13" w:rsidRPr="0021043F" w:rsidRDefault="00246D13" w:rsidP="00D723A6">
      <w:pPr>
        <w:widowControl/>
        <w:rPr>
          <w:rFonts w:cs="Calibri"/>
          <w:color w:val="000000"/>
        </w:rPr>
      </w:pPr>
    </w:p>
    <w:p w14:paraId="0A51315F" w14:textId="77777777" w:rsidR="00246D13" w:rsidRPr="0021043F" w:rsidRDefault="00246D13" w:rsidP="00D723A6">
      <w:pPr>
        <w:widowControl/>
        <w:rPr>
          <w:rFonts w:cs="Calibri"/>
          <w:color w:val="000000"/>
        </w:rPr>
      </w:pPr>
    </w:p>
    <w:p w14:paraId="67DFC574" w14:textId="77777777" w:rsidR="00246D13" w:rsidRPr="00B87767" w:rsidRDefault="00246D13" w:rsidP="00D723A6">
      <w:pPr>
        <w:widowControl/>
        <w:rPr>
          <w:rFonts w:cs="Calibri"/>
        </w:rPr>
      </w:pPr>
      <w:r w:rsidRPr="00BE2CEF">
        <w:rPr>
          <w:rFonts w:asciiTheme="minorHAnsi" w:hAnsiTheme="minorHAnsi" w:cs="Calibri"/>
          <w:color w:val="000000"/>
          <w:szCs w:val="24"/>
        </w:rPr>
        <w:t>Kontrolní akce byla zařazena do plánu kontrolní činnosti Nejvyššího kontrolního úřadu (dále také „NKÚ“) na rok 20</w:t>
      </w:r>
      <w:r w:rsidR="008F28CB">
        <w:rPr>
          <w:rFonts w:asciiTheme="minorHAnsi" w:hAnsiTheme="minorHAnsi" w:cs="Calibri"/>
          <w:color w:val="000000"/>
          <w:szCs w:val="24"/>
        </w:rPr>
        <w:t>23</w:t>
      </w:r>
      <w:r w:rsidRPr="00BE2CEF">
        <w:rPr>
          <w:rFonts w:asciiTheme="minorHAnsi" w:hAnsiTheme="minorHAnsi" w:cs="Calibri"/>
          <w:color w:val="000000"/>
          <w:szCs w:val="24"/>
        </w:rPr>
        <w:t xml:space="preserve"> pod číslem </w:t>
      </w:r>
      <w:r w:rsidR="008F28CB">
        <w:rPr>
          <w:rFonts w:asciiTheme="minorHAnsi" w:hAnsiTheme="minorHAnsi" w:cs="Calibri"/>
          <w:color w:val="000000"/>
          <w:szCs w:val="24"/>
        </w:rPr>
        <w:t>23</w:t>
      </w:r>
      <w:r w:rsidRPr="00BE2CEF">
        <w:rPr>
          <w:rFonts w:asciiTheme="minorHAnsi" w:hAnsiTheme="minorHAnsi" w:cs="Calibri"/>
          <w:color w:val="000000"/>
          <w:szCs w:val="24"/>
        </w:rPr>
        <w:t>/1</w:t>
      </w:r>
      <w:r w:rsidR="008F28CB">
        <w:rPr>
          <w:rFonts w:asciiTheme="minorHAnsi" w:hAnsiTheme="minorHAnsi" w:cs="Calibri"/>
          <w:color w:val="000000"/>
          <w:szCs w:val="24"/>
        </w:rPr>
        <w:t>2</w:t>
      </w:r>
      <w:r w:rsidRPr="00BE2CEF">
        <w:rPr>
          <w:rFonts w:asciiTheme="minorHAnsi" w:hAnsiTheme="minorHAnsi" w:cs="Calibri"/>
          <w:color w:val="000000"/>
          <w:szCs w:val="24"/>
        </w:rPr>
        <w:t xml:space="preserve">. Kontrolní akci </w:t>
      </w:r>
      <w:r>
        <w:rPr>
          <w:rFonts w:cs="Calibri"/>
          <w:color w:val="000000"/>
          <w:szCs w:val="24"/>
        </w:rPr>
        <w:t xml:space="preserve">řídil </w:t>
      </w:r>
      <w:r w:rsidRPr="00BE2CEF">
        <w:rPr>
          <w:rFonts w:asciiTheme="minorHAnsi" w:hAnsiTheme="minorHAnsi" w:cs="Calibri"/>
          <w:color w:val="000000"/>
          <w:szCs w:val="24"/>
        </w:rPr>
        <w:t>a kontrolní závěr vypracoval člen NKÚ Ing. Jan Stárek.</w:t>
      </w:r>
    </w:p>
    <w:p w14:paraId="0EA6D8F9" w14:textId="77777777" w:rsidR="00246D13" w:rsidRPr="00BE2CEF" w:rsidRDefault="00246D13" w:rsidP="00D723A6">
      <w:pPr>
        <w:widowControl/>
        <w:rPr>
          <w:rFonts w:asciiTheme="minorHAnsi" w:hAnsiTheme="minorHAnsi" w:cs="Calibri"/>
          <w:color w:val="000000"/>
          <w:szCs w:val="24"/>
        </w:rPr>
      </w:pPr>
    </w:p>
    <w:p w14:paraId="31DE762A" w14:textId="77777777" w:rsidR="00246D13" w:rsidRPr="00CF1B67" w:rsidRDefault="00246D13" w:rsidP="00D723A6">
      <w:pPr>
        <w:widowControl/>
        <w:rPr>
          <w:rFonts w:asciiTheme="minorHAnsi" w:hAnsiTheme="minorHAnsi" w:cs="Calibri"/>
          <w:color w:val="000000"/>
          <w:szCs w:val="24"/>
        </w:rPr>
      </w:pPr>
      <w:r w:rsidRPr="00CF1B67">
        <w:rPr>
          <w:rFonts w:asciiTheme="minorHAnsi" w:hAnsiTheme="minorHAnsi" w:cs="Calibri"/>
          <w:color w:val="000000"/>
          <w:szCs w:val="24"/>
        </w:rPr>
        <w:t>Cílem kontrol</w:t>
      </w:r>
      <w:r w:rsidR="001A3C6C">
        <w:rPr>
          <w:rFonts w:asciiTheme="minorHAnsi" w:hAnsiTheme="minorHAnsi" w:cs="Calibri"/>
          <w:color w:val="000000"/>
          <w:szCs w:val="24"/>
        </w:rPr>
        <w:t xml:space="preserve">y </w:t>
      </w:r>
      <w:r w:rsidRPr="00CF1B67">
        <w:rPr>
          <w:rFonts w:asciiTheme="minorHAnsi" w:hAnsiTheme="minorHAnsi" w:cs="Calibri"/>
          <w:color w:val="000000"/>
          <w:szCs w:val="24"/>
        </w:rPr>
        <w:t xml:space="preserve">bylo </w:t>
      </w:r>
      <w:r w:rsidR="00EB6471">
        <w:rPr>
          <w:rFonts w:asciiTheme="minorHAnsi" w:hAnsiTheme="minorHAnsi" w:cs="Calibri"/>
          <w:color w:val="000000"/>
          <w:szCs w:val="24"/>
        </w:rPr>
        <w:t>p</w:t>
      </w:r>
      <w:r w:rsidR="00EB6471" w:rsidRPr="00EB6471">
        <w:rPr>
          <w:rFonts w:asciiTheme="minorHAnsi" w:hAnsiTheme="minorHAnsi" w:cs="Calibri"/>
          <w:color w:val="000000"/>
          <w:szCs w:val="24"/>
        </w:rPr>
        <w:t xml:space="preserve">rověřit </w:t>
      </w:r>
      <w:r w:rsidR="001A3C6C" w:rsidRPr="001A3C6C">
        <w:rPr>
          <w:rFonts w:asciiTheme="minorHAnsi" w:hAnsiTheme="minorHAnsi" w:cs="Calibri"/>
          <w:color w:val="000000"/>
          <w:szCs w:val="24"/>
        </w:rPr>
        <w:t>hospodaření s prostředky vybíranými na základě zákona ve</w:t>
      </w:r>
      <w:r w:rsidR="00403D44">
        <w:rPr>
          <w:rFonts w:asciiTheme="minorHAnsi" w:hAnsiTheme="minorHAnsi" w:cs="Calibri"/>
          <w:color w:val="000000"/>
          <w:szCs w:val="24"/>
        </w:rPr>
        <w:t> </w:t>
      </w:r>
      <w:r w:rsidR="001A3C6C" w:rsidRPr="001A3C6C">
        <w:rPr>
          <w:rFonts w:asciiTheme="minorHAnsi" w:hAnsiTheme="minorHAnsi" w:cs="Calibri"/>
          <w:color w:val="000000"/>
          <w:szCs w:val="24"/>
        </w:rPr>
        <w:t>prospěch Zdravotní pojišťovny ministerstva vnitra České republiky z hlediska účelnosti, hospodárnosti a souladu s právními předpisy</w:t>
      </w:r>
      <w:r w:rsidRPr="00CF1B67">
        <w:rPr>
          <w:rFonts w:asciiTheme="minorHAnsi" w:hAnsiTheme="minorHAnsi" w:cs="Calibri"/>
          <w:color w:val="000000"/>
          <w:szCs w:val="24"/>
        </w:rPr>
        <w:t>.</w:t>
      </w:r>
    </w:p>
    <w:p w14:paraId="3E67FB74" w14:textId="77777777" w:rsidR="00246D13" w:rsidRPr="00CF1B67" w:rsidRDefault="00246D13" w:rsidP="00D723A6">
      <w:pPr>
        <w:widowControl/>
        <w:rPr>
          <w:rFonts w:asciiTheme="minorHAnsi" w:hAnsiTheme="minorHAnsi" w:cs="Calibri"/>
          <w:color w:val="000000"/>
          <w:szCs w:val="24"/>
        </w:rPr>
      </w:pPr>
    </w:p>
    <w:p w14:paraId="362674F2" w14:textId="77777777" w:rsidR="00246D13" w:rsidRPr="00BE2CEF" w:rsidRDefault="00246D13" w:rsidP="00D723A6">
      <w:pPr>
        <w:widowControl/>
        <w:rPr>
          <w:rFonts w:asciiTheme="minorHAnsi" w:hAnsiTheme="minorHAnsi" w:cs="Calibri"/>
          <w:color w:val="000000"/>
          <w:szCs w:val="24"/>
        </w:rPr>
      </w:pPr>
      <w:r w:rsidRPr="00BE2CEF">
        <w:rPr>
          <w:rFonts w:asciiTheme="minorHAnsi" w:hAnsiTheme="minorHAnsi" w:cs="Calibri"/>
          <w:color w:val="000000"/>
          <w:szCs w:val="24"/>
        </w:rPr>
        <w:t>Kontrola byla prováděna u kontrolované osoby v</w:t>
      </w:r>
      <w:r w:rsidR="001A3C6C">
        <w:rPr>
          <w:rFonts w:asciiTheme="minorHAnsi" w:hAnsiTheme="minorHAnsi" w:cs="Calibri"/>
          <w:color w:val="000000"/>
          <w:szCs w:val="24"/>
        </w:rPr>
        <w:t xml:space="preserve"> období</w:t>
      </w:r>
      <w:r w:rsidRPr="00BE2CEF">
        <w:rPr>
          <w:rFonts w:asciiTheme="minorHAnsi" w:hAnsiTheme="minorHAnsi" w:cs="Calibri"/>
          <w:color w:val="000000"/>
          <w:szCs w:val="24"/>
        </w:rPr>
        <w:t xml:space="preserve"> od </w:t>
      </w:r>
      <w:r w:rsidR="00797713">
        <w:rPr>
          <w:rFonts w:asciiTheme="minorHAnsi" w:hAnsiTheme="minorHAnsi" w:cs="Calibri"/>
          <w:color w:val="000000"/>
          <w:szCs w:val="24"/>
        </w:rPr>
        <w:t>června</w:t>
      </w:r>
      <w:r w:rsidRPr="00BE2CEF">
        <w:rPr>
          <w:rFonts w:asciiTheme="minorHAnsi" w:hAnsiTheme="minorHAnsi" w:cs="Calibri"/>
          <w:color w:val="000000"/>
          <w:szCs w:val="24"/>
        </w:rPr>
        <w:t xml:space="preserve"> 20</w:t>
      </w:r>
      <w:r w:rsidR="00797713">
        <w:rPr>
          <w:rFonts w:asciiTheme="minorHAnsi" w:hAnsiTheme="minorHAnsi" w:cs="Calibri"/>
          <w:color w:val="000000"/>
          <w:szCs w:val="24"/>
        </w:rPr>
        <w:t>23</w:t>
      </w:r>
      <w:r w:rsidRPr="00BE2CEF">
        <w:rPr>
          <w:rFonts w:asciiTheme="minorHAnsi" w:hAnsiTheme="minorHAnsi" w:cs="Calibri"/>
          <w:color w:val="000000"/>
          <w:szCs w:val="24"/>
        </w:rPr>
        <w:t xml:space="preserve"> do </w:t>
      </w:r>
      <w:r w:rsidR="00797713">
        <w:rPr>
          <w:rFonts w:asciiTheme="minorHAnsi" w:hAnsiTheme="minorHAnsi" w:cs="Calibri"/>
          <w:color w:val="000000"/>
          <w:szCs w:val="24"/>
        </w:rPr>
        <w:t>ledna</w:t>
      </w:r>
      <w:r w:rsidRPr="00BE2CEF">
        <w:rPr>
          <w:rFonts w:asciiTheme="minorHAnsi" w:hAnsiTheme="minorHAnsi" w:cs="Calibri"/>
          <w:color w:val="000000"/>
          <w:szCs w:val="24"/>
        </w:rPr>
        <w:t xml:space="preserve"> 20</w:t>
      </w:r>
      <w:r w:rsidR="00797713">
        <w:rPr>
          <w:rFonts w:asciiTheme="minorHAnsi" w:hAnsiTheme="minorHAnsi" w:cs="Calibri"/>
          <w:color w:val="000000"/>
          <w:szCs w:val="24"/>
        </w:rPr>
        <w:t>24</w:t>
      </w:r>
      <w:r w:rsidRPr="00BE2CEF">
        <w:rPr>
          <w:rFonts w:asciiTheme="minorHAnsi" w:hAnsiTheme="minorHAnsi" w:cs="Calibri"/>
          <w:color w:val="000000"/>
          <w:szCs w:val="24"/>
        </w:rPr>
        <w:t xml:space="preserve">. </w:t>
      </w:r>
    </w:p>
    <w:p w14:paraId="7C613FA7" w14:textId="77777777" w:rsidR="00246D13" w:rsidRPr="00BE2CEF" w:rsidRDefault="00246D13" w:rsidP="00D723A6">
      <w:pPr>
        <w:widowControl/>
        <w:rPr>
          <w:rFonts w:asciiTheme="minorHAnsi" w:hAnsiTheme="minorHAnsi" w:cs="Calibri"/>
          <w:color w:val="000000"/>
          <w:szCs w:val="24"/>
        </w:rPr>
      </w:pPr>
    </w:p>
    <w:p w14:paraId="39D3DE68" w14:textId="77777777" w:rsidR="00246D13" w:rsidRPr="00BE2CEF" w:rsidRDefault="00246D13" w:rsidP="00D723A6">
      <w:pPr>
        <w:widowControl/>
        <w:rPr>
          <w:rFonts w:asciiTheme="minorHAnsi" w:hAnsiTheme="minorHAnsi" w:cs="Calibri"/>
          <w:color w:val="000000"/>
          <w:szCs w:val="24"/>
        </w:rPr>
      </w:pPr>
      <w:r w:rsidRPr="00BE2CEF">
        <w:rPr>
          <w:rFonts w:asciiTheme="minorHAnsi" w:hAnsiTheme="minorHAnsi" w:cs="Calibri"/>
          <w:color w:val="000000"/>
          <w:szCs w:val="24"/>
        </w:rPr>
        <w:t>Kontrolovaným obdobím byly roky 20</w:t>
      </w:r>
      <w:r w:rsidR="008F28CB">
        <w:rPr>
          <w:rFonts w:asciiTheme="minorHAnsi" w:hAnsiTheme="minorHAnsi" w:cs="Calibri"/>
          <w:color w:val="000000"/>
          <w:szCs w:val="24"/>
        </w:rPr>
        <w:t xml:space="preserve">20 až </w:t>
      </w:r>
      <w:r w:rsidRPr="00BE2CEF">
        <w:rPr>
          <w:rFonts w:asciiTheme="minorHAnsi" w:hAnsiTheme="minorHAnsi" w:cs="Calibri"/>
          <w:color w:val="000000"/>
          <w:szCs w:val="24"/>
        </w:rPr>
        <w:t>20</w:t>
      </w:r>
      <w:r w:rsidR="008F28CB">
        <w:rPr>
          <w:rFonts w:asciiTheme="minorHAnsi" w:hAnsiTheme="minorHAnsi" w:cs="Calibri"/>
          <w:color w:val="000000"/>
          <w:szCs w:val="24"/>
        </w:rPr>
        <w:t>22</w:t>
      </w:r>
      <w:r w:rsidRPr="00BE2CEF">
        <w:rPr>
          <w:rFonts w:asciiTheme="minorHAnsi" w:hAnsiTheme="minorHAnsi" w:cs="Calibri"/>
          <w:color w:val="000000"/>
          <w:szCs w:val="24"/>
        </w:rPr>
        <w:t>, v případě věcných souvislostí i období předchozí a následující.</w:t>
      </w:r>
    </w:p>
    <w:p w14:paraId="100815A0" w14:textId="77777777" w:rsidR="00246D13" w:rsidRPr="00BE2CEF" w:rsidRDefault="00246D13" w:rsidP="00D723A6">
      <w:pPr>
        <w:widowControl/>
        <w:rPr>
          <w:rFonts w:asciiTheme="minorHAnsi" w:hAnsiTheme="minorHAnsi" w:cs="Calibri"/>
          <w:color w:val="000000"/>
          <w:szCs w:val="24"/>
        </w:rPr>
      </w:pPr>
    </w:p>
    <w:p w14:paraId="21324670" w14:textId="77777777" w:rsidR="00246D13" w:rsidRPr="00B95E2B" w:rsidRDefault="00246D13" w:rsidP="00D723A6">
      <w:pPr>
        <w:widowControl/>
        <w:rPr>
          <w:rFonts w:asciiTheme="minorHAnsi" w:hAnsiTheme="minorHAnsi" w:cs="Calibri"/>
          <w:b/>
          <w:color w:val="000000"/>
          <w:szCs w:val="24"/>
        </w:rPr>
      </w:pPr>
      <w:r w:rsidRPr="00B95E2B">
        <w:rPr>
          <w:rFonts w:asciiTheme="minorHAnsi" w:hAnsiTheme="minorHAnsi" w:cs="Calibri"/>
          <w:b/>
          <w:color w:val="000000"/>
          <w:szCs w:val="24"/>
        </w:rPr>
        <w:t xml:space="preserve">Kontrolovaná osoba: </w:t>
      </w:r>
    </w:p>
    <w:p w14:paraId="20C4E9B7" w14:textId="77777777" w:rsidR="00246D13" w:rsidRPr="00CF1B67" w:rsidRDefault="00797713" w:rsidP="00D723A6">
      <w:pPr>
        <w:pStyle w:val="Zkladn"/>
        <w:spacing w:before="0"/>
        <w:rPr>
          <w:rFonts w:asciiTheme="minorHAnsi" w:hAnsiTheme="minorHAnsi" w:cs="Calibri"/>
          <w:color w:val="000000"/>
          <w:lang w:eastAsia="cs-CZ"/>
        </w:rPr>
      </w:pPr>
      <w:r w:rsidRPr="00797713">
        <w:rPr>
          <w:rFonts w:asciiTheme="minorHAnsi" w:hAnsiTheme="minorHAnsi" w:cs="Calibri"/>
          <w:color w:val="000000"/>
          <w:lang w:eastAsia="cs-CZ"/>
        </w:rPr>
        <w:t>Zdravotní pojišťovna ministerstva vnitra České republiky</w:t>
      </w:r>
      <w:r w:rsidR="00F25C86">
        <w:rPr>
          <w:rFonts w:asciiTheme="minorHAnsi" w:hAnsiTheme="minorHAnsi" w:cs="Calibri"/>
          <w:color w:val="000000"/>
          <w:lang w:eastAsia="cs-CZ"/>
        </w:rPr>
        <w:t>, Praha</w:t>
      </w:r>
      <w:r w:rsidR="00246D13" w:rsidRPr="00CF1B67">
        <w:rPr>
          <w:rFonts w:asciiTheme="minorHAnsi" w:hAnsiTheme="minorHAnsi" w:cs="Calibri"/>
          <w:color w:val="000000"/>
          <w:lang w:eastAsia="cs-CZ"/>
        </w:rPr>
        <w:t xml:space="preserve"> (dále také „</w:t>
      </w:r>
      <w:r>
        <w:rPr>
          <w:rFonts w:asciiTheme="minorHAnsi" w:hAnsiTheme="minorHAnsi" w:cs="Calibri"/>
          <w:color w:val="000000"/>
          <w:lang w:eastAsia="cs-CZ"/>
        </w:rPr>
        <w:t>ZPMV</w:t>
      </w:r>
      <w:r w:rsidR="00246D13" w:rsidRPr="00CF1B67">
        <w:rPr>
          <w:rFonts w:asciiTheme="minorHAnsi" w:hAnsiTheme="minorHAnsi" w:cs="Calibri"/>
          <w:color w:val="000000"/>
          <w:lang w:eastAsia="cs-CZ"/>
        </w:rPr>
        <w:t>“</w:t>
      </w:r>
      <w:r w:rsidR="00AC7F3C">
        <w:rPr>
          <w:rFonts w:asciiTheme="minorHAnsi" w:hAnsiTheme="minorHAnsi" w:cs="Calibri"/>
          <w:color w:val="000000"/>
          <w:lang w:eastAsia="cs-CZ"/>
        </w:rPr>
        <w:t xml:space="preserve"> nebo „pojišťovna“</w:t>
      </w:r>
      <w:r w:rsidR="00246D13" w:rsidRPr="00CF1B67">
        <w:rPr>
          <w:rFonts w:asciiTheme="minorHAnsi" w:hAnsiTheme="minorHAnsi" w:cs="Calibri"/>
          <w:color w:val="000000"/>
          <w:lang w:eastAsia="cs-CZ"/>
        </w:rPr>
        <w:t>).</w:t>
      </w:r>
    </w:p>
    <w:p w14:paraId="3D46DFB5" w14:textId="77777777" w:rsidR="00246D13" w:rsidRPr="00CF1B67" w:rsidRDefault="00246D13" w:rsidP="00D723A6">
      <w:pPr>
        <w:pStyle w:val="Zkladntext"/>
        <w:rPr>
          <w:rFonts w:asciiTheme="minorHAnsi" w:hAnsiTheme="minorHAnsi" w:cs="Calibri"/>
          <w:b w:val="0"/>
          <w:bCs w:val="0"/>
          <w:color w:val="000000"/>
          <w:sz w:val="24"/>
          <w:szCs w:val="24"/>
        </w:rPr>
      </w:pPr>
    </w:p>
    <w:p w14:paraId="6300EE81" w14:textId="77777777" w:rsidR="00246D13" w:rsidRPr="00BE2CEF" w:rsidRDefault="00246D13" w:rsidP="00D723A6">
      <w:pPr>
        <w:pStyle w:val="Zkladntext"/>
        <w:rPr>
          <w:rFonts w:cs="Calibri"/>
          <w:b w:val="0"/>
          <w:bCs w:val="0"/>
          <w:color w:val="000000"/>
          <w:sz w:val="24"/>
          <w:szCs w:val="24"/>
        </w:rPr>
      </w:pPr>
    </w:p>
    <w:p w14:paraId="35CABD34" w14:textId="77777777" w:rsidR="00246D13" w:rsidRPr="00BE2CEF" w:rsidRDefault="00246D13" w:rsidP="00D723A6">
      <w:pPr>
        <w:pStyle w:val="Zkladntext"/>
        <w:rPr>
          <w:rFonts w:cs="Calibri"/>
          <w:b w:val="0"/>
          <w:bCs w:val="0"/>
          <w:color w:val="000000"/>
          <w:sz w:val="24"/>
          <w:szCs w:val="24"/>
        </w:rPr>
      </w:pPr>
    </w:p>
    <w:p w14:paraId="3DC954C6" w14:textId="4E2887FE" w:rsidR="00246D13" w:rsidRPr="00336169" w:rsidRDefault="00246D13" w:rsidP="00D723A6">
      <w:pPr>
        <w:pStyle w:val="Zkladntext"/>
        <w:spacing w:after="120" w:line="360" w:lineRule="auto"/>
        <w:rPr>
          <w:rFonts w:asciiTheme="minorHAnsi" w:hAnsiTheme="minorHAnsi" w:cs="Calibri"/>
          <w:b w:val="0"/>
          <w:bCs w:val="0"/>
          <w:color w:val="000000"/>
          <w:sz w:val="24"/>
          <w:szCs w:val="24"/>
        </w:rPr>
      </w:pPr>
      <w:r w:rsidRPr="00BE2CEF">
        <w:rPr>
          <w:rFonts w:asciiTheme="minorHAnsi" w:hAnsiTheme="minorHAnsi" w:cs="Calibri"/>
          <w:i/>
          <w:iCs/>
          <w:color w:val="000000"/>
          <w:sz w:val="24"/>
          <w:szCs w:val="24"/>
        </w:rPr>
        <w:t>K o l e g i u m   N K Ú</w:t>
      </w:r>
      <w:r w:rsidRPr="00BE2CEF">
        <w:rPr>
          <w:rFonts w:asciiTheme="minorHAnsi" w:hAnsiTheme="minorHAnsi" w:cs="Calibri"/>
          <w:b w:val="0"/>
          <w:i/>
          <w:iCs/>
          <w:color w:val="000000"/>
          <w:sz w:val="24"/>
          <w:szCs w:val="24"/>
        </w:rPr>
        <w:t xml:space="preserve">   </w:t>
      </w:r>
      <w:r w:rsidRPr="00BE2CEF">
        <w:rPr>
          <w:rFonts w:asciiTheme="minorHAnsi" w:hAnsiTheme="minorHAnsi" w:cs="Calibri"/>
          <w:b w:val="0"/>
          <w:bCs w:val="0"/>
          <w:color w:val="000000"/>
          <w:sz w:val="24"/>
          <w:szCs w:val="24"/>
        </w:rPr>
        <w:t xml:space="preserve">na </w:t>
      </w:r>
      <w:r w:rsidRPr="00336169">
        <w:rPr>
          <w:rFonts w:asciiTheme="minorHAnsi" w:hAnsiTheme="minorHAnsi" w:cs="Calibri"/>
          <w:b w:val="0"/>
          <w:bCs w:val="0"/>
          <w:color w:val="000000"/>
          <w:sz w:val="24"/>
          <w:szCs w:val="24"/>
        </w:rPr>
        <w:t xml:space="preserve">svém </w:t>
      </w:r>
      <w:r w:rsidR="0058529C" w:rsidRPr="0058529C">
        <w:rPr>
          <w:rFonts w:asciiTheme="minorHAnsi" w:hAnsiTheme="minorHAnsi" w:cs="Calibri"/>
          <w:b w:val="0"/>
          <w:bCs w:val="0"/>
          <w:sz w:val="24"/>
          <w:szCs w:val="24"/>
        </w:rPr>
        <w:t>VI</w:t>
      </w:r>
      <w:r w:rsidR="003F7D64">
        <w:rPr>
          <w:rFonts w:asciiTheme="minorHAnsi" w:hAnsiTheme="minorHAnsi" w:cs="Calibri"/>
          <w:b w:val="0"/>
          <w:bCs w:val="0"/>
          <w:sz w:val="24"/>
          <w:szCs w:val="24"/>
        </w:rPr>
        <w:t>I</w:t>
      </w:r>
      <w:r w:rsidR="0058529C" w:rsidRPr="0058529C">
        <w:rPr>
          <w:rFonts w:asciiTheme="minorHAnsi" w:hAnsiTheme="minorHAnsi" w:cs="Calibri"/>
          <w:b w:val="0"/>
          <w:bCs w:val="0"/>
          <w:sz w:val="24"/>
          <w:szCs w:val="24"/>
        </w:rPr>
        <w:t xml:space="preserve">. </w:t>
      </w:r>
      <w:r w:rsidRPr="0058529C">
        <w:rPr>
          <w:rFonts w:asciiTheme="minorHAnsi" w:hAnsiTheme="minorHAnsi" w:cs="Calibri"/>
          <w:b w:val="0"/>
          <w:bCs w:val="0"/>
          <w:sz w:val="24"/>
          <w:szCs w:val="24"/>
        </w:rPr>
        <w:t>jedná</w:t>
      </w:r>
      <w:r w:rsidR="00C525E0" w:rsidRPr="0058529C">
        <w:rPr>
          <w:rFonts w:asciiTheme="minorHAnsi" w:hAnsiTheme="minorHAnsi" w:cs="Calibri"/>
          <w:b w:val="0"/>
          <w:bCs w:val="0"/>
          <w:sz w:val="24"/>
          <w:szCs w:val="24"/>
        </w:rPr>
        <w:t>ní</w:t>
      </w:r>
      <w:r w:rsidR="00C525E0">
        <w:rPr>
          <w:rFonts w:asciiTheme="minorHAnsi" w:hAnsiTheme="minorHAnsi" w:cs="Calibri"/>
          <w:b w:val="0"/>
          <w:bCs w:val="0"/>
          <w:color w:val="000000"/>
          <w:sz w:val="24"/>
          <w:szCs w:val="24"/>
        </w:rPr>
        <w:t xml:space="preserve">, které se konalo dne </w:t>
      </w:r>
      <w:r w:rsidR="003F7D64">
        <w:rPr>
          <w:rFonts w:asciiTheme="minorHAnsi" w:hAnsiTheme="minorHAnsi" w:cs="Calibri"/>
          <w:b w:val="0"/>
          <w:bCs w:val="0"/>
          <w:color w:val="000000"/>
          <w:sz w:val="24"/>
          <w:szCs w:val="24"/>
        </w:rPr>
        <w:t>20</w:t>
      </w:r>
      <w:r w:rsidR="008E74F0" w:rsidRPr="0058529C">
        <w:rPr>
          <w:rFonts w:asciiTheme="minorHAnsi" w:hAnsiTheme="minorHAnsi" w:cs="Calibri"/>
          <w:b w:val="0"/>
          <w:bCs w:val="0"/>
          <w:color w:val="000000"/>
          <w:sz w:val="24"/>
          <w:szCs w:val="24"/>
        </w:rPr>
        <w:t xml:space="preserve">. </w:t>
      </w:r>
      <w:r w:rsidR="003F7D64">
        <w:rPr>
          <w:rFonts w:asciiTheme="minorHAnsi" w:hAnsiTheme="minorHAnsi" w:cs="Calibri"/>
          <w:b w:val="0"/>
          <w:bCs w:val="0"/>
          <w:color w:val="000000"/>
          <w:sz w:val="24"/>
          <w:szCs w:val="24"/>
        </w:rPr>
        <w:t>května</w:t>
      </w:r>
      <w:r w:rsidR="0058529C" w:rsidRPr="0058529C">
        <w:rPr>
          <w:rFonts w:asciiTheme="minorHAnsi" w:hAnsiTheme="minorHAnsi" w:cs="Calibri"/>
          <w:b w:val="0"/>
          <w:bCs w:val="0"/>
          <w:color w:val="000000"/>
          <w:sz w:val="24"/>
          <w:szCs w:val="24"/>
        </w:rPr>
        <w:t xml:space="preserve"> </w:t>
      </w:r>
      <w:r w:rsidR="00C525E0" w:rsidRPr="0058529C">
        <w:rPr>
          <w:rFonts w:asciiTheme="minorHAnsi" w:hAnsiTheme="minorHAnsi" w:cs="Calibri"/>
          <w:b w:val="0"/>
          <w:bCs w:val="0"/>
          <w:color w:val="000000"/>
          <w:sz w:val="24"/>
          <w:szCs w:val="24"/>
        </w:rPr>
        <w:t>20</w:t>
      </w:r>
      <w:r w:rsidR="008E74F0" w:rsidRPr="0058529C">
        <w:rPr>
          <w:rFonts w:asciiTheme="minorHAnsi" w:hAnsiTheme="minorHAnsi" w:cs="Calibri"/>
          <w:b w:val="0"/>
          <w:bCs w:val="0"/>
          <w:color w:val="000000"/>
          <w:sz w:val="24"/>
          <w:szCs w:val="24"/>
        </w:rPr>
        <w:t>24</w:t>
      </w:r>
      <w:r w:rsidR="00C525E0" w:rsidRPr="0058529C">
        <w:rPr>
          <w:rFonts w:asciiTheme="minorHAnsi" w:hAnsiTheme="minorHAnsi" w:cs="Calibri"/>
          <w:b w:val="0"/>
          <w:bCs w:val="0"/>
          <w:color w:val="000000"/>
          <w:sz w:val="24"/>
          <w:szCs w:val="24"/>
        </w:rPr>
        <w:t>,</w:t>
      </w:r>
    </w:p>
    <w:p w14:paraId="6FC60472" w14:textId="53769F6D" w:rsidR="00246D13" w:rsidRPr="00BE2CEF" w:rsidRDefault="00246D13" w:rsidP="00D723A6">
      <w:pPr>
        <w:widowControl/>
        <w:spacing w:after="120" w:line="360" w:lineRule="auto"/>
        <w:rPr>
          <w:rFonts w:asciiTheme="minorHAnsi" w:hAnsiTheme="minorHAnsi" w:cs="Calibri"/>
          <w:color w:val="000000"/>
          <w:szCs w:val="24"/>
        </w:rPr>
      </w:pPr>
      <w:r w:rsidRPr="00336169">
        <w:rPr>
          <w:rFonts w:asciiTheme="minorHAnsi" w:hAnsiTheme="minorHAnsi" w:cs="Calibri"/>
          <w:b/>
          <w:bCs/>
          <w:i/>
          <w:iCs/>
          <w:color w:val="000000"/>
          <w:szCs w:val="24"/>
        </w:rPr>
        <w:t>s c h v á l i l o</w:t>
      </w:r>
      <w:r w:rsidR="00AF232F">
        <w:rPr>
          <w:rFonts w:asciiTheme="minorHAnsi" w:hAnsiTheme="minorHAnsi" w:cs="Calibri"/>
          <w:color w:val="000000"/>
          <w:szCs w:val="24"/>
        </w:rPr>
        <w:t xml:space="preserve">   usnesením</w:t>
      </w:r>
      <w:r w:rsidR="00C8736C">
        <w:rPr>
          <w:rFonts w:asciiTheme="minorHAnsi" w:hAnsiTheme="minorHAnsi" w:cs="Calibri"/>
          <w:color w:val="000000"/>
          <w:szCs w:val="24"/>
        </w:rPr>
        <w:t xml:space="preserve"> </w:t>
      </w:r>
      <w:r w:rsidR="00003CEB">
        <w:rPr>
          <w:rFonts w:asciiTheme="minorHAnsi" w:hAnsiTheme="minorHAnsi" w:cs="Calibri"/>
          <w:color w:val="000000"/>
          <w:szCs w:val="24"/>
        </w:rPr>
        <w:t>6</w:t>
      </w:r>
      <w:r w:rsidRPr="0058529C">
        <w:rPr>
          <w:rFonts w:asciiTheme="minorHAnsi" w:hAnsiTheme="minorHAnsi" w:cs="Calibri"/>
          <w:color w:val="000000"/>
          <w:szCs w:val="24"/>
        </w:rPr>
        <w:t>/</w:t>
      </w:r>
      <w:r w:rsidR="0058529C">
        <w:rPr>
          <w:rFonts w:asciiTheme="minorHAnsi" w:hAnsiTheme="minorHAnsi" w:cs="Calibri"/>
          <w:color w:val="000000"/>
          <w:szCs w:val="24"/>
        </w:rPr>
        <w:t>VI</w:t>
      </w:r>
      <w:r w:rsidR="003F7D64">
        <w:rPr>
          <w:rFonts w:asciiTheme="minorHAnsi" w:hAnsiTheme="minorHAnsi" w:cs="Calibri"/>
          <w:color w:val="000000"/>
          <w:szCs w:val="24"/>
        </w:rPr>
        <w:t>I</w:t>
      </w:r>
      <w:r w:rsidR="00F25C86" w:rsidRPr="0058529C">
        <w:rPr>
          <w:rFonts w:asciiTheme="minorHAnsi" w:hAnsiTheme="minorHAnsi" w:cs="Calibri"/>
          <w:color w:val="000000"/>
          <w:szCs w:val="24"/>
        </w:rPr>
        <w:t>/</w:t>
      </w:r>
      <w:r w:rsidRPr="0058529C">
        <w:rPr>
          <w:rFonts w:asciiTheme="minorHAnsi" w:hAnsiTheme="minorHAnsi" w:cs="Calibri"/>
          <w:color w:val="000000"/>
          <w:szCs w:val="24"/>
        </w:rPr>
        <w:t>20</w:t>
      </w:r>
      <w:r w:rsidR="008E74F0" w:rsidRPr="0058529C">
        <w:rPr>
          <w:rFonts w:asciiTheme="minorHAnsi" w:hAnsiTheme="minorHAnsi" w:cs="Calibri"/>
          <w:color w:val="000000"/>
          <w:szCs w:val="24"/>
        </w:rPr>
        <w:t>24</w:t>
      </w:r>
    </w:p>
    <w:p w14:paraId="1AA5856C" w14:textId="77777777" w:rsidR="00246D13" w:rsidRPr="00BE2CEF" w:rsidRDefault="00246D13" w:rsidP="00D723A6">
      <w:pPr>
        <w:widowControl/>
        <w:spacing w:after="120" w:line="360" w:lineRule="auto"/>
        <w:rPr>
          <w:rFonts w:asciiTheme="minorHAnsi" w:hAnsiTheme="minorHAnsi" w:cs="Calibri"/>
          <w:color w:val="000000"/>
          <w:szCs w:val="24"/>
        </w:rPr>
      </w:pPr>
      <w:r w:rsidRPr="00BE2CEF">
        <w:rPr>
          <w:rFonts w:asciiTheme="minorHAnsi" w:hAnsiTheme="minorHAnsi" w:cs="Calibri"/>
          <w:b/>
          <w:bCs/>
          <w:i/>
          <w:iCs/>
          <w:color w:val="000000"/>
          <w:szCs w:val="24"/>
        </w:rPr>
        <w:t>k o n t r o l n í   z á v ě r</w:t>
      </w:r>
      <w:r w:rsidRPr="00BE2CEF">
        <w:rPr>
          <w:rFonts w:asciiTheme="minorHAnsi" w:hAnsiTheme="minorHAnsi" w:cs="Calibri"/>
          <w:color w:val="000000"/>
          <w:szCs w:val="24"/>
        </w:rPr>
        <w:t xml:space="preserve">   v tomto znění:</w:t>
      </w:r>
    </w:p>
    <w:p w14:paraId="5AFC4B63" w14:textId="77777777" w:rsidR="00246D13" w:rsidRPr="0021043F" w:rsidRDefault="00246D13" w:rsidP="00D723A6">
      <w:pPr>
        <w:widowControl/>
        <w:rPr>
          <w:rFonts w:cs="Calibri"/>
          <w:b/>
          <w:noProof/>
          <w:color w:val="000000"/>
        </w:rPr>
      </w:pPr>
    </w:p>
    <w:p w14:paraId="5953D374" w14:textId="77777777" w:rsidR="00DD3BA3" w:rsidRDefault="00DD3BA3" w:rsidP="00D723A6">
      <w:pPr>
        <w:widowControl/>
        <w:autoSpaceDE/>
        <w:autoSpaceDN/>
        <w:adjustRightInd/>
        <w:spacing w:after="160" w:line="259" w:lineRule="auto"/>
        <w:jc w:val="left"/>
        <w:rPr>
          <w:rFonts w:eastAsia="Times New Roman" w:cs="Calibri"/>
          <w:b/>
          <w:szCs w:val="24"/>
        </w:rPr>
      </w:pPr>
      <w:r>
        <w:rPr>
          <w:rFonts w:eastAsia="Times New Roman" w:cs="Calibri"/>
          <w:b/>
          <w:szCs w:val="24"/>
        </w:rPr>
        <w:br w:type="page"/>
      </w:r>
    </w:p>
    <w:p w14:paraId="08C012F0" w14:textId="7F82A49A" w:rsidR="00061BE0" w:rsidRPr="00DD3BA3" w:rsidRDefault="00061BE0" w:rsidP="00D723A6">
      <w:pPr>
        <w:widowControl/>
        <w:spacing w:before="240"/>
        <w:jc w:val="center"/>
        <w:rPr>
          <w:rFonts w:eastAsia="Times New Roman" w:cs="Calibri"/>
          <w:b/>
          <w:sz w:val="28"/>
          <w:szCs w:val="24"/>
        </w:rPr>
      </w:pPr>
      <w:r w:rsidRPr="00DD3BA3">
        <w:rPr>
          <w:rFonts w:eastAsia="Times New Roman" w:cs="Calibri"/>
          <w:b/>
          <w:sz w:val="28"/>
          <w:szCs w:val="24"/>
        </w:rPr>
        <w:lastRenderedPageBreak/>
        <w:t xml:space="preserve">Prostředky vybírané na základě zákona ve prospěch </w:t>
      </w:r>
      <w:r w:rsidR="00C93A44">
        <w:rPr>
          <w:rFonts w:eastAsia="Times New Roman" w:cs="Calibri"/>
          <w:b/>
          <w:sz w:val="28"/>
          <w:szCs w:val="24"/>
        </w:rPr>
        <w:br/>
      </w:r>
      <w:r w:rsidRPr="00DD3BA3">
        <w:rPr>
          <w:rFonts w:eastAsia="Times New Roman" w:cs="Calibri"/>
          <w:b/>
          <w:sz w:val="28"/>
          <w:szCs w:val="24"/>
        </w:rPr>
        <w:t>Zdravotní pojišťovny ministerstva vnitra České republiky</w:t>
      </w:r>
    </w:p>
    <w:p w14:paraId="4BA325FA" w14:textId="77777777" w:rsidR="00061BE0" w:rsidRPr="00061BE0" w:rsidRDefault="00061BE0" w:rsidP="00D723A6">
      <w:pPr>
        <w:widowControl/>
        <w:rPr>
          <w:rFonts w:eastAsia="Times New Roman" w:cs="Calibri"/>
          <w:szCs w:val="24"/>
        </w:rPr>
      </w:pPr>
    </w:p>
    <w:p w14:paraId="4CF4C8C7" w14:textId="0225FCAB" w:rsidR="00061BE0" w:rsidRPr="00061BE0" w:rsidRDefault="00061BE0" w:rsidP="00D723A6">
      <w:pPr>
        <w:widowControl/>
        <w:tabs>
          <w:tab w:val="left" w:pos="3656"/>
        </w:tabs>
        <w:rPr>
          <w:rFonts w:eastAsia="Times New Roman" w:cs="Calibri"/>
          <w:szCs w:val="24"/>
        </w:rPr>
      </w:pPr>
    </w:p>
    <w:p w14:paraId="65C755C7" w14:textId="77777777" w:rsidR="00061BE0" w:rsidRPr="00061BE0" w:rsidRDefault="004979EA" w:rsidP="00D723A6">
      <w:pPr>
        <w:widowControl/>
        <w:rPr>
          <w:rFonts w:eastAsia="Times New Roman" w:cs="Calibri"/>
          <w:szCs w:val="24"/>
        </w:rPr>
      </w:pPr>
      <w:r w:rsidRPr="00061BE0">
        <w:rPr>
          <w:rFonts w:eastAsia="Times New Roman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0A734C" wp14:editId="5BF61947">
                <wp:simplePos x="0" y="0"/>
                <wp:positionH relativeFrom="margin">
                  <wp:align>right</wp:align>
                </wp:positionH>
                <wp:positionV relativeFrom="paragraph">
                  <wp:posOffset>184784</wp:posOffset>
                </wp:positionV>
                <wp:extent cx="5704764" cy="970059"/>
                <wp:effectExtent l="19050" t="19050" r="29845" b="40005"/>
                <wp:wrapNone/>
                <wp:docPr id="8" name="Obdélník: se zakulacenými roh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4764" cy="970059"/>
                        </a:xfrm>
                        <a:prstGeom prst="roundRect">
                          <a:avLst/>
                        </a:prstGeom>
                        <a:noFill/>
                        <a:ln w="50800" cap="flat" cmpd="sng" algn="ctr">
                          <a:solidFill>
                            <a:srgbClr val="2EB3A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F2ED4B" w14:textId="77777777" w:rsidR="002101A6" w:rsidRPr="00602AEA" w:rsidRDefault="002101A6" w:rsidP="00061BE0">
                            <w:pPr>
                              <w:jc w:val="center"/>
                              <w:rPr>
                                <w:rFonts w:cs="Calibri"/>
                                <w:b/>
                                <w:color w:val="2EB3A1"/>
                                <w:szCs w:val="24"/>
                              </w:rPr>
                            </w:pPr>
                            <w:r w:rsidRPr="00602AEA">
                              <w:rPr>
                                <w:rFonts w:cs="Calibri"/>
                                <w:b/>
                                <w:color w:val="2EB3A1"/>
                                <w:szCs w:val="24"/>
                              </w:rPr>
                              <w:t>Průměrný počet pojištěnců Zdravotní pojišťovny ministerstva vnitra České republiky</w:t>
                            </w:r>
                          </w:p>
                          <w:p w14:paraId="27863748" w14:textId="77777777" w:rsidR="002101A6" w:rsidRPr="00602AEA" w:rsidRDefault="002101A6" w:rsidP="00061BE0">
                            <w:pPr>
                              <w:jc w:val="center"/>
                              <w:rPr>
                                <w:rFonts w:cs="Calibri"/>
                                <w:color w:val="2EB3A1"/>
                                <w:szCs w:val="24"/>
                              </w:rPr>
                            </w:pPr>
                          </w:p>
                          <w:p w14:paraId="6303813F" w14:textId="77777777" w:rsidR="002101A6" w:rsidRDefault="002101A6" w:rsidP="00914E48">
                            <w:pPr>
                              <w:ind w:left="1416" w:firstLine="708"/>
                              <w:rPr>
                                <w:rFonts w:cs="Calibri"/>
                                <w:color w:val="2EB3A1"/>
                                <w:szCs w:val="24"/>
                              </w:rPr>
                            </w:pPr>
                            <w:r w:rsidRPr="00602AEA">
                              <w:rPr>
                                <w:rFonts w:cs="Calibri"/>
                                <w:b/>
                                <w:color w:val="2EB3A1"/>
                                <w:szCs w:val="24"/>
                              </w:rPr>
                              <w:t xml:space="preserve">2020 </w:t>
                            </w:r>
                            <w:r>
                              <w:rPr>
                                <w:rFonts w:cs="Calibri"/>
                                <w:b/>
                                <w:color w:val="2EB3A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color w:val="2EB3A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color w:val="2EB3A1"/>
                                <w:szCs w:val="24"/>
                              </w:rPr>
                              <w:tab/>
                              <w:t>2021</w:t>
                            </w:r>
                            <w:r>
                              <w:rPr>
                                <w:rFonts w:cs="Calibri"/>
                                <w:b/>
                                <w:color w:val="2EB3A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color w:val="2EB3A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color w:val="2EB3A1"/>
                                <w:szCs w:val="24"/>
                              </w:rPr>
                              <w:tab/>
                              <w:t>2022</w:t>
                            </w:r>
                          </w:p>
                          <w:p w14:paraId="188241A7" w14:textId="77777777" w:rsidR="002101A6" w:rsidRPr="00602AEA" w:rsidRDefault="002101A6" w:rsidP="003F018D">
                            <w:pPr>
                              <w:ind w:left="708"/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                      </w:t>
                            </w:r>
                            <w:r w:rsidRPr="00602AEA">
                              <w:rPr>
                                <w:b/>
                                <w:color w:val="000000"/>
                                <w:szCs w:val="24"/>
                              </w:rPr>
                              <w:t>1 326 756</w:t>
                            </w:r>
                            <w:r w:rsidRPr="00602AEA">
                              <w:rPr>
                                <w:b/>
                                <w:color w:val="000000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         </w:t>
                            </w:r>
                            <w:r w:rsidRPr="00602AEA">
                              <w:rPr>
                                <w:b/>
                                <w:color w:val="000000"/>
                                <w:szCs w:val="24"/>
                              </w:rPr>
                              <w:t>1 332</w:t>
                            </w:r>
                            <w:r>
                              <w:rPr>
                                <w:b/>
                                <w:color w:val="000000"/>
                                <w:szCs w:val="24"/>
                              </w:rPr>
                              <w:t> </w:t>
                            </w:r>
                            <w:r w:rsidRPr="00602AEA">
                              <w:rPr>
                                <w:b/>
                                <w:color w:val="000000"/>
                                <w:szCs w:val="24"/>
                              </w:rPr>
                              <w:t>853</w:t>
                            </w:r>
                            <w:r w:rsidRPr="00602AEA">
                              <w:rPr>
                                <w:b/>
                                <w:color w:val="000000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         </w:t>
                            </w:r>
                            <w:r w:rsidRPr="00602AEA">
                              <w:rPr>
                                <w:b/>
                                <w:color w:val="000000"/>
                                <w:szCs w:val="24"/>
                              </w:rPr>
                              <w:t>1 343 820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0A734C" id="Obdélník: se zakulacenými rohy 8" o:spid="_x0000_s1026" style="position:absolute;left:0;text-align:left;margin-left:398pt;margin-top:14.55pt;width:449.2pt;height:76.4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" filled="f" strokecolor="#2eb3a1" strokeweight="4pt">
                <v:stroke joinstyle="miter"/>
                <v:textbox>
                  <w:txbxContent>
                    <w:p w14:paraId="69F2ED4B" w14:textId="77777777" w:rsidR="002101A6" w:rsidRPr="00602AEA" w:rsidRDefault="002101A6" w:rsidP="00061BE0">
                      <w:pPr>
                        <w:jc w:val="center"/>
                        <w:rPr>
                          <w:rFonts w:cs="Calibri"/>
                          <w:b/>
                          <w:color w:val="2EB3A1"/>
                          <w:szCs w:val="24"/>
                        </w:rPr>
                      </w:pPr>
                      <w:r w:rsidRPr="00602AEA">
                        <w:rPr>
                          <w:rFonts w:cs="Calibri"/>
                          <w:b/>
                          <w:color w:val="2EB3A1"/>
                          <w:szCs w:val="24"/>
                        </w:rPr>
                        <w:t>Průměrný počet pojištěnců Zdravotní pojišťovny ministerstva vnitra České republiky</w:t>
                      </w:r>
                    </w:p>
                    <w:p w14:paraId="27863748" w14:textId="77777777" w:rsidR="002101A6" w:rsidRPr="00602AEA" w:rsidRDefault="002101A6" w:rsidP="00061BE0">
                      <w:pPr>
                        <w:jc w:val="center"/>
                        <w:rPr>
                          <w:rFonts w:cs="Calibri"/>
                          <w:color w:val="2EB3A1"/>
                          <w:szCs w:val="24"/>
                        </w:rPr>
                      </w:pPr>
                    </w:p>
                    <w:p w14:paraId="6303813F" w14:textId="77777777" w:rsidR="002101A6" w:rsidRDefault="002101A6" w:rsidP="00914E48">
                      <w:pPr>
                        <w:ind w:left="1416" w:firstLine="708"/>
                        <w:rPr>
                          <w:rFonts w:cs="Calibri"/>
                          <w:color w:val="2EB3A1"/>
                          <w:szCs w:val="24"/>
                        </w:rPr>
                      </w:pPr>
                      <w:r w:rsidRPr="00602AEA">
                        <w:rPr>
                          <w:rFonts w:cs="Calibri"/>
                          <w:b/>
                          <w:color w:val="2EB3A1"/>
                          <w:szCs w:val="24"/>
                        </w:rPr>
                        <w:t xml:space="preserve">2020 </w:t>
                      </w:r>
                      <w:r>
                        <w:rPr>
                          <w:rFonts w:cs="Calibri"/>
                          <w:b/>
                          <w:color w:val="2EB3A1"/>
                          <w:szCs w:val="24"/>
                        </w:rPr>
                        <w:tab/>
                      </w:r>
                      <w:r>
                        <w:rPr>
                          <w:rFonts w:cs="Calibri"/>
                          <w:b/>
                          <w:color w:val="2EB3A1"/>
                          <w:szCs w:val="24"/>
                        </w:rPr>
                        <w:tab/>
                      </w:r>
                      <w:r>
                        <w:rPr>
                          <w:rFonts w:cs="Calibri"/>
                          <w:b/>
                          <w:color w:val="2EB3A1"/>
                          <w:szCs w:val="24"/>
                        </w:rPr>
                        <w:tab/>
                        <w:t>2021</w:t>
                      </w:r>
                      <w:r>
                        <w:rPr>
                          <w:rFonts w:cs="Calibri"/>
                          <w:b/>
                          <w:color w:val="2EB3A1"/>
                          <w:szCs w:val="24"/>
                        </w:rPr>
                        <w:tab/>
                      </w:r>
                      <w:r>
                        <w:rPr>
                          <w:rFonts w:cs="Calibri"/>
                          <w:b/>
                          <w:color w:val="2EB3A1"/>
                          <w:szCs w:val="24"/>
                        </w:rPr>
                        <w:tab/>
                      </w:r>
                      <w:r>
                        <w:rPr>
                          <w:rFonts w:cs="Calibri"/>
                          <w:b/>
                          <w:color w:val="2EB3A1"/>
                          <w:szCs w:val="24"/>
                        </w:rPr>
                        <w:tab/>
                        <w:t>2022</w:t>
                      </w:r>
                    </w:p>
                    <w:p w14:paraId="188241A7" w14:textId="77777777" w:rsidR="002101A6" w:rsidRPr="00602AEA" w:rsidRDefault="002101A6" w:rsidP="003F018D">
                      <w:pPr>
                        <w:ind w:left="708"/>
                        <w:rPr>
                          <w:b/>
                          <w:color w:val="000000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Cs w:val="24"/>
                        </w:rPr>
                        <w:t xml:space="preserve">                       </w:t>
                      </w:r>
                      <w:r w:rsidRPr="00602AEA">
                        <w:rPr>
                          <w:b/>
                          <w:color w:val="000000"/>
                          <w:szCs w:val="24"/>
                        </w:rPr>
                        <w:t>1 326 756</w:t>
                      </w:r>
                      <w:r w:rsidRPr="00602AEA">
                        <w:rPr>
                          <w:b/>
                          <w:color w:val="000000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000000"/>
                          <w:szCs w:val="24"/>
                        </w:rPr>
                        <w:t xml:space="preserve">          </w:t>
                      </w:r>
                      <w:r w:rsidRPr="00602AEA">
                        <w:rPr>
                          <w:b/>
                          <w:color w:val="000000"/>
                          <w:szCs w:val="24"/>
                        </w:rPr>
                        <w:t>1 332</w:t>
                      </w:r>
                      <w:r>
                        <w:rPr>
                          <w:b/>
                          <w:color w:val="000000"/>
                          <w:szCs w:val="24"/>
                        </w:rPr>
                        <w:t> </w:t>
                      </w:r>
                      <w:r w:rsidRPr="00602AEA">
                        <w:rPr>
                          <w:b/>
                          <w:color w:val="000000"/>
                          <w:szCs w:val="24"/>
                        </w:rPr>
                        <w:t>853</w:t>
                      </w:r>
                      <w:r w:rsidRPr="00602AEA">
                        <w:rPr>
                          <w:b/>
                          <w:color w:val="000000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000000"/>
                          <w:szCs w:val="24"/>
                        </w:rPr>
                        <w:t xml:space="preserve">          </w:t>
                      </w:r>
                      <w:r w:rsidRPr="00602AEA">
                        <w:rPr>
                          <w:b/>
                          <w:color w:val="000000"/>
                          <w:szCs w:val="24"/>
                        </w:rPr>
                        <w:t>1 343 820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32AB2E" w14:textId="77777777" w:rsidR="00061BE0" w:rsidRPr="00061BE0" w:rsidRDefault="00061BE0" w:rsidP="00D723A6">
      <w:pPr>
        <w:widowControl/>
        <w:rPr>
          <w:rFonts w:eastAsia="Times New Roman" w:cs="Calibri"/>
          <w:szCs w:val="24"/>
        </w:rPr>
      </w:pPr>
    </w:p>
    <w:p w14:paraId="51DDCF2A" w14:textId="77777777" w:rsidR="00061BE0" w:rsidRPr="00061BE0" w:rsidRDefault="00061BE0" w:rsidP="00D723A6">
      <w:pPr>
        <w:widowControl/>
        <w:rPr>
          <w:rFonts w:eastAsia="Times New Roman" w:cs="Calibri"/>
          <w:szCs w:val="24"/>
        </w:rPr>
      </w:pPr>
    </w:p>
    <w:p w14:paraId="456154BA" w14:textId="77777777" w:rsidR="00061BE0" w:rsidRPr="00061BE0" w:rsidRDefault="00061BE0" w:rsidP="00D723A6">
      <w:pPr>
        <w:widowControl/>
        <w:rPr>
          <w:rFonts w:eastAsia="Times New Roman" w:cs="Calibri"/>
          <w:szCs w:val="24"/>
        </w:rPr>
      </w:pPr>
    </w:p>
    <w:p w14:paraId="41FC2E93" w14:textId="77777777" w:rsidR="00061BE0" w:rsidRPr="00061BE0" w:rsidRDefault="00061BE0" w:rsidP="00D723A6">
      <w:pPr>
        <w:widowControl/>
        <w:rPr>
          <w:rFonts w:eastAsia="Times New Roman" w:cs="Calibri"/>
          <w:szCs w:val="24"/>
        </w:rPr>
      </w:pPr>
    </w:p>
    <w:p w14:paraId="0293906D" w14:textId="77777777" w:rsidR="00061BE0" w:rsidRPr="00061BE0" w:rsidRDefault="00061BE0" w:rsidP="00D723A6">
      <w:pPr>
        <w:widowControl/>
        <w:rPr>
          <w:rFonts w:eastAsia="Times New Roman" w:cs="Calibri"/>
          <w:szCs w:val="24"/>
        </w:rPr>
      </w:pPr>
    </w:p>
    <w:p w14:paraId="721862F6" w14:textId="05CB2DBA" w:rsidR="00061BE0" w:rsidRDefault="00061BE0" w:rsidP="00D723A6">
      <w:pPr>
        <w:widowControl/>
        <w:rPr>
          <w:rFonts w:eastAsia="Times New Roman" w:cs="Calibri"/>
          <w:szCs w:val="24"/>
        </w:rPr>
      </w:pPr>
    </w:p>
    <w:p w14:paraId="5EA5DF15" w14:textId="77777777" w:rsidR="002101A6" w:rsidRPr="00061BE0" w:rsidRDefault="002101A6" w:rsidP="00D723A6">
      <w:pPr>
        <w:widowControl/>
        <w:rPr>
          <w:rFonts w:eastAsia="Times New Roman" w:cs="Calibri"/>
          <w:szCs w:val="24"/>
        </w:rPr>
      </w:pPr>
    </w:p>
    <w:p w14:paraId="2C996E82" w14:textId="77777777" w:rsidR="00061BE0" w:rsidRPr="00061BE0" w:rsidRDefault="00602AEA" w:rsidP="00D723A6">
      <w:pPr>
        <w:widowControl/>
        <w:rPr>
          <w:rFonts w:eastAsia="Times New Roman" w:cs="Calibri"/>
          <w:szCs w:val="24"/>
        </w:rPr>
      </w:pPr>
      <w:r w:rsidRPr="00061BE0">
        <w:rPr>
          <w:rFonts w:eastAsia="Times New Roman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349D93" wp14:editId="7C8DCFA3">
                <wp:simplePos x="0" y="0"/>
                <wp:positionH relativeFrom="margin">
                  <wp:align>left</wp:align>
                </wp:positionH>
                <wp:positionV relativeFrom="paragraph">
                  <wp:posOffset>69060</wp:posOffset>
                </wp:positionV>
                <wp:extent cx="5706000" cy="993913"/>
                <wp:effectExtent l="19050" t="19050" r="47625" b="34925"/>
                <wp:wrapNone/>
                <wp:docPr id="9" name="Obdélník: se zakulacenými roh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6000" cy="993913"/>
                        </a:xfrm>
                        <a:prstGeom prst="roundRect">
                          <a:avLst/>
                        </a:prstGeom>
                        <a:noFill/>
                        <a:ln w="50800" cap="flat" cmpd="sng" algn="ctr">
                          <a:solidFill>
                            <a:srgbClr val="2EB3A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4B2E14" w14:textId="77777777" w:rsidR="002101A6" w:rsidRPr="00602AEA" w:rsidRDefault="002101A6" w:rsidP="00061BE0">
                            <w:pPr>
                              <w:jc w:val="center"/>
                              <w:rPr>
                                <w:rFonts w:cs="Calibri"/>
                                <w:b/>
                                <w:color w:val="2EB3A1"/>
                                <w:szCs w:val="24"/>
                              </w:rPr>
                            </w:pPr>
                            <w:r w:rsidRPr="00602AEA">
                              <w:rPr>
                                <w:rFonts w:cs="Calibri"/>
                                <w:b/>
                                <w:color w:val="2EB3A1"/>
                                <w:szCs w:val="24"/>
                              </w:rPr>
                              <w:t xml:space="preserve">Průměrné náklady na zdravotní služby na jednoho pojištěnce </w:t>
                            </w:r>
                          </w:p>
                          <w:p w14:paraId="6B33B863" w14:textId="77777777" w:rsidR="002101A6" w:rsidRDefault="002101A6" w:rsidP="00061BE0">
                            <w:pPr>
                              <w:jc w:val="center"/>
                              <w:rPr>
                                <w:rFonts w:cs="Calibri"/>
                                <w:color w:val="2EB3A1"/>
                                <w:szCs w:val="24"/>
                              </w:rPr>
                            </w:pPr>
                          </w:p>
                          <w:p w14:paraId="3A35A95F" w14:textId="77777777" w:rsidR="002101A6" w:rsidRDefault="002101A6" w:rsidP="003F018D">
                            <w:pPr>
                              <w:ind w:left="1416" w:firstLine="708"/>
                              <w:rPr>
                                <w:rFonts w:cs="Calibri"/>
                                <w:b/>
                                <w:color w:val="2EB3A1"/>
                                <w:szCs w:val="24"/>
                              </w:rPr>
                            </w:pPr>
                            <w:r w:rsidRPr="00602AEA">
                              <w:rPr>
                                <w:rFonts w:cs="Calibri"/>
                                <w:b/>
                                <w:color w:val="2EB3A1"/>
                                <w:szCs w:val="24"/>
                              </w:rPr>
                              <w:t xml:space="preserve">2020 </w:t>
                            </w:r>
                            <w:r>
                              <w:rPr>
                                <w:rFonts w:cs="Calibri"/>
                                <w:b/>
                                <w:color w:val="2EB3A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color w:val="2EB3A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color w:val="2EB3A1"/>
                                <w:szCs w:val="24"/>
                              </w:rPr>
                              <w:tab/>
                            </w:r>
                            <w:r w:rsidRPr="00602AEA">
                              <w:rPr>
                                <w:rFonts w:cs="Calibri"/>
                                <w:b/>
                                <w:color w:val="2EB3A1"/>
                                <w:szCs w:val="24"/>
                              </w:rPr>
                              <w:t>2021</w:t>
                            </w:r>
                            <w:r>
                              <w:rPr>
                                <w:rFonts w:cs="Calibri"/>
                                <w:b/>
                                <w:color w:val="2EB3A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color w:val="2EB3A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color w:val="2EB3A1"/>
                                <w:szCs w:val="24"/>
                              </w:rPr>
                              <w:tab/>
                            </w:r>
                            <w:r w:rsidRPr="00602AEA">
                              <w:rPr>
                                <w:rFonts w:cs="Calibri"/>
                                <w:b/>
                                <w:color w:val="2EB3A1"/>
                                <w:szCs w:val="24"/>
                              </w:rPr>
                              <w:t>2022</w:t>
                            </w:r>
                          </w:p>
                          <w:p w14:paraId="37AF81A5" w14:textId="77777777" w:rsidR="002101A6" w:rsidRPr="00602AEA" w:rsidRDefault="002101A6" w:rsidP="00914E48">
                            <w:pPr>
                              <w:ind w:left="1416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           </w:t>
                            </w:r>
                            <w:r w:rsidRPr="00602AEA">
                              <w:rPr>
                                <w:b/>
                                <w:color w:val="000000"/>
                              </w:rPr>
                              <w:t>31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 </w:t>
                            </w:r>
                            <w:r w:rsidRPr="00602AEA">
                              <w:rPr>
                                <w:b/>
                                <w:color w:val="000000"/>
                              </w:rPr>
                              <w:t>878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602AEA">
                              <w:rPr>
                                <w:b/>
                                <w:color w:val="000000"/>
                              </w:rPr>
                              <w:t>Kč</w:t>
                            </w:r>
                            <w:r w:rsidRPr="00602AEA"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          </w:t>
                            </w:r>
                            <w:r w:rsidRPr="00602AEA">
                              <w:rPr>
                                <w:b/>
                                <w:color w:val="000000"/>
                              </w:rPr>
                              <w:t>37 679 Kč</w:t>
                            </w:r>
                            <w:r w:rsidRPr="00602AEA"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          </w:t>
                            </w:r>
                            <w:r w:rsidRPr="00602AEA">
                              <w:rPr>
                                <w:b/>
                                <w:color w:val="000000"/>
                              </w:rPr>
                              <w:t>37 881 Kč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349D93" id="Obdélník: se zakulacenými rohy 9" o:spid="_x0000_s1027" style="position:absolute;left:0;text-align:left;margin-left:0;margin-top:5.45pt;width:449.3pt;height:78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" filled="f" strokecolor="#2eb3a1" strokeweight="4pt">
                <v:stroke joinstyle="miter"/>
                <v:textbox>
                  <w:txbxContent>
                    <w:p w14:paraId="7C4B2E14" w14:textId="77777777" w:rsidR="002101A6" w:rsidRPr="00602AEA" w:rsidRDefault="002101A6" w:rsidP="00061BE0">
                      <w:pPr>
                        <w:jc w:val="center"/>
                        <w:rPr>
                          <w:rFonts w:cs="Calibri"/>
                          <w:b/>
                          <w:color w:val="2EB3A1"/>
                          <w:szCs w:val="24"/>
                        </w:rPr>
                      </w:pPr>
                      <w:r w:rsidRPr="00602AEA">
                        <w:rPr>
                          <w:rFonts w:cs="Calibri"/>
                          <w:b/>
                          <w:color w:val="2EB3A1"/>
                          <w:szCs w:val="24"/>
                        </w:rPr>
                        <w:t xml:space="preserve">Průměrné náklady na zdravotní služby na jednoho pojištěnce </w:t>
                      </w:r>
                    </w:p>
                    <w:p w14:paraId="6B33B863" w14:textId="77777777" w:rsidR="002101A6" w:rsidRDefault="002101A6" w:rsidP="00061BE0">
                      <w:pPr>
                        <w:jc w:val="center"/>
                        <w:rPr>
                          <w:rFonts w:cs="Calibri"/>
                          <w:color w:val="2EB3A1"/>
                          <w:szCs w:val="24"/>
                        </w:rPr>
                      </w:pPr>
                    </w:p>
                    <w:p w14:paraId="3A35A95F" w14:textId="77777777" w:rsidR="002101A6" w:rsidRDefault="002101A6" w:rsidP="003F018D">
                      <w:pPr>
                        <w:ind w:left="1416" w:firstLine="708"/>
                        <w:rPr>
                          <w:rFonts w:cs="Calibri"/>
                          <w:b/>
                          <w:color w:val="2EB3A1"/>
                          <w:szCs w:val="24"/>
                        </w:rPr>
                      </w:pPr>
                      <w:r w:rsidRPr="00602AEA">
                        <w:rPr>
                          <w:rFonts w:cs="Calibri"/>
                          <w:b/>
                          <w:color w:val="2EB3A1"/>
                          <w:szCs w:val="24"/>
                        </w:rPr>
                        <w:t xml:space="preserve">2020 </w:t>
                      </w:r>
                      <w:r>
                        <w:rPr>
                          <w:rFonts w:cs="Calibri"/>
                          <w:b/>
                          <w:color w:val="2EB3A1"/>
                          <w:szCs w:val="24"/>
                        </w:rPr>
                        <w:tab/>
                      </w:r>
                      <w:r>
                        <w:rPr>
                          <w:rFonts w:cs="Calibri"/>
                          <w:b/>
                          <w:color w:val="2EB3A1"/>
                          <w:szCs w:val="24"/>
                        </w:rPr>
                        <w:tab/>
                      </w:r>
                      <w:r>
                        <w:rPr>
                          <w:rFonts w:cs="Calibri"/>
                          <w:b/>
                          <w:color w:val="2EB3A1"/>
                          <w:szCs w:val="24"/>
                        </w:rPr>
                        <w:tab/>
                      </w:r>
                      <w:r w:rsidRPr="00602AEA">
                        <w:rPr>
                          <w:rFonts w:cs="Calibri"/>
                          <w:b/>
                          <w:color w:val="2EB3A1"/>
                          <w:szCs w:val="24"/>
                        </w:rPr>
                        <w:t>2021</w:t>
                      </w:r>
                      <w:r>
                        <w:rPr>
                          <w:rFonts w:cs="Calibri"/>
                          <w:b/>
                          <w:color w:val="2EB3A1"/>
                          <w:szCs w:val="24"/>
                        </w:rPr>
                        <w:tab/>
                      </w:r>
                      <w:r>
                        <w:rPr>
                          <w:rFonts w:cs="Calibri"/>
                          <w:b/>
                          <w:color w:val="2EB3A1"/>
                          <w:szCs w:val="24"/>
                        </w:rPr>
                        <w:tab/>
                      </w:r>
                      <w:r>
                        <w:rPr>
                          <w:rFonts w:cs="Calibri"/>
                          <w:b/>
                          <w:color w:val="2EB3A1"/>
                          <w:szCs w:val="24"/>
                        </w:rPr>
                        <w:tab/>
                      </w:r>
                      <w:r w:rsidRPr="00602AEA">
                        <w:rPr>
                          <w:rFonts w:cs="Calibri"/>
                          <w:b/>
                          <w:color w:val="2EB3A1"/>
                          <w:szCs w:val="24"/>
                        </w:rPr>
                        <w:t>2022</w:t>
                      </w:r>
                    </w:p>
                    <w:p w14:paraId="37AF81A5" w14:textId="77777777" w:rsidR="002101A6" w:rsidRPr="00602AEA" w:rsidRDefault="002101A6" w:rsidP="00914E48">
                      <w:pPr>
                        <w:ind w:left="1416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           </w:t>
                      </w:r>
                      <w:r w:rsidRPr="00602AEA">
                        <w:rPr>
                          <w:b/>
                          <w:color w:val="000000"/>
                        </w:rPr>
                        <w:t>31</w:t>
                      </w:r>
                      <w:r>
                        <w:rPr>
                          <w:b/>
                          <w:color w:val="000000"/>
                        </w:rPr>
                        <w:t> </w:t>
                      </w:r>
                      <w:r w:rsidRPr="00602AEA">
                        <w:rPr>
                          <w:b/>
                          <w:color w:val="000000"/>
                        </w:rPr>
                        <w:t>878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 w:rsidRPr="00602AEA">
                        <w:rPr>
                          <w:b/>
                          <w:color w:val="000000"/>
                        </w:rPr>
                        <w:t>Kč</w:t>
                      </w:r>
                      <w:r w:rsidRPr="00602AEA">
                        <w:rPr>
                          <w:b/>
                          <w:color w:val="000000"/>
                        </w:rPr>
                        <w:tab/>
                      </w:r>
                      <w:r>
                        <w:rPr>
                          <w:b/>
                          <w:color w:val="000000"/>
                        </w:rPr>
                        <w:t xml:space="preserve">           </w:t>
                      </w:r>
                      <w:r w:rsidRPr="00602AEA">
                        <w:rPr>
                          <w:b/>
                          <w:color w:val="000000"/>
                        </w:rPr>
                        <w:t>37 679 Kč</w:t>
                      </w:r>
                      <w:r w:rsidRPr="00602AEA">
                        <w:rPr>
                          <w:b/>
                          <w:color w:val="000000"/>
                        </w:rPr>
                        <w:tab/>
                      </w:r>
                      <w:r>
                        <w:rPr>
                          <w:b/>
                          <w:color w:val="000000"/>
                        </w:rPr>
                        <w:t xml:space="preserve">           </w:t>
                      </w:r>
                      <w:r w:rsidRPr="00602AEA">
                        <w:rPr>
                          <w:b/>
                          <w:color w:val="000000"/>
                        </w:rPr>
                        <w:t>37 881 Kč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313471" w14:textId="77777777" w:rsidR="00061BE0" w:rsidRPr="00061BE0" w:rsidRDefault="00061BE0" w:rsidP="00D723A6">
      <w:pPr>
        <w:widowControl/>
        <w:rPr>
          <w:rFonts w:eastAsia="Times New Roman" w:cs="Calibri"/>
          <w:szCs w:val="24"/>
        </w:rPr>
      </w:pPr>
    </w:p>
    <w:p w14:paraId="1BB583E8" w14:textId="77777777" w:rsidR="00061BE0" w:rsidRPr="00061BE0" w:rsidRDefault="00061BE0" w:rsidP="00D723A6">
      <w:pPr>
        <w:widowControl/>
        <w:rPr>
          <w:rFonts w:eastAsia="Times New Roman" w:cs="Calibri"/>
          <w:szCs w:val="24"/>
        </w:rPr>
      </w:pPr>
    </w:p>
    <w:p w14:paraId="1D921F3E" w14:textId="77777777" w:rsidR="00061BE0" w:rsidRPr="00061BE0" w:rsidRDefault="00061BE0" w:rsidP="00D723A6">
      <w:pPr>
        <w:widowControl/>
        <w:rPr>
          <w:rFonts w:eastAsia="Times New Roman" w:cs="Calibri"/>
          <w:szCs w:val="24"/>
        </w:rPr>
      </w:pPr>
    </w:p>
    <w:p w14:paraId="09C55DB3" w14:textId="77777777" w:rsidR="00061BE0" w:rsidRPr="00061BE0" w:rsidRDefault="00061BE0" w:rsidP="00D723A6">
      <w:pPr>
        <w:widowControl/>
        <w:rPr>
          <w:rFonts w:eastAsia="Times New Roman"/>
        </w:rPr>
      </w:pPr>
    </w:p>
    <w:p w14:paraId="73A85D23" w14:textId="77777777" w:rsidR="00061BE0" w:rsidRPr="00061BE0" w:rsidRDefault="00061BE0" w:rsidP="00D723A6">
      <w:pPr>
        <w:widowControl/>
        <w:rPr>
          <w:rFonts w:eastAsia="Times New Roman"/>
        </w:rPr>
      </w:pPr>
    </w:p>
    <w:p w14:paraId="1D0A0200" w14:textId="1C6C1068" w:rsidR="008E74F0" w:rsidRDefault="008E74F0" w:rsidP="00D723A6">
      <w:pPr>
        <w:widowControl/>
        <w:rPr>
          <w:rFonts w:asciiTheme="minorHAnsi" w:hAnsiTheme="minorHAnsi" w:cstheme="minorHAnsi"/>
          <w:szCs w:val="24"/>
        </w:rPr>
      </w:pPr>
    </w:p>
    <w:p w14:paraId="78BE2F35" w14:textId="77777777" w:rsidR="002101A6" w:rsidRDefault="002101A6" w:rsidP="00D723A6">
      <w:pPr>
        <w:widowControl/>
        <w:rPr>
          <w:rFonts w:asciiTheme="minorHAnsi" w:hAnsiTheme="minorHAnsi" w:cstheme="minorHAnsi"/>
          <w:szCs w:val="24"/>
        </w:rPr>
      </w:pPr>
    </w:p>
    <w:p w14:paraId="23FB7E43" w14:textId="77777777" w:rsidR="00CE5D5B" w:rsidRDefault="00C84DE5" w:rsidP="00D723A6">
      <w:pPr>
        <w:widowControl/>
        <w:rPr>
          <w:rFonts w:asciiTheme="minorHAnsi" w:hAnsiTheme="minorHAnsi" w:cstheme="minorHAnsi"/>
          <w:szCs w:val="24"/>
        </w:rPr>
      </w:pPr>
      <w:r w:rsidRPr="00061BE0">
        <w:rPr>
          <w:rFonts w:eastAsia="Times New Roman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63AC1B" wp14:editId="75CE6671">
                <wp:simplePos x="0" y="0"/>
                <wp:positionH relativeFrom="margin">
                  <wp:align>right</wp:align>
                </wp:positionH>
                <wp:positionV relativeFrom="paragraph">
                  <wp:posOffset>27365</wp:posOffset>
                </wp:positionV>
                <wp:extent cx="5706000" cy="810000"/>
                <wp:effectExtent l="19050" t="19050" r="47625" b="47625"/>
                <wp:wrapNone/>
                <wp:docPr id="5" name="Obdélník: se zakulacenými roh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6000" cy="810000"/>
                        </a:xfrm>
                        <a:prstGeom prst="roundRect">
                          <a:avLst/>
                        </a:prstGeom>
                        <a:noFill/>
                        <a:ln w="50800" cap="flat" cmpd="sng" algn="ctr">
                          <a:solidFill>
                            <a:srgbClr val="2EB3A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EE975B" w14:textId="3F864004" w:rsidR="002101A6" w:rsidRPr="00602AEA" w:rsidRDefault="002101A6" w:rsidP="00061BE0">
                            <w:pPr>
                              <w:jc w:val="center"/>
                              <w:rPr>
                                <w:rFonts w:cs="Calibri"/>
                                <w:b/>
                                <w:color w:val="2EB3A1"/>
                                <w:szCs w:val="24"/>
                              </w:rPr>
                            </w:pPr>
                            <w:r w:rsidRPr="00602AEA">
                              <w:rPr>
                                <w:rFonts w:cs="Calibri"/>
                                <w:b/>
                                <w:color w:val="2EB3A1"/>
                                <w:szCs w:val="24"/>
                              </w:rPr>
                              <w:t xml:space="preserve">Nárůst výdajů na zdravotní služby hrazené ZPMV mezi lety 2020 a 2022 </w:t>
                            </w:r>
                          </w:p>
                          <w:p w14:paraId="7D314563" w14:textId="77777777" w:rsidR="002101A6" w:rsidRDefault="002101A6" w:rsidP="00061BE0">
                            <w:pPr>
                              <w:jc w:val="center"/>
                              <w:rPr>
                                <w:color w:val="2EB3A1"/>
                              </w:rPr>
                            </w:pPr>
                          </w:p>
                          <w:p w14:paraId="663FE42B" w14:textId="77777777" w:rsidR="002101A6" w:rsidRPr="00061BE0" w:rsidRDefault="002101A6" w:rsidP="00061BE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061BE0">
                              <w:rPr>
                                <w:b/>
                                <w:color w:val="000000"/>
                              </w:rPr>
                              <w:t>o 10,8 mld. Kč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061BE0">
                              <w:rPr>
                                <w:b/>
                                <w:color w:val="000000"/>
                              </w:rPr>
                              <w:t>(o 27 %)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63AC1B" id="Obdélník: se zakulacenými rohy 5" o:spid="_x0000_s1028" style="position:absolute;left:0;text-align:left;margin-left:398.1pt;margin-top:2.15pt;width:449.3pt;height:63.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" filled="f" strokecolor="#2eb3a1" strokeweight="4pt">
                <v:stroke joinstyle="miter"/>
                <v:textbox>
                  <w:txbxContent>
                    <w:p w14:paraId="15EE975B" w14:textId="3F864004" w:rsidR="002101A6" w:rsidRPr="00602AEA" w:rsidRDefault="002101A6" w:rsidP="00061BE0">
                      <w:pPr>
                        <w:jc w:val="center"/>
                        <w:rPr>
                          <w:rFonts w:cs="Calibri"/>
                          <w:b/>
                          <w:color w:val="2EB3A1"/>
                          <w:szCs w:val="24"/>
                        </w:rPr>
                      </w:pPr>
                      <w:r w:rsidRPr="00602AEA">
                        <w:rPr>
                          <w:rFonts w:cs="Calibri"/>
                          <w:b/>
                          <w:color w:val="2EB3A1"/>
                          <w:szCs w:val="24"/>
                        </w:rPr>
                        <w:t xml:space="preserve">Nárůst výdajů na zdravotní služby hrazené ZPMV mezi lety 2020 a 2022 </w:t>
                      </w:r>
                    </w:p>
                    <w:p w14:paraId="7D314563" w14:textId="77777777" w:rsidR="002101A6" w:rsidRDefault="002101A6" w:rsidP="00061BE0">
                      <w:pPr>
                        <w:jc w:val="center"/>
                        <w:rPr>
                          <w:color w:val="2EB3A1"/>
                        </w:rPr>
                      </w:pPr>
                    </w:p>
                    <w:p w14:paraId="663FE42B" w14:textId="77777777" w:rsidR="002101A6" w:rsidRPr="00061BE0" w:rsidRDefault="002101A6" w:rsidP="00061BE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061BE0">
                        <w:rPr>
                          <w:b/>
                          <w:color w:val="000000"/>
                        </w:rPr>
                        <w:t>o 10,8 mld. Kč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 w:rsidRPr="00061BE0">
                        <w:rPr>
                          <w:b/>
                          <w:color w:val="000000"/>
                        </w:rPr>
                        <w:t>(o 27 %)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279607" w14:textId="77777777" w:rsidR="00CE5D5B" w:rsidRDefault="00CE5D5B" w:rsidP="00D723A6">
      <w:pPr>
        <w:widowControl/>
        <w:rPr>
          <w:rFonts w:asciiTheme="minorHAnsi" w:hAnsiTheme="minorHAnsi" w:cstheme="minorHAnsi"/>
          <w:szCs w:val="24"/>
        </w:rPr>
      </w:pPr>
    </w:p>
    <w:p w14:paraId="43B33B2C" w14:textId="77777777" w:rsidR="00CE5D5B" w:rsidRDefault="00CE5D5B" w:rsidP="00D723A6">
      <w:pPr>
        <w:widowControl/>
        <w:rPr>
          <w:rFonts w:asciiTheme="minorHAnsi" w:hAnsiTheme="minorHAnsi" w:cstheme="minorHAnsi"/>
          <w:szCs w:val="24"/>
        </w:rPr>
      </w:pPr>
    </w:p>
    <w:p w14:paraId="4DF1DC68" w14:textId="77777777" w:rsidR="00CE5D5B" w:rsidRDefault="00CE5D5B" w:rsidP="00D723A6">
      <w:pPr>
        <w:widowControl/>
        <w:rPr>
          <w:rFonts w:asciiTheme="minorHAnsi" w:hAnsiTheme="minorHAnsi" w:cstheme="minorHAnsi"/>
          <w:szCs w:val="24"/>
        </w:rPr>
      </w:pPr>
    </w:p>
    <w:p w14:paraId="52A14EF5" w14:textId="77777777" w:rsidR="00CE5D5B" w:rsidRDefault="00CE5D5B" w:rsidP="00D723A6">
      <w:pPr>
        <w:widowControl/>
        <w:rPr>
          <w:rFonts w:asciiTheme="minorHAnsi" w:hAnsiTheme="minorHAnsi" w:cstheme="minorHAnsi"/>
          <w:szCs w:val="24"/>
        </w:rPr>
      </w:pPr>
    </w:p>
    <w:p w14:paraId="2BB6258C" w14:textId="77E71180" w:rsidR="002101A6" w:rsidRDefault="002101A6" w:rsidP="00D723A6">
      <w:pPr>
        <w:widowControl/>
        <w:rPr>
          <w:rFonts w:asciiTheme="minorHAnsi" w:hAnsiTheme="minorHAnsi" w:cstheme="minorHAnsi"/>
          <w:szCs w:val="24"/>
        </w:rPr>
      </w:pPr>
    </w:p>
    <w:p w14:paraId="76975E52" w14:textId="77777777" w:rsidR="004D0D18" w:rsidRDefault="004D0D18" w:rsidP="00D723A6">
      <w:pPr>
        <w:widowControl/>
        <w:rPr>
          <w:rFonts w:asciiTheme="minorHAnsi" w:hAnsiTheme="minorHAnsi" w:cstheme="minorHAnsi"/>
          <w:szCs w:val="24"/>
        </w:rPr>
      </w:pPr>
    </w:p>
    <w:p w14:paraId="014EF832" w14:textId="4B1D7059" w:rsidR="00CE5D5B" w:rsidRDefault="002101A6" w:rsidP="00D723A6">
      <w:pPr>
        <w:widowControl/>
        <w:rPr>
          <w:rFonts w:asciiTheme="minorHAnsi" w:hAnsiTheme="minorHAnsi" w:cstheme="minorHAnsi"/>
          <w:szCs w:val="24"/>
        </w:rPr>
      </w:pPr>
      <w:r w:rsidRPr="00061BE0">
        <w:rPr>
          <w:rFonts w:eastAsia="Times New Roman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CE6B4" wp14:editId="0DAD8C18">
                <wp:simplePos x="0" y="0"/>
                <wp:positionH relativeFrom="margin">
                  <wp:posOffset>8890</wp:posOffset>
                </wp:positionH>
                <wp:positionV relativeFrom="paragraph">
                  <wp:posOffset>48260</wp:posOffset>
                </wp:positionV>
                <wp:extent cx="5706000" cy="810000"/>
                <wp:effectExtent l="19050" t="19050" r="47625" b="47625"/>
                <wp:wrapNone/>
                <wp:docPr id="2" name="Obdélník: se zakulacenými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6000" cy="810000"/>
                        </a:xfrm>
                        <a:prstGeom prst="roundRect">
                          <a:avLst/>
                        </a:prstGeom>
                        <a:noFill/>
                        <a:ln w="50800" cap="flat" cmpd="sng" algn="ctr">
                          <a:solidFill>
                            <a:srgbClr val="AF195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C320E1" w14:textId="76ECA01E" w:rsidR="002101A6" w:rsidRPr="00B95E2B" w:rsidRDefault="002101A6" w:rsidP="00061BE0">
                            <w:pPr>
                              <w:jc w:val="center"/>
                              <w:rPr>
                                <w:b/>
                                <w:color w:val="AF1953"/>
                                <w:spacing w:val="-4"/>
                              </w:rPr>
                            </w:pPr>
                            <w:r w:rsidRPr="00B95E2B">
                              <w:rPr>
                                <w:b/>
                                <w:color w:val="AF1953"/>
                                <w:spacing w:val="-4"/>
                              </w:rPr>
                              <w:t>Objem veřejných zakázek zadaných v rozporu se zákonem o zadávání veřejných zakázek</w:t>
                            </w:r>
                          </w:p>
                          <w:p w14:paraId="38D13939" w14:textId="77777777" w:rsidR="002101A6" w:rsidRDefault="002101A6" w:rsidP="00061BE0">
                            <w:pPr>
                              <w:jc w:val="center"/>
                              <w:rPr>
                                <w:color w:val="AF1953"/>
                              </w:rPr>
                            </w:pPr>
                          </w:p>
                          <w:p w14:paraId="4D8CFF3F" w14:textId="77777777" w:rsidR="002101A6" w:rsidRPr="00061BE0" w:rsidRDefault="002101A6" w:rsidP="00061BE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061BE0">
                              <w:rPr>
                                <w:b/>
                                <w:color w:val="000000"/>
                              </w:rPr>
                              <w:t xml:space="preserve">10,4 mil. Kč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3CE6B4" id="Obdélník: se zakulacenými rohy 2" o:spid="_x0000_s1029" style="position:absolute;left:0;text-align:left;margin-left:.7pt;margin-top:3.8pt;width:449.3pt;height:6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" filled="f" strokecolor="#af1953" strokeweight="4pt">
                <v:stroke joinstyle="miter"/>
                <v:textbox>
                  <w:txbxContent>
                    <w:p w14:paraId="60C320E1" w14:textId="76ECA01E" w:rsidR="002101A6" w:rsidRPr="00B95E2B" w:rsidRDefault="002101A6" w:rsidP="00061BE0">
                      <w:pPr>
                        <w:jc w:val="center"/>
                        <w:rPr>
                          <w:b/>
                          <w:color w:val="AF1953"/>
                          <w:spacing w:val="-4"/>
                        </w:rPr>
                      </w:pPr>
                      <w:r w:rsidRPr="00B95E2B">
                        <w:rPr>
                          <w:b/>
                          <w:color w:val="AF1953"/>
                          <w:spacing w:val="-4"/>
                        </w:rPr>
                        <w:t>Objem veřejných zakázek zadaných v rozporu se zákonem o zadávání veřejných zakázek</w:t>
                      </w:r>
                    </w:p>
                    <w:p w14:paraId="38D13939" w14:textId="77777777" w:rsidR="002101A6" w:rsidRDefault="002101A6" w:rsidP="00061BE0">
                      <w:pPr>
                        <w:jc w:val="center"/>
                        <w:rPr>
                          <w:color w:val="AF1953"/>
                        </w:rPr>
                      </w:pPr>
                    </w:p>
                    <w:p w14:paraId="4D8CFF3F" w14:textId="77777777" w:rsidR="002101A6" w:rsidRPr="00061BE0" w:rsidRDefault="002101A6" w:rsidP="00061BE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061BE0">
                        <w:rPr>
                          <w:b/>
                          <w:color w:val="000000"/>
                        </w:rPr>
                        <w:t xml:space="preserve">10,4 mil. Kč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944B70" w14:textId="616A6E7C" w:rsidR="00CE5D5B" w:rsidRDefault="00CE5D5B" w:rsidP="00D723A6">
      <w:pPr>
        <w:widowControl/>
        <w:rPr>
          <w:rFonts w:asciiTheme="minorHAnsi" w:hAnsiTheme="minorHAnsi" w:cstheme="minorHAnsi"/>
          <w:szCs w:val="24"/>
        </w:rPr>
      </w:pPr>
    </w:p>
    <w:p w14:paraId="4D1EE726" w14:textId="77777777" w:rsidR="008E74F0" w:rsidRDefault="008E74F0" w:rsidP="00D723A6">
      <w:pPr>
        <w:widowControl/>
        <w:rPr>
          <w:rFonts w:asciiTheme="minorHAnsi" w:hAnsiTheme="minorHAnsi" w:cstheme="minorHAnsi"/>
          <w:szCs w:val="24"/>
        </w:rPr>
      </w:pPr>
    </w:p>
    <w:p w14:paraId="35966B7B" w14:textId="77777777" w:rsidR="008E74F0" w:rsidRDefault="008E74F0" w:rsidP="00D723A6">
      <w:pPr>
        <w:widowControl/>
        <w:rPr>
          <w:rFonts w:asciiTheme="minorHAnsi" w:hAnsiTheme="minorHAnsi" w:cstheme="minorHAnsi"/>
          <w:szCs w:val="24"/>
        </w:rPr>
      </w:pPr>
    </w:p>
    <w:p w14:paraId="66A61CE1" w14:textId="77777777" w:rsidR="008E74F0" w:rsidRDefault="008E74F0" w:rsidP="00D723A6">
      <w:pPr>
        <w:widowControl/>
        <w:rPr>
          <w:rFonts w:asciiTheme="minorHAnsi" w:hAnsiTheme="minorHAnsi" w:cstheme="minorHAnsi"/>
          <w:szCs w:val="24"/>
        </w:rPr>
      </w:pPr>
    </w:p>
    <w:p w14:paraId="0962C69D" w14:textId="6539478B" w:rsidR="008E74F0" w:rsidRDefault="008E74F0" w:rsidP="00D723A6">
      <w:pPr>
        <w:widowControl/>
        <w:rPr>
          <w:rFonts w:asciiTheme="minorHAnsi" w:hAnsiTheme="minorHAnsi" w:cstheme="minorHAnsi"/>
          <w:szCs w:val="24"/>
        </w:rPr>
      </w:pPr>
    </w:p>
    <w:p w14:paraId="617A8D1D" w14:textId="77777777" w:rsidR="002101A6" w:rsidRDefault="002101A6" w:rsidP="00D723A6">
      <w:pPr>
        <w:widowControl/>
        <w:rPr>
          <w:rFonts w:asciiTheme="minorHAnsi" w:hAnsiTheme="minorHAnsi" w:cstheme="minorHAnsi"/>
          <w:szCs w:val="24"/>
        </w:rPr>
      </w:pPr>
    </w:p>
    <w:p w14:paraId="2D6A346D" w14:textId="77777777" w:rsidR="008E74F0" w:rsidRDefault="00602AEA" w:rsidP="00D723A6">
      <w:pPr>
        <w:widowControl/>
        <w:rPr>
          <w:rFonts w:asciiTheme="minorHAnsi" w:hAnsiTheme="minorHAnsi" w:cstheme="minorHAnsi"/>
          <w:szCs w:val="24"/>
        </w:rPr>
      </w:pPr>
      <w:r w:rsidRPr="00061BE0">
        <w:rPr>
          <w:rFonts w:eastAsia="Times New Roman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6AA08F" wp14:editId="739E7C9E">
                <wp:simplePos x="0" y="0"/>
                <wp:positionH relativeFrom="margin">
                  <wp:align>left</wp:align>
                </wp:positionH>
                <wp:positionV relativeFrom="paragraph">
                  <wp:posOffset>30157</wp:posOffset>
                </wp:positionV>
                <wp:extent cx="5706000" cy="810000"/>
                <wp:effectExtent l="19050" t="19050" r="47625" b="47625"/>
                <wp:wrapNone/>
                <wp:docPr id="10" name="Obdélník: se zakulacenými roh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6000" cy="810000"/>
                        </a:xfrm>
                        <a:prstGeom prst="roundRect">
                          <a:avLst/>
                        </a:prstGeom>
                        <a:noFill/>
                        <a:ln w="50800" cap="flat" cmpd="sng" algn="ctr">
                          <a:solidFill>
                            <a:srgbClr val="AF195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62C82B" w14:textId="77777777" w:rsidR="002101A6" w:rsidRPr="00602AEA" w:rsidRDefault="002101A6" w:rsidP="00061BE0">
                            <w:pPr>
                              <w:tabs>
                                <w:tab w:val="left" w:pos="993"/>
                              </w:tabs>
                              <w:jc w:val="center"/>
                              <w:rPr>
                                <w:b/>
                                <w:color w:val="AF1953"/>
                              </w:rPr>
                            </w:pPr>
                            <w:r w:rsidRPr="00602AEA">
                              <w:rPr>
                                <w:b/>
                                <w:color w:val="AF1953"/>
                              </w:rPr>
                              <w:t>Pohledávky ZPMV k 31. 12.</w:t>
                            </w:r>
                            <w:r w:rsidRPr="00602AEA">
                              <w:rPr>
                                <w:b/>
                              </w:rPr>
                              <w:t> </w:t>
                            </w:r>
                            <w:r w:rsidRPr="00602AEA">
                              <w:rPr>
                                <w:b/>
                                <w:color w:val="AF1953"/>
                              </w:rPr>
                              <w:t xml:space="preserve">2022 za 45 zaniklými plátci pojistného </w:t>
                            </w:r>
                          </w:p>
                          <w:p w14:paraId="2EA6242A" w14:textId="77777777" w:rsidR="002101A6" w:rsidRDefault="002101A6" w:rsidP="00061BE0">
                            <w:pPr>
                              <w:tabs>
                                <w:tab w:val="left" w:pos="993"/>
                              </w:tabs>
                              <w:jc w:val="center"/>
                              <w:rPr>
                                <w:color w:val="AF1953"/>
                              </w:rPr>
                            </w:pPr>
                          </w:p>
                          <w:p w14:paraId="36C6338E" w14:textId="77777777" w:rsidR="002101A6" w:rsidRPr="00061BE0" w:rsidRDefault="002101A6" w:rsidP="00061BE0">
                            <w:pPr>
                              <w:tabs>
                                <w:tab w:val="left" w:pos="993"/>
                              </w:tabs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061BE0">
                              <w:rPr>
                                <w:b/>
                                <w:color w:val="000000"/>
                              </w:rPr>
                              <w:t>2,7 mil. Kč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6AA08F" id="Obdélník: se zakulacenými rohy 10" o:spid="_x0000_s1030" style="position:absolute;left:0;text-align:left;margin-left:0;margin-top:2.35pt;width:449.3pt;height:63.8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" filled="f" strokecolor="#af1953" strokeweight="4pt">
                <v:stroke joinstyle="miter"/>
                <v:textbox>
                  <w:txbxContent>
                    <w:p w14:paraId="7E62C82B" w14:textId="77777777" w:rsidR="002101A6" w:rsidRPr="00602AEA" w:rsidRDefault="002101A6" w:rsidP="00061BE0">
                      <w:pPr>
                        <w:tabs>
                          <w:tab w:val="left" w:pos="993"/>
                        </w:tabs>
                        <w:jc w:val="center"/>
                        <w:rPr>
                          <w:b/>
                          <w:color w:val="AF1953"/>
                        </w:rPr>
                      </w:pPr>
                      <w:r w:rsidRPr="00602AEA">
                        <w:rPr>
                          <w:b/>
                          <w:color w:val="AF1953"/>
                        </w:rPr>
                        <w:t>Pohledávky ZPMV k 31. 12.</w:t>
                      </w:r>
                      <w:r w:rsidRPr="00602AEA">
                        <w:rPr>
                          <w:b/>
                        </w:rPr>
                        <w:t> </w:t>
                      </w:r>
                      <w:r w:rsidRPr="00602AEA">
                        <w:rPr>
                          <w:b/>
                          <w:color w:val="AF1953"/>
                        </w:rPr>
                        <w:t xml:space="preserve">2022 za 45 zaniklými plátci pojistného </w:t>
                      </w:r>
                    </w:p>
                    <w:p w14:paraId="2EA6242A" w14:textId="77777777" w:rsidR="002101A6" w:rsidRDefault="002101A6" w:rsidP="00061BE0">
                      <w:pPr>
                        <w:tabs>
                          <w:tab w:val="left" w:pos="993"/>
                        </w:tabs>
                        <w:jc w:val="center"/>
                        <w:rPr>
                          <w:color w:val="AF1953"/>
                        </w:rPr>
                      </w:pPr>
                    </w:p>
                    <w:p w14:paraId="36C6338E" w14:textId="77777777" w:rsidR="002101A6" w:rsidRPr="00061BE0" w:rsidRDefault="002101A6" w:rsidP="00061BE0">
                      <w:pPr>
                        <w:tabs>
                          <w:tab w:val="left" w:pos="993"/>
                        </w:tabs>
                        <w:jc w:val="center"/>
                        <w:rPr>
                          <w:b/>
                          <w:color w:val="000000"/>
                        </w:rPr>
                      </w:pPr>
                      <w:r w:rsidRPr="00061BE0">
                        <w:rPr>
                          <w:b/>
                          <w:color w:val="000000"/>
                        </w:rPr>
                        <w:t>2,7 mil. Kč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E6A06B3" w14:textId="77777777" w:rsidR="008E74F0" w:rsidRDefault="008E74F0" w:rsidP="00D723A6">
      <w:pPr>
        <w:widowControl/>
        <w:rPr>
          <w:rFonts w:asciiTheme="minorHAnsi" w:hAnsiTheme="minorHAnsi" w:cstheme="minorHAnsi"/>
          <w:szCs w:val="24"/>
        </w:rPr>
      </w:pPr>
    </w:p>
    <w:p w14:paraId="248FD759" w14:textId="77777777" w:rsidR="00D73B44" w:rsidRDefault="00D73B44" w:rsidP="00D723A6">
      <w:pPr>
        <w:widowControl/>
        <w:rPr>
          <w:rFonts w:asciiTheme="minorHAnsi" w:hAnsiTheme="minorHAnsi" w:cstheme="minorHAnsi"/>
          <w:szCs w:val="24"/>
        </w:rPr>
      </w:pPr>
    </w:p>
    <w:p w14:paraId="3D452E66" w14:textId="77777777" w:rsidR="008E74F0" w:rsidRDefault="008E74F0" w:rsidP="00D723A6">
      <w:pPr>
        <w:widowControl/>
        <w:rPr>
          <w:rFonts w:asciiTheme="minorHAnsi" w:hAnsiTheme="minorHAnsi" w:cstheme="minorHAnsi"/>
          <w:szCs w:val="24"/>
        </w:rPr>
      </w:pPr>
    </w:p>
    <w:p w14:paraId="2211DA52" w14:textId="77777777" w:rsidR="008E74F0" w:rsidRDefault="008E74F0" w:rsidP="00D723A6">
      <w:pPr>
        <w:widowControl/>
        <w:rPr>
          <w:rFonts w:asciiTheme="minorHAnsi" w:hAnsiTheme="minorHAnsi" w:cstheme="minorHAnsi"/>
          <w:szCs w:val="24"/>
        </w:rPr>
      </w:pPr>
    </w:p>
    <w:p w14:paraId="21F13869" w14:textId="77777777" w:rsidR="008E74F0" w:rsidRDefault="008E74F0" w:rsidP="00D723A6">
      <w:pPr>
        <w:widowControl/>
        <w:rPr>
          <w:rFonts w:asciiTheme="minorHAnsi" w:hAnsiTheme="minorHAnsi" w:cstheme="minorHAnsi"/>
          <w:szCs w:val="24"/>
        </w:rPr>
      </w:pPr>
    </w:p>
    <w:p w14:paraId="3E0DC599" w14:textId="3F121234" w:rsidR="008E74F0" w:rsidRDefault="008E74F0" w:rsidP="00D723A6">
      <w:pPr>
        <w:widowControl/>
        <w:rPr>
          <w:rFonts w:asciiTheme="minorHAnsi" w:hAnsiTheme="minorHAnsi" w:cstheme="minorHAnsi"/>
          <w:szCs w:val="24"/>
        </w:rPr>
      </w:pPr>
    </w:p>
    <w:p w14:paraId="66AF7006" w14:textId="77777777" w:rsidR="00DD3BA3" w:rsidRDefault="00DD3BA3" w:rsidP="00D723A6">
      <w:pPr>
        <w:widowControl/>
        <w:autoSpaceDE/>
        <w:autoSpaceDN/>
        <w:adjustRightInd/>
        <w:spacing w:after="160" w:line="259" w:lineRule="auto"/>
        <w:jc w:val="left"/>
        <w:rPr>
          <w:rFonts w:asciiTheme="minorHAnsi" w:eastAsiaTheme="majorEastAsia" w:hAnsiTheme="minorHAnsi" w:cstheme="minorHAnsi"/>
          <w:b/>
          <w:szCs w:val="32"/>
        </w:rPr>
      </w:pPr>
      <w:r>
        <w:rPr>
          <w:rFonts w:asciiTheme="minorHAnsi" w:hAnsiTheme="minorHAnsi" w:cstheme="minorHAnsi"/>
        </w:rPr>
        <w:br w:type="page"/>
      </w:r>
    </w:p>
    <w:p w14:paraId="2A9E3AE1" w14:textId="7FE3F15D" w:rsidR="00053F92" w:rsidRPr="00AA3EAF" w:rsidRDefault="00053F92" w:rsidP="00D723A6">
      <w:pPr>
        <w:pStyle w:val="Nadpis1"/>
        <w:widowControl/>
        <w:spacing w:after="240"/>
        <w:jc w:val="center"/>
        <w:rPr>
          <w:rFonts w:asciiTheme="minorHAnsi" w:hAnsiTheme="minorHAnsi" w:cstheme="minorHAnsi"/>
          <w:color w:val="auto"/>
          <w:spacing w:val="-2"/>
          <w:sz w:val="28"/>
        </w:rPr>
      </w:pPr>
      <w:r w:rsidRPr="00AA3EAF">
        <w:rPr>
          <w:rFonts w:asciiTheme="minorHAnsi" w:hAnsiTheme="minorHAnsi" w:cstheme="minorHAnsi"/>
          <w:color w:val="auto"/>
          <w:sz w:val="28"/>
        </w:rPr>
        <w:t>I. Shrnutí a vyhodnocení</w:t>
      </w:r>
    </w:p>
    <w:p w14:paraId="1345A47B" w14:textId="5F8DC77A" w:rsidR="00396589" w:rsidRDefault="00AA4228" w:rsidP="00D723A6">
      <w:pPr>
        <w:widowControl/>
        <w:autoSpaceDE/>
        <w:adjustRightInd/>
        <w:spacing w:before="120" w:after="120"/>
        <w:rPr>
          <w:rFonts w:cs="Calibri"/>
          <w:szCs w:val="24"/>
          <w:lang w:eastAsia="en-US"/>
        </w:rPr>
      </w:pPr>
      <w:r>
        <w:rPr>
          <w:rFonts w:cs="Calibri"/>
          <w:szCs w:val="24"/>
          <w:lang w:eastAsia="en-US"/>
        </w:rPr>
        <w:t xml:space="preserve">NKÚ </w:t>
      </w:r>
      <w:r w:rsidR="00AE3199">
        <w:rPr>
          <w:rFonts w:cs="Calibri"/>
          <w:szCs w:val="24"/>
          <w:lang w:eastAsia="en-US"/>
        </w:rPr>
        <w:t>provedl kontrolu</w:t>
      </w:r>
      <w:r w:rsidR="00396589">
        <w:rPr>
          <w:rFonts w:cs="Calibri"/>
          <w:szCs w:val="24"/>
          <w:lang w:eastAsia="en-US"/>
        </w:rPr>
        <w:t xml:space="preserve"> hospodaření s prostředky vybíranými na základě zákona ve prospěch </w:t>
      </w:r>
      <w:r w:rsidR="008E74F0" w:rsidRPr="00EB6471">
        <w:rPr>
          <w:rFonts w:asciiTheme="minorHAnsi" w:hAnsiTheme="minorHAnsi" w:cs="Calibri"/>
          <w:color w:val="000000"/>
          <w:szCs w:val="24"/>
        </w:rPr>
        <w:t>Zdravotní pojišťovny ministerstva vnitra České republiky</w:t>
      </w:r>
      <w:r w:rsidR="00BA1585">
        <w:rPr>
          <w:rFonts w:asciiTheme="minorHAnsi" w:hAnsiTheme="minorHAnsi" w:cs="Calibri"/>
          <w:color w:val="000000"/>
          <w:szCs w:val="24"/>
        </w:rPr>
        <w:t xml:space="preserve">. </w:t>
      </w:r>
      <w:r w:rsidR="00BA1585" w:rsidRPr="00033E89">
        <w:rPr>
          <w:rFonts w:cs="Calibri"/>
          <w:szCs w:val="24"/>
          <w:lang w:eastAsia="en-US"/>
        </w:rPr>
        <w:t xml:space="preserve">ZPMV v letech 2020 až 2022 </w:t>
      </w:r>
      <w:r w:rsidR="00BA1585">
        <w:rPr>
          <w:rFonts w:cs="Calibri"/>
          <w:szCs w:val="24"/>
          <w:lang w:eastAsia="en-US"/>
        </w:rPr>
        <w:t>hospodařila s</w:t>
      </w:r>
      <w:r w:rsidR="00BA1585" w:rsidRPr="00033E89">
        <w:rPr>
          <w:rFonts w:cs="Calibri"/>
          <w:szCs w:val="24"/>
          <w:lang w:eastAsia="en-US"/>
        </w:rPr>
        <w:t> více než 140 mld. Kč.</w:t>
      </w:r>
      <w:r w:rsidR="006302A2">
        <w:rPr>
          <w:rFonts w:cs="Calibri"/>
          <w:szCs w:val="24"/>
          <w:lang w:eastAsia="en-US"/>
        </w:rPr>
        <w:t xml:space="preserve"> </w:t>
      </w:r>
      <w:r w:rsidR="00BA1585">
        <w:rPr>
          <w:rFonts w:cs="Calibri"/>
          <w:szCs w:val="24"/>
          <w:lang w:eastAsia="en-US"/>
        </w:rPr>
        <w:t>NKÚ</w:t>
      </w:r>
      <w:r w:rsidR="006302A2">
        <w:rPr>
          <w:rFonts w:cs="Calibri"/>
          <w:szCs w:val="24"/>
          <w:lang w:eastAsia="en-US"/>
        </w:rPr>
        <w:t xml:space="preserve"> ověřova</w:t>
      </w:r>
      <w:r>
        <w:rPr>
          <w:rFonts w:cs="Calibri"/>
          <w:szCs w:val="24"/>
          <w:lang w:eastAsia="en-US"/>
        </w:rPr>
        <w:t>l</w:t>
      </w:r>
      <w:r w:rsidR="00396589">
        <w:rPr>
          <w:rFonts w:cs="Calibri"/>
          <w:szCs w:val="24"/>
          <w:lang w:eastAsia="en-US"/>
        </w:rPr>
        <w:t xml:space="preserve">, zda </w:t>
      </w:r>
      <w:r w:rsidR="005C363A">
        <w:rPr>
          <w:rFonts w:cs="Calibri"/>
          <w:szCs w:val="24"/>
          <w:lang w:eastAsia="en-US"/>
        </w:rPr>
        <w:t>ZP</w:t>
      </w:r>
      <w:r w:rsidR="00AC7F3C">
        <w:rPr>
          <w:rFonts w:cs="Calibri"/>
          <w:szCs w:val="24"/>
          <w:lang w:eastAsia="en-US"/>
        </w:rPr>
        <w:t>MV</w:t>
      </w:r>
      <w:r w:rsidR="00396589">
        <w:rPr>
          <w:rFonts w:cs="Calibri"/>
          <w:szCs w:val="24"/>
          <w:lang w:eastAsia="en-US"/>
        </w:rPr>
        <w:t xml:space="preserve"> </w:t>
      </w:r>
      <w:r w:rsidR="009D139C">
        <w:rPr>
          <w:rFonts w:cs="Calibri"/>
          <w:szCs w:val="24"/>
          <w:lang w:eastAsia="en-US"/>
        </w:rPr>
        <w:t xml:space="preserve">hospodařila s těmito </w:t>
      </w:r>
      <w:r w:rsidR="00396589">
        <w:rPr>
          <w:rFonts w:cs="Calibri"/>
          <w:szCs w:val="24"/>
          <w:lang w:eastAsia="en-US"/>
        </w:rPr>
        <w:t>prostředky účelně, hospodárně a v souladu s právními předpisy.</w:t>
      </w:r>
      <w:r w:rsidR="009D139C">
        <w:rPr>
          <w:rFonts w:cs="Calibri"/>
          <w:szCs w:val="24"/>
          <w:lang w:eastAsia="en-US"/>
        </w:rPr>
        <w:t xml:space="preserve"> Kontrola NKÚ se</w:t>
      </w:r>
      <w:r w:rsidR="00AA3EAF">
        <w:rPr>
          <w:rFonts w:cs="Calibri"/>
          <w:szCs w:val="24"/>
          <w:lang w:eastAsia="en-US"/>
        </w:rPr>
        <w:t xml:space="preserve"> </w:t>
      </w:r>
      <w:r w:rsidR="009D139C">
        <w:rPr>
          <w:rFonts w:cs="Calibri"/>
          <w:szCs w:val="24"/>
          <w:lang w:eastAsia="en-US"/>
        </w:rPr>
        <w:t>zaměřila zejména na</w:t>
      </w:r>
      <w:r w:rsidR="00AA3EAF">
        <w:rPr>
          <w:rFonts w:cs="Calibri"/>
          <w:szCs w:val="24"/>
          <w:lang w:eastAsia="en-US"/>
        </w:rPr>
        <w:t xml:space="preserve"> </w:t>
      </w:r>
      <w:r w:rsidR="009D139C">
        <w:rPr>
          <w:rFonts w:cs="Calibri"/>
          <w:szCs w:val="24"/>
          <w:lang w:eastAsia="en-US"/>
        </w:rPr>
        <w:t xml:space="preserve">čerpání peněžních prostředků </w:t>
      </w:r>
      <w:r w:rsidR="00D726FB">
        <w:rPr>
          <w:rFonts w:cs="Calibri"/>
          <w:szCs w:val="24"/>
          <w:lang w:eastAsia="en-US"/>
        </w:rPr>
        <w:t>ze</w:t>
      </w:r>
      <w:r w:rsidR="00AA3EAF">
        <w:rPr>
          <w:rFonts w:cs="Calibri"/>
          <w:szCs w:val="24"/>
          <w:lang w:eastAsia="en-US"/>
        </w:rPr>
        <w:t xml:space="preserve"> </w:t>
      </w:r>
      <w:r w:rsidR="00680A8F">
        <w:rPr>
          <w:rFonts w:cs="Calibri"/>
          <w:szCs w:val="24"/>
          <w:lang w:eastAsia="en-US"/>
        </w:rPr>
        <w:t>základní</w:t>
      </w:r>
      <w:r w:rsidR="00D726FB">
        <w:rPr>
          <w:rFonts w:cs="Calibri"/>
          <w:szCs w:val="24"/>
          <w:lang w:eastAsia="en-US"/>
        </w:rPr>
        <w:t>ho</w:t>
      </w:r>
      <w:r w:rsidR="00680A8F">
        <w:rPr>
          <w:rFonts w:cs="Calibri"/>
          <w:szCs w:val="24"/>
          <w:lang w:eastAsia="en-US"/>
        </w:rPr>
        <w:t xml:space="preserve"> fondu </w:t>
      </w:r>
      <w:r w:rsidR="00680A8F" w:rsidRPr="00680A8F">
        <w:rPr>
          <w:rFonts w:cs="Calibri"/>
          <w:szCs w:val="24"/>
          <w:lang w:eastAsia="en-US"/>
        </w:rPr>
        <w:t>zdravotního pojištění</w:t>
      </w:r>
      <w:r w:rsidR="00680A8F">
        <w:rPr>
          <w:rFonts w:cs="Calibri"/>
          <w:szCs w:val="24"/>
          <w:lang w:eastAsia="en-US"/>
        </w:rPr>
        <w:t>, provozní</w:t>
      </w:r>
      <w:r w:rsidR="00D726FB">
        <w:rPr>
          <w:rFonts w:cs="Calibri"/>
          <w:szCs w:val="24"/>
          <w:lang w:eastAsia="en-US"/>
        </w:rPr>
        <w:t>ho</w:t>
      </w:r>
      <w:r w:rsidR="00680A8F">
        <w:rPr>
          <w:rFonts w:cs="Calibri"/>
          <w:szCs w:val="24"/>
          <w:lang w:eastAsia="en-US"/>
        </w:rPr>
        <w:t xml:space="preserve"> fondu </w:t>
      </w:r>
      <w:r w:rsidR="00680A8F" w:rsidRPr="00200C26">
        <w:rPr>
          <w:rFonts w:cs="Calibri"/>
          <w:szCs w:val="24"/>
          <w:lang w:eastAsia="en-US"/>
        </w:rPr>
        <w:t>a</w:t>
      </w:r>
      <w:r w:rsidR="00E43FA4" w:rsidRPr="00200C26">
        <w:rPr>
          <w:rFonts w:cs="Calibri"/>
          <w:szCs w:val="24"/>
          <w:lang w:eastAsia="en-US"/>
        </w:rPr>
        <w:t> </w:t>
      </w:r>
      <w:r w:rsidR="00680A8F" w:rsidRPr="00200C26">
        <w:rPr>
          <w:rFonts w:cs="Calibri"/>
          <w:szCs w:val="24"/>
          <w:lang w:eastAsia="en-US"/>
        </w:rPr>
        <w:t>fondu prevence</w:t>
      </w:r>
      <w:r w:rsidR="009D139C">
        <w:rPr>
          <w:rFonts w:cs="Calibri"/>
          <w:szCs w:val="24"/>
          <w:lang w:eastAsia="en-US"/>
        </w:rPr>
        <w:t>.</w:t>
      </w:r>
      <w:r w:rsidR="00383122">
        <w:rPr>
          <w:rFonts w:cs="Calibri"/>
          <w:szCs w:val="24"/>
          <w:lang w:eastAsia="en-US"/>
        </w:rPr>
        <w:t xml:space="preserve"> </w:t>
      </w:r>
      <w:r w:rsidR="00D302A1">
        <w:rPr>
          <w:rFonts w:cs="Calibri"/>
          <w:szCs w:val="24"/>
          <w:lang w:eastAsia="en-US"/>
        </w:rPr>
        <w:t>V</w:t>
      </w:r>
      <w:r w:rsidR="00FA6EC9">
        <w:rPr>
          <w:rFonts w:cs="Calibri"/>
          <w:szCs w:val="24"/>
          <w:lang w:eastAsia="en-US"/>
        </w:rPr>
        <w:t> </w:t>
      </w:r>
      <w:r w:rsidR="00D302A1">
        <w:rPr>
          <w:rFonts w:cs="Calibri"/>
          <w:szCs w:val="24"/>
          <w:lang w:eastAsia="en-US"/>
        </w:rPr>
        <w:t>kontrolovan</w:t>
      </w:r>
      <w:r w:rsidR="00FA6EC9">
        <w:rPr>
          <w:rFonts w:cs="Calibri"/>
          <w:szCs w:val="24"/>
          <w:lang w:eastAsia="en-US"/>
        </w:rPr>
        <w:t xml:space="preserve">ých letech </w:t>
      </w:r>
      <w:r w:rsidR="00680A8F" w:rsidRPr="00680A8F">
        <w:rPr>
          <w:rFonts w:cs="Calibri"/>
          <w:szCs w:val="24"/>
          <w:lang w:eastAsia="en-US"/>
        </w:rPr>
        <w:t>byl</w:t>
      </w:r>
      <w:r w:rsidR="002E674F">
        <w:rPr>
          <w:rFonts w:cs="Calibri"/>
          <w:szCs w:val="24"/>
          <w:lang w:eastAsia="en-US"/>
        </w:rPr>
        <w:t>a</w:t>
      </w:r>
      <w:r w:rsidR="00680A8F" w:rsidRPr="00680A8F">
        <w:rPr>
          <w:rFonts w:cs="Calibri"/>
          <w:szCs w:val="24"/>
          <w:lang w:eastAsia="en-US"/>
        </w:rPr>
        <w:t xml:space="preserve"> rovněž prověřen</w:t>
      </w:r>
      <w:r w:rsidR="009F44A1">
        <w:rPr>
          <w:rFonts w:cs="Calibri"/>
          <w:szCs w:val="24"/>
          <w:lang w:eastAsia="en-US"/>
        </w:rPr>
        <w:t>a</w:t>
      </w:r>
      <w:r w:rsidR="002E674F">
        <w:rPr>
          <w:rFonts w:cs="Calibri"/>
          <w:szCs w:val="24"/>
          <w:lang w:eastAsia="en-US"/>
        </w:rPr>
        <w:t xml:space="preserve"> </w:t>
      </w:r>
      <w:r w:rsidR="00EC3AD8">
        <w:rPr>
          <w:rFonts w:cs="Calibri"/>
          <w:szCs w:val="24"/>
          <w:lang w:eastAsia="en-US"/>
        </w:rPr>
        <w:t>p</w:t>
      </w:r>
      <w:r w:rsidR="00EC3AD8" w:rsidRPr="00EC3AD8">
        <w:rPr>
          <w:rFonts w:cs="Calibri"/>
          <w:szCs w:val="24"/>
          <w:lang w:eastAsia="en-US"/>
        </w:rPr>
        <w:t>lnění opatření k</w:t>
      </w:r>
      <w:r w:rsidR="00E43FA4">
        <w:rPr>
          <w:rFonts w:cs="Calibri"/>
          <w:szCs w:val="24"/>
          <w:lang w:eastAsia="en-US"/>
        </w:rPr>
        <w:t> </w:t>
      </w:r>
      <w:r w:rsidR="00EC3AD8" w:rsidRPr="00EC3AD8">
        <w:rPr>
          <w:rFonts w:cs="Calibri"/>
          <w:szCs w:val="24"/>
          <w:lang w:eastAsia="en-US"/>
        </w:rPr>
        <w:t>odstranění nedostatků zjištěných v KA č. 14/33</w:t>
      </w:r>
      <w:r w:rsidR="00AC7F3C">
        <w:rPr>
          <w:rStyle w:val="Znakapoznpodarou"/>
          <w:szCs w:val="24"/>
          <w:lang w:eastAsia="en-US"/>
        </w:rPr>
        <w:footnoteReference w:id="1"/>
      </w:r>
      <w:r w:rsidR="00E308D4">
        <w:rPr>
          <w:rFonts w:cs="Calibri"/>
          <w:szCs w:val="24"/>
          <w:lang w:eastAsia="en-US"/>
        </w:rPr>
        <w:t>.</w:t>
      </w:r>
      <w:r w:rsidR="002E674F">
        <w:rPr>
          <w:rFonts w:cs="Calibri"/>
          <w:szCs w:val="24"/>
          <w:lang w:eastAsia="en-US"/>
        </w:rPr>
        <w:t xml:space="preserve"> </w:t>
      </w:r>
    </w:p>
    <w:p w14:paraId="7BFF36C3" w14:textId="642E85D8" w:rsidR="004B59E5" w:rsidRDefault="00233ECC" w:rsidP="00D723A6">
      <w:pPr>
        <w:widowControl/>
        <w:autoSpaceDE/>
        <w:adjustRightInd/>
        <w:spacing w:before="120" w:after="120"/>
        <w:rPr>
          <w:rFonts w:cs="Calibri"/>
          <w:b/>
          <w:szCs w:val="24"/>
        </w:rPr>
      </w:pPr>
      <w:r w:rsidRPr="006D4FF7">
        <w:rPr>
          <w:rFonts w:cs="Calibri"/>
          <w:b/>
          <w:szCs w:val="24"/>
        </w:rPr>
        <w:t xml:space="preserve">NKÚ </w:t>
      </w:r>
      <w:r w:rsidR="0055416C" w:rsidRPr="006D4FF7">
        <w:rPr>
          <w:rFonts w:cs="Calibri"/>
          <w:b/>
          <w:szCs w:val="24"/>
        </w:rPr>
        <w:t xml:space="preserve">při kontrole zjistil, že ZPMV </w:t>
      </w:r>
      <w:r w:rsidR="007B4883">
        <w:rPr>
          <w:rFonts w:cs="Calibri"/>
          <w:b/>
          <w:szCs w:val="24"/>
        </w:rPr>
        <w:t>hospodařila s</w:t>
      </w:r>
      <w:r w:rsidR="00AA3EAF">
        <w:rPr>
          <w:rFonts w:cs="Calibri"/>
          <w:b/>
          <w:szCs w:val="24"/>
        </w:rPr>
        <w:t> </w:t>
      </w:r>
      <w:r w:rsidR="007B4883">
        <w:rPr>
          <w:rFonts w:cs="Calibri"/>
          <w:b/>
          <w:szCs w:val="24"/>
        </w:rPr>
        <w:t>peněžními</w:t>
      </w:r>
      <w:r w:rsidR="00AA3EAF">
        <w:rPr>
          <w:rFonts w:cs="Calibri"/>
          <w:b/>
          <w:szCs w:val="24"/>
        </w:rPr>
        <w:t xml:space="preserve"> </w:t>
      </w:r>
      <w:r w:rsidR="007B4883">
        <w:rPr>
          <w:rFonts w:cs="Calibri"/>
          <w:b/>
          <w:szCs w:val="24"/>
        </w:rPr>
        <w:t xml:space="preserve">prostředky tří kontrolovaných fondů </w:t>
      </w:r>
      <w:r w:rsidR="0055416C">
        <w:rPr>
          <w:rFonts w:cs="Calibri"/>
          <w:b/>
          <w:szCs w:val="24"/>
        </w:rPr>
        <w:t>v rozporu s právními předpisy nebo</w:t>
      </w:r>
      <w:r w:rsidR="004D577E">
        <w:rPr>
          <w:rFonts w:cs="Calibri"/>
          <w:b/>
          <w:szCs w:val="24"/>
        </w:rPr>
        <w:t xml:space="preserve"> s</w:t>
      </w:r>
      <w:r w:rsidR="0055416C">
        <w:rPr>
          <w:rFonts w:cs="Calibri"/>
          <w:b/>
          <w:szCs w:val="24"/>
        </w:rPr>
        <w:t xml:space="preserve"> podmínkami, které pro</w:t>
      </w:r>
      <w:r w:rsidR="00C56D1A">
        <w:rPr>
          <w:rFonts w:cs="Calibri"/>
          <w:b/>
          <w:szCs w:val="24"/>
        </w:rPr>
        <w:t xml:space="preserve"> jejich </w:t>
      </w:r>
      <w:r w:rsidR="0055416C">
        <w:rPr>
          <w:rFonts w:cs="Calibri"/>
          <w:b/>
          <w:szCs w:val="24"/>
        </w:rPr>
        <w:t>poskytování stanovila.</w:t>
      </w:r>
      <w:r w:rsidR="00B06C63">
        <w:rPr>
          <w:rFonts w:cs="Calibri"/>
          <w:b/>
          <w:szCs w:val="24"/>
        </w:rPr>
        <w:t xml:space="preserve"> </w:t>
      </w:r>
      <w:r w:rsidR="009D046D">
        <w:rPr>
          <w:rFonts w:cs="Calibri"/>
          <w:b/>
          <w:szCs w:val="24"/>
        </w:rPr>
        <w:t>NKÚ nezjistil nehospodárn</w:t>
      </w:r>
      <w:r w:rsidR="00C82A0C">
        <w:rPr>
          <w:rFonts w:cs="Calibri"/>
          <w:b/>
          <w:szCs w:val="24"/>
        </w:rPr>
        <w:t>é</w:t>
      </w:r>
      <w:r w:rsidR="009D046D">
        <w:rPr>
          <w:rFonts w:cs="Calibri"/>
          <w:b/>
          <w:szCs w:val="24"/>
        </w:rPr>
        <w:t xml:space="preserve"> </w:t>
      </w:r>
      <w:r w:rsidR="0050573A" w:rsidRPr="00200C26">
        <w:rPr>
          <w:rFonts w:cs="Calibri"/>
          <w:b/>
          <w:szCs w:val="24"/>
        </w:rPr>
        <w:t>a neúčelné</w:t>
      </w:r>
      <w:r w:rsidR="0050573A">
        <w:rPr>
          <w:rFonts w:cs="Calibri"/>
          <w:b/>
          <w:szCs w:val="24"/>
        </w:rPr>
        <w:t xml:space="preserve"> </w:t>
      </w:r>
      <w:r w:rsidR="009D046D">
        <w:rPr>
          <w:rFonts w:cs="Calibri"/>
          <w:b/>
          <w:szCs w:val="24"/>
        </w:rPr>
        <w:t>vynakládan</w:t>
      </w:r>
      <w:r w:rsidR="00C82A0C">
        <w:rPr>
          <w:rFonts w:cs="Calibri"/>
          <w:b/>
          <w:szCs w:val="24"/>
        </w:rPr>
        <w:t>í</w:t>
      </w:r>
      <w:r w:rsidR="009D046D">
        <w:rPr>
          <w:rFonts w:cs="Calibri"/>
          <w:b/>
          <w:szCs w:val="24"/>
        </w:rPr>
        <w:t xml:space="preserve"> </w:t>
      </w:r>
      <w:r w:rsidR="00C82A0C">
        <w:rPr>
          <w:rFonts w:cs="Calibri"/>
          <w:b/>
          <w:szCs w:val="24"/>
        </w:rPr>
        <w:t>peněžních prostředků.</w:t>
      </w:r>
      <w:r w:rsidR="00C145CA">
        <w:rPr>
          <w:rFonts w:cs="Calibri"/>
          <w:b/>
          <w:szCs w:val="24"/>
        </w:rPr>
        <w:t xml:space="preserve"> </w:t>
      </w:r>
    </w:p>
    <w:p w14:paraId="4D0C5EE6" w14:textId="15014C4A" w:rsidR="00AF46B2" w:rsidRDefault="00C43D95" w:rsidP="00D723A6">
      <w:pPr>
        <w:widowControl/>
        <w:autoSpaceDE/>
        <w:adjustRightInd/>
        <w:spacing w:before="120" w:after="12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ZPMV postupovala</w:t>
      </w:r>
      <w:r w:rsidR="00C82A0C">
        <w:rPr>
          <w:rFonts w:cs="Calibri"/>
          <w:b/>
          <w:szCs w:val="24"/>
        </w:rPr>
        <w:t xml:space="preserve"> při hospodaření s peněžními prostředky v rozporu s právními předpisy. Při kontrole nákupu služeb zjistil</w:t>
      </w:r>
      <w:r w:rsidR="00C93A44" w:rsidRPr="00C93A44">
        <w:rPr>
          <w:rFonts w:cs="Calibri"/>
          <w:b/>
          <w:szCs w:val="24"/>
        </w:rPr>
        <w:t xml:space="preserve"> </w:t>
      </w:r>
      <w:r w:rsidR="00C93A44">
        <w:rPr>
          <w:rFonts w:cs="Calibri"/>
          <w:b/>
          <w:szCs w:val="24"/>
        </w:rPr>
        <w:t>NKÚ</w:t>
      </w:r>
      <w:r w:rsidR="00C82A0C">
        <w:rPr>
          <w:rFonts w:cs="Calibri"/>
          <w:b/>
          <w:szCs w:val="24"/>
        </w:rPr>
        <w:t xml:space="preserve"> postup </w:t>
      </w:r>
      <w:r>
        <w:rPr>
          <w:rFonts w:cs="Calibri"/>
          <w:b/>
          <w:szCs w:val="24"/>
        </w:rPr>
        <w:t>v rozporu se</w:t>
      </w:r>
      <w:r w:rsidR="00936B75">
        <w:rPr>
          <w:rFonts w:cs="Calibri"/>
          <w:b/>
          <w:szCs w:val="24"/>
        </w:rPr>
        <w:t xml:space="preserve"> </w:t>
      </w:r>
      <w:r>
        <w:rPr>
          <w:rFonts w:cs="Calibri"/>
          <w:b/>
          <w:szCs w:val="24"/>
        </w:rPr>
        <w:t>zákonem o</w:t>
      </w:r>
      <w:r w:rsidR="00E43FA4">
        <w:rPr>
          <w:rFonts w:cs="Calibri"/>
          <w:b/>
          <w:szCs w:val="24"/>
        </w:rPr>
        <w:t> </w:t>
      </w:r>
      <w:r>
        <w:rPr>
          <w:rFonts w:cs="Calibri"/>
          <w:b/>
          <w:szCs w:val="24"/>
        </w:rPr>
        <w:t>zadávání veřejných zakázek</w:t>
      </w:r>
      <w:r w:rsidR="00BA1585">
        <w:rPr>
          <w:rStyle w:val="Znakapoznpodarou"/>
          <w:b/>
          <w:szCs w:val="24"/>
        </w:rPr>
        <w:footnoteReference w:id="2"/>
      </w:r>
      <w:r w:rsidR="00E95F25">
        <w:rPr>
          <w:rFonts w:cs="Calibri"/>
          <w:b/>
          <w:szCs w:val="24"/>
        </w:rPr>
        <w:t xml:space="preserve"> </w:t>
      </w:r>
      <w:r w:rsidR="00C82A0C">
        <w:rPr>
          <w:rFonts w:cs="Calibri"/>
          <w:b/>
          <w:szCs w:val="24"/>
        </w:rPr>
        <w:t xml:space="preserve">a </w:t>
      </w:r>
      <w:r w:rsidR="00C82A0C" w:rsidRPr="00E95F25">
        <w:rPr>
          <w:rFonts w:cs="Calibri"/>
          <w:b/>
          <w:szCs w:val="24"/>
        </w:rPr>
        <w:t>při správě pohledávek z veřejného zdravotního pojištění</w:t>
      </w:r>
      <w:r w:rsidR="00C82A0C" w:rsidDel="00C82A0C">
        <w:rPr>
          <w:rFonts w:cs="Calibri"/>
          <w:b/>
          <w:szCs w:val="24"/>
        </w:rPr>
        <w:t xml:space="preserve"> </w:t>
      </w:r>
      <w:r w:rsidR="001E6FCC">
        <w:rPr>
          <w:rFonts w:cs="Calibri"/>
          <w:b/>
          <w:szCs w:val="24"/>
        </w:rPr>
        <w:t xml:space="preserve">v rozporu </w:t>
      </w:r>
      <w:r w:rsidR="00C82A0C">
        <w:rPr>
          <w:rFonts w:cs="Calibri"/>
          <w:b/>
          <w:szCs w:val="24"/>
        </w:rPr>
        <w:t>se</w:t>
      </w:r>
      <w:r w:rsidR="00AA3EAF">
        <w:rPr>
          <w:rFonts w:cs="Calibri"/>
          <w:b/>
          <w:szCs w:val="24"/>
        </w:rPr>
        <w:t xml:space="preserve"> </w:t>
      </w:r>
      <w:r w:rsidR="00E95F25">
        <w:rPr>
          <w:rFonts w:cs="Calibri"/>
          <w:b/>
          <w:szCs w:val="24"/>
        </w:rPr>
        <w:t xml:space="preserve">zákonem </w:t>
      </w:r>
      <w:r w:rsidR="00E95F25" w:rsidRPr="00E95F25">
        <w:rPr>
          <w:rFonts w:cs="Calibri"/>
          <w:b/>
          <w:szCs w:val="24"/>
        </w:rPr>
        <w:t>o</w:t>
      </w:r>
      <w:r w:rsidR="004444EE">
        <w:rPr>
          <w:rFonts w:cs="Calibri"/>
          <w:b/>
          <w:szCs w:val="24"/>
        </w:rPr>
        <w:t> </w:t>
      </w:r>
      <w:r w:rsidR="00E95F25" w:rsidRPr="00E95F25">
        <w:rPr>
          <w:rFonts w:cs="Calibri"/>
          <w:b/>
          <w:szCs w:val="24"/>
        </w:rPr>
        <w:t>účetnictví</w:t>
      </w:r>
      <w:r w:rsidR="00BA1585">
        <w:rPr>
          <w:rStyle w:val="Znakapoznpodarou"/>
          <w:b/>
          <w:szCs w:val="24"/>
        </w:rPr>
        <w:footnoteReference w:id="3"/>
      </w:r>
      <w:r w:rsidR="00C82A0C">
        <w:rPr>
          <w:rFonts w:cs="Calibri"/>
          <w:b/>
          <w:szCs w:val="24"/>
        </w:rPr>
        <w:t>.</w:t>
      </w:r>
    </w:p>
    <w:p w14:paraId="44F7FDA5" w14:textId="3351351A" w:rsidR="008B2336" w:rsidRDefault="009558FF" w:rsidP="00D723A6">
      <w:pPr>
        <w:widowControl/>
        <w:autoSpaceDE/>
        <w:adjustRightInd/>
        <w:spacing w:before="120" w:after="12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Při kontrole </w:t>
      </w:r>
      <w:r w:rsidRPr="009558FF">
        <w:rPr>
          <w:rFonts w:cs="Calibri"/>
          <w:b/>
          <w:szCs w:val="24"/>
        </w:rPr>
        <w:t xml:space="preserve">provozního fondu, </w:t>
      </w:r>
      <w:r w:rsidR="00D728EB">
        <w:rPr>
          <w:rFonts w:cs="Calibri"/>
          <w:b/>
          <w:szCs w:val="24"/>
        </w:rPr>
        <w:t xml:space="preserve">který slouží k financování provozu pojišťovny, </w:t>
      </w:r>
      <w:r>
        <w:rPr>
          <w:rFonts w:cs="Calibri"/>
          <w:b/>
          <w:szCs w:val="24"/>
        </w:rPr>
        <w:t xml:space="preserve">NKÚ nezjistil </w:t>
      </w:r>
      <w:r w:rsidRPr="00BE00BF">
        <w:rPr>
          <w:rFonts w:cs="Calibri"/>
          <w:b/>
          <w:szCs w:val="24"/>
        </w:rPr>
        <w:t>nehospodárn</w:t>
      </w:r>
      <w:r>
        <w:rPr>
          <w:rFonts w:cs="Calibri"/>
          <w:b/>
          <w:szCs w:val="24"/>
        </w:rPr>
        <w:t>é</w:t>
      </w:r>
      <w:r w:rsidRPr="00BE00BF">
        <w:rPr>
          <w:rFonts w:cs="Calibri"/>
          <w:b/>
          <w:szCs w:val="24"/>
        </w:rPr>
        <w:t xml:space="preserve"> a neúčeln</w:t>
      </w:r>
      <w:r>
        <w:rPr>
          <w:rFonts w:cs="Calibri"/>
          <w:b/>
          <w:szCs w:val="24"/>
        </w:rPr>
        <w:t xml:space="preserve">é </w:t>
      </w:r>
      <w:r w:rsidRPr="0055416C">
        <w:rPr>
          <w:rFonts w:cs="Calibri"/>
          <w:b/>
          <w:szCs w:val="24"/>
        </w:rPr>
        <w:t>vyna</w:t>
      </w:r>
      <w:r>
        <w:rPr>
          <w:rFonts w:cs="Calibri"/>
          <w:b/>
          <w:szCs w:val="24"/>
        </w:rPr>
        <w:t xml:space="preserve">ložení </w:t>
      </w:r>
      <w:r w:rsidRPr="0055416C">
        <w:rPr>
          <w:rFonts w:cs="Calibri"/>
          <w:b/>
          <w:szCs w:val="24"/>
        </w:rPr>
        <w:t>peněžní</w:t>
      </w:r>
      <w:r>
        <w:rPr>
          <w:rFonts w:cs="Calibri"/>
          <w:b/>
          <w:szCs w:val="24"/>
        </w:rPr>
        <w:t>ch</w:t>
      </w:r>
      <w:r w:rsidRPr="0055416C">
        <w:rPr>
          <w:rFonts w:cs="Calibri"/>
          <w:b/>
          <w:szCs w:val="24"/>
        </w:rPr>
        <w:t xml:space="preserve"> prostředk</w:t>
      </w:r>
      <w:r>
        <w:rPr>
          <w:rFonts w:cs="Calibri"/>
          <w:b/>
          <w:szCs w:val="24"/>
        </w:rPr>
        <w:t>ů. Na kontrolním vzorku hrazených zdravotních služeb ze základního fondu</w:t>
      </w:r>
      <w:r w:rsidR="00EA158C">
        <w:rPr>
          <w:rFonts w:cs="Calibri"/>
          <w:b/>
          <w:szCs w:val="24"/>
        </w:rPr>
        <w:t xml:space="preserve"> zdravotního pojištění</w:t>
      </w:r>
      <w:r>
        <w:rPr>
          <w:rFonts w:cs="Calibri"/>
          <w:b/>
          <w:szCs w:val="24"/>
        </w:rPr>
        <w:t xml:space="preserve"> NKÚ nezjistil, že by ZPMV použila peněžní prostředky neúčelně. </w:t>
      </w:r>
      <w:r w:rsidR="00B207E8">
        <w:rPr>
          <w:rFonts w:cs="Calibri"/>
          <w:b/>
          <w:szCs w:val="24"/>
        </w:rPr>
        <w:t xml:space="preserve">V oblasti zadávání veřejných zakázek </w:t>
      </w:r>
      <w:r w:rsidR="00BA1585">
        <w:rPr>
          <w:rFonts w:cs="Calibri"/>
          <w:b/>
          <w:szCs w:val="24"/>
        </w:rPr>
        <w:t>ne</w:t>
      </w:r>
      <w:r w:rsidR="00B207E8">
        <w:rPr>
          <w:rFonts w:cs="Calibri"/>
          <w:b/>
          <w:szCs w:val="24"/>
        </w:rPr>
        <w:t xml:space="preserve">přijala ZPMV dostatečná </w:t>
      </w:r>
      <w:r w:rsidR="00B207E8" w:rsidRPr="007E0989">
        <w:rPr>
          <w:rFonts w:cs="Calibri"/>
          <w:b/>
          <w:szCs w:val="24"/>
        </w:rPr>
        <w:t>opatření k</w:t>
      </w:r>
      <w:r w:rsidR="00B207E8">
        <w:rPr>
          <w:rFonts w:cs="Calibri"/>
          <w:b/>
          <w:szCs w:val="24"/>
        </w:rPr>
        <w:t> odstranění nedostatků zjištěných v</w:t>
      </w:r>
      <w:r w:rsidR="00EA158C">
        <w:rPr>
          <w:rFonts w:cs="Calibri"/>
          <w:b/>
          <w:szCs w:val="24"/>
        </w:rPr>
        <w:t> </w:t>
      </w:r>
      <w:r w:rsidR="00EC3AD8">
        <w:rPr>
          <w:rFonts w:cs="Calibri"/>
          <w:b/>
          <w:szCs w:val="24"/>
        </w:rPr>
        <w:t>KA</w:t>
      </w:r>
      <w:r w:rsidR="00EA158C">
        <w:rPr>
          <w:rFonts w:cs="Calibri"/>
          <w:b/>
          <w:szCs w:val="24"/>
        </w:rPr>
        <w:t> </w:t>
      </w:r>
      <w:r w:rsidR="00B207E8" w:rsidRPr="007E0989">
        <w:rPr>
          <w:rFonts w:cs="Calibri"/>
          <w:b/>
          <w:szCs w:val="24"/>
        </w:rPr>
        <w:t>č.</w:t>
      </w:r>
      <w:r w:rsidR="00EA158C">
        <w:rPr>
          <w:rFonts w:cs="Calibri"/>
          <w:b/>
          <w:szCs w:val="24"/>
        </w:rPr>
        <w:t> </w:t>
      </w:r>
      <w:r w:rsidR="00B207E8" w:rsidRPr="007E0989">
        <w:rPr>
          <w:rFonts w:cs="Calibri"/>
          <w:b/>
          <w:szCs w:val="24"/>
        </w:rPr>
        <w:t>14/33</w:t>
      </w:r>
      <w:r w:rsidR="00B207E8">
        <w:rPr>
          <w:rFonts w:cs="Calibri"/>
          <w:b/>
          <w:szCs w:val="24"/>
        </w:rPr>
        <w:t>.</w:t>
      </w:r>
      <w:r w:rsidR="00F522E8">
        <w:rPr>
          <w:rFonts w:cs="Calibri"/>
          <w:b/>
          <w:szCs w:val="24"/>
        </w:rPr>
        <w:t xml:space="preserve"> </w:t>
      </w:r>
    </w:p>
    <w:p w14:paraId="0CB4443A" w14:textId="77777777" w:rsidR="008C58D6" w:rsidRDefault="008C58D6" w:rsidP="00D723A6">
      <w:pPr>
        <w:keepNext/>
        <w:widowControl/>
        <w:autoSpaceDE/>
        <w:adjustRightInd/>
        <w:spacing w:before="240" w:after="120"/>
        <w:rPr>
          <w:rFonts w:cs="Calibri"/>
          <w:szCs w:val="24"/>
        </w:rPr>
      </w:pPr>
      <w:r w:rsidRPr="008C58D6">
        <w:rPr>
          <w:rFonts w:cs="Calibri"/>
          <w:szCs w:val="24"/>
        </w:rPr>
        <w:t>Výše uvedené celkové vyhodnocení vyplývá z následujících zjištění:</w:t>
      </w:r>
    </w:p>
    <w:p w14:paraId="6A3787A2" w14:textId="3C69FBFA" w:rsidR="00C65B2D" w:rsidRDefault="007D186D" w:rsidP="00D723A6">
      <w:pPr>
        <w:pStyle w:val="Nadpis1"/>
        <w:widowControl/>
        <w:spacing w:after="120"/>
      </w:pPr>
      <w:r>
        <w:rPr>
          <w:lang w:eastAsia="en-US"/>
        </w:rPr>
        <w:t>1</w:t>
      </w:r>
      <w:r w:rsidR="00601931">
        <w:rPr>
          <w:lang w:eastAsia="en-US"/>
        </w:rPr>
        <w:t>.</w:t>
      </w:r>
      <w:r w:rsidR="00AA3EAF">
        <w:rPr>
          <w:lang w:eastAsia="en-US"/>
        </w:rPr>
        <w:t xml:space="preserve"> </w:t>
      </w:r>
      <w:r w:rsidR="00B802FB">
        <w:t>Skutečnosti zjištěné v oblasti hospodaření s prostředky p</w:t>
      </w:r>
      <w:r w:rsidR="00C65B2D" w:rsidRPr="00412340">
        <w:rPr>
          <w:lang w:eastAsia="en-US"/>
        </w:rPr>
        <w:t>rovozní</w:t>
      </w:r>
      <w:r w:rsidR="00B802FB">
        <w:rPr>
          <w:lang w:eastAsia="en-US"/>
        </w:rPr>
        <w:t>ho</w:t>
      </w:r>
      <w:r w:rsidR="00C65B2D" w:rsidRPr="00412340">
        <w:rPr>
          <w:lang w:eastAsia="en-US"/>
        </w:rPr>
        <w:t xml:space="preserve"> fond</w:t>
      </w:r>
      <w:r w:rsidR="00B802FB">
        <w:rPr>
          <w:lang w:eastAsia="en-US"/>
        </w:rPr>
        <w:t>u</w:t>
      </w:r>
    </w:p>
    <w:p w14:paraId="1AEF5136" w14:textId="77777777" w:rsidR="00544009" w:rsidRDefault="00544009" w:rsidP="00D723A6">
      <w:pPr>
        <w:widowControl/>
        <w:spacing w:before="120" w:after="120"/>
        <w:rPr>
          <w:rFonts w:cs="Calibri"/>
          <w:szCs w:val="24"/>
        </w:rPr>
      </w:pPr>
      <w:r>
        <w:rPr>
          <w:rFonts w:cs="Calibri"/>
          <w:szCs w:val="24"/>
        </w:rPr>
        <w:t>NKÚ při kontrole</w:t>
      </w:r>
      <w:r w:rsidR="00127D60">
        <w:rPr>
          <w:rFonts w:cs="Calibri"/>
          <w:szCs w:val="24"/>
        </w:rPr>
        <w:t xml:space="preserve"> 13</w:t>
      </w:r>
      <w:r>
        <w:rPr>
          <w:rFonts w:cs="Calibri"/>
          <w:szCs w:val="24"/>
        </w:rPr>
        <w:t xml:space="preserve"> </w:t>
      </w:r>
      <w:r w:rsidRPr="00544009">
        <w:rPr>
          <w:rFonts w:cs="Calibri"/>
          <w:szCs w:val="24"/>
        </w:rPr>
        <w:t>veřejných zakázek</w:t>
      </w:r>
      <w:r w:rsidR="00182D3D">
        <w:rPr>
          <w:rFonts w:cs="Calibri"/>
          <w:szCs w:val="24"/>
        </w:rPr>
        <w:t xml:space="preserve"> (dále také „VZ“)</w:t>
      </w:r>
      <w:r>
        <w:rPr>
          <w:rFonts w:cs="Calibri"/>
          <w:szCs w:val="24"/>
        </w:rPr>
        <w:t xml:space="preserve"> </w:t>
      </w:r>
      <w:r w:rsidR="00F908B3">
        <w:rPr>
          <w:rFonts w:cs="Calibri"/>
          <w:szCs w:val="24"/>
        </w:rPr>
        <w:t>zjistil, že ZPMV</w:t>
      </w:r>
      <w:r w:rsidR="00127D60">
        <w:rPr>
          <w:rFonts w:cs="Calibri"/>
          <w:szCs w:val="24"/>
        </w:rPr>
        <w:t xml:space="preserve"> v</w:t>
      </w:r>
      <w:r w:rsidR="008C6D52">
        <w:rPr>
          <w:rFonts w:cs="Calibri"/>
          <w:szCs w:val="24"/>
        </w:rPr>
        <w:t>e</w:t>
      </w:r>
      <w:r w:rsidR="00127D60">
        <w:rPr>
          <w:rFonts w:cs="Calibri"/>
          <w:szCs w:val="24"/>
        </w:rPr>
        <w:t> </w:t>
      </w:r>
      <w:r w:rsidR="008C6D52">
        <w:rPr>
          <w:rFonts w:cs="Calibri"/>
          <w:szCs w:val="24"/>
        </w:rPr>
        <w:t>čtyřech</w:t>
      </w:r>
      <w:r w:rsidR="00127D60">
        <w:rPr>
          <w:rFonts w:cs="Calibri"/>
          <w:szCs w:val="24"/>
        </w:rPr>
        <w:t xml:space="preserve"> případech</w:t>
      </w:r>
      <w:r w:rsidR="00F908B3">
        <w:rPr>
          <w:rFonts w:cs="Calibri"/>
          <w:szCs w:val="24"/>
        </w:rPr>
        <w:t xml:space="preserve"> </w:t>
      </w:r>
      <w:r w:rsidR="00F908B3" w:rsidRPr="00F908B3">
        <w:rPr>
          <w:rFonts w:cs="Calibri"/>
          <w:szCs w:val="24"/>
        </w:rPr>
        <w:t xml:space="preserve">nezadala </w:t>
      </w:r>
      <w:r w:rsidR="00182D3D">
        <w:rPr>
          <w:rFonts w:cs="Calibri"/>
          <w:szCs w:val="24"/>
        </w:rPr>
        <w:t>VZ</w:t>
      </w:r>
      <w:r w:rsidR="00F908B3" w:rsidRPr="00F908B3">
        <w:rPr>
          <w:rFonts w:cs="Calibri"/>
          <w:szCs w:val="24"/>
        </w:rPr>
        <w:t xml:space="preserve"> v režimu podlimitní </w:t>
      </w:r>
      <w:r w:rsidR="00182D3D">
        <w:rPr>
          <w:rFonts w:cs="Calibri"/>
          <w:szCs w:val="24"/>
        </w:rPr>
        <w:t>VZ</w:t>
      </w:r>
      <w:r w:rsidR="00F908B3" w:rsidRPr="00F908B3">
        <w:rPr>
          <w:rFonts w:cs="Calibri"/>
          <w:szCs w:val="24"/>
        </w:rPr>
        <w:t xml:space="preserve"> dle zákona č. 134/2016 Sb.</w:t>
      </w:r>
      <w:r w:rsidR="008403F4">
        <w:rPr>
          <w:rStyle w:val="Znakapoznpodarou"/>
          <w:szCs w:val="24"/>
        </w:rPr>
        <w:footnoteReference w:id="4"/>
      </w:r>
      <w:r w:rsidR="00F908B3">
        <w:rPr>
          <w:rFonts w:cs="Calibri"/>
          <w:szCs w:val="24"/>
        </w:rPr>
        <w:t>, když</w:t>
      </w:r>
      <w:r>
        <w:rPr>
          <w:rFonts w:cs="Calibri"/>
          <w:szCs w:val="24"/>
        </w:rPr>
        <w:t xml:space="preserve"> </w:t>
      </w:r>
      <w:r w:rsidRPr="00544009">
        <w:rPr>
          <w:rFonts w:cs="Calibri"/>
          <w:szCs w:val="24"/>
        </w:rPr>
        <w:t xml:space="preserve">nestanovila celkovou předpokládanou hodnotu </w:t>
      </w:r>
      <w:r w:rsidR="00182D3D">
        <w:rPr>
          <w:rFonts w:cs="Calibri"/>
          <w:szCs w:val="24"/>
        </w:rPr>
        <w:t>VZ</w:t>
      </w:r>
      <w:r w:rsidRPr="00544009">
        <w:rPr>
          <w:rFonts w:cs="Calibri"/>
          <w:szCs w:val="24"/>
        </w:rPr>
        <w:t xml:space="preserve"> součtem dílčích plnění, kter</w:t>
      </w:r>
      <w:r w:rsidR="003F3783">
        <w:rPr>
          <w:rFonts w:cs="Calibri"/>
          <w:szCs w:val="24"/>
        </w:rPr>
        <w:t>á</w:t>
      </w:r>
      <w:r w:rsidRPr="00544009">
        <w:rPr>
          <w:rFonts w:cs="Calibri"/>
          <w:szCs w:val="24"/>
        </w:rPr>
        <w:t xml:space="preserve"> spolu věcně a časově souvis</w:t>
      </w:r>
      <w:r w:rsidR="00182D3D">
        <w:rPr>
          <w:rFonts w:cs="Calibri"/>
          <w:szCs w:val="24"/>
        </w:rPr>
        <w:t>el</w:t>
      </w:r>
      <w:r w:rsidR="003F3783">
        <w:rPr>
          <w:rFonts w:cs="Calibri"/>
          <w:szCs w:val="24"/>
        </w:rPr>
        <w:t>a</w:t>
      </w:r>
      <w:r w:rsidR="00F908B3">
        <w:rPr>
          <w:rFonts w:cs="Calibri"/>
          <w:szCs w:val="24"/>
        </w:rPr>
        <w:t>.</w:t>
      </w:r>
      <w:r w:rsidRPr="00544009">
        <w:rPr>
          <w:rFonts w:cs="Calibri"/>
          <w:szCs w:val="24"/>
        </w:rPr>
        <w:t xml:space="preserve"> ZPMV</w:t>
      </w:r>
      <w:r w:rsidR="00F908B3">
        <w:rPr>
          <w:rFonts w:cs="Calibri"/>
          <w:szCs w:val="24"/>
        </w:rPr>
        <w:t xml:space="preserve"> tak</w:t>
      </w:r>
      <w:r w:rsidRPr="00544009">
        <w:rPr>
          <w:rFonts w:cs="Calibri"/>
          <w:szCs w:val="24"/>
        </w:rPr>
        <w:t xml:space="preserve"> porušila zásadu transparentnosti, rovného zacházení a zákazu diskriminace dle</w:t>
      </w:r>
      <w:r w:rsidR="00EA158C">
        <w:rPr>
          <w:rFonts w:cs="Calibri"/>
          <w:szCs w:val="24"/>
        </w:rPr>
        <w:t xml:space="preserve"> výše</w:t>
      </w:r>
      <w:r w:rsidR="00F908B3">
        <w:rPr>
          <w:rFonts w:cs="Calibri"/>
          <w:szCs w:val="24"/>
        </w:rPr>
        <w:t xml:space="preserve"> uvedeného</w:t>
      </w:r>
      <w:r w:rsidRPr="00544009">
        <w:rPr>
          <w:rFonts w:cs="Calibri"/>
          <w:szCs w:val="24"/>
        </w:rPr>
        <w:t xml:space="preserve"> zákona</w:t>
      </w:r>
      <w:r w:rsidR="008403F4">
        <w:rPr>
          <w:rStyle w:val="Znakapoznpodarou"/>
          <w:szCs w:val="24"/>
        </w:rPr>
        <w:footnoteReference w:id="5"/>
      </w:r>
      <w:r w:rsidRPr="00544009">
        <w:rPr>
          <w:rFonts w:cs="Calibri"/>
          <w:szCs w:val="24"/>
        </w:rPr>
        <w:t xml:space="preserve"> a</w:t>
      </w:r>
      <w:r w:rsidR="002C14C4">
        <w:rPr>
          <w:rFonts w:cs="Calibri"/>
          <w:szCs w:val="24"/>
        </w:rPr>
        <w:t> </w:t>
      </w:r>
      <w:r w:rsidRPr="00544009">
        <w:rPr>
          <w:rFonts w:cs="Calibri"/>
          <w:szCs w:val="24"/>
        </w:rPr>
        <w:t xml:space="preserve">znemožnila dalším </w:t>
      </w:r>
      <w:r w:rsidR="00EA158C">
        <w:rPr>
          <w:rFonts w:cs="Calibri"/>
          <w:szCs w:val="24"/>
        </w:rPr>
        <w:t>dodavatelům</w:t>
      </w:r>
      <w:r w:rsidRPr="00544009">
        <w:rPr>
          <w:rFonts w:cs="Calibri"/>
          <w:szCs w:val="24"/>
        </w:rPr>
        <w:t xml:space="preserve"> přihlášení do zadávacího řízení.</w:t>
      </w:r>
      <w:r w:rsidR="00F908B3">
        <w:rPr>
          <w:rFonts w:cs="Calibri"/>
          <w:szCs w:val="24"/>
        </w:rPr>
        <w:t xml:space="preserve"> </w:t>
      </w:r>
      <w:r w:rsidR="000B1646">
        <w:rPr>
          <w:rFonts w:cs="Calibri"/>
          <w:szCs w:val="24"/>
        </w:rPr>
        <w:t>K porušení zákona</w:t>
      </w:r>
      <w:r w:rsidR="000D2BA8">
        <w:rPr>
          <w:rFonts w:cs="Calibri"/>
          <w:szCs w:val="24"/>
        </w:rPr>
        <w:t xml:space="preserve"> č.</w:t>
      </w:r>
      <w:r w:rsidR="000B1646">
        <w:rPr>
          <w:rFonts w:cs="Calibri"/>
          <w:szCs w:val="24"/>
        </w:rPr>
        <w:t xml:space="preserve"> 134/2016</w:t>
      </w:r>
      <w:r w:rsidR="00127D60">
        <w:rPr>
          <w:rFonts w:cs="Calibri"/>
          <w:szCs w:val="24"/>
        </w:rPr>
        <w:t> </w:t>
      </w:r>
      <w:r w:rsidR="000B1646">
        <w:rPr>
          <w:rFonts w:cs="Calibri"/>
          <w:szCs w:val="24"/>
        </w:rPr>
        <w:t>Sb. došlo v</w:t>
      </w:r>
      <w:r w:rsidR="00F908B3">
        <w:rPr>
          <w:rFonts w:cs="Calibri"/>
          <w:szCs w:val="24"/>
        </w:rPr>
        <w:t xml:space="preserve"> případě </w:t>
      </w:r>
      <w:r w:rsidR="00182D3D">
        <w:rPr>
          <w:rFonts w:cs="Calibri"/>
          <w:szCs w:val="24"/>
        </w:rPr>
        <w:t>VZ</w:t>
      </w:r>
      <w:r w:rsidR="00F908B3">
        <w:rPr>
          <w:rFonts w:cs="Calibri"/>
          <w:szCs w:val="24"/>
        </w:rPr>
        <w:t xml:space="preserve"> týkající</w:t>
      </w:r>
      <w:r w:rsidR="000B1646">
        <w:rPr>
          <w:rFonts w:cs="Calibri"/>
          <w:szCs w:val="24"/>
        </w:rPr>
        <w:t>ch</w:t>
      </w:r>
      <w:r w:rsidR="00F908B3">
        <w:rPr>
          <w:rFonts w:cs="Calibri"/>
          <w:szCs w:val="24"/>
        </w:rPr>
        <w:t xml:space="preserve"> se</w:t>
      </w:r>
      <w:r w:rsidR="002C14C4">
        <w:rPr>
          <w:rFonts w:cs="Calibri"/>
          <w:szCs w:val="24"/>
        </w:rPr>
        <w:t> </w:t>
      </w:r>
      <w:r w:rsidR="00A910CE">
        <w:rPr>
          <w:rFonts w:cs="Calibri"/>
          <w:szCs w:val="24"/>
        </w:rPr>
        <w:t>p</w:t>
      </w:r>
      <w:r w:rsidRPr="00544009">
        <w:rPr>
          <w:rFonts w:cs="Calibri"/>
          <w:szCs w:val="24"/>
        </w:rPr>
        <w:t>ropagace ZPMV prostřednictvím sportovců</w:t>
      </w:r>
      <w:r w:rsidR="00A910CE">
        <w:rPr>
          <w:rFonts w:cs="Calibri"/>
          <w:szCs w:val="24"/>
        </w:rPr>
        <w:t xml:space="preserve"> </w:t>
      </w:r>
      <w:r w:rsidR="000B1646">
        <w:rPr>
          <w:rFonts w:cs="Calibri"/>
          <w:szCs w:val="24"/>
        </w:rPr>
        <w:t>a</w:t>
      </w:r>
      <w:r w:rsidR="00127D60">
        <w:rPr>
          <w:rFonts w:cs="Calibri"/>
          <w:szCs w:val="24"/>
        </w:rPr>
        <w:t> </w:t>
      </w:r>
      <w:r w:rsidR="00182D3D">
        <w:rPr>
          <w:rFonts w:cs="Calibri"/>
          <w:szCs w:val="24"/>
        </w:rPr>
        <w:t>VZ</w:t>
      </w:r>
      <w:r w:rsidR="00A910CE">
        <w:rPr>
          <w:rFonts w:cs="Calibri"/>
          <w:szCs w:val="24"/>
        </w:rPr>
        <w:t xml:space="preserve"> na společenské akce ZPMV.</w:t>
      </w:r>
    </w:p>
    <w:p w14:paraId="4F0B9901" w14:textId="27863251" w:rsidR="00FB3472" w:rsidRDefault="00FB3472" w:rsidP="00D723A6">
      <w:pPr>
        <w:widowControl/>
        <w:spacing w:before="120" w:after="120"/>
        <w:rPr>
          <w:rFonts w:cs="Calibri"/>
          <w:szCs w:val="24"/>
        </w:rPr>
      </w:pPr>
      <w:r w:rsidRPr="00351911">
        <w:rPr>
          <w:rFonts w:cs="Calibri"/>
          <w:szCs w:val="24"/>
        </w:rPr>
        <w:t>ZPMV v letech 2020 až 2022 vynaložila</w:t>
      </w:r>
      <w:r w:rsidRPr="00351911">
        <w:t xml:space="preserve"> </w:t>
      </w:r>
      <w:r w:rsidRPr="00351911">
        <w:rPr>
          <w:rFonts w:cs="Calibri"/>
          <w:szCs w:val="24"/>
        </w:rPr>
        <w:t>peněžní prostředky ve výši 14</w:t>
      </w:r>
      <w:r w:rsidR="00EE7C0D">
        <w:rPr>
          <w:rFonts w:cs="Calibri"/>
          <w:szCs w:val="24"/>
        </w:rPr>
        <w:t>,1</w:t>
      </w:r>
      <w:r w:rsidRPr="00351911">
        <w:rPr>
          <w:rFonts w:cs="Calibri"/>
          <w:szCs w:val="24"/>
        </w:rPr>
        <w:t xml:space="preserve"> mil. Kč bez DPH na</w:t>
      </w:r>
      <w:r w:rsidR="00E43FA4">
        <w:rPr>
          <w:rFonts w:cs="Calibri"/>
          <w:szCs w:val="24"/>
        </w:rPr>
        <w:t> </w:t>
      </w:r>
      <w:r w:rsidRPr="00351911">
        <w:rPr>
          <w:rFonts w:cs="Calibri"/>
          <w:szCs w:val="24"/>
        </w:rPr>
        <w:t xml:space="preserve">propagaci prostřednictvím vybraných sportovců bez stanovení cíle této formy propagace. </w:t>
      </w:r>
      <w:r w:rsidR="00490CB3" w:rsidRPr="00E06D09">
        <w:rPr>
          <w:rFonts w:cs="Calibri"/>
          <w:szCs w:val="24"/>
        </w:rPr>
        <w:t>ZPMV tak nezajistila ochranu veřejných prostředků proti rizikům nebo jiným nedostatkům způsobeným jejich neúčelným nakládáním</w:t>
      </w:r>
      <w:r w:rsidR="0038127E" w:rsidRPr="00E06D09">
        <w:rPr>
          <w:rFonts w:cs="Calibri"/>
          <w:szCs w:val="24"/>
        </w:rPr>
        <w:t xml:space="preserve"> podle zákona</w:t>
      </w:r>
      <w:r w:rsidR="00130521" w:rsidRPr="00E06D09">
        <w:rPr>
          <w:rFonts w:cs="Calibri"/>
          <w:szCs w:val="24"/>
        </w:rPr>
        <w:t xml:space="preserve"> č. 320/2001 Sb</w:t>
      </w:r>
      <w:r w:rsidR="00E06D09" w:rsidRPr="00E06D09">
        <w:rPr>
          <w:rFonts w:cs="Calibri"/>
          <w:szCs w:val="24"/>
        </w:rPr>
        <w:t>.</w:t>
      </w:r>
      <w:r w:rsidR="00877427" w:rsidRPr="00E06D09">
        <w:rPr>
          <w:rStyle w:val="Znakapoznpodarou"/>
          <w:szCs w:val="24"/>
        </w:rPr>
        <w:footnoteReference w:id="6"/>
      </w:r>
    </w:p>
    <w:p w14:paraId="276454F5" w14:textId="7B2CCA6A" w:rsidR="00C65B2D" w:rsidRPr="007A143D" w:rsidRDefault="007D186D" w:rsidP="00D723A6">
      <w:pPr>
        <w:pStyle w:val="Nadpis1"/>
        <w:widowControl/>
        <w:spacing w:after="120"/>
        <w:rPr>
          <w:lang w:eastAsia="en-US"/>
        </w:rPr>
      </w:pPr>
      <w:r w:rsidRPr="007A143D">
        <w:rPr>
          <w:lang w:eastAsia="en-US"/>
        </w:rPr>
        <w:t>2</w:t>
      </w:r>
      <w:r w:rsidR="00C93A44">
        <w:rPr>
          <w:lang w:eastAsia="en-US"/>
        </w:rPr>
        <w:t>.</w:t>
      </w:r>
      <w:r w:rsidR="00AA3EAF">
        <w:rPr>
          <w:lang w:eastAsia="en-US"/>
        </w:rPr>
        <w:t xml:space="preserve"> </w:t>
      </w:r>
      <w:r w:rsidR="00C1212C" w:rsidRPr="007A143D">
        <w:t>Skutečnosti zjištěné v oblasti hospodaření s</w:t>
      </w:r>
      <w:r w:rsidR="00B802FB" w:rsidRPr="007A143D">
        <w:t> </w:t>
      </w:r>
      <w:r w:rsidR="00C1212C" w:rsidRPr="007A143D">
        <w:t>prostředky</w:t>
      </w:r>
      <w:r w:rsidR="00B802FB" w:rsidRPr="007A143D">
        <w:t xml:space="preserve"> </w:t>
      </w:r>
      <w:r w:rsidR="00B802FB" w:rsidRPr="007A143D">
        <w:rPr>
          <w:lang w:eastAsia="en-US"/>
        </w:rPr>
        <w:t>f</w:t>
      </w:r>
      <w:r w:rsidR="00C65B2D" w:rsidRPr="007A143D">
        <w:rPr>
          <w:lang w:eastAsia="en-US"/>
        </w:rPr>
        <w:t>ond</w:t>
      </w:r>
      <w:r w:rsidR="00B802FB" w:rsidRPr="007A143D">
        <w:rPr>
          <w:lang w:eastAsia="en-US"/>
        </w:rPr>
        <w:t>u</w:t>
      </w:r>
      <w:r w:rsidR="00C65B2D" w:rsidRPr="007A143D">
        <w:rPr>
          <w:lang w:eastAsia="en-US"/>
        </w:rPr>
        <w:t xml:space="preserve"> prevence</w:t>
      </w:r>
    </w:p>
    <w:p w14:paraId="3C125C8F" w14:textId="0A0CB6FE" w:rsidR="0073612A" w:rsidRDefault="00653862" w:rsidP="00D723A6">
      <w:pPr>
        <w:widowControl/>
        <w:autoSpaceDE/>
        <w:autoSpaceDN/>
        <w:adjustRightInd/>
        <w:spacing w:before="120" w:after="120"/>
        <w:rPr>
          <w:rFonts w:eastAsia="Times New Roman" w:cs="Calibri"/>
          <w:szCs w:val="24"/>
          <w:lang w:eastAsia="en-US"/>
        </w:rPr>
      </w:pPr>
      <w:r>
        <w:rPr>
          <w:rFonts w:eastAsia="Times New Roman" w:cs="Calibri"/>
          <w:szCs w:val="24"/>
          <w:lang w:eastAsia="en-US"/>
        </w:rPr>
        <w:t xml:space="preserve">ZPMV u </w:t>
      </w:r>
      <w:r w:rsidRPr="00057ED5">
        <w:rPr>
          <w:rFonts w:eastAsia="Times New Roman" w:cs="Calibri"/>
          <w:szCs w:val="24"/>
          <w:lang w:eastAsia="en-US"/>
        </w:rPr>
        <w:t>jednoho programu fondu prevence</w:t>
      </w:r>
      <w:r w:rsidRPr="00057ED5">
        <w:rPr>
          <w:rStyle w:val="Znakapoznpodarou"/>
          <w:rFonts w:eastAsia="Times New Roman"/>
          <w:szCs w:val="24"/>
          <w:lang w:eastAsia="en-US"/>
        </w:rPr>
        <w:footnoteReference w:id="7"/>
      </w:r>
      <w:r w:rsidRPr="00057ED5">
        <w:rPr>
          <w:rFonts w:eastAsia="Times New Roman" w:cs="Calibri"/>
          <w:szCs w:val="24"/>
          <w:lang w:eastAsia="en-US"/>
        </w:rPr>
        <w:t xml:space="preserve"> stanovila</w:t>
      </w:r>
      <w:r>
        <w:rPr>
          <w:rFonts w:eastAsia="Times New Roman" w:cs="Calibri"/>
          <w:szCs w:val="24"/>
          <w:lang w:eastAsia="en-US"/>
        </w:rPr>
        <w:t xml:space="preserve"> omezující podmínky pro zařazení zaměstnavatele do programu (</w:t>
      </w:r>
      <w:r w:rsidRPr="00653862">
        <w:rPr>
          <w:rFonts w:eastAsia="Times New Roman" w:cs="Calibri"/>
          <w:szCs w:val="24"/>
          <w:lang w:eastAsia="en-US"/>
        </w:rPr>
        <w:t>minimálně 300 registrovaných pojištěnců ZPMV v předchozím kalendářním roce nebo 25 % jeho zaměstnanců v trvalém pracovním poměru pojištěných u</w:t>
      </w:r>
      <w:r w:rsidR="00DE37A9">
        <w:rPr>
          <w:rFonts w:eastAsia="Times New Roman" w:cs="Calibri"/>
          <w:szCs w:val="24"/>
          <w:lang w:eastAsia="en-US"/>
        </w:rPr>
        <w:t> </w:t>
      </w:r>
      <w:r w:rsidRPr="00653862">
        <w:rPr>
          <w:rFonts w:eastAsia="Times New Roman" w:cs="Calibri"/>
          <w:szCs w:val="24"/>
          <w:lang w:eastAsia="en-US"/>
        </w:rPr>
        <w:t>ZPMV</w:t>
      </w:r>
      <w:r>
        <w:rPr>
          <w:rFonts w:eastAsia="Times New Roman" w:cs="Calibri"/>
          <w:szCs w:val="24"/>
          <w:lang w:eastAsia="en-US"/>
        </w:rPr>
        <w:t>)</w:t>
      </w:r>
      <w:r w:rsidR="00057ED5">
        <w:rPr>
          <w:rFonts w:eastAsia="Times New Roman" w:cs="Calibri"/>
          <w:szCs w:val="24"/>
          <w:lang w:eastAsia="en-US"/>
        </w:rPr>
        <w:t xml:space="preserve">. </w:t>
      </w:r>
      <w:r w:rsidR="00057ED5" w:rsidRPr="00057ED5">
        <w:rPr>
          <w:rFonts w:eastAsia="Times New Roman" w:cs="Calibri"/>
          <w:szCs w:val="24"/>
          <w:lang w:eastAsia="en-US"/>
        </w:rPr>
        <w:t xml:space="preserve">Pro získání příspěvku </w:t>
      </w:r>
      <w:r w:rsidR="0073612A">
        <w:rPr>
          <w:rFonts w:eastAsia="Times New Roman" w:cs="Calibri"/>
          <w:szCs w:val="24"/>
          <w:lang w:eastAsia="en-US"/>
        </w:rPr>
        <w:t xml:space="preserve">tak </w:t>
      </w:r>
      <w:r w:rsidR="00057ED5" w:rsidRPr="00057ED5">
        <w:rPr>
          <w:rFonts w:eastAsia="Times New Roman" w:cs="Calibri"/>
          <w:szCs w:val="24"/>
          <w:lang w:eastAsia="en-US"/>
        </w:rPr>
        <w:t xml:space="preserve">nebylo podstatné pouze splnění podmínek programu </w:t>
      </w:r>
      <w:r w:rsidR="0073612A">
        <w:rPr>
          <w:rFonts w:eastAsia="Times New Roman" w:cs="Calibri"/>
          <w:szCs w:val="24"/>
          <w:lang w:eastAsia="en-US"/>
        </w:rPr>
        <w:t xml:space="preserve">samotným </w:t>
      </w:r>
      <w:r w:rsidR="00057ED5" w:rsidRPr="00057ED5">
        <w:rPr>
          <w:rFonts w:eastAsia="Times New Roman" w:cs="Calibri"/>
          <w:szCs w:val="24"/>
          <w:lang w:eastAsia="en-US"/>
        </w:rPr>
        <w:t xml:space="preserve">pojištěncem. </w:t>
      </w:r>
      <w:r w:rsidR="00057ED5">
        <w:rPr>
          <w:rFonts w:eastAsia="Times New Roman" w:cs="Calibri"/>
          <w:szCs w:val="24"/>
          <w:lang w:eastAsia="en-US"/>
        </w:rPr>
        <w:t>P</w:t>
      </w:r>
      <w:r w:rsidR="00057ED5" w:rsidRPr="00393BB0">
        <w:rPr>
          <w:rFonts w:eastAsia="Times New Roman" w:cs="Calibri"/>
          <w:szCs w:val="24"/>
          <w:lang w:eastAsia="en-US"/>
        </w:rPr>
        <w:t>ojištěnci</w:t>
      </w:r>
      <w:r w:rsidR="00057ED5">
        <w:rPr>
          <w:rFonts w:eastAsia="Times New Roman" w:cs="Calibri"/>
          <w:szCs w:val="24"/>
          <w:lang w:eastAsia="en-US"/>
        </w:rPr>
        <w:t>, plnící ostatní podmínky pro čerpání příspěvku</w:t>
      </w:r>
      <w:r w:rsidR="00057ED5" w:rsidRPr="00393BB0">
        <w:rPr>
          <w:rFonts w:eastAsia="Times New Roman" w:cs="Calibri"/>
          <w:szCs w:val="24"/>
          <w:lang w:eastAsia="en-US"/>
        </w:rPr>
        <w:t xml:space="preserve">, </w:t>
      </w:r>
      <w:r w:rsidR="00057ED5">
        <w:rPr>
          <w:rFonts w:eastAsia="Times New Roman" w:cs="Calibri"/>
          <w:szCs w:val="24"/>
          <w:lang w:eastAsia="en-US"/>
        </w:rPr>
        <w:t xml:space="preserve">tak </w:t>
      </w:r>
      <w:r w:rsidR="00057ED5" w:rsidRPr="00393BB0">
        <w:rPr>
          <w:rFonts w:eastAsia="Times New Roman" w:cs="Calibri"/>
          <w:szCs w:val="24"/>
          <w:lang w:eastAsia="en-US"/>
        </w:rPr>
        <w:t>byli znevýhodněni</w:t>
      </w:r>
      <w:r w:rsidR="00057ED5">
        <w:rPr>
          <w:rFonts w:eastAsia="Times New Roman" w:cs="Calibri"/>
          <w:szCs w:val="24"/>
          <w:lang w:eastAsia="en-US"/>
        </w:rPr>
        <w:t xml:space="preserve"> pouze z</w:t>
      </w:r>
      <w:r w:rsidR="0073612A">
        <w:rPr>
          <w:rFonts w:eastAsia="Times New Roman" w:cs="Calibri"/>
          <w:szCs w:val="24"/>
          <w:lang w:eastAsia="en-US"/>
        </w:rPr>
        <w:t xml:space="preserve"> toho </w:t>
      </w:r>
      <w:r w:rsidR="00057ED5">
        <w:rPr>
          <w:rFonts w:eastAsia="Times New Roman" w:cs="Calibri"/>
          <w:szCs w:val="24"/>
          <w:lang w:eastAsia="en-US"/>
        </w:rPr>
        <w:t>důvodu, že jejich zaměstnavatel ne</w:t>
      </w:r>
      <w:r w:rsidR="0073612A">
        <w:rPr>
          <w:rFonts w:eastAsia="Times New Roman" w:cs="Calibri"/>
          <w:szCs w:val="24"/>
          <w:lang w:eastAsia="en-US"/>
        </w:rPr>
        <w:t xml:space="preserve">splnil </w:t>
      </w:r>
      <w:r w:rsidR="001F66AF">
        <w:rPr>
          <w:rFonts w:eastAsia="Times New Roman" w:cs="Calibri"/>
          <w:szCs w:val="24"/>
          <w:lang w:eastAsia="en-US"/>
        </w:rPr>
        <w:t>omezující</w:t>
      </w:r>
      <w:r w:rsidR="0073612A">
        <w:rPr>
          <w:rFonts w:eastAsia="Times New Roman" w:cs="Calibri"/>
          <w:szCs w:val="24"/>
          <w:lang w:eastAsia="en-US"/>
        </w:rPr>
        <w:t xml:space="preserve"> podmínky pro zařazení do tohoto </w:t>
      </w:r>
      <w:r w:rsidR="00057ED5">
        <w:rPr>
          <w:rFonts w:eastAsia="Times New Roman" w:cs="Calibri"/>
          <w:szCs w:val="24"/>
          <w:lang w:eastAsia="en-US"/>
        </w:rPr>
        <w:t xml:space="preserve">programu. </w:t>
      </w:r>
    </w:p>
    <w:p w14:paraId="3AC356D8" w14:textId="40BF9092" w:rsidR="00136EC5" w:rsidRDefault="0073612A" w:rsidP="00D723A6">
      <w:pPr>
        <w:widowControl/>
        <w:autoSpaceDE/>
        <w:autoSpaceDN/>
        <w:adjustRightInd/>
        <w:spacing w:before="120" w:after="120"/>
        <w:rPr>
          <w:rFonts w:eastAsia="Times New Roman" w:cs="Calibri"/>
          <w:szCs w:val="24"/>
          <w:lang w:eastAsia="en-US"/>
        </w:rPr>
      </w:pPr>
      <w:r>
        <w:rPr>
          <w:rFonts w:eastAsia="Times New Roman" w:cs="Calibri"/>
          <w:szCs w:val="24"/>
          <w:lang w:eastAsia="en-US"/>
        </w:rPr>
        <w:t xml:space="preserve">Navíc </w:t>
      </w:r>
      <w:r w:rsidR="00057ED5">
        <w:rPr>
          <w:rFonts w:eastAsia="Times New Roman" w:cs="Calibri"/>
          <w:szCs w:val="24"/>
          <w:lang w:eastAsia="en-US"/>
        </w:rPr>
        <w:t>ZPMV postupovala netransparentně</w:t>
      </w:r>
      <w:r>
        <w:rPr>
          <w:rFonts w:eastAsia="Times New Roman" w:cs="Calibri"/>
          <w:szCs w:val="24"/>
          <w:lang w:eastAsia="en-US"/>
        </w:rPr>
        <w:t xml:space="preserve"> </w:t>
      </w:r>
      <w:r w:rsidR="00057ED5">
        <w:rPr>
          <w:rFonts w:eastAsia="Times New Roman" w:cs="Calibri"/>
          <w:szCs w:val="24"/>
          <w:lang w:eastAsia="en-US"/>
        </w:rPr>
        <w:t>tím, že</w:t>
      </w:r>
      <w:r w:rsidR="00021626">
        <w:rPr>
          <w:rFonts w:eastAsia="Times New Roman" w:cs="Calibri"/>
          <w:szCs w:val="24"/>
          <w:lang w:eastAsia="en-US"/>
        </w:rPr>
        <w:t xml:space="preserve"> </w:t>
      </w:r>
      <w:r w:rsidR="00057ED5">
        <w:rPr>
          <w:rFonts w:eastAsia="Times New Roman" w:cs="Calibri"/>
          <w:szCs w:val="24"/>
          <w:lang w:eastAsia="en-US"/>
        </w:rPr>
        <w:t>d</w:t>
      </w:r>
      <w:r w:rsidR="00057ED5" w:rsidRPr="00C577C1">
        <w:rPr>
          <w:rFonts w:eastAsia="Times New Roman" w:cs="Calibri"/>
          <w:szCs w:val="24"/>
          <w:lang w:eastAsia="en-US"/>
        </w:rPr>
        <w:t>o</w:t>
      </w:r>
      <w:r w:rsidR="00021626">
        <w:rPr>
          <w:rFonts w:eastAsia="Times New Roman" w:cs="Calibri"/>
          <w:szCs w:val="24"/>
          <w:lang w:eastAsia="en-US"/>
        </w:rPr>
        <w:t xml:space="preserve"> </w:t>
      </w:r>
      <w:r w:rsidR="00057ED5" w:rsidRPr="00C577C1">
        <w:rPr>
          <w:rFonts w:eastAsia="Times New Roman" w:cs="Calibri"/>
          <w:szCs w:val="24"/>
          <w:lang w:eastAsia="en-US"/>
        </w:rPr>
        <w:t xml:space="preserve">programu zařadila </w:t>
      </w:r>
      <w:r w:rsidR="00057ED5">
        <w:rPr>
          <w:rFonts w:eastAsia="Times New Roman" w:cs="Calibri"/>
          <w:szCs w:val="24"/>
          <w:lang w:eastAsia="en-US"/>
        </w:rPr>
        <w:t>také organizaci, která podmínky neplnila</w:t>
      </w:r>
      <w:r>
        <w:rPr>
          <w:rFonts w:eastAsia="Times New Roman" w:cs="Calibri"/>
          <w:szCs w:val="24"/>
          <w:lang w:eastAsia="en-US"/>
        </w:rPr>
        <w:t xml:space="preserve"> vůbec</w:t>
      </w:r>
      <w:r w:rsidR="00057ED5">
        <w:rPr>
          <w:rFonts w:eastAsia="Times New Roman" w:cs="Calibri"/>
          <w:szCs w:val="24"/>
          <w:lang w:eastAsia="en-US"/>
        </w:rPr>
        <w:t>.</w:t>
      </w:r>
      <w:r w:rsidR="004444EE">
        <w:rPr>
          <w:rFonts w:eastAsia="Times New Roman" w:cs="Calibri"/>
          <w:szCs w:val="24"/>
          <w:lang w:eastAsia="en-US"/>
        </w:rPr>
        <w:t xml:space="preserve"> </w:t>
      </w:r>
      <w:r w:rsidR="00D51078">
        <w:rPr>
          <w:rFonts w:eastAsia="Times New Roman" w:cs="Calibri"/>
          <w:szCs w:val="24"/>
          <w:lang w:eastAsia="en-US"/>
        </w:rPr>
        <w:t>Výběr pojištěnců</w:t>
      </w:r>
      <w:r w:rsidR="00E97CCD">
        <w:rPr>
          <w:rFonts w:eastAsia="Times New Roman" w:cs="Calibri"/>
          <w:szCs w:val="24"/>
          <w:lang w:eastAsia="en-US"/>
        </w:rPr>
        <w:t>, kteří</w:t>
      </w:r>
      <w:r w:rsidR="00D51078">
        <w:t xml:space="preserve"> </w:t>
      </w:r>
      <w:r w:rsidR="00D51078" w:rsidRPr="00D51078">
        <w:rPr>
          <w:rFonts w:eastAsia="Times New Roman" w:cs="Calibri"/>
          <w:szCs w:val="24"/>
          <w:lang w:eastAsia="en-US"/>
        </w:rPr>
        <w:t>čerp</w:t>
      </w:r>
      <w:r w:rsidR="00E97CCD">
        <w:rPr>
          <w:rFonts w:eastAsia="Times New Roman" w:cs="Calibri"/>
          <w:szCs w:val="24"/>
          <w:lang w:eastAsia="en-US"/>
        </w:rPr>
        <w:t>ali</w:t>
      </w:r>
      <w:r w:rsidR="00D51078" w:rsidRPr="00D51078">
        <w:rPr>
          <w:rFonts w:eastAsia="Times New Roman" w:cs="Calibri"/>
          <w:szCs w:val="24"/>
          <w:lang w:eastAsia="en-US"/>
        </w:rPr>
        <w:t xml:space="preserve"> příspěv</w:t>
      </w:r>
      <w:r w:rsidR="00E97CCD">
        <w:rPr>
          <w:rFonts w:eastAsia="Times New Roman" w:cs="Calibri"/>
          <w:szCs w:val="24"/>
          <w:lang w:eastAsia="en-US"/>
        </w:rPr>
        <w:t>ek z</w:t>
      </w:r>
      <w:r w:rsidR="0082609B">
        <w:rPr>
          <w:rFonts w:eastAsia="Times New Roman" w:cs="Calibri"/>
          <w:szCs w:val="24"/>
          <w:lang w:eastAsia="en-US"/>
        </w:rPr>
        <w:t> tohoto programu</w:t>
      </w:r>
      <w:r w:rsidR="00E97CCD">
        <w:rPr>
          <w:rFonts w:eastAsia="Times New Roman" w:cs="Calibri"/>
          <w:szCs w:val="24"/>
          <w:lang w:eastAsia="en-US"/>
        </w:rPr>
        <w:t xml:space="preserve">, </w:t>
      </w:r>
      <w:r w:rsidR="00D51078">
        <w:rPr>
          <w:rFonts w:eastAsia="Times New Roman" w:cs="Calibri"/>
          <w:szCs w:val="24"/>
          <w:lang w:eastAsia="en-US"/>
        </w:rPr>
        <w:t>přenesla ZPMV na</w:t>
      </w:r>
      <w:r w:rsidR="002C14C4">
        <w:rPr>
          <w:rFonts w:eastAsia="Times New Roman" w:cs="Calibri"/>
          <w:szCs w:val="24"/>
          <w:lang w:eastAsia="en-US"/>
        </w:rPr>
        <w:t> </w:t>
      </w:r>
      <w:r w:rsidR="00D51078">
        <w:rPr>
          <w:rFonts w:eastAsia="Times New Roman" w:cs="Calibri"/>
          <w:szCs w:val="24"/>
          <w:lang w:eastAsia="en-US"/>
        </w:rPr>
        <w:t xml:space="preserve">zaměstnavatele a </w:t>
      </w:r>
      <w:r w:rsidR="00D51078" w:rsidRPr="00D51078">
        <w:rPr>
          <w:rFonts w:eastAsia="Times New Roman" w:cs="Calibri"/>
          <w:szCs w:val="24"/>
          <w:lang w:eastAsia="en-US"/>
        </w:rPr>
        <w:t>ne</w:t>
      </w:r>
      <w:r w:rsidR="00315BA5">
        <w:rPr>
          <w:rFonts w:eastAsia="Times New Roman" w:cs="Calibri"/>
          <w:szCs w:val="24"/>
          <w:lang w:eastAsia="en-US"/>
        </w:rPr>
        <w:t>ověřovala</w:t>
      </w:r>
      <w:r w:rsidR="00D51078" w:rsidRPr="00D51078">
        <w:rPr>
          <w:rFonts w:eastAsia="Times New Roman" w:cs="Calibri"/>
          <w:szCs w:val="24"/>
          <w:lang w:eastAsia="en-US"/>
        </w:rPr>
        <w:t>, zda pojištěnci čerpa</w:t>
      </w:r>
      <w:r w:rsidR="00EF016F">
        <w:rPr>
          <w:rFonts w:eastAsia="Times New Roman" w:cs="Calibri"/>
          <w:szCs w:val="24"/>
          <w:lang w:eastAsia="en-US"/>
        </w:rPr>
        <w:t>li</w:t>
      </w:r>
      <w:r w:rsidR="00D51078" w:rsidRPr="00D51078">
        <w:rPr>
          <w:rFonts w:eastAsia="Times New Roman" w:cs="Calibri"/>
          <w:szCs w:val="24"/>
          <w:lang w:eastAsia="en-US"/>
        </w:rPr>
        <w:t xml:space="preserve"> příspěvek oprávněně</w:t>
      </w:r>
      <w:r w:rsidR="00D51078">
        <w:rPr>
          <w:rFonts w:eastAsia="Times New Roman" w:cs="Calibri"/>
          <w:szCs w:val="24"/>
          <w:lang w:eastAsia="en-US"/>
        </w:rPr>
        <w:t>.</w:t>
      </w:r>
      <w:r w:rsidR="00E97CCD">
        <w:rPr>
          <w:rFonts w:eastAsia="Times New Roman" w:cs="Calibri"/>
          <w:szCs w:val="24"/>
          <w:lang w:eastAsia="en-US"/>
        </w:rPr>
        <w:t xml:space="preserve"> </w:t>
      </w:r>
    </w:p>
    <w:p w14:paraId="32F4FA6B" w14:textId="4A7C2338" w:rsidR="00136EC5" w:rsidRDefault="00136EC5" w:rsidP="00D723A6">
      <w:pPr>
        <w:widowControl/>
        <w:autoSpaceDE/>
        <w:autoSpaceDN/>
        <w:adjustRightInd/>
        <w:spacing w:before="120" w:after="120"/>
        <w:rPr>
          <w:rFonts w:eastAsia="Calibri" w:cs="Calibri"/>
          <w:iCs/>
          <w:szCs w:val="24"/>
        </w:rPr>
      </w:pPr>
      <w:r>
        <w:rPr>
          <w:rFonts w:eastAsia="Times New Roman" w:cs="Times New Roman"/>
          <w:szCs w:val="24"/>
          <w:lang w:eastAsia="en-US"/>
        </w:rPr>
        <w:t>V</w:t>
      </w:r>
      <w:r w:rsidRPr="00900EE8">
        <w:rPr>
          <w:rFonts w:eastAsia="Times New Roman" w:cs="Times New Roman"/>
          <w:szCs w:val="24"/>
          <w:lang w:eastAsia="en-US"/>
        </w:rPr>
        <w:t> letech 2020 až 2022</w:t>
      </w:r>
      <w:r>
        <w:rPr>
          <w:rFonts w:eastAsia="Times New Roman" w:cs="Times New Roman"/>
          <w:szCs w:val="24"/>
          <w:lang w:eastAsia="en-US"/>
        </w:rPr>
        <w:t xml:space="preserve"> ZPMV</w:t>
      </w:r>
      <w:r w:rsidRPr="00900EE8">
        <w:rPr>
          <w:rFonts w:eastAsia="Times New Roman" w:cs="Times New Roman"/>
          <w:szCs w:val="24"/>
          <w:lang w:eastAsia="en-US"/>
        </w:rPr>
        <w:t xml:space="preserve"> </w:t>
      </w:r>
      <w:r>
        <w:rPr>
          <w:rFonts w:eastAsia="Times New Roman" w:cs="Times New Roman"/>
          <w:szCs w:val="24"/>
          <w:lang w:eastAsia="en-US"/>
        </w:rPr>
        <w:t xml:space="preserve">neoprávněně </w:t>
      </w:r>
      <w:r w:rsidRPr="00900EE8">
        <w:rPr>
          <w:rFonts w:eastAsia="Times New Roman" w:cs="Times New Roman"/>
          <w:szCs w:val="24"/>
          <w:lang w:eastAsia="en-US"/>
        </w:rPr>
        <w:t xml:space="preserve">zvýhodňovala pojištěnce </w:t>
      </w:r>
      <w:r>
        <w:rPr>
          <w:rFonts w:eastAsia="Times New Roman" w:cs="Calibri"/>
          <w:szCs w:val="24"/>
          <w:lang w:eastAsia="en-US"/>
        </w:rPr>
        <w:t xml:space="preserve">a </w:t>
      </w:r>
      <w:r w:rsidRPr="00900EE8">
        <w:rPr>
          <w:rFonts w:eastAsia="Times New Roman" w:cs="Calibri"/>
          <w:szCs w:val="24"/>
          <w:lang w:eastAsia="en-US"/>
        </w:rPr>
        <w:t>postupovala v rozporu s</w:t>
      </w:r>
      <w:r w:rsidR="00DB1F9D">
        <w:rPr>
          <w:rFonts w:eastAsia="Times New Roman" w:cs="Calibri"/>
          <w:szCs w:val="24"/>
          <w:lang w:eastAsia="en-US"/>
        </w:rPr>
        <w:t>e stanovenými</w:t>
      </w:r>
      <w:r w:rsidR="00021626">
        <w:rPr>
          <w:rFonts w:eastAsia="Times New Roman" w:cs="Calibri"/>
          <w:szCs w:val="24"/>
          <w:lang w:eastAsia="en-US"/>
        </w:rPr>
        <w:t xml:space="preserve"> </w:t>
      </w:r>
      <w:r>
        <w:rPr>
          <w:rFonts w:eastAsia="Times New Roman" w:cs="Calibri"/>
          <w:szCs w:val="24"/>
          <w:lang w:eastAsia="en-US"/>
        </w:rPr>
        <w:t>podmínkami, když jim</w:t>
      </w:r>
      <w:r w:rsidRPr="00900EE8">
        <w:rPr>
          <w:rFonts w:eastAsia="Times New Roman" w:cs="Calibri"/>
          <w:szCs w:val="24"/>
          <w:lang w:eastAsia="en-US"/>
        </w:rPr>
        <w:t xml:space="preserve"> vyplatila příspěvek z</w:t>
      </w:r>
      <w:r w:rsidR="00017274">
        <w:rPr>
          <w:rFonts w:eastAsia="Times New Roman" w:cs="Calibri"/>
          <w:szCs w:val="24"/>
          <w:lang w:eastAsia="en-US"/>
        </w:rPr>
        <w:t> fondu prevence</w:t>
      </w:r>
      <w:r w:rsidRPr="00900EE8">
        <w:rPr>
          <w:rFonts w:eastAsia="Times New Roman" w:cs="Calibri"/>
          <w:szCs w:val="24"/>
          <w:lang w:eastAsia="en-US"/>
        </w:rPr>
        <w:t xml:space="preserve"> nad maximální</w:t>
      </w:r>
      <w:r w:rsidR="0082609B">
        <w:rPr>
          <w:rFonts w:eastAsia="Times New Roman" w:cs="Calibri"/>
          <w:szCs w:val="24"/>
          <w:lang w:eastAsia="en-US"/>
        </w:rPr>
        <w:t>, nad doloženou</w:t>
      </w:r>
      <w:r w:rsidRPr="00900EE8">
        <w:rPr>
          <w:rFonts w:eastAsia="Times New Roman" w:cs="Calibri"/>
          <w:szCs w:val="24"/>
          <w:lang w:eastAsia="en-US"/>
        </w:rPr>
        <w:t xml:space="preserve"> nebo</w:t>
      </w:r>
      <w:r w:rsidR="00D726FB">
        <w:rPr>
          <w:rFonts w:eastAsia="Times New Roman" w:cs="Calibri"/>
          <w:szCs w:val="24"/>
          <w:lang w:eastAsia="en-US"/>
        </w:rPr>
        <w:t xml:space="preserve"> </w:t>
      </w:r>
      <w:r w:rsidR="0082609B">
        <w:rPr>
          <w:rFonts w:eastAsia="Times New Roman" w:cs="Calibri"/>
          <w:szCs w:val="24"/>
          <w:lang w:eastAsia="en-US"/>
        </w:rPr>
        <w:t>nad maximální i doloženou</w:t>
      </w:r>
      <w:r w:rsidR="00AF2863">
        <w:rPr>
          <w:rFonts w:eastAsia="Times New Roman" w:cs="Calibri"/>
          <w:szCs w:val="24"/>
          <w:lang w:eastAsia="en-US"/>
        </w:rPr>
        <w:t xml:space="preserve"> výši</w:t>
      </w:r>
      <w:r w:rsidR="0082609B">
        <w:rPr>
          <w:rFonts w:eastAsia="Times New Roman" w:cs="Calibri"/>
          <w:szCs w:val="24"/>
          <w:lang w:eastAsia="en-US"/>
        </w:rPr>
        <w:t xml:space="preserve"> zároveň</w:t>
      </w:r>
      <w:r w:rsidRPr="00900EE8">
        <w:rPr>
          <w:rFonts w:eastAsia="Times New Roman" w:cs="Calibri"/>
          <w:szCs w:val="24"/>
          <w:lang w:eastAsia="en-US"/>
        </w:rPr>
        <w:t>.</w:t>
      </w:r>
      <w:r>
        <w:rPr>
          <w:rFonts w:eastAsia="Times New Roman" w:cs="Calibri"/>
          <w:szCs w:val="24"/>
          <w:lang w:eastAsia="en-US"/>
        </w:rPr>
        <w:t xml:space="preserve"> </w:t>
      </w:r>
      <w:r w:rsidRPr="004F18A7">
        <w:rPr>
          <w:rFonts w:cs="Calibri"/>
          <w:szCs w:val="24"/>
          <w:lang w:eastAsia="en-US"/>
        </w:rPr>
        <w:t xml:space="preserve">NKÚ </w:t>
      </w:r>
      <w:r w:rsidR="00AF2863">
        <w:rPr>
          <w:rFonts w:cs="Calibri"/>
          <w:szCs w:val="24"/>
          <w:lang w:eastAsia="en-US"/>
        </w:rPr>
        <w:t>na vzorku</w:t>
      </w:r>
      <w:r w:rsidRPr="004F18A7">
        <w:rPr>
          <w:rFonts w:cs="Calibri"/>
          <w:szCs w:val="24"/>
          <w:lang w:eastAsia="en-US"/>
        </w:rPr>
        <w:t xml:space="preserve"> 146 pojištěnců</w:t>
      </w:r>
      <w:r w:rsidR="00E20803">
        <w:rPr>
          <w:rFonts w:cs="Calibri"/>
          <w:szCs w:val="24"/>
          <w:lang w:eastAsia="en-US"/>
        </w:rPr>
        <w:t xml:space="preserve"> </w:t>
      </w:r>
      <w:r w:rsidR="00787F44">
        <w:rPr>
          <w:rFonts w:cs="Calibri"/>
          <w:szCs w:val="24"/>
          <w:lang w:eastAsia="en-US"/>
        </w:rPr>
        <w:t>u</w:t>
      </w:r>
      <w:r w:rsidR="00E20803">
        <w:rPr>
          <w:rFonts w:cs="Calibri"/>
          <w:szCs w:val="24"/>
          <w:lang w:eastAsia="en-US"/>
        </w:rPr>
        <w:t xml:space="preserve"> 37 </w:t>
      </w:r>
      <w:r w:rsidR="00AF2863">
        <w:rPr>
          <w:rFonts w:cs="Calibri"/>
          <w:szCs w:val="24"/>
          <w:lang w:eastAsia="en-US"/>
        </w:rPr>
        <w:t>z nich zjistil, že ZPMV</w:t>
      </w:r>
      <w:r w:rsidR="00E20803">
        <w:rPr>
          <w:rFonts w:cs="Calibri"/>
          <w:szCs w:val="24"/>
          <w:lang w:eastAsia="en-US"/>
        </w:rPr>
        <w:t xml:space="preserve"> vypla</w:t>
      </w:r>
      <w:r w:rsidR="00AF2863">
        <w:rPr>
          <w:rFonts w:cs="Calibri"/>
          <w:szCs w:val="24"/>
          <w:lang w:eastAsia="en-US"/>
        </w:rPr>
        <w:t>tila příspěvek</w:t>
      </w:r>
      <w:r w:rsidR="00E20803">
        <w:rPr>
          <w:rFonts w:cs="Calibri"/>
          <w:szCs w:val="24"/>
          <w:lang w:eastAsia="en-US"/>
        </w:rPr>
        <w:t xml:space="preserve"> v nesprávné výši</w:t>
      </w:r>
      <w:r>
        <w:rPr>
          <w:rFonts w:eastAsia="Calibri" w:cs="Calibri"/>
          <w:iCs/>
          <w:szCs w:val="24"/>
        </w:rPr>
        <w:t xml:space="preserve">. </w:t>
      </w:r>
      <w:r w:rsidR="00AF2863">
        <w:rPr>
          <w:rFonts w:eastAsia="Calibri" w:cs="Calibri"/>
          <w:iCs/>
          <w:szCs w:val="24"/>
        </w:rPr>
        <w:t xml:space="preserve"> </w:t>
      </w:r>
    </w:p>
    <w:p w14:paraId="7B37A6EC" w14:textId="194D0FF5" w:rsidR="00396589" w:rsidRDefault="007D186D" w:rsidP="00D723A6">
      <w:pPr>
        <w:pStyle w:val="Nadpis1"/>
        <w:widowControl/>
        <w:spacing w:after="120"/>
        <w:ind w:left="284" w:hanging="284"/>
        <w:jc w:val="left"/>
      </w:pPr>
      <w:r>
        <w:t>3</w:t>
      </w:r>
      <w:r w:rsidR="00601931">
        <w:t>.</w:t>
      </w:r>
      <w:r w:rsidR="00AA3EAF">
        <w:t xml:space="preserve"> </w:t>
      </w:r>
      <w:r w:rsidR="00724915">
        <w:t>Skutečnosti zjiš</w:t>
      </w:r>
      <w:r w:rsidR="00072A89">
        <w:t>těné v oblasti hospodaření s prostředky z</w:t>
      </w:r>
      <w:r w:rsidR="00396589" w:rsidRPr="0012339F">
        <w:t>ákl</w:t>
      </w:r>
      <w:r w:rsidR="00FE4C36">
        <w:t>adní</w:t>
      </w:r>
      <w:r w:rsidR="00072A89">
        <w:t>ho</w:t>
      </w:r>
      <w:r w:rsidR="00FE4C36">
        <w:t xml:space="preserve"> fond</w:t>
      </w:r>
      <w:r w:rsidR="00072A89">
        <w:t>u</w:t>
      </w:r>
      <w:r w:rsidR="00FE4C36">
        <w:t xml:space="preserve"> zdravotního pojištění</w:t>
      </w:r>
    </w:p>
    <w:p w14:paraId="65CC0219" w14:textId="36D9B7ED" w:rsidR="00152B0E" w:rsidRDefault="00E74D07" w:rsidP="00D723A6">
      <w:pPr>
        <w:pStyle w:val="Odstavecseseznamem"/>
        <w:widowControl/>
        <w:spacing w:before="120" w:after="120"/>
        <w:ind w:left="0"/>
        <w:contextualSpacing w:val="0"/>
        <w:rPr>
          <w:rFonts w:cs="Calibri"/>
          <w:szCs w:val="24"/>
        </w:rPr>
      </w:pPr>
      <w:r w:rsidRPr="00E74D07">
        <w:rPr>
          <w:rFonts w:cs="Calibri"/>
          <w:szCs w:val="24"/>
        </w:rPr>
        <w:t>ZPMV nevedla aktuální údaje o plátcích pojistné</w:t>
      </w:r>
      <w:r w:rsidR="00783959">
        <w:rPr>
          <w:rFonts w:cs="Calibri"/>
          <w:szCs w:val="24"/>
        </w:rPr>
        <w:t>ho</w:t>
      </w:r>
      <w:r w:rsidRPr="00E74D07">
        <w:rPr>
          <w:rFonts w:cs="Calibri"/>
          <w:szCs w:val="24"/>
        </w:rPr>
        <w:t xml:space="preserve"> v souladu s údaji ve veřejných rejstřících</w:t>
      </w:r>
      <w:r w:rsidR="00783959">
        <w:rPr>
          <w:rFonts w:cs="Calibri"/>
          <w:szCs w:val="24"/>
        </w:rPr>
        <w:t xml:space="preserve"> a</w:t>
      </w:r>
      <w:r w:rsidR="00BE69CB">
        <w:rPr>
          <w:rFonts w:cs="Calibri"/>
          <w:szCs w:val="24"/>
        </w:rPr>
        <w:t> </w:t>
      </w:r>
      <w:r w:rsidR="00783959">
        <w:rPr>
          <w:rFonts w:cs="Calibri"/>
          <w:szCs w:val="24"/>
        </w:rPr>
        <w:t xml:space="preserve">vedla </w:t>
      </w:r>
      <w:r w:rsidR="00783959" w:rsidRPr="00783959">
        <w:rPr>
          <w:rFonts w:cs="Calibri"/>
          <w:szCs w:val="24"/>
        </w:rPr>
        <w:t>v evidenci pohledávky z veřejného zdravotního pojištění za zaniklými plátci</w:t>
      </w:r>
      <w:r w:rsidR="00783959">
        <w:rPr>
          <w:rFonts w:cs="Calibri"/>
          <w:szCs w:val="24"/>
        </w:rPr>
        <w:t>. K</w:t>
      </w:r>
      <w:r w:rsidR="00C0576C">
        <w:rPr>
          <w:rFonts w:cs="Calibri"/>
          <w:szCs w:val="24"/>
        </w:rPr>
        <w:t> </w:t>
      </w:r>
      <w:r w:rsidR="00783959" w:rsidRPr="00783959">
        <w:rPr>
          <w:rFonts w:cs="Calibri"/>
          <w:szCs w:val="24"/>
        </w:rPr>
        <w:t>31.</w:t>
      </w:r>
      <w:r w:rsidR="00C0576C">
        <w:rPr>
          <w:rFonts w:cs="Calibri"/>
          <w:szCs w:val="24"/>
        </w:rPr>
        <w:t> </w:t>
      </w:r>
      <w:r w:rsidR="00783959" w:rsidRPr="00783959">
        <w:rPr>
          <w:rFonts w:cs="Calibri"/>
          <w:szCs w:val="24"/>
        </w:rPr>
        <w:t>12.</w:t>
      </w:r>
      <w:r w:rsidR="00C0576C">
        <w:rPr>
          <w:rFonts w:cs="Calibri"/>
          <w:szCs w:val="24"/>
        </w:rPr>
        <w:t> </w:t>
      </w:r>
      <w:r w:rsidR="00783959" w:rsidRPr="00783959">
        <w:rPr>
          <w:rFonts w:cs="Calibri"/>
          <w:szCs w:val="24"/>
        </w:rPr>
        <w:t>2022</w:t>
      </w:r>
      <w:r w:rsidR="00783959">
        <w:rPr>
          <w:rFonts w:cs="Calibri"/>
          <w:szCs w:val="24"/>
        </w:rPr>
        <w:t xml:space="preserve"> vedla ZPMV</w:t>
      </w:r>
      <w:r w:rsidR="00783959" w:rsidRPr="00783959">
        <w:rPr>
          <w:rFonts w:cs="Calibri"/>
          <w:szCs w:val="24"/>
        </w:rPr>
        <w:t xml:space="preserve"> </w:t>
      </w:r>
      <w:r w:rsidR="00783959">
        <w:rPr>
          <w:rFonts w:cs="Calibri"/>
          <w:szCs w:val="24"/>
        </w:rPr>
        <w:t>pohledávky za</w:t>
      </w:r>
      <w:r w:rsidR="006E74A7">
        <w:rPr>
          <w:rFonts w:cs="Calibri"/>
          <w:szCs w:val="24"/>
        </w:rPr>
        <w:t xml:space="preserve"> 45</w:t>
      </w:r>
      <w:r w:rsidR="00783959">
        <w:rPr>
          <w:rFonts w:cs="Calibri"/>
          <w:szCs w:val="24"/>
        </w:rPr>
        <w:t xml:space="preserve"> zaniklými plátci</w:t>
      </w:r>
      <w:r w:rsidR="00783959" w:rsidRPr="00783959">
        <w:rPr>
          <w:rFonts w:cs="Calibri"/>
          <w:szCs w:val="24"/>
        </w:rPr>
        <w:t xml:space="preserve"> v netto hodnotě 2,7 mil. Kč</w:t>
      </w:r>
      <w:r w:rsidR="00783959">
        <w:rPr>
          <w:rFonts w:cs="Calibri"/>
          <w:szCs w:val="24"/>
        </w:rPr>
        <w:t>.</w:t>
      </w:r>
      <w:r w:rsidR="00B068AE">
        <w:rPr>
          <w:rFonts w:cs="Calibri"/>
          <w:szCs w:val="24"/>
        </w:rPr>
        <w:t xml:space="preserve"> </w:t>
      </w:r>
    </w:p>
    <w:p w14:paraId="5429B20A" w14:textId="55AFF05E" w:rsidR="00724915" w:rsidRDefault="00FE118D" w:rsidP="00D723A6">
      <w:pPr>
        <w:pStyle w:val="Odstavecseseznamem"/>
        <w:widowControl/>
        <w:spacing w:before="120" w:after="120"/>
        <w:ind w:left="0"/>
        <w:contextualSpacing w:val="0"/>
        <w:rPr>
          <w:rFonts w:cs="Calibri"/>
          <w:szCs w:val="24"/>
        </w:rPr>
      </w:pPr>
      <w:r w:rsidRPr="00FE118D">
        <w:rPr>
          <w:rFonts w:cs="Calibri"/>
          <w:szCs w:val="24"/>
        </w:rPr>
        <w:t xml:space="preserve">ZPMV </w:t>
      </w:r>
      <w:r w:rsidR="00783959">
        <w:rPr>
          <w:rFonts w:cs="Calibri"/>
          <w:szCs w:val="24"/>
        </w:rPr>
        <w:t xml:space="preserve">dále </w:t>
      </w:r>
      <w:r w:rsidRPr="00FE118D">
        <w:rPr>
          <w:rFonts w:cs="Calibri"/>
          <w:szCs w:val="24"/>
        </w:rPr>
        <w:t>nevyměřila dlužné pojistné a penále v celkové výši 5,1 mil. Kč a nepřihlásila pohledávky z</w:t>
      </w:r>
      <w:r w:rsidR="00E43FA4">
        <w:rPr>
          <w:rFonts w:cs="Calibri"/>
          <w:szCs w:val="24"/>
        </w:rPr>
        <w:t> </w:t>
      </w:r>
      <w:r w:rsidRPr="00FE118D">
        <w:rPr>
          <w:rFonts w:cs="Calibri"/>
          <w:szCs w:val="24"/>
        </w:rPr>
        <w:t>veřejného zdravotního pojištění do insolvenčního řízení minimálně ve výši 2</w:t>
      </w:r>
      <w:r w:rsidR="002C14C4">
        <w:rPr>
          <w:rFonts w:cs="Calibri"/>
          <w:szCs w:val="24"/>
        </w:rPr>
        <w:t> </w:t>
      </w:r>
      <w:r w:rsidRPr="00FE118D">
        <w:rPr>
          <w:rFonts w:cs="Calibri"/>
          <w:szCs w:val="24"/>
        </w:rPr>
        <w:t>mil.</w:t>
      </w:r>
      <w:r w:rsidR="002C14C4">
        <w:rPr>
          <w:rFonts w:cs="Calibri"/>
          <w:szCs w:val="24"/>
        </w:rPr>
        <w:t> </w:t>
      </w:r>
      <w:r w:rsidRPr="00FE118D">
        <w:rPr>
          <w:rFonts w:cs="Calibri"/>
          <w:szCs w:val="24"/>
        </w:rPr>
        <w:t>Kč</w:t>
      </w:r>
      <w:r w:rsidR="00724915">
        <w:rPr>
          <w:rStyle w:val="Znakapoznpodarou"/>
          <w:szCs w:val="24"/>
        </w:rPr>
        <w:footnoteReference w:id="8"/>
      </w:r>
      <w:r w:rsidR="00B068AE">
        <w:rPr>
          <w:rFonts w:cs="Calibri"/>
          <w:szCs w:val="24"/>
        </w:rPr>
        <w:t>.</w:t>
      </w:r>
      <w:r w:rsidR="006B4B42">
        <w:rPr>
          <w:rFonts w:cs="Calibri"/>
          <w:szCs w:val="24"/>
        </w:rPr>
        <w:t xml:space="preserve"> O</w:t>
      </w:r>
      <w:r w:rsidRPr="00FE118D">
        <w:rPr>
          <w:rFonts w:cs="Calibri"/>
          <w:szCs w:val="24"/>
        </w:rPr>
        <w:t xml:space="preserve"> odpisu pohledávek z</w:t>
      </w:r>
      <w:r w:rsidR="002C14C4">
        <w:rPr>
          <w:rFonts w:cs="Calibri"/>
          <w:szCs w:val="24"/>
        </w:rPr>
        <w:t> </w:t>
      </w:r>
      <w:r w:rsidRPr="00FE118D">
        <w:rPr>
          <w:rFonts w:cs="Calibri"/>
          <w:szCs w:val="24"/>
        </w:rPr>
        <w:t>veřejného zdravotního pojištění v</w:t>
      </w:r>
      <w:r w:rsidR="00E43FA4">
        <w:rPr>
          <w:rFonts w:cs="Calibri"/>
          <w:szCs w:val="24"/>
        </w:rPr>
        <w:t> </w:t>
      </w:r>
      <w:r w:rsidRPr="00FE118D">
        <w:rPr>
          <w:rFonts w:cs="Calibri"/>
          <w:szCs w:val="24"/>
        </w:rPr>
        <w:t>celkové výši téměř 5</w:t>
      </w:r>
      <w:r w:rsidR="00C0576C">
        <w:rPr>
          <w:rFonts w:cs="Calibri"/>
          <w:szCs w:val="24"/>
        </w:rPr>
        <w:t> </w:t>
      </w:r>
      <w:r w:rsidRPr="00FE118D">
        <w:rPr>
          <w:rFonts w:cs="Calibri"/>
          <w:szCs w:val="24"/>
        </w:rPr>
        <w:t>mil.</w:t>
      </w:r>
      <w:r w:rsidR="00C0576C">
        <w:rPr>
          <w:rFonts w:cs="Calibri"/>
          <w:szCs w:val="24"/>
        </w:rPr>
        <w:t> </w:t>
      </w:r>
      <w:r w:rsidRPr="00FE118D">
        <w:rPr>
          <w:rFonts w:cs="Calibri"/>
          <w:szCs w:val="24"/>
        </w:rPr>
        <w:t xml:space="preserve">Kč za pěti plátci </w:t>
      </w:r>
      <w:r w:rsidR="006B4B42">
        <w:rPr>
          <w:rFonts w:cs="Calibri"/>
          <w:szCs w:val="24"/>
        </w:rPr>
        <w:t>účtovala ZPMV</w:t>
      </w:r>
      <w:r w:rsidRPr="00FE118D">
        <w:rPr>
          <w:rFonts w:cs="Calibri"/>
          <w:szCs w:val="24"/>
        </w:rPr>
        <w:t xml:space="preserve"> </w:t>
      </w:r>
      <w:r w:rsidR="00783959">
        <w:rPr>
          <w:rFonts w:cs="Calibri"/>
          <w:szCs w:val="24"/>
        </w:rPr>
        <w:t>v</w:t>
      </w:r>
      <w:r w:rsidR="002C14C4">
        <w:rPr>
          <w:rFonts w:cs="Calibri"/>
          <w:szCs w:val="24"/>
        </w:rPr>
        <w:t> </w:t>
      </w:r>
      <w:r w:rsidRPr="00FE118D">
        <w:rPr>
          <w:rFonts w:cs="Calibri"/>
          <w:szCs w:val="24"/>
        </w:rPr>
        <w:t>účetním období, s</w:t>
      </w:r>
      <w:r w:rsidR="00212386">
        <w:rPr>
          <w:rFonts w:cs="Calibri"/>
          <w:szCs w:val="24"/>
        </w:rPr>
        <w:t> </w:t>
      </w:r>
      <w:r w:rsidRPr="00FE118D">
        <w:rPr>
          <w:rFonts w:cs="Calibri"/>
          <w:szCs w:val="24"/>
        </w:rPr>
        <w:t>nímž</w:t>
      </w:r>
      <w:r w:rsidR="00212386">
        <w:rPr>
          <w:rFonts w:cs="Calibri"/>
          <w:szCs w:val="24"/>
        </w:rPr>
        <w:t xml:space="preserve"> tato</w:t>
      </w:r>
      <w:r w:rsidRPr="00FE118D">
        <w:rPr>
          <w:rFonts w:cs="Calibri"/>
          <w:szCs w:val="24"/>
        </w:rPr>
        <w:t xml:space="preserve"> skutečnost časově a</w:t>
      </w:r>
      <w:r w:rsidR="006E4664">
        <w:rPr>
          <w:rFonts w:cs="Calibri"/>
          <w:szCs w:val="24"/>
        </w:rPr>
        <w:t>ni</w:t>
      </w:r>
      <w:r w:rsidR="00021626">
        <w:rPr>
          <w:rFonts w:cs="Calibri"/>
          <w:szCs w:val="24"/>
        </w:rPr>
        <w:t xml:space="preserve"> </w:t>
      </w:r>
      <w:r w:rsidRPr="00FE118D">
        <w:rPr>
          <w:rFonts w:cs="Calibri"/>
          <w:szCs w:val="24"/>
        </w:rPr>
        <w:t xml:space="preserve">věcně nesouvisela. </w:t>
      </w:r>
    </w:p>
    <w:p w14:paraId="5EA00D96" w14:textId="524740B7" w:rsidR="00B42117" w:rsidRDefault="007D186D" w:rsidP="00D723A6">
      <w:pPr>
        <w:pStyle w:val="Nadpis1"/>
        <w:widowControl/>
        <w:spacing w:after="120"/>
        <w:rPr>
          <w:lang w:eastAsia="en-US"/>
        </w:rPr>
      </w:pPr>
      <w:r>
        <w:rPr>
          <w:lang w:eastAsia="en-US"/>
        </w:rPr>
        <w:t>4</w:t>
      </w:r>
      <w:r w:rsidR="00F70894">
        <w:rPr>
          <w:lang w:eastAsia="en-US"/>
        </w:rPr>
        <w:t>.</w:t>
      </w:r>
      <w:r w:rsidR="00AA3EAF">
        <w:rPr>
          <w:lang w:eastAsia="en-US"/>
        </w:rPr>
        <w:t xml:space="preserve"> </w:t>
      </w:r>
      <w:r w:rsidR="00B42117" w:rsidRPr="00B42117">
        <w:rPr>
          <w:lang w:eastAsia="en-US"/>
        </w:rPr>
        <w:t xml:space="preserve">Další skutečnosti zjištěné kontrolou </w:t>
      </w:r>
    </w:p>
    <w:p w14:paraId="77FD2055" w14:textId="2646E64C" w:rsidR="007644D2" w:rsidRPr="00542F56" w:rsidRDefault="007644D2" w:rsidP="00D723A6">
      <w:pPr>
        <w:pStyle w:val="Odstavecseseznamem"/>
        <w:widowControl/>
        <w:numPr>
          <w:ilvl w:val="0"/>
          <w:numId w:val="11"/>
        </w:numPr>
        <w:ind w:left="284" w:hanging="284"/>
        <w:rPr>
          <w:rFonts w:cs="Calibri"/>
          <w:b/>
          <w:i/>
          <w:szCs w:val="24"/>
          <w:lang w:eastAsia="en-US"/>
        </w:rPr>
      </w:pPr>
      <w:r w:rsidRPr="00542F56">
        <w:rPr>
          <w:rFonts w:cs="Calibri"/>
          <w:szCs w:val="24"/>
          <w:lang w:eastAsia="en-US"/>
        </w:rPr>
        <w:t xml:space="preserve">ZPMV nezveřejňovala </w:t>
      </w:r>
      <w:r w:rsidR="00585E85" w:rsidRPr="00542F56">
        <w:rPr>
          <w:rFonts w:cs="Calibri"/>
          <w:szCs w:val="24"/>
          <w:lang w:eastAsia="en-US"/>
        </w:rPr>
        <w:t>sml</w:t>
      </w:r>
      <w:r w:rsidRPr="00542F56">
        <w:rPr>
          <w:rFonts w:cs="Calibri"/>
          <w:szCs w:val="24"/>
          <w:lang w:eastAsia="en-US"/>
        </w:rPr>
        <w:t xml:space="preserve">ouvy dle zákona </w:t>
      </w:r>
      <w:r w:rsidR="00542F56" w:rsidRPr="00542F56">
        <w:rPr>
          <w:rFonts w:cs="Calibri"/>
          <w:szCs w:val="24"/>
          <w:lang w:eastAsia="en-US"/>
        </w:rPr>
        <w:t>č. 48/1997 Sb.</w:t>
      </w:r>
      <w:r w:rsidR="0015365D">
        <w:rPr>
          <w:rFonts w:cs="Calibri"/>
          <w:szCs w:val="24"/>
          <w:lang w:eastAsia="en-US"/>
        </w:rPr>
        <w:t xml:space="preserve"> </w:t>
      </w:r>
      <w:r w:rsidR="0015365D" w:rsidRPr="00542F56">
        <w:rPr>
          <w:rFonts w:cs="Calibri"/>
          <w:szCs w:val="24"/>
          <w:lang w:eastAsia="en-US"/>
        </w:rPr>
        <w:t>a dle zákona č. 340/2015 Sb</w:t>
      </w:r>
      <w:r w:rsidR="00E876D1">
        <w:rPr>
          <w:rFonts w:cs="Calibri"/>
          <w:szCs w:val="24"/>
          <w:lang w:eastAsia="en-US"/>
        </w:rPr>
        <w:t>.</w:t>
      </w:r>
      <w:r w:rsidR="0015365D">
        <w:rPr>
          <w:rStyle w:val="Znakapoznpodarou"/>
          <w:szCs w:val="24"/>
          <w:lang w:eastAsia="en-US"/>
        </w:rPr>
        <w:footnoteReference w:id="9"/>
      </w:r>
      <w:r w:rsidR="00252F7A" w:rsidRPr="00252F7A">
        <w:t xml:space="preserve"> </w:t>
      </w:r>
      <w:r w:rsidR="00252F7A">
        <w:rPr>
          <w:rFonts w:cs="Calibri"/>
          <w:szCs w:val="24"/>
          <w:lang w:eastAsia="en-US"/>
        </w:rPr>
        <w:t>Ve</w:t>
      </w:r>
      <w:r w:rsidR="00252F7A" w:rsidRPr="00252F7A">
        <w:rPr>
          <w:rFonts w:cs="Calibri"/>
          <w:szCs w:val="24"/>
          <w:lang w:eastAsia="en-US"/>
        </w:rPr>
        <w:t xml:space="preserve"> smlouvá</w:t>
      </w:r>
      <w:r w:rsidR="00E876D1">
        <w:rPr>
          <w:rFonts w:cs="Calibri"/>
          <w:szCs w:val="24"/>
          <w:lang w:eastAsia="en-US"/>
        </w:rPr>
        <w:t>ch</w:t>
      </w:r>
      <w:r w:rsidR="00252F7A" w:rsidRPr="00252F7A">
        <w:rPr>
          <w:rFonts w:cs="Calibri"/>
          <w:szCs w:val="24"/>
          <w:lang w:eastAsia="en-US"/>
        </w:rPr>
        <w:t xml:space="preserve"> o poskytování a úhradě hrazených služeb</w:t>
      </w:r>
      <w:r w:rsidR="0015365D">
        <w:rPr>
          <w:rFonts w:cs="Calibri"/>
          <w:szCs w:val="24"/>
          <w:lang w:eastAsia="en-US"/>
        </w:rPr>
        <w:t xml:space="preserve"> a dokumentů zveřejňovaných v registru smluv</w:t>
      </w:r>
      <w:r w:rsidR="00252F7A" w:rsidRPr="00252F7A">
        <w:rPr>
          <w:rFonts w:cs="Calibri"/>
          <w:szCs w:val="24"/>
          <w:lang w:eastAsia="en-US"/>
        </w:rPr>
        <w:t xml:space="preserve"> některé údaje znečitelnila</w:t>
      </w:r>
      <w:r w:rsidR="00E876D1">
        <w:rPr>
          <w:rFonts w:cs="Calibri"/>
          <w:szCs w:val="24"/>
          <w:lang w:eastAsia="en-US"/>
        </w:rPr>
        <w:t xml:space="preserve"> v rozporu s právními předpisy</w:t>
      </w:r>
      <w:r w:rsidR="0015365D">
        <w:rPr>
          <w:rFonts w:cs="Calibri"/>
          <w:szCs w:val="24"/>
          <w:lang w:eastAsia="en-US"/>
        </w:rPr>
        <w:t xml:space="preserve">. V registru smluv zveřejnila některé dokumenty </w:t>
      </w:r>
      <w:r w:rsidR="00E876D1">
        <w:rPr>
          <w:rFonts w:cs="Calibri"/>
          <w:szCs w:val="24"/>
          <w:lang w:eastAsia="en-US"/>
        </w:rPr>
        <w:t xml:space="preserve">až </w:t>
      </w:r>
      <w:r w:rsidR="0015365D" w:rsidRPr="0015365D">
        <w:rPr>
          <w:rFonts w:cs="Calibri"/>
          <w:szCs w:val="24"/>
          <w:lang w:eastAsia="en-US"/>
        </w:rPr>
        <w:t>po zákonných lhůtách</w:t>
      </w:r>
      <w:r w:rsidR="00021626">
        <w:rPr>
          <w:rFonts w:cs="Calibri"/>
          <w:szCs w:val="24"/>
          <w:lang w:eastAsia="en-US"/>
        </w:rPr>
        <w:t>.</w:t>
      </w:r>
    </w:p>
    <w:p w14:paraId="67EC50BF" w14:textId="38A26E8C" w:rsidR="000D648F" w:rsidRPr="000D648F" w:rsidRDefault="00490B64" w:rsidP="00D723A6">
      <w:pPr>
        <w:pStyle w:val="Odstavecseseznamem"/>
        <w:widowControl/>
        <w:numPr>
          <w:ilvl w:val="0"/>
          <w:numId w:val="11"/>
        </w:numPr>
        <w:autoSpaceDE/>
        <w:autoSpaceDN/>
        <w:adjustRightInd/>
        <w:spacing w:after="160" w:line="259" w:lineRule="auto"/>
        <w:ind w:left="284" w:hanging="284"/>
        <w:rPr>
          <w:rFonts w:asciiTheme="minorHAnsi" w:eastAsiaTheme="majorEastAsia" w:hAnsiTheme="minorHAnsi" w:cstheme="minorHAnsi"/>
          <w:b/>
          <w:bCs/>
          <w:spacing w:val="-3"/>
          <w:szCs w:val="22"/>
        </w:rPr>
      </w:pPr>
      <w:r w:rsidRPr="000D648F">
        <w:rPr>
          <w:rFonts w:cs="Calibri"/>
          <w:szCs w:val="24"/>
          <w:lang w:eastAsia="en-US"/>
        </w:rPr>
        <w:t xml:space="preserve">NKÚ kontroloval šest </w:t>
      </w:r>
      <w:r w:rsidR="00EC3AD8" w:rsidRPr="000D648F">
        <w:rPr>
          <w:rFonts w:cs="Calibri"/>
          <w:szCs w:val="24"/>
          <w:lang w:eastAsia="en-US"/>
        </w:rPr>
        <w:t>opatření k odstranění nedostatků zjištěných v KA č. 14/33</w:t>
      </w:r>
      <w:r w:rsidRPr="000D648F">
        <w:rPr>
          <w:rFonts w:cs="Calibri"/>
          <w:szCs w:val="24"/>
          <w:lang w:eastAsia="en-US"/>
        </w:rPr>
        <w:t>.</w:t>
      </w:r>
      <w:r w:rsidR="007644D2" w:rsidRPr="000D648F">
        <w:rPr>
          <w:rFonts w:cs="Calibri"/>
          <w:szCs w:val="24"/>
          <w:lang w:eastAsia="en-US"/>
        </w:rPr>
        <w:t xml:space="preserve"> </w:t>
      </w:r>
      <w:r w:rsidR="002B6888" w:rsidRPr="000D648F">
        <w:rPr>
          <w:rFonts w:cs="Calibri"/>
          <w:szCs w:val="24"/>
          <w:lang w:eastAsia="en-US"/>
        </w:rPr>
        <w:t>Jedno z</w:t>
      </w:r>
      <w:r w:rsidR="00E43FA4" w:rsidRPr="000D648F">
        <w:rPr>
          <w:rFonts w:cs="Calibri"/>
          <w:szCs w:val="24"/>
          <w:lang w:eastAsia="en-US"/>
        </w:rPr>
        <w:t> </w:t>
      </w:r>
      <w:r w:rsidR="002B6888" w:rsidRPr="000D648F">
        <w:rPr>
          <w:rFonts w:cs="Calibri"/>
          <w:szCs w:val="24"/>
          <w:lang w:eastAsia="en-US"/>
        </w:rPr>
        <w:t>o</w:t>
      </w:r>
      <w:r w:rsidRPr="000D648F">
        <w:rPr>
          <w:rFonts w:cs="Calibri"/>
          <w:szCs w:val="24"/>
          <w:lang w:eastAsia="en-US"/>
        </w:rPr>
        <w:t xml:space="preserve">patření, </w:t>
      </w:r>
      <w:r w:rsidR="007644D2" w:rsidRPr="000D648F">
        <w:rPr>
          <w:rFonts w:cs="Calibri"/>
          <w:szCs w:val="24"/>
          <w:lang w:eastAsia="en-US"/>
        </w:rPr>
        <w:t xml:space="preserve">které mělo </w:t>
      </w:r>
      <w:r w:rsidR="007A6AD7" w:rsidRPr="000D648F">
        <w:rPr>
          <w:rFonts w:cs="Calibri"/>
          <w:szCs w:val="24"/>
          <w:lang w:eastAsia="en-US"/>
        </w:rPr>
        <w:t>zajistit</w:t>
      </w:r>
      <w:r w:rsidR="007644D2" w:rsidRPr="000D648F">
        <w:rPr>
          <w:rFonts w:cs="Calibri"/>
          <w:szCs w:val="24"/>
          <w:lang w:eastAsia="en-US"/>
        </w:rPr>
        <w:t xml:space="preserve"> dodržování zákona o zadávání veřejných zakázek</w:t>
      </w:r>
      <w:r w:rsidR="002B6888" w:rsidRPr="000D648F">
        <w:rPr>
          <w:rFonts w:cs="Calibri"/>
          <w:szCs w:val="24"/>
          <w:lang w:eastAsia="en-US"/>
        </w:rPr>
        <w:t>,</w:t>
      </w:r>
      <w:r w:rsidR="007644D2" w:rsidRPr="000D648F">
        <w:rPr>
          <w:rFonts w:cs="Calibri"/>
          <w:szCs w:val="24"/>
          <w:lang w:eastAsia="en-US"/>
        </w:rPr>
        <w:t xml:space="preserve"> nebylo účinné</w:t>
      </w:r>
      <w:r w:rsidR="00E33D0D" w:rsidRPr="000D648F">
        <w:rPr>
          <w:rFonts w:cs="Calibri"/>
          <w:szCs w:val="24"/>
          <w:lang w:eastAsia="en-US"/>
        </w:rPr>
        <w:t>.</w:t>
      </w:r>
      <w:r w:rsidR="000D648F" w:rsidRPr="000D648F">
        <w:rPr>
          <w:rFonts w:asciiTheme="minorHAnsi" w:hAnsiTheme="minorHAnsi" w:cstheme="minorHAnsi"/>
          <w:bCs/>
          <w:spacing w:val="-3"/>
          <w:szCs w:val="22"/>
        </w:rPr>
        <w:br w:type="page"/>
      </w:r>
    </w:p>
    <w:p w14:paraId="0E19C3A9" w14:textId="012AF457" w:rsidR="00246D13" w:rsidRPr="006F282F" w:rsidRDefault="00091F77" w:rsidP="00D723A6">
      <w:pPr>
        <w:pStyle w:val="Nadpis1"/>
        <w:widowControl/>
        <w:spacing w:before="120" w:after="120"/>
        <w:jc w:val="center"/>
        <w:rPr>
          <w:rFonts w:asciiTheme="minorHAnsi" w:hAnsiTheme="minorHAnsi" w:cstheme="minorHAnsi"/>
          <w:color w:val="auto"/>
          <w:sz w:val="28"/>
        </w:rPr>
      </w:pPr>
      <w:r w:rsidRPr="006F282F">
        <w:rPr>
          <w:rFonts w:asciiTheme="minorHAnsi" w:hAnsiTheme="minorHAnsi" w:cstheme="minorHAnsi"/>
          <w:bCs/>
          <w:color w:val="auto"/>
          <w:spacing w:val="-3"/>
          <w:sz w:val="28"/>
          <w:szCs w:val="22"/>
        </w:rPr>
        <w:t>I</w:t>
      </w:r>
      <w:r w:rsidR="00246D13" w:rsidRPr="006F282F">
        <w:rPr>
          <w:rFonts w:asciiTheme="minorHAnsi" w:hAnsiTheme="minorHAnsi" w:cstheme="minorHAnsi"/>
          <w:bCs/>
          <w:color w:val="auto"/>
          <w:spacing w:val="-3"/>
          <w:sz w:val="28"/>
          <w:szCs w:val="22"/>
        </w:rPr>
        <w:t>I</w:t>
      </w:r>
      <w:r w:rsidR="00246D13" w:rsidRPr="006F282F">
        <w:rPr>
          <w:rFonts w:asciiTheme="minorHAnsi" w:hAnsiTheme="minorHAnsi" w:cstheme="minorHAnsi"/>
          <w:color w:val="auto"/>
          <w:sz w:val="28"/>
        </w:rPr>
        <w:t>.</w:t>
      </w:r>
      <w:r w:rsidR="004225A8" w:rsidRPr="006F282F">
        <w:rPr>
          <w:rFonts w:asciiTheme="minorHAnsi" w:hAnsiTheme="minorHAnsi" w:cstheme="minorHAnsi"/>
          <w:color w:val="auto"/>
          <w:sz w:val="28"/>
        </w:rPr>
        <w:t xml:space="preserve"> </w:t>
      </w:r>
      <w:r w:rsidR="00246D13" w:rsidRPr="006F282F">
        <w:rPr>
          <w:rFonts w:asciiTheme="minorHAnsi" w:hAnsiTheme="minorHAnsi" w:cstheme="minorHAnsi"/>
          <w:color w:val="auto"/>
          <w:sz w:val="28"/>
        </w:rPr>
        <w:t>Informace o kontrolované oblasti</w:t>
      </w:r>
    </w:p>
    <w:p w14:paraId="2F41DAA3" w14:textId="07A7E855" w:rsidR="008E74F0" w:rsidRPr="008E74F0" w:rsidRDefault="008E74F0" w:rsidP="00D723A6">
      <w:pPr>
        <w:widowControl/>
        <w:autoSpaceDE/>
        <w:autoSpaceDN/>
        <w:adjustRightInd/>
        <w:spacing w:before="120" w:after="120"/>
        <w:rPr>
          <w:rFonts w:cs="Times New Roman"/>
          <w:szCs w:val="24"/>
          <w:lang w:eastAsia="en-US"/>
        </w:rPr>
      </w:pPr>
      <w:r w:rsidRPr="002C14C4">
        <w:rPr>
          <w:rFonts w:cs="Times New Roman"/>
          <w:szCs w:val="24"/>
          <w:lang w:eastAsia="en-US"/>
        </w:rPr>
        <w:t>Zdravotní pojišťovna ministerstva vnitra České republiky</w:t>
      </w:r>
      <w:r w:rsidRPr="003D63BD">
        <w:rPr>
          <w:rFonts w:cs="Times New Roman"/>
          <w:szCs w:val="24"/>
          <w:lang w:eastAsia="en-US"/>
        </w:rPr>
        <w:t xml:space="preserve"> </w:t>
      </w:r>
      <w:r w:rsidRPr="008E74F0">
        <w:rPr>
          <w:rFonts w:cs="Times New Roman"/>
          <w:szCs w:val="24"/>
          <w:lang w:eastAsia="en-US"/>
        </w:rPr>
        <w:t>byla zřízena</w:t>
      </w:r>
      <w:r w:rsidR="007A6AD7">
        <w:rPr>
          <w:rFonts w:cs="Times New Roman"/>
          <w:szCs w:val="24"/>
          <w:lang w:eastAsia="en-US"/>
        </w:rPr>
        <w:t xml:space="preserve"> </w:t>
      </w:r>
      <w:r w:rsidR="007A6AD7" w:rsidRPr="007A6AD7">
        <w:rPr>
          <w:rFonts w:cs="Times New Roman"/>
          <w:szCs w:val="24"/>
          <w:lang w:eastAsia="en-US"/>
        </w:rPr>
        <w:t>podle zákona České národní rady č. 280/1992 Sb</w:t>
      </w:r>
      <w:r w:rsidR="007A6AD7">
        <w:rPr>
          <w:rFonts w:cs="Times New Roman"/>
          <w:szCs w:val="24"/>
          <w:lang w:eastAsia="en-US"/>
        </w:rPr>
        <w:t>.</w:t>
      </w:r>
      <w:r w:rsidRPr="008E74F0">
        <w:rPr>
          <w:rFonts w:cs="Times New Roman"/>
          <w:szCs w:val="24"/>
          <w:lang w:eastAsia="en-US"/>
        </w:rPr>
        <w:t xml:space="preserve"> rozhodnutím Ministerstva práce a sociálních věcí České republiky ze dne 1. října 1992, čj.: 23-23541/92-7. ZPMV je právnickou osobou, v právních vztazích vystupuje svým jménem, může nabývat práv a povinností a nese odpovědnost z</w:t>
      </w:r>
      <w:r w:rsidR="00E43FA4">
        <w:rPr>
          <w:rFonts w:cs="Times New Roman"/>
          <w:szCs w:val="24"/>
          <w:lang w:eastAsia="en-US"/>
        </w:rPr>
        <w:t> </w:t>
      </w:r>
      <w:r w:rsidRPr="008E74F0">
        <w:rPr>
          <w:rFonts w:cs="Times New Roman"/>
          <w:szCs w:val="24"/>
          <w:lang w:eastAsia="en-US"/>
        </w:rPr>
        <w:t>těchto vztahů vyplývající. ZPMV je</w:t>
      </w:r>
      <w:r w:rsidR="007A6AD7">
        <w:rPr>
          <w:rFonts w:cs="Times New Roman"/>
          <w:szCs w:val="24"/>
          <w:lang w:eastAsia="en-US"/>
        </w:rPr>
        <w:t xml:space="preserve"> vybranou</w:t>
      </w:r>
      <w:r w:rsidRPr="008E74F0">
        <w:rPr>
          <w:rFonts w:cs="Times New Roman"/>
          <w:szCs w:val="24"/>
          <w:lang w:eastAsia="en-US"/>
        </w:rPr>
        <w:t xml:space="preserve"> účetní jednotkou dle zákona č. 563/1991 Sb.</w:t>
      </w:r>
      <w:r w:rsidR="007A6AD7">
        <w:rPr>
          <w:rStyle w:val="Znakapoznpodarou"/>
          <w:szCs w:val="24"/>
          <w:lang w:eastAsia="en-US"/>
        </w:rPr>
        <w:footnoteReference w:id="10"/>
      </w:r>
      <w:r w:rsidRPr="008E74F0">
        <w:rPr>
          <w:rFonts w:cs="Times New Roman"/>
          <w:szCs w:val="24"/>
          <w:lang w:eastAsia="en-US"/>
        </w:rPr>
        <w:t xml:space="preserve"> a veřejným zadavatelem dle </w:t>
      </w:r>
      <w:r w:rsidR="000C46A3">
        <w:rPr>
          <w:rFonts w:cs="Times New Roman"/>
          <w:szCs w:val="24"/>
          <w:lang w:eastAsia="en-US"/>
        </w:rPr>
        <w:t xml:space="preserve">ustanovení </w:t>
      </w:r>
      <w:r w:rsidRPr="008E74F0">
        <w:rPr>
          <w:rFonts w:cs="Times New Roman"/>
          <w:szCs w:val="24"/>
          <w:lang w:eastAsia="en-US"/>
        </w:rPr>
        <w:t xml:space="preserve">§ 4 odst. 1 písm. e) zákona č. 134/2016 Sb. Zdravotní pojišťovna je dle </w:t>
      </w:r>
      <w:r w:rsidR="000C46A3">
        <w:rPr>
          <w:rFonts w:cs="Times New Roman"/>
          <w:szCs w:val="24"/>
          <w:lang w:eastAsia="en-US"/>
        </w:rPr>
        <w:t xml:space="preserve">ustanovení </w:t>
      </w:r>
      <w:r w:rsidRPr="008E74F0">
        <w:rPr>
          <w:rFonts w:cs="Times New Roman"/>
          <w:szCs w:val="24"/>
          <w:lang w:eastAsia="en-US"/>
        </w:rPr>
        <w:t>§ 46</w:t>
      </w:r>
      <w:r w:rsidR="00AC668F">
        <w:rPr>
          <w:rFonts w:cs="Times New Roman"/>
          <w:szCs w:val="24"/>
          <w:lang w:eastAsia="en-US"/>
        </w:rPr>
        <w:t xml:space="preserve"> odst. 1</w:t>
      </w:r>
      <w:r w:rsidRPr="008E74F0">
        <w:rPr>
          <w:rFonts w:cs="Times New Roman"/>
          <w:szCs w:val="24"/>
          <w:lang w:eastAsia="en-US"/>
        </w:rPr>
        <w:t xml:space="preserve"> zákona č.</w:t>
      </w:r>
      <w:r w:rsidR="005479DA">
        <w:rPr>
          <w:rFonts w:cs="Times New Roman"/>
          <w:szCs w:val="24"/>
          <w:lang w:eastAsia="en-US"/>
        </w:rPr>
        <w:t> </w:t>
      </w:r>
      <w:r w:rsidRPr="008E74F0">
        <w:rPr>
          <w:rFonts w:cs="Times New Roman"/>
          <w:szCs w:val="24"/>
          <w:lang w:eastAsia="en-US"/>
        </w:rPr>
        <w:t>48/1997</w:t>
      </w:r>
      <w:r w:rsidR="005479DA">
        <w:rPr>
          <w:rFonts w:cs="Times New Roman"/>
          <w:szCs w:val="24"/>
          <w:lang w:eastAsia="en-US"/>
        </w:rPr>
        <w:t> </w:t>
      </w:r>
      <w:r w:rsidRPr="008E74F0">
        <w:rPr>
          <w:rFonts w:cs="Times New Roman"/>
          <w:szCs w:val="24"/>
          <w:lang w:eastAsia="en-US"/>
        </w:rPr>
        <w:t>Sb. povinna zajistit poskytování hrazených služeb svým pojištěncům, včetně jejich místní a časové dostupnosti. Tuto povinnost plní prostřednictvím poskytovatelů zdravotních služeb (dále také „PZS“</w:t>
      </w:r>
      <w:r w:rsidR="003B67E8">
        <w:rPr>
          <w:rFonts w:cs="Times New Roman"/>
          <w:szCs w:val="24"/>
          <w:lang w:eastAsia="en-US"/>
        </w:rPr>
        <w:t xml:space="preserve"> </w:t>
      </w:r>
      <w:r w:rsidR="003B67E8">
        <w:rPr>
          <w:rFonts w:cs="Calibri"/>
          <w:szCs w:val="24"/>
        </w:rPr>
        <w:t>nebo „poskytovatelé“</w:t>
      </w:r>
      <w:r w:rsidRPr="008E74F0">
        <w:rPr>
          <w:rFonts w:cs="Times New Roman"/>
          <w:szCs w:val="24"/>
          <w:lang w:eastAsia="en-US"/>
        </w:rPr>
        <w:t>), se kterými uzavřela smlouvu o</w:t>
      </w:r>
      <w:r w:rsidR="000C46A3">
        <w:rPr>
          <w:rFonts w:cs="Times New Roman"/>
          <w:szCs w:val="24"/>
          <w:lang w:eastAsia="en-US"/>
        </w:rPr>
        <w:t> </w:t>
      </w:r>
      <w:r w:rsidRPr="008E74F0">
        <w:rPr>
          <w:rFonts w:cs="Times New Roman"/>
          <w:szCs w:val="24"/>
          <w:lang w:eastAsia="en-US"/>
        </w:rPr>
        <w:t>poskytování a úhradě hrazených služeb.</w:t>
      </w:r>
    </w:p>
    <w:p w14:paraId="5B49081B" w14:textId="0E286BC6" w:rsidR="00246D13" w:rsidRPr="00F46701" w:rsidRDefault="00EE4546" w:rsidP="00D723A6">
      <w:pPr>
        <w:widowControl/>
        <w:autoSpaceDE/>
        <w:autoSpaceDN/>
        <w:adjustRightInd/>
        <w:spacing w:before="120" w:after="120"/>
        <w:rPr>
          <w:rFonts w:cs="Times New Roman"/>
          <w:szCs w:val="24"/>
          <w:lang w:eastAsia="en-US"/>
        </w:rPr>
      </w:pPr>
      <w:r w:rsidRPr="00EE4546">
        <w:rPr>
          <w:rFonts w:cs="Times New Roman"/>
          <w:szCs w:val="24"/>
          <w:lang w:eastAsia="en-US"/>
        </w:rPr>
        <w:t>Základním cílem zdravotní politiky ZPMV je vytvářet podmínky pro smluvní zajištění dostupných, komplexních a kvalifikovaných zdravotních služeb pro své pojištěnce na celém území České republiky.</w:t>
      </w:r>
      <w:r w:rsidR="00805312" w:rsidRPr="00805312">
        <w:rPr>
          <w:rFonts w:cs="Times New Roman"/>
          <w:szCs w:val="24"/>
          <w:lang w:eastAsia="en-US"/>
        </w:rPr>
        <w:t xml:space="preserve"> Činností pojišťovny je mj. provádění veřejného zdravotního pojištění, výběr pojistného na</w:t>
      </w:r>
      <w:r w:rsidR="00C0576C">
        <w:rPr>
          <w:rFonts w:cs="Times New Roman"/>
          <w:szCs w:val="24"/>
          <w:lang w:eastAsia="en-US"/>
        </w:rPr>
        <w:t> </w:t>
      </w:r>
      <w:r w:rsidR="00805312" w:rsidRPr="00805312">
        <w:rPr>
          <w:rFonts w:cs="Times New Roman"/>
          <w:szCs w:val="24"/>
          <w:lang w:eastAsia="en-US"/>
        </w:rPr>
        <w:t>zdravotní pojištění, kontrola tohoto výběru a zprostředkování úhrad za</w:t>
      </w:r>
      <w:r w:rsidR="000A2ADA">
        <w:rPr>
          <w:rFonts w:cs="Times New Roman"/>
          <w:szCs w:val="24"/>
          <w:lang w:eastAsia="en-US"/>
        </w:rPr>
        <w:t> </w:t>
      </w:r>
      <w:r w:rsidR="00805312" w:rsidRPr="00805312">
        <w:rPr>
          <w:rFonts w:cs="Times New Roman"/>
          <w:szCs w:val="24"/>
          <w:lang w:eastAsia="en-US"/>
        </w:rPr>
        <w:t>zdravotní služby plně nebo částečně hrazené ze zdravotního pojištění. ZPMV hospodaří s</w:t>
      </w:r>
      <w:r w:rsidR="00961084">
        <w:rPr>
          <w:rFonts w:cs="Times New Roman"/>
          <w:szCs w:val="24"/>
          <w:lang w:eastAsia="en-US"/>
        </w:rPr>
        <w:t> </w:t>
      </w:r>
      <w:r w:rsidR="00805312" w:rsidRPr="00805312">
        <w:rPr>
          <w:rFonts w:cs="Times New Roman"/>
          <w:szCs w:val="24"/>
          <w:lang w:eastAsia="en-US"/>
        </w:rPr>
        <w:t>vlastním majetkem a</w:t>
      </w:r>
      <w:r w:rsidR="00C0576C">
        <w:rPr>
          <w:rFonts w:cs="Times New Roman"/>
          <w:szCs w:val="24"/>
          <w:lang w:eastAsia="en-US"/>
        </w:rPr>
        <w:t> </w:t>
      </w:r>
      <w:r w:rsidR="00805312" w:rsidRPr="00805312">
        <w:rPr>
          <w:rFonts w:cs="Times New Roman"/>
          <w:szCs w:val="24"/>
          <w:lang w:eastAsia="en-US"/>
        </w:rPr>
        <w:t xml:space="preserve">majetkem jí svěřeným. Organizační strukturu pojišťovny tvoří </w:t>
      </w:r>
      <w:r w:rsidR="00AC668F" w:rsidRPr="00AC668F">
        <w:rPr>
          <w:rFonts w:cs="Times New Roman"/>
          <w:szCs w:val="24"/>
          <w:lang w:eastAsia="en-US"/>
        </w:rPr>
        <w:t>orgány pojišťovny, ředitelství pojišťovny a divize pojišťovny</w:t>
      </w:r>
      <w:r w:rsidR="00805312" w:rsidRPr="00805312">
        <w:rPr>
          <w:rFonts w:cs="Times New Roman"/>
          <w:szCs w:val="24"/>
          <w:lang w:eastAsia="en-US"/>
        </w:rPr>
        <w:t xml:space="preserve">. Divize pojišťovny nemají vlastní právní osobnost a vykonávají činnost jménem pojišťovny. </w:t>
      </w:r>
      <w:r w:rsidR="00AC668F" w:rsidRPr="00AC668F">
        <w:rPr>
          <w:rFonts w:cs="Times New Roman"/>
          <w:szCs w:val="24"/>
          <w:lang w:eastAsia="en-US"/>
        </w:rPr>
        <w:t>Vnitřní členění pojišťovny, působnost a</w:t>
      </w:r>
      <w:r w:rsidR="00E43FA4">
        <w:rPr>
          <w:rFonts w:cs="Times New Roman"/>
          <w:szCs w:val="24"/>
          <w:lang w:eastAsia="en-US"/>
        </w:rPr>
        <w:t> </w:t>
      </w:r>
      <w:r w:rsidR="00AC668F" w:rsidRPr="00AC668F">
        <w:rPr>
          <w:rFonts w:cs="Times New Roman"/>
          <w:szCs w:val="24"/>
          <w:lang w:eastAsia="en-US"/>
        </w:rPr>
        <w:t>činnost jednotlivých útvarů pojišťovny upravuje organizační řád pojišťovny</w:t>
      </w:r>
      <w:r w:rsidR="00805312" w:rsidRPr="00805312">
        <w:rPr>
          <w:rFonts w:cs="Times New Roman"/>
          <w:szCs w:val="24"/>
          <w:lang w:eastAsia="en-US"/>
        </w:rPr>
        <w:t>.</w:t>
      </w:r>
    </w:p>
    <w:p w14:paraId="046BC99D" w14:textId="1D431F10" w:rsidR="005479DA" w:rsidRDefault="005479DA" w:rsidP="00D723A6">
      <w:pPr>
        <w:widowControl/>
        <w:autoSpaceDE/>
        <w:autoSpaceDN/>
        <w:adjustRightInd/>
        <w:rPr>
          <w:rFonts w:cs="Times New Roman"/>
          <w:szCs w:val="24"/>
          <w:lang w:eastAsia="en-US"/>
        </w:rPr>
      </w:pPr>
      <w:r w:rsidRPr="005479DA">
        <w:rPr>
          <w:rFonts w:cs="Times New Roman"/>
          <w:szCs w:val="24"/>
          <w:lang w:eastAsia="en-US"/>
        </w:rPr>
        <w:t xml:space="preserve">ZPMV </w:t>
      </w:r>
      <w:r w:rsidR="002C14C4">
        <w:rPr>
          <w:rFonts w:cs="Times New Roman"/>
          <w:szCs w:val="24"/>
          <w:lang w:eastAsia="en-US"/>
        </w:rPr>
        <w:t>ze zákona</w:t>
      </w:r>
      <w:r w:rsidR="009A72AD">
        <w:rPr>
          <w:rStyle w:val="Znakapoznpodarou"/>
          <w:szCs w:val="24"/>
          <w:lang w:eastAsia="en-US"/>
        </w:rPr>
        <w:footnoteReference w:id="11"/>
      </w:r>
      <w:r w:rsidR="002C14C4">
        <w:rPr>
          <w:rFonts w:cs="Times New Roman"/>
          <w:szCs w:val="24"/>
          <w:lang w:eastAsia="en-US"/>
        </w:rPr>
        <w:t xml:space="preserve"> </w:t>
      </w:r>
      <w:r w:rsidRPr="005479DA">
        <w:rPr>
          <w:rFonts w:cs="Times New Roman"/>
          <w:szCs w:val="24"/>
          <w:lang w:eastAsia="en-US"/>
        </w:rPr>
        <w:t xml:space="preserve">vytváří a spravuje </w:t>
      </w:r>
      <w:r w:rsidR="002C14C4">
        <w:rPr>
          <w:rFonts w:cs="Times New Roman"/>
          <w:szCs w:val="24"/>
          <w:lang w:eastAsia="en-US"/>
        </w:rPr>
        <w:t>tyto fondy</w:t>
      </w:r>
      <w:r w:rsidRPr="005479DA">
        <w:rPr>
          <w:rFonts w:cs="Times New Roman"/>
          <w:szCs w:val="24"/>
          <w:lang w:eastAsia="en-US"/>
        </w:rPr>
        <w:t>:</w:t>
      </w:r>
    </w:p>
    <w:p w14:paraId="5C7DC428" w14:textId="77777777" w:rsidR="005479DA" w:rsidRPr="005479DA" w:rsidRDefault="005479DA" w:rsidP="00D723A6">
      <w:pPr>
        <w:pStyle w:val="Odstavecseseznamem"/>
        <w:widowControl/>
        <w:numPr>
          <w:ilvl w:val="0"/>
          <w:numId w:val="12"/>
        </w:numPr>
        <w:autoSpaceDE/>
        <w:autoSpaceDN/>
        <w:adjustRightInd/>
        <w:ind w:left="284" w:hanging="284"/>
        <w:rPr>
          <w:rFonts w:cs="Times New Roman"/>
          <w:szCs w:val="24"/>
          <w:lang w:eastAsia="en-US"/>
        </w:rPr>
      </w:pPr>
      <w:r w:rsidRPr="005479DA">
        <w:rPr>
          <w:rFonts w:cs="Times New Roman"/>
          <w:szCs w:val="24"/>
          <w:lang w:eastAsia="en-US"/>
        </w:rPr>
        <w:t>základní fond zdravotního pojištění</w:t>
      </w:r>
      <w:r w:rsidR="000D2BA8">
        <w:rPr>
          <w:rFonts w:cs="Times New Roman"/>
          <w:szCs w:val="24"/>
          <w:lang w:eastAsia="en-US"/>
        </w:rPr>
        <w:t>;</w:t>
      </w:r>
    </w:p>
    <w:p w14:paraId="5FDB0A6C" w14:textId="77777777" w:rsidR="005479DA" w:rsidRPr="005479DA" w:rsidRDefault="005479DA" w:rsidP="00D723A6">
      <w:pPr>
        <w:pStyle w:val="Odstavecseseznamem"/>
        <w:widowControl/>
        <w:numPr>
          <w:ilvl w:val="0"/>
          <w:numId w:val="12"/>
        </w:numPr>
        <w:autoSpaceDE/>
        <w:autoSpaceDN/>
        <w:adjustRightInd/>
        <w:ind w:left="284" w:hanging="284"/>
        <w:rPr>
          <w:rFonts w:cs="Times New Roman"/>
          <w:szCs w:val="24"/>
          <w:lang w:eastAsia="en-US"/>
        </w:rPr>
      </w:pPr>
      <w:r w:rsidRPr="005479DA">
        <w:rPr>
          <w:rFonts w:cs="Times New Roman"/>
          <w:szCs w:val="24"/>
          <w:lang w:eastAsia="en-US"/>
        </w:rPr>
        <w:t>rezervní fond</w:t>
      </w:r>
      <w:r w:rsidR="000D2BA8">
        <w:rPr>
          <w:rFonts w:cs="Times New Roman"/>
          <w:szCs w:val="24"/>
          <w:lang w:eastAsia="en-US"/>
        </w:rPr>
        <w:t>;</w:t>
      </w:r>
    </w:p>
    <w:p w14:paraId="712BAD8B" w14:textId="77777777" w:rsidR="005479DA" w:rsidRPr="005479DA" w:rsidRDefault="005479DA" w:rsidP="00D723A6">
      <w:pPr>
        <w:pStyle w:val="Odstavecseseznamem"/>
        <w:widowControl/>
        <w:numPr>
          <w:ilvl w:val="0"/>
          <w:numId w:val="12"/>
        </w:numPr>
        <w:autoSpaceDE/>
        <w:autoSpaceDN/>
        <w:adjustRightInd/>
        <w:ind w:left="284" w:hanging="284"/>
        <w:rPr>
          <w:rFonts w:cs="Times New Roman"/>
          <w:szCs w:val="24"/>
          <w:lang w:eastAsia="en-US"/>
        </w:rPr>
      </w:pPr>
      <w:r w:rsidRPr="005479DA">
        <w:rPr>
          <w:rFonts w:cs="Times New Roman"/>
          <w:szCs w:val="24"/>
          <w:lang w:eastAsia="en-US"/>
        </w:rPr>
        <w:t>provozní fond</w:t>
      </w:r>
      <w:r w:rsidR="000D2BA8">
        <w:rPr>
          <w:rFonts w:cs="Times New Roman"/>
          <w:szCs w:val="24"/>
          <w:lang w:eastAsia="en-US"/>
        </w:rPr>
        <w:t>;</w:t>
      </w:r>
    </w:p>
    <w:p w14:paraId="33ADA54F" w14:textId="77777777" w:rsidR="005479DA" w:rsidRPr="005479DA" w:rsidRDefault="005479DA" w:rsidP="00D723A6">
      <w:pPr>
        <w:pStyle w:val="Odstavecseseznamem"/>
        <w:widowControl/>
        <w:numPr>
          <w:ilvl w:val="0"/>
          <w:numId w:val="12"/>
        </w:numPr>
        <w:autoSpaceDE/>
        <w:autoSpaceDN/>
        <w:adjustRightInd/>
        <w:ind w:left="284" w:hanging="284"/>
        <w:rPr>
          <w:rFonts w:cs="Times New Roman"/>
          <w:szCs w:val="24"/>
          <w:lang w:eastAsia="en-US"/>
        </w:rPr>
      </w:pPr>
      <w:r w:rsidRPr="005479DA">
        <w:rPr>
          <w:rFonts w:cs="Times New Roman"/>
          <w:szCs w:val="24"/>
          <w:lang w:eastAsia="en-US"/>
        </w:rPr>
        <w:t>sociální fond</w:t>
      </w:r>
      <w:r w:rsidR="000D2BA8">
        <w:rPr>
          <w:rFonts w:cs="Times New Roman"/>
          <w:szCs w:val="24"/>
          <w:lang w:eastAsia="en-US"/>
        </w:rPr>
        <w:t>;</w:t>
      </w:r>
    </w:p>
    <w:p w14:paraId="27AB8C43" w14:textId="77777777" w:rsidR="005479DA" w:rsidRPr="005479DA" w:rsidRDefault="005479DA" w:rsidP="00D723A6">
      <w:pPr>
        <w:pStyle w:val="Odstavecseseznamem"/>
        <w:widowControl/>
        <w:numPr>
          <w:ilvl w:val="0"/>
          <w:numId w:val="12"/>
        </w:numPr>
        <w:autoSpaceDE/>
        <w:autoSpaceDN/>
        <w:adjustRightInd/>
        <w:ind w:left="284" w:hanging="284"/>
        <w:rPr>
          <w:rFonts w:cs="Times New Roman"/>
          <w:szCs w:val="24"/>
          <w:lang w:eastAsia="en-US"/>
        </w:rPr>
      </w:pPr>
      <w:r w:rsidRPr="005479DA">
        <w:rPr>
          <w:rFonts w:cs="Times New Roman"/>
          <w:szCs w:val="24"/>
          <w:lang w:eastAsia="en-US"/>
        </w:rPr>
        <w:t>fond investičního majetku</w:t>
      </w:r>
      <w:r w:rsidR="000D2BA8">
        <w:rPr>
          <w:rFonts w:cs="Times New Roman"/>
          <w:szCs w:val="24"/>
          <w:lang w:eastAsia="en-US"/>
        </w:rPr>
        <w:t>;</w:t>
      </w:r>
      <w:r w:rsidRPr="005479DA">
        <w:rPr>
          <w:rFonts w:cs="Times New Roman"/>
          <w:szCs w:val="24"/>
          <w:lang w:eastAsia="en-US"/>
        </w:rPr>
        <w:t xml:space="preserve"> </w:t>
      </w:r>
    </w:p>
    <w:p w14:paraId="7B30A188" w14:textId="77777777" w:rsidR="005479DA" w:rsidRPr="005479DA" w:rsidRDefault="005479DA" w:rsidP="00D723A6">
      <w:pPr>
        <w:pStyle w:val="Odstavecseseznamem"/>
        <w:widowControl/>
        <w:numPr>
          <w:ilvl w:val="0"/>
          <w:numId w:val="12"/>
        </w:numPr>
        <w:autoSpaceDE/>
        <w:autoSpaceDN/>
        <w:adjustRightInd/>
        <w:ind w:left="284" w:hanging="284"/>
        <w:rPr>
          <w:rFonts w:cs="Times New Roman"/>
          <w:szCs w:val="24"/>
          <w:lang w:eastAsia="en-US"/>
        </w:rPr>
      </w:pPr>
      <w:r w:rsidRPr="005479DA">
        <w:rPr>
          <w:rFonts w:cs="Times New Roman"/>
          <w:szCs w:val="24"/>
          <w:lang w:eastAsia="en-US"/>
        </w:rPr>
        <w:t>fond reprodukce investičního majetku.</w:t>
      </w:r>
    </w:p>
    <w:p w14:paraId="26D039C9" w14:textId="78FCC3F3" w:rsidR="00872E48" w:rsidRDefault="00760EFC" w:rsidP="00D723A6">
      <w:pPr>
        <w:widowControl/>
        <w:autoSpaceDE/>
        <w:autoSpaceDN/>
        <w:adjustRightInd/>
        <w:spacing w:before="120" w:after="120"/>
        <w:rPr>
          <w:rFonts w:cs="Times New Roman"/>
          <w:szCs w:val="24"/>
          <w:highlight w:val="yellow"/>
          <w:lang w:eastAsia="en-US"/>
        </w:rPr>
      </w:pPr>
      <w:r w:rsidRPr="00017A9B">
        <w:rPr>
          <w:rFonts w:cs="Times New Roman"/>
          <w:szCs w:val="24"/>
          <w:lang w:eastAsia="en-US"/>
        </w:rPr>
        <w:t>Ze základního</w:t>
      </w:r>
      <w:r w:rsidR="00617F56" w:rsidRPr="00017A9B">
        <w:rPr>
          <w:rFonts w:cs="Times New Roman"/>
          <w:szCs w:val="24"/>
          <w:lang w:eastAsia="en-US"/>
        </w:rPr>
        <w:t xml:space="preserve"> fondu </w:t>
      </w:r>
      <w:r w:rsidR="00617F56" w:rsidRPr="00617F56">
        <w:rPr>
          <w:rFonts w:cs="Times New Roman"/>
          <w:szCs w:val="24"/>
          <w:lang w:eastAsia="en-US"/>
        </w:rPr>
        <w:t>zdravotního pojištění</w:t>
      </w:r>
      <w:r w:rsidR="00FE2591">
        <w:rPr>
          <w:rFonts w:cs="Times New Roman"/>
          <w:szCs w:val="24"/>
          <w:lang w:eastAsia="en-US"/>
        </w:rPr>
        <w:t xml:space="preserve"> (dále také „ZF“)</w:t>
      </w:r>
      <w:r w:rsidR="00617F56">
        <w:rPr>
          <w:rFonts w:cs="Times New Roman"/>
          <w:szCs w:val="24"/>
          <w:lang w:eastAsia="en-US"/>
        </w:rPr>
        <w:t xml:space="preserve"> </w:t>
      </w:r>
      <w:r w:rsidR="00617F56" w:rsidRPr="00617F56">
        <w:rPr>
          <w:rFonts w:cs="Times New Roman"/>
          <w:szCs w:val="24"/>
          <w:lang w:eastAsia="en-US"/>
        </w:rPr>
        <w:t xml:space="preserve">je </w:t>
      </w:r>
      <w:r w:rsidR="00617F56">
        <w:rPr>
          <w:rFonts w:cs="Times New Roman"/>
          <w:szCs w:val="24"/>
          <w:lang w:eastAsia="en-US"/>
        </w:rPr>
        <w:t xml:space="preserve">hrazena </w:t>
      </w:r>
      <w:r w:rsidR="00617F56" w:rsidRPr="00617F56">
        <w:rPr>
          <w:rFonts w:cs="Times New Roman"/>
          <w:szCs w:val="24"/>
          <w:lang w:eastAsia="en-US"/>
        </w:rPr>
        <w:t>zdravotní péče</w:t>
      </w:r>
      <w:r w:rsidR="00617F56">
        <w:rPr>
          <w:rFonts w:cs="Times New Roman"/>
          <w:szCs w:val="24"/>
          <w:lang w:eastAsia="en-US"/>
        </w:rPr>
        <w:t xml:space="preserve"> (léčebná,</w:t>
      </w:r>
      <w:r w:rsidR="00617F56" w:rsidRPr="00617F56">
        <w:rPr>
          <w:rFonts w:cs="Times New Roman"/>
          <w:szCs w:val="24"/>
          <w:lang w:eastAsia="en-US"/>
        </w:rPr>
        <w:t xml:space="preserve"> preventivní, diagnostická, léčebná, lékárenská, lázeňská léčebně rehabilitační</w:t>
      </w:r>
      <w:r w:rsidR="00617F56">
        <w:rPr>
          <w:rFonts w:cs="Times New Roman"/>
          <w:szCs w:val="24"/>
          <w:lang w:eastAsia="en-US"/>
        </w:rPr>
        <w:t xml:space="preserve"> a další)</w:t>
      </w:r>
      <w:r w:rsidR="00617F56" w:rsidRPr="00617F56">
        <w:rPr>
          <w:rFonts w:cs="Times New Roman"/>
          <w:szCs w:val="24"/>
          <w:lang w:eastAsia="en-US"/>
        </w:rPr>
        <w:t>.</w:t>
      </w:r>
      <w:r w:rsidR="00617F56">
        <w:rPr>
          <w:rFonts w:cs="Times New Roman"/>
          <w:szCs w:val="24"/>
          <w:lang w:eastAsia="en-US"/>
        </w:rPr>
        <w:t xml:space="preserve"> </w:t>
      </w:r>
      <w:r w:rsidR="00617F56" w:rsidRPr="00617F56">
        <w:rPr>
          <w:rFonts w:cs="Times New Roman"/>
          <w:szCs w:val="24"/>
          <w:lang w:eastAsia="en-US"/>
        </w:rPr>
        <w:t>Hrazené j</w:t>
      </w:r>
      <w:r w:rsidR="00617F56">
        <w:rPr>
          <w:rFonts w:cs="Times New Roman"/>
          <w:szCs w:val="24"/>
          <w:lang w:eastAsia="en-US"/>
        </w:rPr>
        <w:t>sou</w:t>
      </w:r>
      <w:r w:rsidR="00617F56" w:rsidRPr="00617F56">
        <w:rPr>
          <w:rFonts w:cs="Times New Roman"/>
          <w:szCs w:val="24"/>
          <w:lang w:eastAsia="en-US"/>
        </w:rPr>
        <w:t xml:space="preserve"> t</w:t>
      </w:r>
      <w:r w:rsidR="00617F56">
        <w:rPr>
          <w:rFonts w:cs="Times New Roman"/>
          <w:szCs w:val="24"/>
          <w:lang w:eastAsia="en-US"/>
        </w:rPr>
        <w:t>aké</w:t>
      </w:r>
      <w:r w:rsidR="00617F56" w:rsidRPr="00617F56">
        <w:rPr>
          <w:rFonts w:cs="Times New Roman"/>
          <w:szCs w:val="24"/>
          <w:lang w:eastAsia="en-US"/>
        </w:rPr>
        <w:t xml:space="preserve"> léčiv</w:t>
      </w:r>
      <w:r w:rsidR="00617F56">
        <w:rPr>
          <w:rFonts w:cs="Times New Roman"/>
          <w:szCs w:val="24"/>
          <w:lang w:eastAsia="en-US"/>
        </w:rPr>
        <w:t>é</w:t>
      </w:r>
      <w:r w:rsidR="00617F56" w:rsidRPr="00617F56">
        <w:rPr>
          <w:rFonts w:cs="Times New Roman"/>
          <w:szCs w:val="24"/>
          <w:lang w:eastAsia="en-US"/>
        </w:rPr>
        <w:t xml:space="preserve"> přípravk</w:t>
      </w:r>
      <w:r w:rsidR="00617F56">
        <w:rPr>
          <w:rFonts w:cs="Times New Roman"/>
          <w:szCs w:val="24"/>
          <w:lang w:eastAsia="en-US"/>
        </w:rPr>
        <w:t>y</w:t>
      </w:r>
      <w:r w:rsidR="00617F56" w:rsidRPr="00617F56">
        <w:rPr>
          <w:rFonts w:cs="Times New Roman"/>
          <w:szCs w:val="24"/>
          <w:lang w:eastAsia="en-US"/>
        </w:rPr>
        <w:t>, zdravotnick</w:t>
      </w:r>
      <w:r w:rsidR="00017A9B">
        <w:rPr>
          <w:rFonts w:cs="Times New Roman"/>
          <w:szCs w:val="24"/>
          <w:lang w:eastAsia="en-US"/>
        </w:rPr>
        <w:t>é</w:t>
      </w:r>
      <w:r w:rsidR="00617F56" w:rsidRPr="00617F56">
        <w:rPr>
          <w:rFonts w:cs="Times New Roman"/>
          <w:szCs w:val="24"/>
          <w:lang w:eastAsia="en-US"/>
        </w:rPr>
        <w:t xml:space="preserve"> prostředk</w:t>
      </w:r>
      <w:r w:rsidR="00017A9B">
        <w:rPr>
          <w:rFonts w:cs="Times New Roman"/>
          <w:szCs w:val="24"/>
          <w:lang w:eastAsia="en-US"/>
        </w:rPr>
        <w:t>y,</w:t>
      </w:r>
      <w:r w:rsidR="00617F56" w:rsidRPr="00617F56">
        <w:rPr>
          <w:rFonts w:cs="Times New Roman"/>
          <w:szCs w:val="24"/>
          <w:lang w:eastAsia="en-US"/>
        </w:rPr>
        <w:t xml:space="preserve"> stomatologick</w:t>
      </w:r>
      <w:r w:rsidR="00017A9B">
        <w:rPr>
          <w:rFonts w:cs="Times New Roman"/>
          <w:szCs w:val="24"/>
          <w:lang w:eastAsia="en-US"/>
        </w:rPr>
        <w:t>é</w:t>
      </w:r>
      <w:r w:rsidR="00617F56" w:rsidRPr="00617F56">
        <w:rPr>
          <w:rFonts w:cs="Times New Roman"/>
          <w:szCs w:val="24"/>
          <w:lang w:eastAsia="en-US"/>
        </w:rPr>
        <w:t xml:space="preserve"> výrobk</w:t>
      </w:r>
      <w:r w:rsidR="00017A9B">
        <w:rPr>
          <w:rFonts w:cs="Times New Roman"/>
          <w:szCs w:val="24"/>
          <w:lang w:eastAsia="en-US"/>
        </w:rPr>
        <w:t>y aj</w:t>
      </w:r>
      <w:r w:rsidR="00617F56" w:rsidRPr="00617F56">
        <w:rPr>
          <w:rFonts w:cs="Times New Roman"/>
          <w:szCs w:val="24"/>
          <w:lang w:eastAsia="en-US"/>
        </w:rPr>
        <w:t>.</w:t>
      </w:r>
      <w:r w:rsidR="00F33159">
        <w:rPr>
          <w:rFonts w:cs="Times New Roman"/>
          <w:szCs w:val="24"/>
          <w:lang w:eastAsia="en-US"/>
        </w:rPr>
        <w:t xml:space="preserve"> Zároveň z něj jsou poskytovány příděly jiným fondům pojišťovny</w:t>
      </w:r>
      <w:r w:rsidR="00F33159" w:rsidRPr="00F33159">
        <w:rPr>
          <w:rFonts w:cs="Times New Roman"/>
          <w:szCs w:val="24"/>
          <w:lang w:eastAsia="en-US"/>
        </w:rPr>
        <w:t>.</w:t>
      </w:r>
      <w:r w:rsidRPr="00F33159">
        <w:rPr>
          <w:rFonts w:cs="Times New Roman"/>
          <w:szCs w:val="24"/>
          <w:lang w:eastAsia="en-US"/>
        </w:rPr>
        <w:t xml:space="preserve"> </w:t>
      </w:r>
      <w:r w:rsidR="00017A9B" w:rsidRPr="00F33159">
        <w:rPr>
          <w:rFonts w:cs="Times New Roman"/>
          <w:szCs w:val="24"/>
          <w:lang w:eastAsia="en-US"/>
        </w:rPr>
        <w:t>Provozní fond slouží k financování provozu pojišťovny (mzdové náklady, energie</w:t>
      </w:r>
      <w:r w:rsidR="00F33159" w:rsidRPr="00F33159">
        <w:rPr>
          <w:rFonts w:cs="Times New Roman"/>
          <w:szCs w:val="24"/>
          <w:lang w:eastAsia="en-US"/>
        </w:rPr>
        <w:t>, nájemné, propagace a jiné služby aj.)</w:t>
      </w:r>
      <w:r w:rsidR="00017A9B" w:rsidRPr="00F33159">
        <w:rPr>
          <w:rFonts w:cs="Times New Roman"/>
          <w:szCs w:val="24"/>
          <w:lang w:eastAsia="en-US"/>
        </w:rPr>
        <w:t>.</w:t>
      </w:r>
      <w:r w:rsidR="0004503A">
        <w:rPr>
          <w:rFonts w:cs="Times New Roman"/>
          <w:szCs w:val="24"/>
          <w:lang w:eastAsia="en-US"/>
        </w:rPr>
        <w:t xml:space="preserve"> </w:t>
      </w:r>
      <w:r w:rsidR="0004503A" w:rsidRPr="005479DA">
        <w:rPr>
          <w:rFonts w:cs="Times New Roman"/>
          <w:szCs w:val="24"/>
          <w:lang w:eastAsia="en-US"/>
        </w:rPr>
        <w:t xml:space="preserve">ZPMV může dle zákona </w:t>
      </w:r>
      <w:r w:rsidR="0004503A" w:rsidRPr="009A72AD">
        <w:rPr>
          <w:rFonts w:cs="Times New Roman"/>
          <w:szCs w:val="24"/>
          <w:lang w:eastAsia="en-US"/>
        </w:rPr>
        <w:t>České národní rady</w:t>
      </w:r>
      <w:r w:rsidR="0004503A" w:rsidRPr="005479DA">
        <w:rPr>
          <w:rFonts w:cs="Times New Roman"/>
          <w:szCs w:val="24"/>
          <w:lang w:eastAsia="en-US"/>
        </w:rPr>
        <w:t xml:space="preserve"> č. 280/1992 Sb. vytvářet fond prevence</w:t>
      </w:r>
      <w:r w:rsidR="0004503A">
        <w:rPr>
          <w:rStyle w:val="Znakapoznpodarou"/>
          <w:szCs w:val="24"/>
          <w:lang w:eastAsia="en-US"/>
        </w:rPr>
        <w:footnoteReference w:id="12"/>
      </w:r>
      <w:r w:rsidR="0004503A">
        <w:rPr>
          <w:rFonts w:cs="Times New Roman"/>
          <w:szCs w:val="24"/>
          <w:lang w:eastAsia="en-US"/>
        </w:rPr>
        <w:t xml:space="preserve"> (dále také „FP“)</w:t>
      </w:r>
      <w:r w:rsidR="0004503A" w:rsidRPr="005479DA">
        <w:rPr>
          <w:rFonts w:cs="Times New Roman"/>
          <w:szCs w:val="24"/>
          <w:lang w:eastAsia="en-US"/>
        </w:rPr>
        <w:t>.</w:t>
      </w:r>
      <w:r w:rsidR="00F33159" w:rsidRPr="00F33159">
        <w:rPr>
          <w:rFonts w:cs="Times New Roman"/>
          <w:szCs w:val="24"/>
          <w:lang w:eastAsia="en-US"/>
        </w:rPr>
        <w:t xml:space="preserve"> Z fondu prevence lze hradit </w:t>
      </w:r>
      <w:r w:rsidR="00F33159">
        <w:rPr>
          <w:rFonts w:cs="Times New Roman"/>
          <w:szCs w:val="24"/>
          <w:lang w:eastAsia="en-US"/>
        </w:rPr>
        <w:t>zdravotní služby</w:t>
      </w:r>
      <w:r w:rsidR="00F33159" w:rsidRPr="00F33159">
        <w:rPr>
          <w:rFonts w:cs="Times New Roman"/>
          <w:szCs w:val="24"/>
          <w:lang w:eastAsia="en-US"/>
        </w:rPr>
        <w:t xml:space="preserve"> nad rámec hrazených</w:t>
      </w:r>
      <w:r w:rsidR="00F33159">
        <w:rPr>
          <w:rFonts w:cs="Times New Roman"/>
          <w:szCs w:val="24"/>
          <w:lang w:eastAsia="en-US"/>
        </w:rPr>
        <w:t xml:space="preserve"> zdravotních služeb ze </w:t>
      </w:r>
      <w:r w:rsidR="00A450BB">
        <w:rPr>
          <w:rFonts w:cs="Times New Roman"/>
          <w:szCs w:val="24"/>
          <w:lang w:eastAsia="en-US"/>
        </w:rPr>
        <w:t>ZF</w:t>
      </w:r>
      <w:r w:rsidR="00F33159" w:rsidRPr="00F33159">
        <w:rPr>
          <w:rFonts w:cs="Times New Roman"/>
          <w:szCs w:val="24"/>
          <w:lang w:eastAsia="en-US"/>
        </w:rPr>
        <w:t>,</w:t>
      </w:r>
      <w:r w:rsidR="00F33159">
        <w:rPr>
          <w:rFonts w:cs="Times New Roman"/>
          <w:szCs w:val="24"/>
          <w:lang w:eastAsia="en-US"/>
        </w:rPr>
        <w:t xml:space="preserve"> </w:t>
      </w:r>
      <w:r w:rsidR="00F33159" w:rsidRPr="00F33159">
        <w:rPr>
          <w:rFonts w:cs="Times New Roman"/>
          <w:szCs w:val="24"/>
          <w:lang w:eastAsia="en-US"/>
        </w:rPr>
        <w:t>u nichž je prokazatelný preventivní, diagnostický nebo léčebný efekt a které jsou</w:t>
      </w:r>
      <w:r w:rsidR="00F33159">
        <w:rPr>
          <w:rFonts w:cs="Times New Roman"/>
          <w:szCs w:val="24"/>
          <w:lang w:eastAsia="en-US"/>
        </w:rPr>
        <w:t xml:space="preserve"> </w:t>
      </w:r>
      <w:r w:rsidR="00F33159" w:rsidRPr="00F33159">
        <w:rPr>
          <w:rFonts w:cs="Times New Roman"/>
          <w:szCs w:val="24"/>
          <w:lang w:eastAsia="en-US"/>
        </w:rPr>
        <w:t>poskytovány pojištěncům v souvislosti s jejich existujícím nebo hrozícím onemocněním.</w:t>
      </w:r>
      <w:r w:rsidR="00F33159">
        <w:rPr>
          <w:rFonts w:cs="Times New Roman"/>
          <w:szCs w:val="24"/>
          <w:lang w:eastAsia="en-US"/>
        </w:rPr>
        <w:t xml:space="preserve"> </w:t>
      </w:r>
      <w:r w:rsidR="0004503A" w:rsidRPr="0004503A">
        <w:rPr>
          <w:rFonts w:cs="Times New Roman"/>
          <w:szCs w:val="24"/>
          <w:lang w:eastAsia="en-US"/>
        </w:rPr>
        <w:t>Pojišťovna vede bankovní účty pro každý fond zvlášť.</w:t>
      </w:r>
      <w:r w:rsidR="00017A9B">
        <w:rPr>
          <w:rFonts w:cs="Times New Roman"/>
          <w:szCs w:val="24"/>
          <w:highlight w:val="yellow"/>
          <w:lang w:eastAsia="en-US"/>
        </w:rPr>
        <w:t xml:space="preserve"> </w:t>
      </w:r>
    </w:p>
    <w:p w14:paraId="14820A3A" w14:textId="30033CDE" w:rsidR="00246D13" w:rsidRPr="00C162C2" w:rsidRDefault="00EB7D87" w:rsidP="00D723A6">
      <w:pPr>
        <w:widowControl/>
        <w:autoSpaceDE/>
        <w:autoSpaceDN/>
        <w:adjustRightInd/>
        <w:spacing w:before="120" w:after="120"/>
        <w:rPr>
          <w:rFonts w:cs="Calibri"/>
          <w:color w:val="000000" w:themeColor="text1"/>
          <w:szCs w:val="24"/>
        </w:rPr>
      </w:pPr>
      <w:r>
        <w:rPr>
          <w:rFonts w:cs="Times New Roman"/>
          <w:szCs w:val="24"/>
          <w:lang w:eastAsia="en-US"/>
        </w:rPr>
        <w:t>ZPMV j</w:t>
      </w:r>
      <w:r w:rsidR="005479DA" w:rsidRPr="005479DA">
        <w:rPr>
          <w:rFonts w:cs="Times New Roman"/>
          <w:szCs w:val="24"/>
          <w:lang w:eastAsia="en-US"/>
        </w:rPr>
        <w:t>e povinna zabezpečit oddělenou evidenci fondů</w:t>
      </w:r>
      <w:r w:rsidR="00D30AC3">
        <w:rPr>
          <w:rFonts w:cs="Times New Roman"/>
          <w:szCs w:val="24"/>
          <w:lang w:eastAsia="en-US"/>
        </w:rPr>
        <w:t xml:space="preserve"> a</w:t>
      </w:r>
      <w:r w:rsidR="005479DA" w:rsidRPr="005479DA">
        <w:rPr>
          <w:rFonts w:cs="Times New Roman"/>
          <w:szCs w:val="24"/>
          <w:lang w:eastAsia="en-US"/>
        </w:rPr>
        <w:t xml:space="preserve"> oddělenou evidenci majetku a</w:t>
      </w:r>
      <w:r w:rsidR="00C0576C">
        <w:rPr>
          <w:rFonts w:cs="Times New Roman"/>
          <w:szCs w:val="24"/>
          <w:lang w:eastAsia="en-US"/>
        </w:rPr>
        <w:t> </w:t>
      </w:r>
      <w:r w:rsidR="005479DA" w:rsidRPr="005479DA">
        <w:rPr>
          <w:rFonts w:cs="Times New Roman"/>
          <w:szCs w:val="24"/>
          <w:lang w:eastAsia="en-US"/>
        </w:rPr>
        <w:t>používání prostředků</w:t>
      </w:r>
      <w:r w:rsidR="00A450BB">
        <w:rPr>
          <w:rFonts w:cs="Times New Roman"/>
          <w:szCs w:val="24"/>
          <w:lang w:eastAsia="en-US"/>
        </w:rPr>
        <w:t xml:space="preserve"> z těchto fondů</w:t>
      </w:r>
      <w:r w:rsidR="009A72AD">
        <w:rPr>
          <w:rStyle w:val="Znakapoznpodarou"/>
          <w:szCs w:val="24"/>
          <w:lang w:eastAsia="en-US"/>
        </w:rPr>
        <w:footnoteReference w:id="13"/>
      </w:r>
      <w:r w:rsidR="005479DA" w:rsidRPr="005479DA">
        <w:rPr>
          <w:rFonts w:cs="Times New Roman"/>
          <w:szCs w:val="24"/>
          <w:lang w:eastAsia="en-US"/>
        </w:rPr>
        <w:t>.</w:t>
      </w:r>
      <w:r w:rsidR="001A1477">
        <w:rPr>
          <w:rFonts w:cs="Times New Roman"/>
          <w:szCs w:val="24"/>
          <w:lang w:eastAsia="en-US"/>
        </w:rPr>
        <w:t xml:space="preserve"> Z</w:t>
      </w:r>
      <w:r w:rsidR="00EB3996" w:rsidRPr="00EB3996">
        <w:rPr>
          <w:rFonts w:cs="Times New Roman"/>
          <w:szCs w:val="24"/>
          <w:lang w:eastAsia="en-US"/>
        </w:rPr>
        <w:t>dravotní pojišťovny jsou povinny nastavit vnitřní kontrolní systém v souladu se</w:t>
      </w:r>
      <w:r w:rsidR="00E43FA4">
        <w:rPr>
          <w:rFonts w:cs="Times New Roman"/>
          <w:szCs w:val="24"/>
          <w:lang w:eastAsia="en-US"/>
        </w:rPr>
        <w:t> </w:t>
      </w:r>
      <w:r w:rsidR="00EB3996" w:rsidRPr="00EB3996">
        <w:rPr>
          <w:rFonts w:cs="Times New Roman"/>
          <w:szCs w:val="24"/>
          <w:lang w:eastAsia="en-US"/>
        </w:rPr>
        <w:t xml:space="preserve">zákonem </w:t>
      </w:r>
      <w:r w:rsidR="001A1477" w:rsidRPr="001A1477">
        <w:rPr>
          <w:rFonts w:cs="Times New Roman"/>
          <w:szCs w:val="24"/>
          <w:lang w:eastAsia="en-US"/>
        </w:rPr>
        <w:t>č.</w:t>
      </w:r>
      <w:r w:rsidR="00AE164E">
        <w:rPr>
          <w:rFonts w:cs="Times New Roman"/>
          <w:szCs w:val="24"/>
          <w:lang w:eastAsia="en-US"/>
        </w:rPr>
        <w:t> </w:t>
      </w:r>
      <w:r w:rsidR="001A1477" w:rsidRPr="001A1477">
        <w:rPr>
          <w:rFonts w:cs="Times New Roman"/>
          <w:szCs w:val="24"/>
          <w:lang w:eastAsia="en-US"/>
        </w:rPr>
        <w:t>320/2001 Sb.</w:t>
      </w:r>
      <w:r w:rsidR="00EB3996" w:rsidRPr="00EB3996">
        <w:rPr>
          <w:rFonts w:cs="Times New Roman"/>
          <w:szCs w:val="24"/>
          <w:lang w:eastAsia="en-US"/>
        </w:rPr>
        <w:t xml:space="preserve"> a </w:t>
      </w:r>
      <w:r w:rsidR="001A1477">
        <w:rPr>
          <w:rFonts w:cs="Times New Roman"/>
          <w:szCs w:val="24"/>
          <w:lang w:eastAsia="en-US"/>
        </w:rPr>
        <w:t>v</w:t>
      </w:r>
      <w:r w:rsidR="001A1477" w:rsidRPr="001A1477">
        <w:rPr>
          <w:rFonts w:cs="Times New Roman"/>
          <w:szCs w:val="24"/>
          <w:lang w:eastAsia="en-US"/>
        </w:rPr>
        <w:t>yhlášk</w:t>
      </w:r>
      <w:r w:rsidR="009A72AD">
        <w:rPr>
          <w:rFonts w:cs="Times New Roman"/>
          <w:szCs w:val="24"/>
          <w:lang w:eastAsia="en-US"/>
        </w:rPr>
        <w:t>ou</w:t>
      </w:r>
      <w:r w:rsidR="001A1477" w:rsidRPr="001A1477">
        <w:rPr>
          <w:rFonts w:cs="Times New Roman"/>
          <w:szCs w:val="24"/>
          <w:lang w:eastAsia="en-US"/>
        </w:rPr>
        <w:t xml:space="preserve"> č. 416/2004 Sb.</w:t>
      </w:r>
      <w:r w:rsidR="00EB3996">
        <w:rPr>
          <w:rStyle w:val="Znakapoznpodarou"/>
          <w:szCs w:val="24"/>
          <w:lang w:eastAsia="en-US"/>
        </w:rPr>
        <w:footnoteReference w:id="14"/>
      </w:r>
      <w:r w:rsidR="001A1477">
        <w:rPr>
          <w:rFonts w:cs="Times New Roman"/>
          <w:szCs w:val="24"/>
          <w:lang w:eastAsia="en-US"/>
        </w:rPr>
        <w:t xml:space="preserve"> </w:t>
      </w:r>
      <w:r w:rsidR="0001091C" w:rsidRPr="0001091C">
        <w:rPr>
          <w:rFonts w:cs="Times New Roman"/>
          <w:szCs w:val="24"/>
          <w:lang w:eastAsia="en-US"/>
        </w:rPr>
        <w:t xml:space="preserve">Veškeré vybrané pojistné je příjmem základního fondu zdravotního pojištění a podléhá přerozdělování. </w:t>
      </w:r>
      <w:r w:rsidR="00246D13" w:rsidRPr="00EB3996">
        <w:rPr>
          <w:rFonts w:cs="Calibri"/>
          <w:szCs w:val="24"/>
        </w:rPr>
        <w:t xml:space="preserve">Vývoj vybraných ukazatelů </w:t>
      </w:r>
      <w:r w:rsidR="00EB3996" w:rsidRPr="00EB3996">
        <w:rPr>
          <w:rFonts w:cs="Calibri"/>
          <w:szCs w:val="24"/>
        </w:rPr>
        <w:t>ZPMV</w:t>
      </w:r>
      <w:r w:rsidR="00246D13" w:rsidRPr="00EB3996">
        <w:rPr>
          <w:rFonts w:cs="Calibri"/>
          <w:szCs w:val="24"/>
        </w:rPr>
        <w:t xml:space="preserve"> v letech</w:t>
      </w:r>
      <w:r w:rsidR="00246D13" w:rsidRPr="00C162C2">
        <w:rPr>
          <w:rFonts w:cs="Calibri"/>
          <w:szCs w:val="24"/>
        </w:rPr>
        <w:t xml:space="preserve"> 20</w:t>
      </w:r>
      <w:r w:rsidR="00EB3996" w:rsidRPr="00C162C2">
        <w:rPr>
          <w:rFonts w:cs="Calibri"/>
          <w:color w:val="000000" w:themeColor="text1"/>
          <w:szCs w:val="24"/>
        </w:rPr>
        <w:t xml:space="preserve">20 až </w:t>
      </w:r>
      <w:r w:rsidR="00246D13" w:rsidRPr="00C162C2">
        <w:rPr>
          <w:rFonts w:cs="Calibri"/>
          <w:color w:val="000000" w:themeColor="text1"/>
          <w:szCs w:val="24"/>
        </w:rPr>
        <w:t>20</w:t>
      </w:r>
      <w:r w:rsidR="00EB3996" w:rsidRPr="00C162C2">
        <w:rPr>
          <w:rFonts w:cs="Calibri"/>
          <w:color w:val="000000" w:themeColor="text1"/>
          <w:szCs w:val="24"/>
        </w:rPr>
        <w:t>22</w:t>
      </w:r>
      <w:r w:rsidR="00246D13" w:rsidRPr="00C162C2">
        <w:rPr>
          <w:rFonts w:cs="Calibri"/>
          <w:color w:val="000000" w:themeColor="text1"/>
          <w:szCs w:val="24"/>
        </w:rPr>
        <w:t xml:space="preserve"> je uveden v následující tabulce.</w:t>
      </w:r>
    </w:p>
    <w:p w14:paraId="321B04EF" w14:textId="4BFCB0F3" w:rsidR="00246D13" w:rsidRPr="00C162C2" w:rsidRDefault="00017274" w:rsidP="00D723A6">
      <w:pPr>
        <w:pStyle w:val="tabulka"/>
        <w:keepNext/>
        <w:spacing w:before="120" w:after="40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C162C2">
        <w:rPr>
          <w:rFonts w:ascii="Calibri" w:hAnsi="Calibri" w:cs="Calibri"/>
          <w:b/>
          <w:color w:val="000000" w:themeColor="text1"/>
          <w:sz w:val="24"/>
          <w:szCs w:val="24"/>
        </w:rPr>
        <w:t>Tabulka č.</w:t>
      </w:r>
      <w:r w:rsidR="00106B95" w:rsidRPr="00C162C2">
        <w:rPr>
          <w:rFonts w:ascii="Calibri" w:hAnsi="Calibri" w:cs="Calibri"/>
          <w:b/>
          <w:color w:val="000000" w:themeColor="text1"/>
          <w:sz w:val="24"/>
          <w:szCs w:val="24"/>
        </w:rPr>
        <w:t xml:space="preserve"> 1:</w:t>
      </w:r>
      <w:r w:rsidRPr="00C162C2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246D13" w:rsidRPr="00C162C2">
        <w:rPr>
          <w:rFonts w:ascii="Calibri" w:hAnsi="Calibri" w:cs="Calibri"/>
          <w:b/>
          <w:color w:val="000000" w:themeColor="text1"/>
          <w:sz w:val="24"/>
          <w:szCs w:val="24"/>
        </w:rPr>
        <w:t xml:space="preserve">Přehled vybraných ukazatelů </w:t>
      </w:r>
      <w:r w:rsidRPr="00C162C2">
        <w:rPr>
          <w:rFonts w:ascii="Calibri" w:hAnsi="Calibri" w:cs="Calibri"/>
          <w:b/>
          <w:color w:val="000000" w:themeColor="text1"/>
          <w:sz w:val="24"/>
          <w:szCs w:val="24"/>
        </w:rPr>
        <w:t>ZPMV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3"/>
        <w:gridCol w:w="1331"/>
        <w:gridCol w:w="1331"/>
        <w:gridCol w:w="1332"/>
      </w:tblGrid>
      <w:tr w:rsidR="00246D13" w:rsidRPr="00C153CC" w14:paraId="19A78575" w14:textId="77777777" w:rsidTr="006A3939">
        <w:trPr>
          <w:cantSplit/>
          <w:trHeight w:val="255"/>
        </w:trPr>
        <w:tc>
          <w:tcPr>
            <w:tcW w:w="0" w:type="auto"/>
            <w:shd w:val="clear" w:color="auto" w:fill="E5F1FF"/>
            <w:vAlign w:val="center"/>
          </w:tcPr>
          <w:p w14:paraId="51992089" w14:textId="77777777" w:rsidR="00246D13" w:rsidRPr="00C153CC" w:rsidRDefault="00017274" w:rsidP="00D723A6">
            <w:pPr>
              <w:widowControl/>
              <w:autoSpaceDE/>
              <w:autoSpaceDN/>
              <w:adjustRightInd/>
              <w:jc w:val="left"/>
              <w:rPr>
                <w:rFonts w:cs="Calibri"/>
                <w:b/>
                <w:sz w:val="20"/>
                <w:lang w:eastAsia="en-US"/>
              </w:rPr>
            </w:pPr>
            <w:r w:rsidRPr="00C153CC">
              <w:rPr>
                <w:rFonts w:cs="Calibri"/>
                <w:b/>
                <w:sz w:val="20"/>
                <w:lang w:eastAsia="en-US"/>
              </w:rPr>
              <w:t>Položka</w:t>
            </w:r>
          </w:p>
        </w:tc>
        <w:tc>
          <w:tcPr>
            <w:tcW w:w="1331" w:type="dxa"/>
            <w:shd w:val="clear" w:color="auto" w:fill="E5F1FF"/>
            <w:vAlign w:val="center"/>
          </w:tcPr>
          <w:p w14:paraId="7A820E31" w14:textId="77777777" w:rsidR="00246D13" w:rsidRPr="00C153CC" w:rsidRDefault="00246D13" w:rsidP="00D723A6">
            <w:pPr>
              <w:widowControl/>
              <w:autoSpaceDE/>
              <w:autoSpaceDN/>
              <w:adjustRightInd/>
              <w:jc w:val="center"/>
              <w:rPr>
                <w:rFonts w:cs="Calibri"/>
                <w:b/>
                <w:sz w:val="20"/>
                <w:lang w:eastAsia="en-US"/>
              </w:rPr>
            </w:pPr>
            <w:r w:rsidRPr="00C153CC">
              <w:rPr>
                <w:rFonts w:cs="Calibri"/>
                <w:b/>
                <w:sz w:val="20"/>
                <w:lang w:eastAsia="en-US"/>
              </w:rPr>
              <w:t>20</w:t>
            </w:r>
            <w:r w:rsidR="00EB3996" w:rsidRPr="00C153CC">
              <w:rPr>
                <w:rFonts w:cs="Calibri"/>
                <w:b/>
                <w:sz w:val="20"/>
                <w:lang w:eastAsia="en-US"/>
              </w:rPr>
              <w:t>20</w:t>
            </w:r>
          </w:p>
        </w:tc>
        <w:tc>
          <w:tcPr>
            <w:tcW w:w="1331" w:type="dxa"/>
            <w:shd w:val="clear" w:color="auto" w:fill="E5F1FF"/>
            <w:vAlign w:val="center"/>
          </w:tcPr>
          <w:p w14:paraId="6A67799D" w14:textId="77777777" w:rsidR="00246D13" w:rsidRPr="00C153CC" w:rsidRDefault="00246D13" w:rsidP="00D723A6">
            <w:pPr>
              <w:widowControl/>
              <w:autoSpaceDE/>
              <w:autoSpaceDN/>
              <w:adjustRightInd/>
              <w:jc w:val="center"/>
              <w:rPr>
                <w:rFonts w:cs="Calibri"/>
                <w:b/>
                <w:sz w:val="20"/>
                <w:lang w:eastAsia="en-US"/>
              </w:rPr>
            </w:pPr>
            <w:r w:rsidRPr="00C153CC">
              <w:rPr>
                <w:rFonts w:cs="Calibri"/>
                <w:b/>
                <w:sz w:val="20"/>
                <w:lang w:eastAsia="en-US"/>
              </w:rPr>
              <w:t>20</w:t>
            </w:r>
            <w:r w:rsidR="00EB3996" w:rsidRPr="00C153CC">
              <w:rPr>
                <w:rFonts w:cs="Calibri"/>
                <w:b/>
                <w:sz w:val="20"/>
                <w:lang w:eastAsia="en-US"/>
              </w:rPr>
              <w:t>21</w:t>
            </w:r>
          </w:p>
        </w:tc>
        <w:tc>
          <w:tcPr>
            <w:tcW w:w="1332" w:type="dxa"/>
            <w:shd w:val="clear" w:color="auto" w:fill="E5F1FF"/>
            <w:vAlign w:val="center"/>
          </w:tcPr>
          <w:p w14:paraId="1EB17A24" w14:textId="77777777" w:rsidR="00246D13" w:rsidRPr="00C153CC" w:rsidRDefault="00246D13" w:rsidP="00D723A6">
            <w:pPr>
              <w:widowControl/>
              <w:autoSpaceDE/>
              <w:autoSpaceDN/>
              <w:adjustRightInd/>
              <w:jc w:val="center"/>
              <w:rPr>
                <w:rFonts w:cs="Calibri"/>
                <w:b/>
                <w:sz w:val="20"/>
                <w:lang w:eastAsia="en-US"/>
              </w:rPr>
            </w:pPr>
            <w:r w:rsidRPr="00C153CC">
              <w:rPr>
                <w:rFonts w:cs="Calibri"/>
                <w:b/>
                <w:sz w:val="20"/>
                <w:lang w:eastAsia="en-US"/>
              </w:rPr>
              <w:t>20</w:t>
            </w:r>
            <w:r w:rsidR="00EB3996" w:rsidRPr="00C153CC">
              <w:rPr>
                <w:rFonts w:cs="Calibri"/>
                <w:b/>
                <w:sz w:val="20"/>
                <w:lang w:eastAsia="en-US"/>
              </w:rPr>
              <w:t>22</w:t>
            </w:r>
          </w:p>
        </w:tc>
      </w:tr>
      <w:tr w:rsidR="00246D13" w:rsidRPr="00C153CC" w14:paraId="118895C0" w14:textId="77777777" w:rsidTr="006A3939">
        <w:trPr>
          <w:trHeight w:val="255"/>
        </w:trPr>
        <w:tc>
          <w:tcPr>
            <w:tcW w:w="0" w:type="auto"/>
            <w:vAlign w:val="center"/>
          </w:tcPr>
          <w:p w14:paraId="4AB78CD4" w14:textId="77777777" w:rsidR="00246D13" w:rsidRPr="00C153CC" w:rsidRDefault="00246D13" w:rsidP="00D723A6">
            <w:pPr>
              <w:widowControl/>
              <w:autoSpaceDE/>
              <w:autoSpaceDN/>
              <w:adjustRightInd/>
              <w:jc w:val="left"/>
              <w:rPr>
                <w:rFonts w:cs="Calibri"/>
                <w:sz w:val="20"/>
                <w:lang w:eastAsia="en-US"/>
              </w:rPr>
            </w:pPr>
            <w:r w:rsidRPr="00C153CC">
              <w:rPr>
                <w:rFonts w:cs="Calibri"/>
                <w:sz w:val="20"/>
                <w:lang w:eastAsia="en-US"/>
              </w:rPr>
              <w:t>Tvorba ZF (v tis. Kč)</w:t>
            </w:r>
          </w:p>
        </w:tc>
        <w:tc>
          <w:tcPr>
            <w:tcW w:w="1331" w:type="dxa"/>
            <w:vAlign w:val="center"/>
          </w:tcPr>
          <w:p w14:paraId="7EA28B1C" w14:textId="77777777" w:rsidR="00246D13" w:rsidRPr="00C153CC" w:rsidRDefault="001D2C6E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cs="Calibri"/>
                <w:sz w:val="20"/>
                <w:lang w:eastAsia="en-US"/>
              </w:rPr>
            </w:pPr>
            <w:r w:rsidRPr="00C153CC">
              <w:rPr>
                <w:rFonts w:cs="Calibri"/>
                <w:sz w:val="20"/>
                <w:lang w:eastAsia="en-US"/>
              </w:rPr>
              <w:t>42 890 378</w:t>
            </w:r>
          </w:p>
        </w:tc>
        <w:tc>
          <w:tcPr>
            <w:tcW w:w="1331" w:type="dxa"/>
            <w:vAlign w:val="center"/>
          </w:tcPr>
          <w:p w14:paraId="3CBFB92B" w14:textId="77777777" w:rsidR="00246D13" w:rsidRPr="00C153CC" w:rsidRDefault="001D2C6E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cs="Calibri"/>
                <w:sz w:val="20"/>
                <w:lang w:eastAsia="en-US"/>
              </w:rPr>
            </w:pPr>
            <w:r w:rsidRPr="00C153CC">
              <w:rPr>
                <w:rFonts w:cs="Calibri"/>
                <w:sz w:val="20"/>
                <w:lang w:eastAsia="en-US"/>
              </w:rPr>
              <w:t>50 406 374</w:t>
            </w:r>
          </w:p>
        </w:tc>
        <w:tc>
          <w:tcPr>
            <w:tcW w:w="1332" w:type="dxa"/>
            <w:vAlign w:val="center"/>
          </w:tcPr>
          <w:p w14:paraId="222F742D" w14:textId="77777777" w:rsidR="00246D13" w:rsidRPr="00C153CC" w:rsidRDefault="002527CA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cs="Calibri"/>
                <w:sz w:val="20"/>
                <w:lang w:eastAsia="en-US"/>
              </w:rPr>
            </w:pPr>
            <w:r w:rsidRPr="00C153CC">
              <w:rPr>
                <w:rFonts w:cs="Calibri"/>
                <w:sz w:val="20"/>
                <w:lang w:eastAsia="en-US"/>
              </w:rPr>
              <w:t>52 908 303</w:t>
            </w:r>
          </w:p>
        </w:tc>
      </w:tr>
      <w:tr w:rsidR="00246D13" w:rsidRPr="00C153CC" w14:paraId="06D95A71" w14:textId="77777777" w:rsidTr="006A3939">
        <w:trPr>
          <w:trHeight w:val="255"/>
        </w:trPr>
        <w:tc>
          <w:tcPr>
            <w:tcW w:w="0" w:type="auto"/>
            <w:vAlign w:val="center"/>
          </w:tcPr>
          <w:p w14:paraId="3FE5B174" w14:textId="77777777" w:rsidR="00246D13" w:rsidRPr="00C153CC" w:rsidRDefault="00246D13" w:rsidP="00D723A6">
            <w:pPr>
              <w:widowControl/>
              <w:autoSpaceDE/>
              <w:autoSpaceDN/>
              <w:adjustRightInd/>
              <w:jc w:val="left"/>
              <w:rPr>
                <w:rFonts w:cs="Calibri"/>
                <w:sz w:val="20"/>
                <w:lang w:eastAsia="en-US"/>
              </w:rPr>
            </w:pPr>
            <w:r w:rsidRPr="00C153CC">
              <w:rPr>
                <w:rFonts w:cs="Calibri"/>
                <w:sz w:val="20"/>
                <w:lang w:eastAsia="en-US"/>
              </w:rPr>
              <w:t>Čerpání ZF (v tis. Kč)</w:t>
            </w:r>
          </w:p>
        </w:tc>
        <w:tc>
          <w:tcPr>
            <w:tcW w:w="1331" w:type="dxa"/>
            <w:vAlign w:val="center"/>
          </w:tcPr>
          <w:p w14:paraId="69D58CA6" w14:textId="77777777" w:rsidR="00246D13" w:rsidRPr="00C153CC" w:rsidRDefault="001D2C6E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cs="Calibri"/>
                <w:sz w:val="20"/>
                <w:lang w:eastAsia="en-US"/>
              </w:rPr>
            </w:pPr>
            <w:r w:rsidRPr="00C153CC">
              <w:rPr>
                <w:rFonts w:cs="Calibri"/>
                <w:sz w:val="20"/>
                <w:lang w:eastAsia="en-US"/>
              </w:rPr>
              <w:t>44 565 482</w:t>
            </w:r>
          </w:p>
        </w:tc>
        <w:tc>
          <w:tcPr>
            <w:tcW w:w="1331" w:type="dxa"/>
            <w:vAlign w:val="center"/>
          </w:tcPr>
          <w:p w14:paraId="4081B085" w14:textId="77777777" w:rsidR="00246D13" w:rsidRPr="00C153CC" w:rsidRDefault="001D2C6E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cs="Calibri"/>
                <w:sz w:val="20"/>
                <w:lang w:eastAsia="en-US"/>
              </w:rPr>
            </w:pPr>
            <w:r w:rsidRPr="00C153CC">
              <w:rPr>
                <w:rFonts w:cs="Calibri"/>
                <w:sz w:val="20"/>
                <w:lang w:eastAsia="en-US"/>
              </w:rPr>
              <w:t>52 914 129</w:t>
            </w:r>
          </w:p>
        </w:tc>
        <w:tc>
          <w:tcPr>
            <w:tcW w:w="1332" w:type="dxa"/>
            <w:vAlign w:val="center"/>
          </w:tcPr>
          <w:p w14:paraId="4A5DAD97" w14:textId="77777777" w:rsidR="00246D13" w:rsidRPr="00C153CC" w:rsidRDefault="002527CA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cs="Calibri"/>
                <w:sz w:val="20"/>
                <w:lang w:eastAsia="en-US"/>
              </w:rPr>
            </w:pPr>
            <w:r w:rsidRPr="00C153CC">
              <w:rPr>
                <w:rFonts w:cs="Calibri"/>
                <w:sz w:val="20"/>
                <w:lang w:eastAsia="en-US"/>
              </w:rPr>
              <w:t>53 435 854</w:t>
            </w:r>
          </w:p>
        </w:tc>
      </w:tr>
      <w:tr w:rsidR="00137683" w:rsidRPr="00C153CC" w14:paraId="56F4AE5F" w14:textId="77777777" w:rsidTr="006A3939">
        <w:trPr>
          <w:trHeight w:val="255"/>
        </w:trPr>
        <w:tc>
          <w:tcPr>
            <w:tcW w:w="0" w:type="auto"/>
            <w:vAlign w:val="center"/>
          </w:tcPr>
          <w:p w14:paraId="5B6F59B2" w14:textId="77777777" w:rsidR="00137683" w:rsidRPr="00C153CC" w:rsidRDefault="00137683" w:rsidP="00D723A6">
            <w:pPr>
              <w:widowControl/>
              <w:autoSpaceDE/>
              <w:autoSpaceDN/>
              <w:adjustRightInd/>
              <w:jc w:val="left"/>
              <w:rPr>
                <w:rFonts w:cs="Calibri"/>
                <w:sz w:val="20"/>
                <w:lang w:eastAsia="en-US"/>
              </w:rPr>
            </w:pPr>
            <w:r w:rsidRPr="00C153CC">
              <w:rPr>
                <w:rFonts w:cs="Calibri"/>
                <w:sz w:val="20"/>
                <w:lang w:eastAsia="en-US"/>
              </w:rPr>
              <w:t>Náklady na zdravotní služby (v tis. Kč)</w:t>
            </w:r>
          </w:p>
        </w:tc>
        <w:tc>
          <w:tcPr>
            <w:tcW w:w="1331" w:type="dxa"/>
            <w:vAlign w:val="center"/>
          </w:tcPr>
          <w:p w14:paraId="59D0E7CA" w14:textId="77777777" w:rsidR="00137683" w:rsidRPr="00C153CC" w:rsidRDefault="00137683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cs="Calibri"/>
                <w:sz w:val="20"/>
                <w:lang w:eastAsia="en-US"/>
              </w:rPr>
            </w:pPr>
            <w:r w:rsidRPr="00C153CC">
              <w:rPr>
                <w:rFonts w:cs="Calibri"/>
                <w:sz w:val="20"/>
                <w:lang w:eastAsia="en-US"/>
              </w:rPr>
              <w:t>42 295 623</w:t>
            </w:r>
          </w:p>
        </w:tc>
        <w:tc>
          <w:tcPr>
            <w:tcW w:w="1331" w:type="dxa"/>
            <w:vAlign w:val="center"/>
          </w:tcPr>
          <w:p w14:paraId="3E592053" w14:textId="77777777" w:rsidR="00137683" w:rsidRPr="00C153CC" w:rsidRDefault="00137683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cs="Calibri"/>
                <w:sz w:val="20"/>
                <w:lang w:eastAsia="en-US"/>
              </w:rPr>
            </w:pPr>
            <w:r w:rsidRPr="00C153CC">
              <w:rPr>
                <w:rFonts w:cs="Calibri"/>
                <w:sz w:val="20"/>
                <w:lang w:eastAsia="en-US"/>
              </w:rPr>
              <w:t>50 221 690</w:t>
            </w:r>
          </w:p>
        </w:tc>
        <w:tc>
          <w:tcPr>
            <w:tcW w:w="1332" w:type="dxa"/>
            <w:vAlign w:val="center"/>
          </w:tcPr>
          <w:p w14:paraId="7C39F839" w14:textId="77777777" w:rsidR="00137683" w:rsidRPr="00C153CC" w:rsidRDefault="00137683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cs="Calibri"/>
                <w:sz w:val="20"/>
                <w:lang w:eastAsia="en-US"/>
              </w:rPr>
            </w:pPr>
            <w:r w:rsidRPr="00C153CC">
              <w:rPr>
                <w:rFonts w:cs="Calibri"/>
                <w:sz w:val="20"/>
                <w:lang w:eastAsia="en-US"/>
              </w:rPr>
              <w:t>50 906 519</w:t>
            </w:r>
          </w:p>
        </w:tc>
      </w:tr>
      <w:tr w:rsidR="00246D13" w:rsidRPr="00C153CC" w14:paraId="2DF5DF66" w14:textId="77777777" w:rsidTr="006A3939">
        <w:trPr>
          <w:trHeight w:val="255"/>
        </w:trPr>
        <w:tc>
          <w:tcPr>
            <w:tcW w:w="0" w:type="auto"/>
            <w:vAlign w:val="center"/>
          </w:tcPr>
          <w:p w14:paraId="03D26289" w14:textId="77777777" w:rsidR="00246D13" w:rsidRPr="00C153CC" w:rsidRDefault="00246D13" w:rsidP="00D723A6">
            <w:pPr>
              <w:widowControl/>
              <w:autoSpaceDE/>
              <w:autoSpaceDN/>
              <w:adjustRightInd/>
              <w:jc w:val="left"/>
              <w:rPr>
                <w:rFonts w:cs="Calibri"/>
                <w:sz w:val="20"/>
                <w:lang w:eastAsia="en-US"/>
              </w:rPr>
            </w:pPr>
            <w:bookmarkStart w:id="1" w:name="_Hlk163224350"/>
            <w:r w:rsidRPr="00C153CC">
              <w:rPr>
                <w:rFonts w:cs="Calibri"/>
                <w:sz w:val="20"/>
                <w:lang w:eastAsia="en-US"/>
              </w:rPr>
              <w:t>Průměrný počet pojištěnců</w:t>
            </w:r>
          </w:p>
        </w:tc>
        <w:tc>
          <w:tcPr>
            <w:tcW w:w="1331" w:type="dxa"/>
            <w:vAlign w:val="center"/>
          </w:tcPr>
          <w:p w14:paraId="391AC416" w14:textId="77777777" w:rsidR="00246D13" w:rsidRPr="00C153CC" w:rsidRDefault="000649F3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cs="Calibri"/>
                <w:sz w:val="20"/>
                <w:lang w:eastAsia="en-US"/>
              </w:rPr>
            </w:pPr>
            <w:r w:rsidRPr="00C153CC">
              <w:rPr>
                <w:rFonts w:cs="Calibri"/>
                <w:sz w:val="20"/>
                <w:lang w:eastAsia="en-US"/>
              </w:rPr>
              <w:t>1 326 756</w:t>
            </w:r>
          </w:p>
        </w:tc>
        <w:tc>
          <w:tcPr>
            <w:tcW w:w="1331" w:type="dxa"/>
            <w:vAlign w:val="center"/>
          </w:tcPr>
          <w:p w14:paraId="52E1612C" w14:textId="77777777" w:rsidR="00246D13" w:rsidRPr="00C153CC" w:rsidRDefault="000649F3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cs="Calibri"/>
                <w:sz w:val="20"/>
                <w:lang w:eastAsia="en-US"/>
              </w:rPr>
            </w:pPr>
            <w:r w:rsidRPr="00C153CC">
              <w:rPr>
                <w:rFonts w:cs="Calibri"/>
                <w:sz w:val="20"/>
                <w:lang w:eastAsia="en-US"/>
              </w:rPr>
              <w:t>1 332 853</w:t>
            </w:r>
          </w:p>
        </w:tc>
        <w:tc>
          <w:tcPr>
            <w:tcW w:w="1332" w:type="dxa"/>
            <w:vAlign w:val="center"/>
          </w:tcPr>
          <w:p w14:paraId="2B59C561" w14:textId="77777777" w:rsidR="00246D13" w:rsidRPr="00C153CC" w:rsidRDefault="000649F3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cs="Calibri"/>
                <w:sz w:val="20"/>
                <w:lang w:eastAsia="en-US"/>
              </w:rPr>
            </w:pPr>
            <w:r w:rsidRPr="00C153CC">
              <w:rPr>
                <w:rFonts w:cs="Calibri"/>
                <w:sz w:val="20"/>
                <w:lang w:eastAsia="en-US"/>
              </w:rPr>
              <w:t>1 343 820</w:t>
            </w:r>
          </w:p>
        </w:tc>
      </w:tr>
      <w:bookmarkEnd w:id="1"/>
      <w:tr w:rsidR="00246D13" w:rsidRPr="00C153CC" w14:paraId="74A5796A" w14:textId="77777777" w:rsidTr="006A3939">
        <w:trPr>
          <w:trHeight w:val="255"/>
        </w:trPr>
        <w:tc>
          <w:tcPr>
            <w:tcW w:w="0" w:type="auto"/>
            <w:vAlign w:val="center"/>
          </w:tcPr>
          <w:p w14:paraId="4C8818A2" w14:textId="4F88C804" w:rsidR="00246D13" w:rsidRPr="00C153CC" w:rsidRDefault="00246D13" w:rsidP="00D723A6">
            <w:pPr>
              <w:widowControl/>
              <w:autoSpaceDE/>
              <w:autoSpaceDN/>
              <w:adjustRightInd/>
              <w:ind w:left="426" w:hanging="567"/>
              <w:jc w:val="left"/>
              <w:rPr>
                <w:rFonts w:cs="Calibri"/>
                <w:sz w:val="20"/>
                <w:lang w:eastAsia="en-US"/>
              </w:rPr>
            </w:pPr>
            <w:r w:rsidRPr="00C153CC">
              <w:rPr>
                <w:rFonts w:cs="Calibri"/>
                <w:sz w:val="20"/>
                <w:lang w:eastAsia="en-US"/>
              </w:rPr>
              <w:t xml:space="preserve">  </w:t>
            </w:r>
            <w:r w:rsidR="00B35E75">
              <w:rPr>
                <w:rFonts w:cs="Calibri"/>
                <w:sz w:val="20"/>
                <w:lang w:eastAsia="en-US"/>
              </w:rPr>
              <w:t>−</w:t>
            </w:r>
            <w:r w:rsidRPr="00C153CC">
              <w:rPr>
                <w:rFonts w:cs="Calibri"/>
                <w:sz w:val="20"/>
                <w:lang w:eastAsia="en-US"/>
              </w:rPr>
              <w:t xml:space="preserve"> z toho </w:t>
            </w:r>
            <w:r w:rsidR="000649F3" w:rsidRPr="00C153CC">
              <w:rPr>
                <w:rFonts w:cs="Calibri"/>
                <w:sz w:val="20"/>
                <w:lang w:eastAsia="en-US"/>
              </w:rPr>
              <w:t>hrazeni státem</w:t>
            </w:r>
          </w:p>
        </w:tc>
        <w:tc>
          <w:tcPr>
            <w:tcW w:w="1331" w:type="dxa"/>
            <w:vAlign w:val="center"/>
          </w:tcPr>
          <w:p w14:paraId="1C25CAC2" w14:textId="77777777" w:rsidR="00246D13" w:rsidRPr="00C153CC" w:rsidRDefault="000649F3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cs="Calibri"/>
                <w:sz w:val="20"/>
                <w:lang w:eastAsia="en-US"/>
              </w:rPr>
            </w:pPr>
            <w:r w:rsidRPr="00C153CC">
              <w:rPr>
                <w:rFonts w:cs="Calibri"/>
                <w:sz w:val="20"/>
                <w:lang w:eastAsia="en-US"/>
              </w:rPr>
              <w:t>720 499</w:t>
            </w:r>
          </w:p>
        </w:tc>
        <w:tc>
          <w:tcPr>
            <w:tcW w:w="1331" w:type="dxa"/>
            <w:vAlign w:val="center"/>
          </w:tcPr>
          <w:p w14:paraId="70E02806" w14:textId="77777777" w:rsidR="00246D13" w:rsidRPr="00C153CC" w:rsidRDefault="000649F3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cs="Calibri"/>
                <w:sz w:val="20"/>
                <w:lang w:eastAsia="en-US"/>
              </w:rPr>
            </w:pPr>
            <w:r w:rsidRPr="00C153CC">
              <w:rPr>
                <w:rFonts w:cs="Calibri"/>
                <w:sz w:val="20"/>
                <w:lang w:eastAsia="en-US"/>
              </w:rPr>
              <w:t>743 354</w:t>
            </w:r>
          </w:p>
        </w:tc>
        <w:tc>
          <w:tcPr>
            <w:tcW w:w="1332" w:type="dxa"/>
            <w:vAlign w:val="center"/>
          </w:tcPr>
          <w:p w14:paraId="626C6D2E" w14:textId="77777777" w:rsidR="00246D13" w:rsidRPr="00C153CC" w:rsidRDefault="000649F3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cs="Calibri"/>
                <w:sz w:val="20"/>
                <w:lang w:eastAsia="en-US"/>
              </w:rPr>
            </w:pPr>
            <w:r w:rsidRPr="00C153CC">
              <w:rPr>
                <w:rFonts w:cs="Calibri"/>
                <w:sz w:val="20"/>
                <w:lang w:eastAsia="en-US"/>
              </w:rPr>
              <w:t>748 351</w:t>
            </w:r>
          </w:p>
        </w:tc>
      </w:tr>
      <w:tr w:rsidR="00246D13" w:rsidRPr="00C153CC" w14:paraId="70B650A7" w14:textId="77777777" w:rsidTr="006A3939">
        <w:trPr>
          <w:trHeight w:val="255"/>
        </w:trPr>
        <w:tc>
          <w:tcPr>
            <w:tcW w:w="0" w:type="auto"/>
            <w:vAlign w:val="center"/>
          </w:tcPr>
          <w:p w14:paraId="0B2FD371" w14:textId="77777777" w:rsidR="00246D13" w:rsidRPr="00C153CC" w:rsidRDefault="00246D13" w:rsidP="00D723A6">
            <w:pPr>
              <w:widowControl/>
              <w:autoSpaceDE/>
              <w:autoSpaceDN/>
              <w:adjustRightInd/>
              <w:jc w:val="left"/>
              <w:rPr>
                <w:rFonts w:cs="Calibri"/>
                <w:sz w:val="20"/>
                <w:lang w:eastAsia="en-US"/>
              </w:rPr>
            </w:pPr>
            <w:r w:rsidRPr="00C153CC">
              <w:rPr>
                <w:rFonts w:cs="Calibri"/>
                <w:sz w:val="20"/>
                <w:lang w:eastAsia="en-US"/>
              </w:rPr>
              <w:t>Průměrné náklady na zdravotní služby na 1 pojištěnce (v Kč)</w:t>
            </w:r>
          </w:p>
        </w:tc>
        <w:tc>
          <w:tcPr>
            <w:tcW w:w="1331" w:type="dxa"/>
            <w:vAlign w:val="center"/>
          </w:tcPr>
          <w:p w14:paraId="44CF5A4F" w14:textId="77777777" w:rsidR="00246D13" w:rsidRPr="00C153CC" w:rsidRDefault="000E513C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cs="Calibri"/>
                <w:sz w:val="20"/>
                <w:lang w:eastAsia="en-US"/>
              </w:rPr>
            </w:pPr>
            <w:r w:rsidRPr="00C153CC">
              <w:rPr>
                <w:rFonts w:cs="Calibri"/>
                <w:sz w:val="20"/>
                <w:lang w:eastAsia="en-US"/>
              </w:rPr>
              <w:t>31 878</w:t>
            </w:r>
          </w:p>
        </w:tc>
        <w:tc>
          <w:tcPr>
            <w:tcW w:w="1331" w:type="dxa"/>
            <w:vAlign w:val="center"/>
          </w:tcPr>
          <w:p w14:paraId="61C874BE" w14:textId="77777777" w:rsidR="00246D13" w:rsidRPr="00C153CC" w:rsidRDefault="000E513C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cs="Calibri"/>
                <w:sz w:val="20"/>
                <w:lang w:eastAsia="en-US"/>
              </w:rPr>
            </w:pPr>
            <w:r w:rsidRPr="00C153CC">
              <w:rPr>
                <w:rFonts w:cs="Calibri"/>
                <w:sz w:val="20"/>
                <w:lang w:eastAsia="en-US"/>
              </w:rPr>
              <w:t>37 679</w:t>
            </w:r>
          </w:p>
        </w:tc>
        <w:tc>
          <w:tcPr>
            <w:tcW w:w="1332" w:type="dxa"/>
            <w:vAlign w:val="center"/>
          </w:tcPr>
          <w:p w14:paraId="62339A60" w14:textId="77777777" w:rsidR="00246D13" w:rsidRPr="00C153CC" w:rsidRDefault="000E513C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cs="Calibri"/>
                <w:sz w:val="20"/>
                <w:lang w:eastAsia="en-US"/>
              </w:rPr>
            </w:pPr>
            <w:r w:rsidRPr="00C153CC">
              <w:rPr>
                <w:rFonts w:cs="Calibri"/>
                <w:sz w:val="20"/>
                <w:lang w:eastAsia="en-US"/>
              </w:rPr>
              <w:t>37 881</w:t>
            </w:r>
          </w:p>
        </w:tc>
      </w:tr>
      <w:tr w:rsidR="00D70391" w:rsidRPr="00C153CC" w14:paraId="57F64D3E" w14:textId="77777777" w:rsidTr="006A3939">
        <w:trPr>
          <w:trHeight w:val="255"/>
        </w:trPr>
        <w:tc>
          <w:tcPr>
            <w:tcW w:w="0" w:type="auto"/>
            <w:vAlign w:val="center"/>
          </w:tcPr>
          <w:p w14:paraId="1D411992" w14:textId="77777777" w:rsidR="00D70391" w:rsidRPr="00C153CC" w:rsidRDefault="00D70391" w:rsidP="00D723A6">
            <w:pPr>
              <w:widowControl/>
              <w:autoSpaceDE/>
              <w:autoSpaceDN/>
              <w:adjustRightInd/>
              <w:jc w:val="left"/>
              <w:rPr>
                <w:rFonts w:cs="Calibri"/>
                <w:sz w:val="20"/>
                <w:lang w:eastAsia="en-US"/>
              </w:rPr>
            </w:pPr>
            <w:r w:rsidRPr="00C153CC">
              <w:rPr>
                <w:rFonts w:cs="Calibri"/>
                <w:sz w:val="20"/>
                <w:lang w:eastAsia="en-US"/>
              </w:rPr>
              <w:t>Průměrný počet zaměstnanců</w:t>
            </w:r>
          </w:p>
        </w:tc>
        <w:tc>
          <w:tcPr>
            <w:tcW w:w="1331" w:type="dxa"/>
            <w:vAlign w:val="center"/>
          </w:tcPr>
          <w:p w14:paraId="657EB61A" w14:textId="77777777" w:rsidR="00D70391" w:rsidRPr="00C153CC" w:rsidRDefault="00D70391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cs="Calibri"/>
                <w:sz w:val="20"/>
                <w:lang w:eastAsia="en-US"/>
              </w:rPr>
            </w:pPr>
            <w:r w:rsidRPr="00C153CC">
              <w:rPr>
                <w:rFonts w:cs="Calibri"/>
                <w:sz w:val="20"/>
                <w:lang w:eastAsia="en-US"/>
              </w:rPr>
              <w:t>692</w:t>
            </w:r>
          </w:p>
        </w:tc>
        <w:tc>
          <w:tcPr>
            <w:tcW w:w="1331" w:type="dxa"/>
            <w:vAlign w:val="center"/>
          </w:tcPr>
          <w:p w14:paraId="491CE8E6" w14:textId="77777777" w:rsidR="00D70391" w:rsidRPr="00C153CC" w:rsidRDefault="00D70391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cs="Calibri"/>
                <w:sz w:val="20"/>
                <w:lang w:eastAsia="en-US"/>
              </w:rPr>
            </w:pPr>
            <w:r w:rsidRPr="00C153CC">
              <w:rPr>
                <w:rFonts w:cs="Calibri"/>
                <w:sz w:val="20"/>
                <w:lang w:eastAsia="en-US"/>
              </w:rPr>
              <w:t>698</w:t>
            </w:r>
          </w:p>
        </w:tc>
        <w:tc>
          <w:tcPr>
            <w:tcW w:w="1332" w:type="dxa"/>
            <w:vAlign w:val="center"/>
          </w:tcPr>
          <w:p w14:paraId="751F9725" w14:textId="77777777" w:rsidR="00D70391" w:rsidRPr="00C153CC" w:rsidRDefault="00D70391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cs="Calibri"/>
                <w:sz w:val="20"/>
                <w:lang w:eastAsia="en-US"/>
              </w:rPr>
            </w:pPr>
            <w:r w:rsidRPr="00C153CC">
              <w:rPr>
                <w:rFonts w:cs="Calibri"/>
                <w:sz w:val="20"/>
                <w:lang w:eastAsia="en-US"/>
              </w:rPr>
              <w:t>708</w:t>
            </w:r>
          </w:p>
        </w:tc>
      </w:tr>
      <w:tr w:rsidR="00E1630E" w:rsidRPr="00C153CC" w14:paraId="09958E7B" w14:textId="77777777" w:rsidTr="006A3939">
        <w:trPr>
          <w:trHeight w:val="255"/>
        </w:trPr>
        <w:tc>
          <w:tcPr>
            <w:tcW w:w="0" w:type="auto"/>
            <w:vAlign w:val="center"/>
          </w:tcPr>
          <w:p w14:paraId="1EFE2575" w14:textId="77777777" w:rsidR="00E1630E" w:rsidRPr="00C153CC" w:rsidRDefault="00E1630E" w:rsidP="00D723A6">
            <w:pPr>
              <w:widowControl/>
              <w:autoSpaceDE/>
              <w:autoSpaceDN/>
              <w:adjustRightInd/>
              <w:jc w:val="left"/>
              <w:rPr>
                <w:rFonts w:cs="Calibri"/>
                <w:sz w:val="20"/>
                <w:lang w:eastAsia="en-US"/>
              </w:rPr>
            </w:pPr>
            <w:r w:rsidRPr="00C153CC">
              <w:rPr>
                <w:rFonts w:cs="Calibri"/>
                <w:sz w:val="20"/>
                <w:lang w:eastAsia="en-US"/>
              </w:rPr>
              <w:t>Tvorba provozního fondu (v tis. Kč)</w:t>
            </w:r>
          </w:p>
        </w:tc>
        <w:tc>
          <w:tcPr>
            <w:tcW w:w="1331" w:type="dxa"/>
            <w:vAlign w:val="center"/>
          </w:tcPr>
          <w:p w14:paraId="16EFBC7E" w14:textId="77777777" w:rsidR="00E1630E" w:rsidRPr="00C153CC" w:rsidRDefault="002527CA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cs="Calibri"/>
                <w:sz w:val="20"/>
                <w:lang w:eastAsia="en-US"/>
              </w:rPr>
            </w:pPr>
            <w:r w:rsidRPr="00C153CC">
              <w:rPr>
                <w:rFonts w:cs="Calibri"/>
                <w:sz w:val="20"/>
                <w:lang w:eastAsia="en-US"/>
              </w:rPr>
              <w:t>1 277 889</w:t>
            </w:r>
          </w:p>
        </w:tc>
        <w:tc>
          <w:tcPr>
            <w:tcW w:w="1331" w:type="dxa"/>
            <w:vAlign w:val="center"/>
          </w:tcPr>
          <w:p w14:paraId="061EF017" w14:textId="77777777" w:rsidR="00E1630E" w:rsidRPr="00C153CC" w:rsidRDefault="002527CA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cs="Calibri"/>
                <w:sz w:val="20"/>
                <w:lang w:eastAsia="en-US"/>
              </w:rPr>
            </w:pPr>
            <w:r w:rsidRPr="00C153CC">
              <w:rPr>
                <w:rFonts w:cs="Calibri"/>
                <w:sz w:val="20"/>
                <w:lang w:eastAsia="en-US"/>
              </w:rPr>
              <w:t>1 486 071</w:t>
            </w:r>
          </w:p>
        </w:tc>
        <w:tc>
          <w:tcPr>
            <w:tcW w:w="1332" w:type="dxa"/>
            <w:vAlign w:val="center"/>
          </w:tcPr>
          <w:p w14:paraId="6BED4C50" w14:textId="77777777" w:rsidR="00E1630E" w:rsidRPr="00C153CC" w:rsidRDefault="002527CA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cs="Calibri"/>
                <w:sz w:val="20"/>
                <w:lang w:eastAsia="en-US"/>
              </w:rPr>
            </w:pPr>
            <w:r w:rsidRPr="00C153CC">
              <w:rPr>
                <w:rFonts w:cs="Calibri"/>
                <w:sz w:val="20"/>
                <w:lang w:eastAsia="en-US"/>
              </w:rPr>
              <w:t>1 569 971</w:t>
            </w:r>
          </w:p>
        </w:tc>
      </w:tr>
      <w:tr w:rsidR="00E1630E" w:rsidRPr="00C153CC" w14:paraId="56BEDDBE" w14:textId="77777777" w:rsidTr="006A3939">
        <w:trPr>
          <w:trHeight w:val="255"/>
        </w:trPr>
        <w:tc>
          <w:tcPr>
            <w:tcW w:w="0" w:type="auto"/>
            <w:vAlign w:val="center"/>
          </w:tcPr>
          <w:p w14:paraId="4987AA13" w14:textId="77777777" w:rsidR="00E1630E" w:rsidRPr="00C153CC" w:rsidRDefault="00E1630E" w:rsidP="00D723A6">
            <w:pPr>
              <w:widowControl/>
              <w:autoSpaceDE/>
              <w:autoSpaceDN/>
              <w:adjustRightInd/>
              <w:jc w:val="left"/>
              <w:rPr>
                <w:rFonts w:cs="Calibri"/>
                <w:sz w:val="20"/>
                <w:lang w:eastAsia="en-US"/>
              </w:rPr>
            </w:pPr>
            <w:r w:rsidRPr="00C153CC">
              <w:rPr>
                <w:rFonts w:cs="Calibri"/>
                <w:sz w:val="20"/>
                <w:lang w:eastAsia="en-US"/>
              </w:rPr>
              <w:t>Čerpání provozního fondu (v tis. Kč)</w:t>
            </w:r>
          </w:p>
        </w:tc>
        <w:tc>
          <w:tcPr>
            <w:tcW w:w="1331" w:type="dxa"/>
            <w:vAlign w:val="center"/>
          </w:tcPr>
          <w:p w14:paraId="749466E0" w14:textId="77777777" w:rsidR="00E1630E" w:rsidRPr="00C153CC" w:rsidRDefault="002527CA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cs="Calibri"/>
                <w:sz w:val="20"/>
                <w:lang w:eastAsia="en-US"/>
              </w:rPr>
            </w:pPr>
            <w:r w:rsidRPr="00C153CC">
              <w:rPr>
                <w:rFonts w:cs="Calibri"/>
                <w:sz w:val="20"/>
                <w:lang w:eastAsia="en-US"/>
              </w:rPr>
              <w:t>1 431 705</w:t>
            </w:r>
          </w:p>
        </w:tc>
        <w:tc>
          <w:tcPr>
            <w:tcW w:w="1331" w:type="dxa"/>
            <w:vAlign w:val="center"/>
          </w:tcPr>
          <w:p w14:paraId="7C3BA69E" w14:textId="77777777" w:rsidR="00E1630E" w:rsidRPr="00C153CC" w:rsidRDefault="002527CA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cs="Calibri"/>
                <w:sz w:val="20"/>
                <w:lang w:eastAsia="en-US"/>
              </w:rPr>
            </w:pPr>
            <w:r w:rsidRPr="00C153CC">
              <w:rPr>
                <w:rFonts w:cs="Calibri"/>
                <w:sz w:val="20"/>
                <w:lang w:eastAsia="en-US"/>
              </w:rPr>
              <w:t>1 024 146</w:t>
            </w:r>
          </w:p>
        </w:tc>
        <w:tc>
          <w:tcPr>
            <w:tcW w:w="1332" w:type="dxa"/>
            <w:vAlign w:val="center"/>
          </w:tcPr>
          <w:p w14:paraId="1773F65C" w14:textId="77777777" w:rsidR="00E1630E" w:rsidRPr="00C153CC" w:rsidRDefault="002527CA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cs="Calibri"/>
                <w:sz w:val="20"/>
                <w:lang w:eastAsia="en-US"/>
              </w:rPr>
            </w:pPr>
            <w:r w:rsidRPr="00C153CC">
              <w:rPr>
                <w:rFonts w:cs="Calibri"/>
                <w:sz w:val="20"/>
                <w:lang w:eastAsia="en-US"/>
              </w:rPr>
              <w:t>1 244 120</w:t>
            </w:r>
          </w:p>
        </w:tc>
      </w:tr>
      <w:tr w:rsidR="00E1630E" w:rsidRPr="00C153CC" w14:paraId="3095DC45" w14:textId="77777777" w:rsidTr="006A3939">
        <w:trPr>
          <w:trHeight w:val="255"/>
        </w:trPr>
        <w:tc>
          <w:tcPr>
            <w:tcW w:w="0" w:type="auto"/>
            <w:vAlign w:val="center"/>
          </w:tcPr>
          <w:p w14:paraId="734DB64F" w14:textId="77777777" w:rsidR="00E1630E" w:rsidRPr="00C153CC" w:rsidRDefault="00E1630E" w:rsidP="00D723A6">
            <w:pPr>
              <w:widowControl/>
              <w:autoSpaceDE/>
              <w:autoSpaceDN/>
              <w:adjustRightInd/>
              <w:jc w:val="left"/>
              <w:rPr>
                <w:rFonts w:cs="Calibri"/>
                <w:sz w:val="20"/>
                <w:lang w:eastAsia="en-US"/>
              </w:rPr>
            </w:pPr>
            <w:r w:rsidRPr="00C153CC">
              <w:rPr>
                <w:rFonts w:cs="Calibri"/>
                <w:sz w:val="20"/>
                <w:lang w:eastAsia="en-US"/>
              </w:rPr>
              <w:t>Tvorba fondu prevence (v tis. Kč)</w:t>
            </w:r>
          </w:p>
        </w:tc>
        <w:tc>
          <w:tcPr>
            <w:tcW w:w="1331" w:type="dxa"/>
            <w:vAlign w:val="center"/>
          </w:tcPr>
          <w:p w14:paraId="0757F14F" w14:textId="77777777" w:rsidR="00E1630E" w:rsidRPr="00C153CC" w:rsidRDefault="002527CA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cs="Calibri"/>
                <w:sz w:val="20"/>
                <w:lang w:eastAsia="en-US"/>
              </w:rPr>
            </w:pPr>
            <w:r w:rsidRPr="00C153CC">
              <w:rPr>
                <w:rFonts w:cs="Calibri"/>
                <w:sz w:val="20"/>
                <w:lang w:eastAsia="en-US"/>
              </w:rPr>
              <w:t>531 066</w:t>
            </w:r>
          </w:p>
        </w:tc>
        <w:tc>
          <w:tcPr>
            <w:tcW w:w="1331" w:type="dxa"/>
            <w:vAlign w:val="center"/>
          </w:tcPr>
          <w:p w14:paraId="53D119DF" w14:textId="77777777" w:rsidR="00E1630E" w:rsidRPr="00C153CC" w:rsidRDefault="002527CA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cs="Calibri"/>
                <w:sz w:val="20"/>
                <w:lang w:eastAsia="en-US"/>
              </w:rPr>
            </w:pPr>
            <w:r w:rsidRPr="00C153CC">
              <w:rPr>
                <w:rFonts w:cs="Calibri"/>
                <w:sz w:val="20"/>
                <w:lang w:eastAsia="en-US"/>
              </w:rPr>
              <w:t>270 050</w:t>
            </w:r>
          </w:p>
        </w:tc>
        <w:tc>
          <w:tcPr>
            <w:tcW w:w="1332" w:type="dxa"/>
            <w:vAlign w:val="center"/>
          </w:tcPr>
          <w:p w14:paraId="17DA665E" w14:textId="77777777" w:rsidR="00E1630E" w:rsidRPr="00C153CC" w:rsidRDefault="002527CA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cs="Calibri"/>
                <w:sz w:val="20"/>
                <w:lang w:eastAsia="en-US"/>
              </w:rPr>
            </w:pPr>
            <w:r w:rsidRPr="00C153CC">
              <w:rPr>
                <w:rFonts w:cs="Calibri"/>
                <w:sz w:val="20"/>
                <w:lang w:eastAsia="en-US"/>
              </w:rPr>
              <w:t>403 391</w:t>
            </w:r>
          </w:p>
        </w:tc>
      </w:tr>
      <w:tr w:rsidR="00E1630E" w:rsidRPr="00C153CC" w14:paraId="1C1A2F80" w14:textId="77777777" w:rsidTr="006A3939">
        <w:trPr>
          <w:trHeight w:val="255"/>
        </w:trPr>
        <w:tc>
          <w:tcPr>
            <w:tcW w:w="0" w:type="auto"/>
            <w:vAlign w:val="center"/>
          </w:tcPr>
          <w:p w14:paraId="00301EC8" w14:textId="77777777" w:rsidR="00E1630E" w:rsidRPr="00C153CC" w:rsidRDefault="00E1630E" w:rsidP="00D723A6">
            <w:pPr>
              <w:widowControl/>
              <w:autoSpaceDE/>
              <w:autoSpaceDN/>
              <w:adjustRightInd/>
              <w:jc w:val="left"/>
              <w:rPr>
                <w:rFonts w:cs="Calibri"/>
                <w:sz w:val="20"/>
                <w:lang w:eastAsia="en-US"/>
              </w:rPr>
            </w:pPr>
            <w:r w:rsidRPr="00C153CC">
              <w:rPr>
                <w:rFonts w:cs="Calibri"/>
                <w:sz w:val="20"/>
                <w:lang w:eastAsia="en-US"/>
              </w:rPr>
              <w:t>Čerpání fondu prevence (v tis. Kč)</w:t>
            </w:r>
          </w:p>
        </w:tc>
        <w:tc>
          <w:tcPr>
            <w:tcW w:w="1331" w:type="dxa"/>
            <w:vAlign w:val="center"/>
          </w:tcPr>
          <w:p w14:paraId="51199EB8" w14:textId="77777777" w:rsidR="00E1630E" w:rsidRPr="00C153CC" w:rsidRDefault="002527CA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cs="Calibri"/>
                <w:sz w:val="20"/>
                <w:lang w:eastAsia="en-US"/>
              </w:rPr>
            </w:pPr>
            <w:r w:rsidRPr="00C153CC">
              <w:rPr>
                <w:rFonts w:cs="Calibri"/>
                <w:sz w:val="20"/>
                <w:lang w:eastAsia="en-US"/>
              </w:rPr>
              <w:t>211 472</w:t>
            </w:r>
          </w:p>
        </w:tc>
        <w:tc>
          <w:tcPr>
            <w:tcW w:w="1331" w:type="dxa"/>
            <w:vAlign w:val="center"/>
          </w:tcPr>
          <w:p w14:paraId="5EEADE4C" w14:textId="77777777" w:rsidR="00E1630E" w:rsidRPr="00C153CC" w:rsidRDefault="002527CA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cs="Calibri"/>
                <w:sz w:val="20"/>
                <w:lang w:eastAsia="en-US"/>
              </w:rPr>
            </w:pPr>
            <w:r w:rsidRPr="00C153CC">
              <w:rPr>
                <w:rFonts w:cs="Calibri"/>
                <w:sz w:val="20"/>
                <w:lang w:eastAsia="en-US"/>
              </w:rPr>
              <w:t>406 670</w:t>
            </w:r>
          </w:p>
        </w:tc>
        <w:tc>
          <w:tcPr>
            <w:tcW w:w="1332" w:type="dxa"/>
            <w:vAlign w:val="center"/>
          </w:tcPr>
          <w:p w14:paraId="735EEF95" w14:textId="77777777" w:rsidR="00E1630E" w:rsidRPr="00C153CC" w:rsidRDefault="002527CA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cs="Calibri"/>
                <w:sz w:val="20"/>
                <w:lang w:eastAsia="en-US"/>
              </w:rPr>
            </w:pPr>
            <w:r w:rsidRPr="00C153CC">
              <w:rPr>
                <w:rFonts w:cs="Calibri"/>
                <w:sz w:val="20"/>
                <w:lang w:eastAsia="en-US"/>
              </w:rPr>
              <w:t>467 356</w:t>
            </w:r>
          </w:p>
        </w:tc>
      </w:tr>
    </w:tbl>
    <w:p w14:paraId="339D0B75" w14:textId="4D6E11B3" w:rsidR="00246D13" w:rsidRPr="006A3939" w:rsidRDefault="00246D13" w:rsidP="00D723A6">
      <w:pPr>
        <w:pStyle w:val="Zdroj"/>
        <w:spacing w:before="40"/>
        <w:rPr>
          <w:i w:val="0"/>
          <w:lang w:eastAsia="en-US"/>
        </w:rPr>
      </w:pPr>
      <w:r w:rsidRPr="006A3939">
        <w:rPr>
          <w:b/>
          <w:i w:val="0"/>
          <w:lang w:eastAsia="en-US"/>
        </w:rPr>
        <w:t>Zdroj:</w:t>
      </w:r>
      <w:r w:rsidRPr="006A3939">
        <w:rPr>
          <w:i w:val="0"/>
          <w:lang w:eastAsia="en-US"/>
        </w:rPr>
        <w:t xml:space="preserve"> </w:t>
      </w:r>
      <w:r w:rsidR="00F70894">
        <w:rPr>
          <w:i w:val="0"/>
          <w:lang w:eastAsia="en-US"/>
        </w:rPr>
        <w:t>v</w:t>
      </w:r>
      <w:r w:rsidRPr="006A3939">
        <w:rPr>
          <w:i w:val="0"/>
          <w:lang w:eastAsia="en-US"/>
        </w:rPr>
        <w:t>ýroční zprávy za roky 20</w:t>
      </w:r>
      <w:r w:rsidR="008252C2" w:rsidRPr="006A3939">
        <w:rPr>
          <w:i w:val="0"/>
          <w:lang w:eastAsia="en-US"/>
        </w:rPr>
        <w:t>20</w:t>
      </w:r>
      <w:r w:rsidRPr="006A3939">
        <w:rPr>
          <w:i w:val="0"/>
          <w:lang w:eastAsia="en-US"/>
        </w:rPr>
        <w:t>, 20</w:t>
      </w:r>
      <w:r w:rsidR="008252C2" w:rsidRPr="006A3939">
        <w:rPr>
          <w:i w:val="0"/>
          <w:lang w:eastAsia="en-US"/>
        </w:rPr>
        <w:t>21</w:t>
      </w:r>
      <w:r w:rsidRPr="006A3939">
        <w:rPr>
          <w:i w:val="0"/>
          <w:lang w:eastAsia="en-US"/>
        </w:rPr>
        <w:t xml:space="preserve"> a 20</w:t>
      </w:r>
      <w:r w:rsidR="008252C2" w:rsidRPr="006A3939">
        <w:rPr>
          <w:i w:val="0"/>
          <w:lang w:eastAsia="en-US"/>
        </w:rPr>
        <w:t>22</w:t>
      </w:r>
      <w:r w:rsidRPr="006A3939">
        <w:rPr>
          <w:i w:val="0"/>
          <w:lang w:eastAsia="en-US"/>
        </w:rPr>
        <w:t>, obratové předvahy za 1-12/20</w:t>
      </w:r>
      <w:r w:rsidR="008252C2" w:rsidRPr="006A3939">
        <w:rPr>
          <w:i w:val="0"/>
          <w:lang w:eastAsia="en-US"/>
        </w:rPr>
        <w:t>20</w:t>
      </w:r>
      <w:r w:rsidRPr="006A3939">
        <w:rPr>
          <w:i w:val="0"/>
          <w:lang w:eastAsia="en-US"/>
        </w:rPr>
        <w:t>, 1-12/20</w:t>
      </w:r>
      <w:r w:rsidR="008252C2" w:rsidRPr="006A3939">
        <w:rPr>
          <w:i w:val="0"/>
          <w:lang w:eastAsia="en-US"/>
        </w:rPr>
        <w:t>21</w:t>
      </w:r>
      <w:r w:rsidRPr="006A3939">
        <w:rPr>
          <w:i w:val="0"/>
          <w:lang w:eastAsia="en-US"/>
        </w:rPr>
        <w:t>, 1-12/20</w:t>
      </w:r>
      <w:r w:rsidR="008252C2" w:rsidRPr="006A3939">
        <w:rPr>
          <w:i w:val="0"/>
          <w:lang w:eastAsia="en-US"/>
        </w:rPr>
        <w:t>22</w:t>
      </w:r>
      <w:r w:rsidR="00A86200" w:rsidRPr="006A3939">
        <w:rPr>
          <w:i w:val="0"/>
          <w:lang w:eastAsia="en-US"/>
        </w:rPr>
        <w:t>.</w:t>
      </w:r>
    </w:p>
    <w:p w14:paraId="1FF78E5D" w14:textId="60339869" w:rsidR="00246D13" w:rsidRPr="0021625D" w:rsidRDefault="00246D13" w:rsidP="00D723A6">
      <w:pPr>
        <w:widowControl/>
        <w:autoSpaceDE/>
        <w:autoSpaceDN/>
        <w:adjustRightInd/>
        <w:spacing w:before="120" w:after="120"/>
        <w:rPr>
          <w:rFonts w:cs="Times New Roman"/>
          <w:szCs w:val="24"/>
          <w:highlight w:val="yellow"/>
          <w:lang w:eastAsia="en-US"/>
        </w:rPr>
      </w:pPr>
      <w:r w:rsidRPr="002527CA">
        <w:rPr>
          <w:rFonts w:cs="Times New Roman"/>
          <w:szCs w:val="24"/>
          <w:lang w:eastAsia="en-US"/>
        </w:rPr>
        <w:t xml:space="preserve">Tvorba i čerpání </w:t>
      </w:r>
      <w:r w:rsidR="00017274">
        <w:rPr>
          <w:rFonts w:cs="Times New Roman"/>
          <w:szCs w:val="24"/>
          <w:lang w:eastAsia="en-US"/>
        </w:rPr>
        <w:t>ZF</w:t>
      </w:r>
      <w:r w:rsidRPr="002527CA">
        <w:rPr>
          <w:rFonts w:cs="Times New Roman"/>
          <w:szCs w:val="24"/>
          <w:lang w:eastAsia="en-US"/>
        </w:rPr>
        <w:t xml:space="preserve"> v kontrolovaném období </w:t>
      </w:r>
      <w:r w:rsidR="00017274">
        <w:rPr>
          <w:rFonts w:cs="Times New Roman"/>
          <w:szCs w:val="24"/>
          <w:lang w:eastAsia="en-US"/>
        </w:rPr>
        <w:t>se zvyšovaly</w:t>
      </w:r>
      <w:r w:rsidRPr="002527CA">
        <w:rPr>
          <w:rFonts w:cs="Times New Roman"/>
          <w:szCs w:val="24"/>
          <w:lang w:eastAsia="en-US"/>
        </w:rPr>
        <w:t>.</w:t>
      </w:r>
      <w:r w:rsidR="00017274">
        <w:rPr>
          <w:rFonts w:cs="Times New Roman"/>
          <w:szCs w:val="24"/>
          <w:lang w:eastAsia="en-US"/>
        </w:rPr>
        <w:t xml:space="preserve"> </w:t>
      </w:r>
      <w:r w:rsidRPr="002B1F50">
        <w:rPr>
          <w:rFonts w:cs="Times New Roman"/>
          <w:szCs w:val="24"/>
          <w:lang w:eastAsia="en-US"/>
        </w:rPr>
        <w:t>Průměrný počet zaměstnanců v letech 20</w:t>
      </w:r>
      <w:r w:rsidR="00687CBE" w:rsidRPr="002B1F50">
        <w:rPr>
          <w:rFonts w:cs="Times New Roman"/>
          <w:szCs w:val="24"/>
          <w:lang w:eastAsia="en-US"/>
        </w:rPr>
        <w:t xml:space="preserve">20 až </w:t>
      </w:r>
      <w:r w:rsidRPr="002B1F50">
        <w:rPr>
          <w:rFonts w:cs="Times New Roman"/>
          <w:szCs w:val="24"/>
          <w:lang w:eastAsia="en-US"/>
        </w:rPr>
        <w:t>20</w:t>
      </w:r>
      <w:r w:rsidR="00687CBE" w:rsidRPr="002B1F50">
        <w:rPr>
          <w:rFonts w:cs="Times New Roman"/>
          <w:szCs w:val="24"/>
          <w:lang w:eastAsia="en-US"/>
        </w:rPr>
        <w:t>22</w:t>
      </w:r>
      <w:r w:rsidRPr="002B1F50">
        <w:rPr>
          <w:rFonts w:cs="Times New Roman"/>
          <w:szCs w:val="24"/>
          <w:lang w:eastAsia="en-US"/>
        </w:rPr>
        <w:t xml:space="preserve"> </w:t>
      </w:r>
      <w:r w:rsidR="009177BD" w:rsidRPr="002B1F50">
        <w:rPr>
          <w:rFonts w:cs="Times New Roman"/>
          <w:szCs w:val="24"/>
          <w:lang w:eastAsia="en-US"/>
        </w:rPr>
        <w:t xml:space="preserve">vzrostl </w:t>
      </w:r>
      <w:r w:rsidR="00717E89">
        <w:rPr>
          <w:rFonts w:cs="Times New Roman"/>
          <w:szCs w:val="24"/>
          <w:lang w:eastAsia="en-US"/>
        </w:rPr>
        <w:t>o 2,3 %</w:t>
      </w:r>
      <w:r w:rsidR="009177BD" w:rsidRPr="002B1F50">
        <w:rPr>
          <w:rFonts w:cs="Times New Roman"/>
          <w:szCs w:val="24"/>
          <w:lang w:eastAsia="en-US"/>
        </w:rPr>
        <w:t>.</w:t>
      </w:r>
      <w:r w:rsidRPr="002B1F50">
        <w:rPr>
          <w:rFonts w:cs="Times New Roman"/>
          <w:szCs w:val="24"/>
          <w:lang w:eastAsia="en-US"/>
        </w:rPr>
        <w:t xml:space="preserve"> Průměrný počet pojištěnců v tomto období </w:t>
      </w:r>
      <w:r w:rsidR="00687CBE" w:rsidRPr="002B1F50">
        <w:rPr>
          <w:rFonts w:cs="Times New Roman"/>
          <w:szCs w:val="24"/>
          <w:lang w:eastAsia="en-US"/>
        </w:rPr>
        <w:t>rostl</w:t>
      </w:r>
      <w:r w:rsidRPr="002B1F50">
        <w:rPr>
          <w:rFonts w:cs="Times New Roman"/>
          <w:szCs w:val="24"/>
          <w:lang w:eastAsia="en-US"/>
        </w:rPr>
        <w:t xml:space="preserve"> o </w:t>
      </w:r>
      <w:r w:rsidR="003665DC" w:rsidRPr="002B1F50">
        <w:rPr>
          <w:rFonts w:cs="Times New Roman"/>
          <w:szCs w:val="24"/>
          <w:lang w:eastAsia="en-US"/>
        </w:rPr>
        <w:t>1,</w:t>
      </w:r>
      <w:r w:rsidR="00687CBE" w:rsidRPr="002B1F50">
        <w:rPr>
          <w:rFonts w:cs="Times New Roman"/>
          <w:szCs w:val="24"/>
          <w:lang w:eastAsia="en-US"/>
        </w:rPr>
        <w:t>3</w:t>
      </w:r>
      <w:r w:rsidR="00E43FA4">
        <w:rPr>
          <w:rFonts w:cs="Times New Roman"/>
          <w:szCs w:val="24"/>
          <w:lang w:eastAsia="en-US"/>
        </w:rPr>
        <w:t> </w:t>
      </w:r>
      <w:r w:rsidRPr="002B1F50">
        <w:rPr>
          <w:rFonts w:cs="Times New Roman"/>
          <w:szCs w:val="24"/>
          <w:lang w:eastAsia="en-US"/>
        </w:rPr>
        <w:t xml:space="preserve">%. Současně </w:t>
      </w:r>
      <w:r w:rsidR="00A450BB">
        <w:rPr>
          <w:rFonts w:cs="Times New Roman"/>
          <w:szCs w:val="24"/>
          <w:lang w:eastAsia="en-US"/>
        </w:rPr>
        <w:t>se zvyšoval</w:t>
      </w:r>
      <w:r w:rsidRPr="002B1F50">
        <w:rPr>
          <w:rFonts w:cs="Times New Roman"/>
          <w:szCs w:val="24"/>
          <w:lang w:eastAsia="en-US"/>
        </w:rPr>
        <w:t xml:space="preserve"> i průměrný počet</w:t>
      </w:r>
      <w:r w:rsidRPr="00687CBE">
        <w:rPr>
          <w:rFonts w:cs="Times New Roman"/>
          <w:szCs w:val="24"/>
          <w:lang w:eastAsia="en-US"/>
        </w:rPr>
        <w:t xml:space="preserve"> pojištěnců, za které je plátcem pojistného stát </w:t>
      </w:r>
      <w:r w:rsidR="00D30AC3">
        <w:rPr>
          <w:rFonts w:cs="Times New Roman"/>
          <w:szCs w:val="24"/>
          <w:lang w:eastAsia="en-US"/>
        </w:rPr>
        <w:t>(</w:t>
      </w:r>
      <w:r w:rsidR="00717E89">
        <w:rPr>
          <w:rFonts w:cs="Times New Roman"/>
          <w:szCs w:val="24"/>
          <w:lang w:eastAsia="en-US"/>
        </w:rPr>
        <w:t xml:space="preserve">mezi lety </w:t>
      </w:r>
      <w:r w:rsidRPr="00687CBE">
        <w:rPr>
          <w:rFonts w:cs="Times New Roman"/>
          <w:szCs w:val="24"/>
          <w:lang w:eastAsia="en-US"/>
        </w:rPr>
        <w:t>20</w:t>
      </w:r>
      <w:r w:rsidR="00687CBE" w:rsidRPr="00687CBE">
        <w:rPr>
          <w:rFonts w:cs="Times New Roman"/>
          <w:szCs w:val="24"/>
          <w:lang w:eastAsia="en-US"/>
        </w:rPr>
        <w:t>20</w:t>
      </w:r>
      <w:r w:rsidRPr="00687CBE">
        <w:rPr>
          <w:rFonts w:cs="Times New Roman"/>
          <w:szCs w:val="24"/>
          <w:lang w:eastAsia="en-US"/>
        </w:rPr>
        <w:t xml:space="preserve"> </w:t>
      </w:r>
      <w:r w:rsidR="00717E89">
        <w:rPr>
          <w:rFonts w:cs="Times New Roman"/>
          <w:szCs w:val="24"/>
          <w:lang w:eastAsia="en-US"/>
        </w:rPr>
        <w:t>a</w:t>
      </w:r>
      <w:r w:rsidRPr="00687CBE">
        <w:rPr>
          <w:rFonts w:cs="Times New Roman"/>
          <w:szCs w:val="24"/>
          <w:lang w:eastAsia="en-US"/>
        </w:rPr>
        <w:t xml:space="preserve"> 20</w:t>
      </w:r>
      <w:r w:rsidR="00687CBE" w:rsidRPr="00687CBE">
        <w:rPr>
          <w:rFonts w:cs="Times New Roman"/>
          <w:szCs w:val="24"/>
          <w:lang w:eastAsia="en-US"/>
        </w:rPr>
        <w:t>22</w:t>
      </w:r>
      <w:r w:rsidR="00717E89">
        <w:rPr>
          <w:rFonts w:cs="Times New Roman"/>
          <w:szCs w:val="24"/>
          <w:lang w:eastAsia="en-US"/>
        </w:rPr>
        <w:t xml:space="preserve"> </w:t>
      </w:r>
      <w:r w:rsidRPr="00687CBE">
        <w:rPr>
          <w:rFonts w:cs="Times New Roman"/>
          <w:szCs w:val="24"/>
          <w:lang w:eastAsia="en-US"/>
        </w:rPr>
        <w:t xml:space="preserve">o </w:t>
      </w:r>
      <w:r w:rsidR="00687CBE" w:rsidRPr="00687CBE">
        <w:rPr>
          <w:rFonts w:cs="Times New Roman"/>
          <w:szCs w:val="24"/>
          <w:lang w:eastAsia="en-US"/>
        </w:rPr>
        <w:t>3,9</w:t>
      </w:r>
      <w:r w:rsidRPr="00687CBE">
        <w:rPr>
          <w:rFonts w:cs="Times New Roman"/>
          <w:szCs w:val="24"/>
          <w:lang w:eastAsia="en-US"/>
        </w:rPr>
        <w:t xml:space="preserve"> %</w:t>
      </w:r>
      <w:r w:rsidR="00D30AC3">
        <w:rPr>
          <w:rFonts w:cs="Times New Roman"/>
          <w:szCs w:val="24"/>
          <w:lang w:eastAsia="en-US"/>
        </w:rPr>
        <w:t>)</w:t>
      </w:r>
      <w:r w:rsidRPr="00687CBE">
        <w:rPr>
          <w:rFonts w:cs="Times New Roman"/>
          <w:szCs w:val="24"/>
          <w:lang w:eastAsia="en-US"/>
        </w:rPr>
        <w:t>.</w:t>
      </w:r>
      <w:r w:rsidR="00717E89">
        <w:rPr>
          <w:rFonts w:cs="Times New Roman"/>
          <w:szCs w:val="24"/>
          <w:lang w:eastAsia="en-US"/>
        </w:rPr>
        <w:t xml:space="preserve"> </w:t>
      </w:r>
      <w:r w:rsidRPr="000E513C">
        <w:rPr>
          <w:rFonts w:cs="Times New Roman"/>
          <w:szCs w:val="24"/>
          <w:lang w:eastAsia="en-US"/>
        </w:rPr>
        <w:t>Průměrné náklady na zdravotní služby na jednoho pojištěnce v kontrolovaném období rostly</w:t>
      </w:r>
      <w:r w:rsidR="00717E89">
        <w:rPr>
          <w:rFonts w:cs="Times New Roman"/>
          <w:szCs w:val="24"/>
          <w:lang w:eastAsia="en-US"/>
        </w:rPr>
        <w:t>.</w:t>
      </w:r>
    </w:p>
    <w:p w14:paraId="3AC54780" w14:textId="2E4878A2" w:rsidR="00F55254" w:rsidRDefault="00246D13" w:rsidP="00D723A6">
      <w:pPr>
        <w:widowControl/>
        <w:autoSpaceDE/>
        <w:autoSpaceDN/>
        <w:adjustRightInd/>
        <w:spacing w:before="120" w:after="120"/>
        <w:rPr>
          <w:rFonts w:cs="Times New Roman"/>
          <w:szCs w:val="24"/>
          <w:lang w:eastAsia="en-US"/>
        </w:rPr>
      </w:pPr>
      <w:r w:rsidRPr="00D70391">
        <w:rPr>
          <w:rFonts w:cs="Times New Roman"/>
          <w:szCs w:val="24"/>
          <w:lang w:eastAsia="en-US"/>
        </w:rPr>
        <w:t>V roce 20</w:t>
      </w:r>
      <w:r w:rsidR="008713E8" w:rsidRPr="00D70391">
        <w:rPr>
          <w:rFonts w:cs="Times New Roman"/>
          <w:szCs w:val="24"/>
          <w:lang w:eastAsia="en-US"/>
        </w:rPr>
        <w:t>2</w:t>
      </w:r>
      <w:r w:rsidR="00103EA2" w:rsidRPr="00D70391">
        <w:rPr>
          <w:rFonts w:cs="Times New Roman"/>
          <w:szCs w:val="24"/>
          <w:lang w:eastAsia="en-US"/>
        </w:rPr>
        <w:t>1</w:t>
      </w:r>
      <w:r w:rsidRPr="00D70391">
        <w:rPr>
          <w:rFonts w:cs="Times New Roman"/>
          <w:szCs w:val="24"/>
          <w:lang w:eastAsia="en-US"/>
        </w:rPr>
        <w:t xml:space="preserve"> </w:t>
      </w:r>
      <w:r w:rsidR="00D70391" w:rsidRPr="00D70391">
        <w:rPr>
          <w:rFonts w:cs="Times New Roman"/>
          <w:szCs w:val="24"/>
          <w:lang w:eastAsia="en-US"/>
        </w:rPr>
        <w:t>se</w:t>
      </w:r>
      <w:r w:rsidRPr="00D70391">
        <w:rPr>
          <w:rFonts w:cs="Times New Roman"/>
          <w:szCs w:val="24"/>
          <w:lang w:eastAsia="en-US"/>
        </w:rPr>
        <w:t xml:space="preserve"> náklady na zdravotní služby</w:t>
      </w:r>
      <w:r w:rsidR="00D70391" w:rsidRPr="00D70391">
        <w:rPr>
          <w:rFonts w:cs="Times New Roman"/>
          <w:szCs w:val="24"/>
          <w:lang w:eastAsia="en-US"/>
        </w:rPr>
        <w:t xml:space="preserve"> zvýšily</w:t>
      </w:r>
      <w:r w:rsidRPr="00D70391">
        <w:rPr>
          <w:rFonts w:cs="Times New Roman"/>
          <w:szCs w:val="24"/>
          <w:lang w:eastAsia="en-US"/>
        </w:rPr>
        <w:t xml:space="preserve"> oproti roku 20</w:t>
      </w:r>
      <w:r w:rsidR="00103EA2" w:rsidRPr="00D70391">
        <w:rPr>
          <w:rFonts w:cs="Times New Roman"/>
          <w:szCs w:val="24"/>
          <w:lang w:eastAsia="en-US"/>
        </w:rPr>
        <w:t>20</w:t>
      </w:r>
      <w:r w:rsidRPr="00D70391">
        <w:rPr>
          <w:rFonts w:cs="Times New Roman"/>
          <w:szCs w:val="24"/>
          <w:lang w:eastAsia="en-US"/>
        </w:rPr>
        <w:t xml:space="preserve"> o </w:t>
      </w:r>
      <w:r w:rsidR="00103EA2" w:rsidRPr="00D70391">
        <w:rPr>
          <w:rFonts w:cs="Times New Roman"/>
          <w:szCs w:val="24"/>
          <w:lang w:eastAsia="en-US"/>
        </w:rPr>
        <w:t>18,7</w:t>
      </w:r>
      <w:r w:rsidRPr="00D70391">
        <w:rPr>
          <w:rFonts w:cs="Times New Roman"/>
          <w:szCs w:val="24"/>
          <w:lang w:eastAsia="en-US"/>
        </w:rPr>
        <w:t xml:space="preserve"> %</w:t>
      </w:r>
      <w:r w:rsidR="00D70391" w:rsidRPr="00D70391">
        <w:rPr>
          <w:rFonts w:cs="Times New Roman"/>
          <w:szCs w:val="24"/>
          <w:lang w:eastAsia="en-US"/>
        </w:rPr>
        <w:t>.</w:t>
      </w:r>
      <w:r w:rsidRPr="00D70391">
        <w:rPr>
          <w:rFonts w:cs="Times New Roman"/>
          <w:szCs w:val="24"/>
          <w:lang w:eastAsia="en-US"/>
        </w:rPr>
        <w:t xml:space="preserve"> </w:t>
      </w:r>
      <w:r w:rsidR="00D70391" w:rsidRPr="00D70391">
        <w:rPr>
          <w:rFonts w:cs="Times New Roman"/>
          <w:szCs w:val="24"/>
          <w:lang w:eastAsia="en-US"/>
        </w:rPr>
        <w:t>V roce 2022 došlo ke zvýšení nákladů na zdravotní služby oproti roku 2021 o 1,4 %. Největší objem</w:t>
      </w:r>
      <w:r w:rsidR="00C0576C">
        <w:rPr>
          <w:rFonts w:cs="Times New Roman"/>
          <w:szCs w:val="24"/>
          <w:lang w:eastAsia="en-US"/>
        </w:rPr>
        <w:t xml:space="preserve"> </w:t>
      </w:r>
      <w:r w:rsidR="00D70391" w:rsidRPr="00D70391">
        <w:rPr>
          <w:rFonts w:cs="Times New Roman"/>
          <w:szCs w:val="24"/>
          <w:lang w:eastAsia="en-US"/>
        </w:rPr>
        <w:t>z</w:t>
      </w:r>
      <w:r w:rsidR="00E43FA4">
        <w:rPr>
          <w:rFonts w:cs="Times New Roman"/>
          <w:szCs w:val="24"/>
          <w:lang w:eastAsia="en-US"/>
        </w:rPr>
        <w:t> </w:t>
      </w:r>
      <w:r w:rsidR="00D70391" w:rsidRPr="00D70391">
        <w:rPr>
          <w:rFonts w:cs="Times New Roman"/>
          <w:szCs w:val="24"/>
          <w:lang w:eastAsia="en-US"/>
        </w:rPr>
        <w:t xml:space="preserve">celkových nákladů na zdravotní služby tvořily v letech 2020 až 2022 náklady u lůžkových PZS (52,6 % v roce 2020, </w:t>
      </w:r>
      <w:r w:rsidR="00103EA2" w:rsidRPr="00D70391">
        <w:rPr>
          <w:rFonts w:cs="Times New Roman"/>
          <w:szCs w:val="24"/>
          <w:lang w:eastAsia="en-US"/>
        </w:rPr>
        <w:t>56,0</w:t>
      </w:r>
      <w:r w:rsidR="00E33D0D" w:rsidRPr="00D70391">
        <w:rPr>
          <w:rFonts w:cs="Times New Roman"/>
          <w:szCs w:val="24"/>
          <w:lang w:eastAsia="en-US"/>
        </w:rPr>
        <w:t> </w:t>
      </w:r>
      <w:r w:rsidRPr="00D70391">
        <w:rPr>
          <w:rFonts w:cs="Times New Roman"/>
          <w:szCs w:val="24"/>
          <w:lang w:eastAsia="en-US"/>
        </w:rPr>
        <w:t>%</w:t>
      </w:r>
      <w:r w:rsidR="00D70391" w:rsidRPr="00D70391">
        <w:rPr>
          <w:rFonts w:cs="Times New Roman"/>
          <w:szCs w:val="24"/>
          <w:lang w:eastAsia="en-US"/>
        </w:rPr>
        <w:t xml:space="preserve"> v roce 2021 a </w:t>
      </w:r>
      <w:r w:rsidR="00F55254" w:rsidRPr="00D70391">
        <w:rPr>
          <w:rFonts w:cs="Times New Roman"/>
          <w:szCs w:val="24"/>
          <w:lang w:eastAsia="en-US"/>
        </w:rPr>
        <w:t>54,4</w:t>
      </w:r>
      <w:r w:rsidR="0082213F" w:rsidRPr="00D70391">
        <w:rPr>
          <w:rFonts w:cs="Times New Roman"/>
          <w:szCs w:val="24"/>
          <w:lang w:eastAsia="en-US"/>
        </w:rPr>
        <w:t> </w:t>
      </w:r>
      <w:r w:rsidR="00F55254" w:rsidRPr="00D70391">
        <w:rPr>
          <w:rFonts w:cs="Times New Roman"/>
          <w:szCs w:val="24"/>
          <w:lang w:eastAsia="en-US"/>
        </w:rPr>
        <w:t>%</w:t>
      </w:r>
      <w:r w:rsidR="00D70391" w:rsidRPr="00D70391">
        <w:rPr>
          <w:rFonts w:cs="Times New Roman"/>
          <w:szCs w:val="24"/>
          <w:lang w:eastAsia="en-US"/>
        </w:rPr>
        <w:t xml:space="preserve"> v roce 2022)</w:t>
      </w:r>
      <w:r w:rsidR="00F55254" w:rsidRPr="00D70391">
        <w:rPr>
          <w:rFonts w:cs="Times New Roman"/>
          <w:szCs w:val="24"/>
          <w:lang w:eastAsia="en-US"/>
        </w:rPr>
        <w:t>.</w:t>
      </w:r>
      <w:r w:rsidR="00F55254" w:rsidRPr="00103EA2">
        <w:rPr>
          <w:rFonts w:cs="Times New Roman"/>
          <w:szCs w:val="24"/>
          <w:lang w:eastAsia="en-US"/>
        </w:rPr>
        <w:t xml:space="preserve"> </w:t>
      </w:r>
    </w:p>
    <w:p w14:paraId="776822DD" w14:textId="153D8DE5" w:rsidR="00692242" w:rsidRDefault="00692242" w:rsidP="00D723A6">
      <w:pPr>
        <w:widowControl/>
        <w:spacing w:before="120" w:after="120"/>
        <w:rPr>
          <w:rFonts w:cs="Calibri"/>
          <w:szCs w:val="24"/>
        </w:rPr>
      </w:pPr>
      <w:r w:rsidRPr="00734389">
        <w:rPr>
          <w:rFonts w:cs="Calibri"/>
          <w:szCs w:val="24"/>
        </w:rPr>
        <w:t>NKÚ v rámci kontroly také porovnával úhrady vybraným poskytovatelům zdravotních služeb podobného typu a jakým způsobem se</w:t>
      </w:r>
      <w:r w:rsidR="00B35E75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v kontrolovaném období</w:t>
      </w:r>
      <w:r w:rsidRPr="00734389">
        <w:rPr>
          <w:rFonts w:cs="Calibri"/>
          <w:szCs w:val="24"/>
        </w:rPr>
        <w:t xml:space="preserve"> změnily individuální základní sazby jednotlivým poskytovatelům v návaznosti na implementaci</w:t>
      </w:r>
      <w:r>
        <w:rPr>
          <w:rFonts w:cs="Calibri"/>
          <w:szCs w:val="24"/>
        </w:rPr>
        <w:t xml:space="preserve"> </w:t>
      </w:r>
      <w:r w:rsidRPr="00936572">
        <w:rPr>
          <w:rFonts w:cs="Calibri"/>
          <w:szCs w:val="24"/>
        </w:rPr>
        <w:t>klasifikační</w:t>
      </w:r>
      <w:r>
        <w:rPr>
          <w:rFonts w:cs="Calibri"/>
          <w:szCs w:val="24"/>
        </w:rPr>
        <w:t>ho</w:t>
      </w:r>
      <w:r w:rsidRPr="00936572">
        <w:rPr>
          <w:rFonts w:cs="Calibri"/>
          <w:szCs w:val="24"/>
        </w:rPr>
        <w:t xml:space="preserve"> systém</w:t>
      </w:r>
      <w:r>
        <w:rPr>
          <w:rFonts w:cs="Calibri"/>
          <w:szCs w:val="24"/>
        </w:rPr>
        <w:t>u</w:t>
      </w:r>
      <w:r w:rsidRPr="00936572">
        <w:rPr>
          <w:rFonts w:cs="Calibri"/>
          <w:szCs w:val="24"/>
        </w:rPr>
        <w:t xml:space="preserve"> navržen</w:t>
      </w:r>
      <w:r>
        <w:rPr>
          <w:rFonts w:cs="Calibri"/>
          <w:szCs w:val="24"/>
        </w:rPr>
        <w:t>ého</w:t>
      </w:r>
      <w:r w:rsidRPr="00936572">
        <w:rPr>
          <w:rFonts w:cs="Calibri"/>
          <w:szCs w:val="24"/>
        </w:rPr>
        <w:t xml:space="preserve"> pro akutní lůžkovou péči v ČR</w:t>
      </w:r>
      <w:r w:rsidRPr="00734389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(dále také „</w:t>
      </w:r>
      <w:r w:rsidRPr="00734389">
        <w:rPr>
          <w:rFonts w:cs="Calibri"/>
          <w:szCs w:val="24"/>
        </w:rPr>
        <w:t>CZ-DRG</w:t>
      </w:r>
      <w:r>
        <w:rPr>
          <w:rFonts w:cs="Calibri"/>
          <w:szCs w:val="24"/>
        </w:rPr>
        <w:t>“)</w:t>
      </w:r>
      <w:r w:rsidRPr="00734389">
        <w:rPr>
          <w:rFonts w:cs="Calibri"/>
          <w:szCs w:val="24"/>
        </w:rPr>
        <w:t>. Porovnání</w:t>
      </w:r>
      <w:r w:rsidR="00A450BB">
        <w:rPr>
          <w:rFonts w:cs="Calibri"/>
          <w:szCs w:val="24"/>
        </w:rPr>
        <w:t xml:space="preserve"> úhrad vybraným PZS</w:t>
      </w:r>
      <w:r w:rsidRPr="00734389">
        <w:rPr>
          <w:rFonts w:cs="Calibri"/>
          <w:szCs w:val="24"/>
        </w:rPr>
        <w:t xml:space="preserve"> je uvedeno v příloze č. 1</w:t>
      </w:r>
      <w:r w:rsidR="00B35E75">
        <w:rPr>
          <w:rFonts w:cs="Calibri"/>
          <w:szCs w:val="24"/>
        </w:rPr>
        <w:t xml:space="preserve"> tohoto kontrolního závěru</w:t>
      </w:r>
      <w:r w:rsidRPr="00734389">
        <w:rPr>
          <w:rFonts w:cs="Calibri"/>
          <w:szCs w:val="24"/>
        </w:rPr>
        <w:t>.</w:t>
      </w:r>
    </w:p>
    <w:p w14:paraId="53876147" w14:textId="7056DBA9" w:rsidR="00AF46B2" w:rsidRDefault="00AF46B2" w:rsidP="00D723A6">
      <w:pPr>
        <w:widowControl/>
        <w:autoSpaceDE/>
        <w:autoSpaceDN/>
        <w:adjustRightInd/>
        <w:spacing w:before="120" w:after="120"/>
        <w:rPr>
          <w:rFonts w:cs="Times New Roman"/>
          <w:szCs w:val="24"/>
          <w:lang w:eastAsia="en-US"/>
        </w:rPr>
      </w:pPr>
      <w:r w:rsidRPr="00BE4934">
        <w:rPr>
          <w:rFonts w:cs="Times New Roman"/>
          <w:szCs w:val="24"/>
          <w:lang w:eastAsia="en-US"/>
        </w:rPr>
        <w:t>Peněžní prostředky vyčleněné na provoz ZPMV neodpovídaly v letech 2020 až 2022 jejím skutečným výdajům</w:t>
      </w:r>
      <w:r w:rsidR="006B77A0" w:rsidRPr="00BE4934">
        <w:rPr>
          <w:rFonts w:cs="Times New Roman"/>
          <w:szCs w:val="24"/>
          <w:lang w:eastAsia="en-US"/>
        </w:rPr>
        <w:t>.</w:t>
      </w:r>
      <w:r w:rsidR="0091794E">
        <w:rPr>
          <w:rFonts w:cs="Times New Roman"/>
          <w:szCs w:val="24"/>
          <w:lang w:eastAsia="en-US"/>
        </w:rPr>
        <w:t xml:space="preserve"> P</w:t>
      </w:r>
      <w:r w:rsidR="004E166F">
        <w:rPr>
          <w:rFonts w:cs="Times New Roman"/>
          <w:szCs w:val="24"/>
          <w:lang w:eastAsia="en-US"/>
        </w:rPr>
        <w:t xml:space="preserve">rávní </w:t>
      </w:r>
      <w:r w:rsidR="00E732DE">
        <w:rPr>
          <w:rFonts w:cs="Times New Roman"/>
          <w:szCs w:val="24"/>
          <w:lang w:eastAsia="en-US"/>
        </w:rPr>
        <w:t>úprava</w:t>
      </w:r>
      <w:r w:rsidR="004E166F">
        <w:rPr>
          <w:rFonts w:cs="Times New Roman"/>
          <w:szCs w:val="24"/>
          <w:lang w:eastAsia="en-US"/>
        </w:rPr>
        <w:t xml:space="preserve"> umožnil</w:t>
      </w:r>
      <w:r w:rsidR="00E732DE">
        <w:rPr>
          <w:rFonts w:cs="Times New Roman"/>
          <w:szCs w:val="24"/>
          <w:lang w:eastAsia="en-US"/>
        </w:rPr>
        <w:t>a</w:t>
      </w:r>
      <w:r w:rsidR="004E166F">
        <w:rPr>
          <w:rFonts w:cs="Times New Roman"/>
          <w:szCs w:val="24"/>
          <w:lang w:eastAsia="en-US"/>
        </w:rPr>
        <w:t xml:space="preserve"> ZPMV navyšovat prostředky vyčleněné na provoz nad potřebnou výši. </w:t>
      </w:r>
      <w:r w:rsidR="006B77A0" w:rsidRPr="00BE4934">
        <w:rPr>
          <w:rFonts w:cs="Times New Roman"/>
          <w:szCs w:val="24"/>
          <w:lang w:eastAsia="en-US"/>
        </w:rPr>
        <w:t>N</w:t>
      </w:r>
      <w:r w:rsidRPr="00BE4934">
        <w:rPr>
          <w:rFonts w:cs="Times New Roman"/>
          <w:szCs w:val="24"/>
          <w:lang w:eastAsia="en-US"/>
        </w:rPr>
        <w:t>a bankovních účtech provozního fondu vzrostl zůstatek z téměř 1,2</w:t>
      </w:r>
      <w:r w:rsidR="00B35E75">
        <w:rPr>
          <w:rFonts w:cs="Times New Roman"/>
          <w:szCs w:val="24"/>
          <w:lang w:eastAsia="en-US"/>
        </w:rPr>
        <w:t> </w:t>
      </w:r>
      <w:r w:rsidRPr="00BE4934">
        <w:rPr>
          <w:rFonts w:cs="Times New Roman"/>
          <w:szCs w:val="24"/>
          <w:lang w:eastAsia="en-US"/>
        </w:rPr>
        <w:t>mld.</w:t>
      </w:r>
      <w:r w:rsidR="00B35E75">
        <w:rPr>
          <w:rFonts w:cs="Times New Roman"/>
          <w:szCs w:val="24"/>
          <w:lang w:eastAsia="en-US"/>
        </w:rPr>
        <w:t> </w:t>
      </w:r>
      <w:r w:rsidRPr="00BE4934">
        <w:rPr>
          <w:rFonts w:cs="Times New Roman"/>
          <w:szCs w:val="24"/>
          <w:lang w:eastAsia="en-US"/>
        </w:rPr>
        <w:t>Kč</w:t>
      </w:r>
      <w:r w:rsidR="00185680">
        <w:rPr>
          <w:rFonts w:cs="Times New Roman"/>
          <w:szCs w:val="24"/>
          <w:lang w:eastAsia="en-US"/>
        </w:rPr>
        <w:t xml:space="preserve"> v roce 2020</w:t>
      </w:r>
      <w:r w:rsidRPr="00BE4934">
        <w:rPr>
          <w:rFonts w:cs="Times New Roman"/>
          <w:szCs w:val="24"/>
          <w:lang w:eastAsia="en-US"/>
        </w:rPr>
        <w:t xml:space="preserve"> na přibližně 1,9 mld. Kč</w:t>
      </w:r>
      <w:r w:rsidR="00185680">
        <w:rPr>
          <w:rFonts w:cs="Times New Roman"/>
          <w:szCs w:val="24"/>
          <w:lang w:eastAsia="en-US"/>
        </w:rPr>
        <w:t xml:space="preserve"> v roce 2022</w:t>
      </w:r>
      <w:r w:rsidRPr="00BE4934">
        <w:rPr>
          <w:rFonts w:cs="Times New Roman"/>
          <w:szCs w:val="24"/>
          <w:lang w:eastAsia="en-US"/>
        </w:rPr>
        <w:t xml:space="preserve">, což </w:t>
      </w:r>
      <w:r w:rsidR="004E166F">
        <w:rPr>
          <w:rFonts w:cs="Times New Roman"/>
          <w:szCs w:val="24"/>
          <w:lang w:eastAsia="en-US"/>
        </w:rPr>
        <w:t xml:space="preserve">je částka </w:t>
      </w:r>
      <w:r w:rsidR="00185680">
        <w:rPr>
          <w:rFonts w:cs="Times New Roman"/>
          <w:szCs w:val="24"/>
          <w:lang w:eastAsia="en-US"/>
        </w:rPr>
        <w:t>odpovídající</w:t>
      </w:r>
      <w:r w:rsidR="00185680" w:rsidRPr="00BE4934">
        <w:rPr>
          <w:rFonts w:cs="Times New Roman"/>
          <w:szCs w:val="24"/>
          <w:lang w:eastAsia="en-US"/>
        </w:rPr>
        <w:t xml:space="preserve"> </w:t>
      </w:r>
      <w:r w:rsidRPr="00BE4934">
        <w:rPr>
          <w:rFonts w:cs="Times New Roman"/>
          <w:szCs w:val="24"/>
          <w:lang w:eastAsia="en-US"/>
        </w:rPr>
        <w:t>více než roční</w:t>
      </w:r>
      <w:r w:rsidR="00185680">
        <w:rPr>
          <w:rFonts w:cs="Times New Roman"/>
          <w:szCs w:val="24"/>
          <w:lang w:eastAsia="en-US"/>
        </w:rPr>
        <w:t>mu</w:t>
      </w:r>
      <w:r w:rsidRPr="00BE4934">
        <w:rPr>
          <w:rFonts w:cs="Times New Roman"/>
          <w:szCs w:val="24"/>
          <w:lang w:eastAsia="en-US"/>
        </w:rPr>
        <w:t xml:space="preserve"> provoz</w:t>
      </w:r>
      <w:r w:rsidR="00185680">
        <w:rPr>
          <w:rFonts w:cs="Times New Roman"/>
          <w:szCs w:val="24"/>
          <w:lang w:eastAsia="en-US"/>
        </w:rPr>
        <w:t>u</w:t>
      </w:r>
      <w:r w:rsidRPr="00BE4934">
        <w:rPr>
          <w:rFonts w:cs="Times New Roman"/>
          <w:szCs w:val="24"/>
          <w:lang w:eastAsia="en-US"/>
        </w:rPr>
        <w:t xml:space="preserve"> pojišťovny. </w:t>
      </w:r>
      <w:r w:rsidR="000C516A">
        <w:rPr>
          <w:rFonts w:cs="Times New Roman"/>
          <w:szCs w:val="24"/>
          <w:lang w:eastAsia="en-US"/>
        </w:rPr>
        <w:t>Z</w:t>
      </w:r>
      <w:r w:rsidRPr="00BE4934">
        <w:rPr>
          <w:rFonts w:cs="Times New Roman"/>
          <w:szCs w:val="24"/>
          <w:lang w:eastAsia="en-US"/>
        </w:rPr>
        <w:t>ůstatky na bankovních účtech určené k úhradě zdravotních služeb poklesly</w:t>
      </w:r>
      <w:r w:rsidR="00BE4934" w:rsidRPr="00BE4934">
        <w:rPr>
          <w:rFonts w:cs="Times New Roman"/>
          <w:szCs w:val="24"/>
          <w:lang w:eastAsia="en-US"/>
        </w:rPr>
        <w:t>.</w:t>
      </w:r>
      <w:r w:rsidRPr="00BE4934">
        <w:rPr>
          <w:rFonts w:cs="Times New Roman"/>
          <w:szCs w:val="24"/>
          <w:lang w:eastAsia="en-US"/>
        </w:rPr>
        <w:t xml:space="preserve"> </w:t>
      </w:r>
      <w:r w:rsidR="00974A8C" w:rsidRPr="00BE4934">
        <w:rPr>
          <w:rFonts w:cs="Times New Roman"/>
          <w:szCs w:val="24"/>
          <w:lang w:eastAsia="en-US"/>
        </w:rPr>
        <w:t xml:space="preserve">Důvodem byly zvýšené výdaje ZPMV na úhradu zdravotních služeb. </w:t>
      </w:r>
    </w:p>
    <w:p w14:paraId="3A3BE10D" w14:textId="77777777" w:rsidR="006A3939" w:rsidRDefault="006A3939" w:rsidP="00D723A6">
      <w:pPr>
        <w:widowControl/>
        <w:autoSpaceDE/>
        <w:autoSpaceDN/>
        <w:adjustRightInd/>
        <w:spacing w:after="160" w:line="259" w:lineRule="auto"/>
        <w:jc w:val="left"/>
        <w:rPr>
          <w:rFonts w:asciiTheme="minorHAnsi" w:eastAsiaTheme="majorEastAsia" w:hAnsiTheme="minorHAnsi" w:cstheme="minorHAnsi"/>
          <w:b/>
          <w:szCs w:val="32"/>
        </w:rPr>
      </w:pPr>
      <w:r>
        <w:rPr>
          <w:rFonts w:asciiTheme="minorHAnsi" w:hAnsiTheme="minorHAnsi" w:cstheme="minorHAnsi"/>
        </w:rPr>
        <w:br w:type="page"/>
      </w:r>
    </w:p>
    <w:p w14:paraId="0BABB8B0" w14:textId="7514CE51" w:rsidR="00246D13" w:rsidRPr="00F70894" w:rsidRDefault="00C812A6" w:rsidP="00D723A6">
      <w:pPr>
        <w:pStyle w:val="Nadpis1"/>
        <w:widowControl/>
        <w:spacing w:before="120" w:after="120"/>
        <w:jc w:val="center"/>
        <w:rPr>
          <w:rFonts w:asciiTheme="minorHAnsi" w:hAnsiTheme="minorHAnsi" w:cstheme="minorHAnsi"/>
          <w:color w:val="auto"/>
          <w:sz w:val="28"/>
        </w:rPr>
      </w:pPr>
      <w:r w:rsidRPr="00F70894">
        <w:rPr>
          <w:rFonts w:asciiTheme="minorHAnsi" w:hAnsiTheme="minorHAnsi" w:cstheme="minorHAnsi"/>
          <w:color w:val="auto"/>
          <w:sz w:val="28"/>
        </w:rPr>
        <w:t xml:space="preserve">III. </w:t>
      </w:r>
      <w:r w:rsidR="00246D13" w:rsidRPr="00F70894">
        <w:rPr>
          <w:rFonts w:asciiTheme="minorHAnsi" w:hAnsiTheme="minorHAnsi" w:cstheme="minorHAnsi"/>
          <w:color w:val="auto"/>
          <w:sz w:val="28"/>
        </w:rPr>
        <w:t>Rozsah kontroly</w:t>
      </w:r>
    </w:p>
    <w:p w14:paraId="7E2AEEE9" w14:textId="57B3F977" w:rsidR="00246D13" w:rsidRDefault="0021625D" w:rsidP="00D723A6">
      <w:pPr>
        <w:widowControl/>
        <w:spacing w:before="120" w:after="120"/>
        <w:rPr>
          <w:rFonts w:cs="Calibri"/>
          <w:szCs w:val="24"/>
        </w:rPr>
      </w:pPr>
      <w:r w:rsidRPr="0021625D">
        <w:rPr>
          <w:rFonts w:cs="Calibri"/>
          <w:szCs w:val="24"/>
        </w:rPr>
        <w:t>Cílem kontrolní akce bylo prověřit hospodaření s prostředky vybíranými na základě zákona ve</w:t>
      </w:r>
      <w:r w:rsidR="007A5E00">
        <w:rPr>
          <w:rFonts w:cs="Calibri"/>
          <w:szCs w:val="24"/>
        </w:rPr>
        <w:t xml:space="preserve"> </w:t>
      </w:r>
      <w:r w:rsidRPr="0021625D">
        <w:rPr>
          <w:rFonts w:cs="Calibri"/>
          <w:szCs w:val="24"/>
        </w:rPr>
        <w:t>prospěch Zdravotní pojišťovny ministerstva vnitra České republiky z hlediska účelnosti, hospodárnosti a souladu s právními předpisy.</w:t>
      </w:r>
    </w:p>
    <w:p w14:paraId="6888FB82" w14:textId="77777777" w:rsidR="00246D13" w:rsidRPr="00E17288" w:rsidRDefault="00360A2A" w:rsidP="00D723A6">
      <w:pPr>
        <w:widowControl/>
        <w:spacing w:before="120"/>
        <w:rPr>
          <w:rFonts w:cs="Calibri"/>
          <w:szCs w:val="24"/>
        </w:rPr>
      </w:pPr>
      <w:r>
        <w:rPr>
          <w:rFonts w:cs="Calibri"/>
          <w:szCs w:val="24"/>
        </w:rPr>
        <w:t xml:space="preserve">NKÚ </w:t>
      </w:r>
      <w:r w:rsidR="007D47D0">
        <w:rPr>
          <w:rFonts w:cs="Calibri"/>
          <w:szCs w:val="24"/>
        </w:rPr>
        <w:t xml:space="preserve">mj. </w:t>
      </w:r>
      <w:r>
        <w:rPr>
          <w:rFonts w:cs="Calibri"/>
          <w:szCs w:val="24"/>
        </w:rPr>
        <w:t>ověřoval</w:t>
      </w:r>
      <w:r w:rsidR="00E77C7D">
        <w:rPr>
          <w:rFonts w:cs="Calibri"/>
          <w:szCs w:val="24"/>
        </w:rPr>
        <w:t>,</w:t>
      </w:r>
      <w:r w:rsidR="00246D13" w:rsidRPr="00E17288">
        <w:rPr>
          <w:rFonts w:cs="Calibri"/>
          <w:szCs w:val="24"/>
        </w:rPr>
        <w:t xml:space="preserve"> zda</w:t>
      </w:r>
      <w:r w:rsidR="00E17288">
        <w:rPr>
          <w:rFonts w:cs="Calibri"/>
          <w:szCs w:val="24"/>
        </w:rPr>
        <w:t xml:space="preserve"> ZPMV</w:t>
      </w:r>
      <w:r w:rsidR="00246D13" w:rsidRPr="00E17288">
        <w:rPr>
          <w:rFonts w:cs="Calibri"/>
          <w:szCs w:val="24"/>
        </w:rPr>
        <w:t>:</w:t>
      </w:r>
    </w:p>
    <w:p w14:paraId="41D731D5" w14:textId="77777777" w:rsidR="00E17288" w:rsidRPr="00E17288" w:rsidRDefault="00E17288" w:rsidP="00D723A6">
      <w:pPr>
        <w:pStyle w:val="Odstavecseseznamem"/>
        <w:widowControl/>
        <w:numPr>
          <w:ilvl w:val="0"/>
          <w:numId w:val="13"/>
        </w:numPr>
        <w:ind w:left="284" w:hanging="284"/>
        <w:contextualSpacing w:val="0"/>
        <w:rPr>
          <w:rFonts w:cs="Calibri"/>
          <w:szCs w:val="24"/>
        </w:rPr>
      </w:pPr>
      <w:r>
        <w:rPr>
          <w:rFonts w:cs="Calibri"/>
          <w:szCs w:val="24"/>
        </w:rPr>
        <w:t>p</w:t>
      </w:r>
      <w:r w:rsidRPr="00E17288">
        <w:rPr>
          <w:rFonts w:cs="Calibri"/>
          <w:szCs w:val="24"/>
        </w:rPr>
        <w:t>ostupovala při správě pohledávek v souladu s právními předpisy</w:t>
      </w:r>
      <w:r>
        <w:rPr>
          <w:rFonts w:cs="Calibri"/>
          <w:szCs w:val="24"/>
        </w:rPr>
        <w:t>;</w:t>
      </w:r>
    </w:p>
    <w:p w14:paraId="779F8B19" w14:textId="77777777" w:rsidR="009474BF" w:rsidRPr="00E17288" w:rsidRDefault="009474BF" w:rsidP="00D723A6">
      <w:pPr>
        <w:pStyle w:val="Odstavecseseznamem"/>
        <w:widowControl/>
        <w:numPr>
          <w:ilvl w:val="0"/>
          <w:numId w:val="13"/>
        </w:numPr>
        <w:ind w:left="284" w:hanging="284"/>
        <w:contextualSpacing w:val="0"/>
        <w:rPr>
          <w:rFonts w:cs="Calibri"/>
          <w:szCs w:val="24"/>
        </w:rPr>
      </w:pPr>
      <w:r w:rsidRPr="00E17288">
        <w:rPr>
          <w:rFonts w:cs="Calibri"/>
          <w:szCs w:val="24"/>
        </w:rPr>
        <w:t xml:space="preserve">použila prostředky </w:t>
      </w:r>
      <w:r w:rsidR="00017274">
        <w:rPr>
          <w:rFonts w:cs="Calibri"/>
          <w:szCs w:val="24"/>
        </w:rPr>
        <w:t>ZF</w:t>
      </w:r>
      <w:r w:rsidRPr="00E17288">
        <w:rPr>
          <w:rFonts w:cs="Calibri"/>
          <w:szCs w:val="24"/>
        </w:rPr>
        <w:t xml:space="preserve"> účelně a jen na úhradu zdravotních služeb</w:t>
      </w:r>
      <w:r>
        <w:rPr>
          <w:rFonts w:cs="Calibri"/>
          <w:szCs w:val="24"/>
        </w:rPr>
        <w:t>;</w:t>
      </w:r>
    </w:p>
    <w:p w14:paraId="3EA82C4D" w14:textId="77777777" w:rsidR="00E17288" w:rsidRPr="00E033E1" w:rsidRDefault="00E17288" w:rsidP="00D723A6">
      <w:pPr>
        <w:pStyle w:val="Odstavecseseznamem"/>
        <w:widowControl/>
        <w:numPr>
          <w:ilvl w:val="0"/>
          <w:numId w:val="13"/>
        </w:numPr>
        <w:ind w:left="284" w:hanging="284"/>
        <w:contextualSpacing w:val="0"/>
        <w:rPr>
          <w:rFonts w:cs="Calibri"/>
          <w:szCs w:val="24"/>
        </w:rPr>
      </w:pPr>
      <w:r w:rsidRPr="00E033E1">
        <w:rPr>
          <w:rFonts w:cs="Calibri"/>
          <w:szCs w:val="24"/>
        </w:rPr>
        <w:t>použila prostředky provozního fondu hospodárně, účelně a v souladu s</w:t>
      </w:r>
      <w:r w:rsidR="00E033E1">
        <w:rPr>
          <w:rFonts w:cs="Calibri"/>
          <w:szCs w:val="24"/>
        </w:rPr>
        <w:t> </w:t>
      </w:r>
      <w:r w:rsidRPr="00E033E1">
        <w:rPr>
          <w:rFonts w:cs="Calibri"/>
          <w:szCs w:val="24"/>
        </w:rPr>
        <w:t>právními</w:t>
      </w:r>
      <w:r w:rsidR="00E033E1">
        <w:rPr>
          <w:rFonts w:cs="Calibri"/>
          <w:szCs w:val="24"/>
        </w:rPr>
        <w:t xml:space="preserve"> </w:t>
      </w:r>
      <w:r w:rsidRPr="00E033E1">
        <w:rPr>
          <w:rFonts w:cs="Calibri"/>
          <w:szCs w:val="24"/>
        </w:rPr>
        <w:t>předpisy;</w:t>
      </w:r>
    </w:p>
    <w:p w14:paraId="415FF34D" w14:textId="77777777" w:rsidR="00E17288" w:rsidRPr="00E17288" w:rsidRDefault="00E17288" w:rsidP="00D723A6">
      <w:pPr>
        <w:pStyle w:val="Odstavecseseznamem"/>
        <w:widowControl/>
        <w:numPr>
          <w:ilvl w:val="0"/>
          <w:numId w:val="13"/>
        </w:numPr>
        <w:ind w:left="284" w:hanging="284"/>
        <w:contextualSpacing w:val="0"/>
        <w:rPr>
          <w:rFonts w:cs="Calibri"/>
          <w:szCs w:val="24"/>
        </w:rPr>
      </w:pPr>
      <w:r>
        <w:rPr>
          <w:rFonts w:cs="Calibri"/>
          <w:szCs w:val="24"/>
        </w:rPr>
        <w:t>r</w:t>
      </w:r>
      <w:r w:rsidRPr="00E17288">
        <w:rPr>
          <w:rFonts w:cs="Calibri"/>
          <w:szCs w:val="24"/>
        </w:rPr>
        <w:t>ozdělovala prostředky fondu prevence transparentně a nediskriminačně</w:t>
      </w:r>
      <w:r w:rsidR="006B2EDF">
        <w:rPr>
          <w:rFonts w:cs="Calibri"/>
          <w:szCs w:val="24"/>
        </w:rPr>
        <w:t>;</w:t>
      </w:r>
    </w:p>
    <w:p w14:paraId="1905B441" w14:textId="570E3783" w:rsidR="00E17288" w:rsidRPr="00E17288" w:rsidRDefault="00E17288" w:rsidP="00D723A6">
      <w:pPr>
        <w:pStyle w:val="Odstavecseseznamem"/>
        <w:widowControl/>
        <w:numPr>
          <w:ilvl w:val="0"/>
          <w:numId w:val="13"/>
        </w:numPr>
        <w:spacing w:after="120"/>
        <w:ind w:left="284" w:hanging="284"/>
        <w:contextualSpacing w:val="0"/>
        <w:rPr>
          <w:rFonts w:cs="Calibri"/>
          <w:szCs w:val="24"/>
        </w:rPr>
      </w:pPr>
      <w:r>
        <w:rPr>
          <w:rFonts w:cs="Calibri"/>
          <w:szCs w:val="24"/>
        </w:rPr>
        <w:t>p</w:t>
      </w:r>
      <w:r w:rsidR="00AC6C2A">
        <w:rPr>
          <w:rFonts w:cs="Calibri"/>
          <w:szCs w:val="24"/>
        </w:rPr>
        <w:t>lnila</w:t>
      </w:r>
      <w:r w:rsidRPr="00E17288">
        <w:rPr>
          <w:rFonts w:cs="Calibri"/>
          <w:szCs w:val="24"/>
        </w:rPr>
        <w:t xml:space="preserve"> opatření </w:t>
      </w:r>
      <w:r w:rsidR="004C3195">
        <w:rPr>
          <w:rFonts w:cs="Calibri"/>
          <w:szCs w:val="24"/>
        </w:rPr>
        <w:t>k </w:t>
      </w:r>
      <w:r w:rsidR="00185680" w:rsidRPr="00185680">
        <w:rPr>
          <w:rFonts w:cs="Calibri"/>
          <w:szCs w:val="24"/>
        </w:rPr>
        <w:t>odstranění nedostatků zjištěných v</w:t>
      </w:r>
      <w:r w:rsidRPr="00E17288">
        <w:rPr>
          <w:rFonts w:cs="Calibri"/>
          <w:szCs w:val="24"/>
        </w:rPr>
        <w:t xml:space="preserve"> KA č. 14/33</w:t>
      </w:r>
      <w:r>
        <w:rPr>
          <w:rFonts w:cs="Calibri"/>
          <w:szCs w:val="24"/>
        </w:rPr>
        <w:t>.</w:t>
      </w:r>
    </w:p>
    <w:p w14:paraId="723B5868" w14:textId="77777777" w:rsidR="00EB3996" w:rsidRPr="002A09BC" w:rsidRDefault="00EB3996" w:rsidP="00D723A6">
      <w:pPr>
        <w:widowControl/>
        <w:autoSpaceDE/>
        <w:autoSpaceDN/>
        <w:adjustRightInd/>
        <w:spacing w:before="120" w:after="120"/>
        <w:rPr>
          <w:rFonts w:cs="Calibri"/>
          <w:strike/>
          <w:szCs w:val="24"/>
          <w:lang w:eastAsia="en-US"/>
        </w:rPr>
      </w:pPr>
      <w:r>
        <w:rPr>
          <w:rFonts w:cs="Calibri"/>
          <w:szCs w:val="24"/>
          <w:lang w:eastAsia="en-US"/>
        </w:rPr>
        <w:t>Kontrolou byl</w:t>
      </w:r>
      <w:r w:rsidR="00BF7DEA">
        <w:rPr>
          <w:rFonts w:cs="Calibri"/>
          <w:szCs w:val="24"/>
          <w:lang w:eastAsia="en-US"/>
        </w:rPr>
        <w:t>o</w:t>
      </w:r>
      <w:r>
        <w:rPr>
          <w:rFonts w:cs="Calibri"/>
          <w:szCs w:val="24"/>
          <w:lang w:eastAsia="en-US"/>
        </w:rPr>
        <w:t xml:space="preserve"> prověřován</w:t>
      </w:r>
      <w:r w:rsidR="00BF7DEA">
        <w:rPr>
          <w:rFonts w:cs="Calibri"/>
          <w:szCs w:val="24"/>
          <w:lang w:eastAsia="en-US"/>
        </w:rPr>
        <w:t>o hospodaření v</w:t>
      </w:r>
      <w:r>
        <w:rPr>
          <w:rFonts w:cs="Calibri"/>
          <w:szCs w:val="24"/>
          <w:lang w:eastAsia="en-US"/>
        </w:rPr>
        <w:t xml:space="preserve"> základní</w:t>
      </w:r>
      <w:r w:rsidR="00BF7DEA">
        <w:rPr>
          <w:rFonts w:cs="Calibri"/>
          <w:szCs w:val="24"/>
          <w:lang w:eastAsia="en-US"/>
        </w:rPr>
        <w:t>m</w:t>
      </w:r>
      <w:r>
        <w:rPr>
          <w:rFonts w:cs="Calibri"/>
          <w:szCs w:val="24"/>
          <w:lang w:eastAsia="en-US"/>
        </w:rPr>
        <w:t xml:space="preserve"> fond</w:t>
      </w:r>
      <w:r w:rsidR="00BF7DEA">
        <w:rPr>
          <w:rFonts w:cs="Calibri"/>
          <w:szCs w:val="24"/>
          <w:lang w:eastAsia="en-US"/>
        </w:rPr>
        <w:t>u</w:t>
      </w:r>
      <w:r>
        <w:rPr>
          <w:rFonts w:cs="Calibri"/>
          <w:szCs w:val="24"/>
          <w:lang w:eastAsia="en-US"/>
        </w:rPr>
        <w:t>, provozní</w:t>
      </w:r>
      <w:r w:rsidR="00BF7DEA">
        <w:rPr>
          <w:rFonts w:cs="Calibri"/>
          <w:szCs w:val="24"/>
          <w:lang w:eastAsia="en-US"/>
        </w:rPr>
        <w:t>m</w:t>
      </w:r>
      <w:r>
        <w:rPr>
          <w:rFonts w:cs="Calibri"/>
          <w:szCs w:val="24"/>
          <w:lang w:eastAsia="en-US"/>
        </w:rPr>
        <w:t xml:space="preserve"> fond</w:t>
      </w:r>
      <w:r w:rsidR="00BF7DEA">
        <w:rPr>
          <w:rFonts w:cs="Calibri"/>
          <w:szCs w:val="24"/>
          <w:lang w:eastAsia="en-US"/>
        </w:rPr>
        <w:t>u</w:t>
      </w:r>
      <w:r>
        <w:rPr>
          <w:rFonts w:cs="Calibri"/>
          <w:szCs w:val="24"/>
          <w:lang w:eastAsia="en-US"/>
        </w:rPr>
        <w:t xml:space="preserve"> </w:t>
      </w:r>
      <w:r w:rsidRPr="004444EE">
        <w:rPr>
          <w:rFonts w:cs="Calibri"/>
          <w:szCs w:val="24"/>
          <w:lang w:eastAsia="en-US"/>
        </w:rPr>
        <w:t>a fond</w:t>
      </w:r>
      <w:r w:rsidR="00BF7DEA" w:rsidRPr="004444EE">
        <w:rPr>
          <w:rFonts w:cs="Calibri"/>
          <w:szCs w:val="24"/>
          <w:lang w:eastAsia="en-US"/>
        </w:rPr>
        <w:t>u</w:t>
      </w:r>
      <w:r w:rsidRPr="004444EE">
        <w:rPr>
          <w:rFonts w:cs="Calibri"/>
          <w:szCs w:val="24"/>
          <w:lang w:eastAsia="en-US"/>
        </w:rPr>
        <w:t xml:space="preserve"> prevence.</w:t>
      </w:r>
      <w:r>
        <w:rPr>
          <w:rFonts w:cs="Calibri"/>
          <w:szCs w:val="24"/>
          <w:lang w:eastAsia="en-US"/>
        </w:rPr>
        <w:t xml:space="preserve"> </w:t>
      </w:r>
      <w:r w:rsidR="008D4176">
        <w:rPr>
          <w:rFonts w:cs="Calibri"/>
          <w:szCs w:val="24"/>
          <w:lang w:eastAsia="en-US"/>
        </w:rPr>
        <w:t>K</w:t>
      </w:r>
      <w:r w:rsidR="005D6777">
        <w:rPr>
          <w:rFonts w:cs="Calibri"/>
          <w:szCs w:val="24"/>
          <w:lang w:eastAsia="en-US"/>
        </w:rPr>
        <w:t>e ko</w:t>
      </w:r>
      <w:r w:rsidR="008D4176">
        <w:rPr>
          <w:rFonts w:cs="Calibri"/>
          <w:szCs w:val="24"/>
          <w:lang w:eastAsia="en-US"/>
        </w:rPr>
        <w:t>n</w:t>
      </w:r>
      <w:r w:rsidR="005D6777">
        <w:rPr>
          <w:rFonts w:cs="Calibri"/>
          <w:szCs w:val="24"/>
          <w:lang w:eastAsia="en-US"/>
        </w:rPr>
        <w:t>trole</w:t>
      </w:r>
      <w:r w:rsidR="00C146AF">
        <w:rPr>
          <w:rFonts w:cs="Calibri"/>
          <w:szCs w:val="24"/>
          <w:lang w:eastAsia="en-US"/>
        </w:rPr>
        <w:t xml:space="preserve"> byly vybrány </w:t>
      </w:r>
      <w:r w:rsidR="008D4176">
        <w:rPr>
          <w:rFonts w:cs="Calibri"/>
          <w:szCs w:val="24"/>
          <w:lang w:eastAsia="en-US"/>
        </w:rPr>
        <w:t>f</w:t>
      </w:r>
      <w:r w:rsidR="008D4176" w:rsidRPr="00C146AF">
        <w:rPr>
          <w:rFonts w:cs="Calibri"/>
          <w:szCs w:val="24"/>
          <w:lang w:eastAsia="en-US"/>
        </w:rPr>
        <w:t>ondy</w:t>
      </w:r>
      <w:r w:rsidR="008D4176">
        <w:rPr>
          <w:rFonts w:cs="Calibri"/>
          <w:szCs w:val="24"/>
          <w:lang w:eastAsia="en-US"/>
        </w:rPr>
        <w:t xml:space="preserve"> </w:t>
      </w:r>
      <w:r w:rsidR="00C146AF">
        <w:rPr>
          <w:rFonts w:cs="Calibri"/>
          <w:szCs w:val="24"/>
          <w:lang w:eastAsia="en-US"/>
        </w:rPr>
        <w:t xml:space="preserve">s ohledem </w:t>
      </w:r>
      <w:r w:rsidR="0025782F">
        <w:rPr>
          <w:rFonts w:cs="Calibri"/>
          <w:szCs w:val="24"/>
          <w:lang w:eastAsia="en-US"/>
        </w:rPr>
        <w:t>na vynaložené peněžní prostředky v jednotlivých kontrolovaných letech a jejich význam pro</w:t>
      </w:r>
      <w:r w:rsidR="00690A5E">
        <w:rPr>
          <w:rFonts w:cs="Calibri"/>
          <w:szCs w:val="24"/>
          <w:lang w:eastAsia="en-US"/>
        </w:rPr>
        <w:t xml:space="preserve"> </w:t>
      </w:r>
      <w:r w:rsidR="00690A5E" w:rsidRPr="00690A5E">
        <w:rPr>
          <w:rFonts w:cs="Calibri"/>
          <w:szCs w:val="24"/>
          <w:lang w:eastAsia="en-US"/>
        </w:rPr>
        <w:t>provádění veřejného zdravotního pojištění</w:t>
      </w:r>
      <w:r w:rsidR="00690A5E">
        <w:rPr>
          <w:rFonts w:cs="Calibri"/>
          <w:szCs w:val="24"/>
          <w:lang w:eastAsia="en-US"/>
        </w:rPr>
        <w:t>.</w:t>
      </w:r>
    </w:p>
    <w:p w14:paraId="5FC986BA" w14:textId="77777777" w:rsidR="00246D13" w:rsidRPr="007106DE" w:rsidRDefault="00246D13" w:rsidP="00D723A6">
      <w:pPr>
        <w:widowControl/>
        <w:shd w:val="clear" w:color="auto" w:fill="FFFFFF"/>
        <w:spacing w:before="120" w:after="120"/>
        <w:rPr>
          <w:rFonts w:cs="Calibri"/>
          <w:szCs w:val="24"/>
        </w:rPr>
      </w:pPr>
      <w:r w:rsidRPr="007106DE">
        <w:rPr>
          <w:rFonts w:cs="Calibri"/>
          <w:szCs w:val="24"/>
        </w:rPr>
        <w:t>Kontrolova</w:t>
      </w:r>
      <w:r w:rsidR="00900DF1" w:rsidRPr="007106DE">
        <w:rPr>
          <w:rFonts w:cs="Calibri"/>
          <w:szCs w:val="24"/>
        </w:rPr>
        <w:t>ným obdobím byly roky 20</w:t>
      </w:r>
      <w:r w:rsidR="0021625D" w:rsidRPr="007106DE">
        <w:rPr>
          <w:rFonts w:cs="Calibri"/>
          <w:szCs w:val="24"/>
        </w:rPr>
        <w:t xml:space="preserve">20 až </w:t>
      </w:r>
      <w:r w:rsidR="00900DF1" w:rsidRPr="007106DE">
        <w:rPr>
          <w:rFonts w:cs="Calibri"/>
          <w:szCs w:val="24"/>
        </w:rPr>
        <w:t>20</w:t>
      </w:r>
      <w:r w:rsidR="0021625D" w:rsidRPr="007106DE">
        <w:rPr>
          <w:rFonts w:cs="Calibri"/>
          <w:szCs w:val="24"/>
        </w:rPr>
        <w:t>22</w:t>
      </w:r>
      <w:r w:rsidR="00900DF1" w:rsidRPr="007106DE">
        <w:rPr>
          <w:rFonts w:cs="Calibri"/>
          <w:szCs w:val="24"/>
        </w:rPr>
        <w:t>, v případě věcných souvislostí i období předchozí a období následující.</w:t>
      </w:r>
    </w:p>
    <w:p w14:paraId="514276EB" w14:textId="06C9241B" w:rsidR="00246D13" w:rsidRPr="00533A29" w:rsidRDefault="00246D13" w:rsidP="00D723A6">
      <w:pPr>
        <w:widowControl/>
        <w:autoSpaceDE/>
        <w:autoSpaceDN/>
        <w:adjustRightInd/>
        <w:spacing w:before="120"/>
        <w:rPr>
          <w:rFonts w:cs="Calibri"/>
          <w:szCs w:val="24"/>
          <w:lang w:eastAsia="en-US"/>
        </w:rPr>
      </w:pPr>
      <w:r w:rsidRPr="00533A29">
        <w:rPr>
          <w:rFonts w:cs="Calibri"/>
          <w:szCs w:val="24"/>
          <w:lang w:eastAsia="en-US"/>
        </w:rPr>
        <w:t>Kontrolovaný objem:</w:t>
      </w:r>
    </w:p>
    <w:p w14:paraId="7DD8FE0B" w14:textId="5450BE27" w:rsidR="00246D13" w:rsidRPr="00277BC3" w:rsidRDefault="00246D13" w:rsidP="00D723A6">
      <w:pPr>
        <w:widowControl/>
        <w:numPr>
          <w:ilvl w:val="0"/>
          <w:numId w:val="14"/>
        </w:numPr>
        <w:autoSpaceDE/>
        <w:autoSpaceDN/>
        <w:adjustRightInd/>
        <w:ind w:left="284" w:hanging="284"/>
        <w:rPr>
          <w:rFonts w:cs="Calibri"/>
          <w:szCs w:val="24"/>
        </w:rPr>
      </w:pPr>
      <w:r w:rsidRPr="00277BC3">
        <w:rPr>
          <w:rFonts w:cs="Calibri"/>
          <w:szCs w:val="24"/>
        </w:rPr>
        <w:t>peněžních p</w:t>
      </w:r>
      <w:r w:rsidR="00B91466" w:rsidRPr="00277BC3">
        <w:rPr>
          <w:rFonts w:cs="Calibri"/>
          <w:szCs w:val="24"/>
        </w:rPr>
        <w:t xml:space="preserve">rostředků činil </w:t>
      </w:r>
      <w:r w:rsidR="00961084" w:rsidRPr="00277BC3">
        <w:rPr>
          <w:rFonts w:cs="Calibri"/>
          <w:szCs w:val="24"/>
        </w:rPr>
        <w:t>190 072 65</w:t>
      </w:r>
      <w:r w:rsidR="005543FF" w:rsidRPr="00277BC3">
        <w:rPr>
          <w:rFonts w:cs="Calibri"/>
          <w:szCs w:val="24"/>
        </w:rPr>
        <w:t>9</w:t>
      </w:r>
      <w:r w:rsidR="00E855E5" w:rsidRPr="00277BC3">
        <w:rPr>
          <w:rFonts w:cs="Calibri"/>
          <w:szCs w:val="24"/>
        </w:rPr>
        <w:t> Kč</w:t>
      </w:r>
      <w:r w:rsidR="00E376C8">
        <w:rPr>
          <w:rFonts w:cs="Calibri"/>
          <w:szCs w:val="24"/>
        </w:rPr>
        <w:t>;</w:t>
      </w:r>
    </w:p>
    <w:p w14:paraId="0896E2B0" w14:textId="49A40E40" w:rsidR="00246D13" w:rsidRPr="00277BC3" w:rsidRDefault="00246D13" w:rsidP="00D723A6">
      <w:pPr>
        <w:widowControl/>
        <w:numPr>
          <w:ilvl w:val="0"/>
          <w:numId w:val="14"/>
        </w:numPr>
        <w:autoSpaceDE/>
        <w:autoSpaceDN/>
        <w:adjustRightInd/>
        <w:ind w:left="284" w:hanging="284"/>
        <w:rPr>
          <w:rFonts w:cs="Calibri"/>
          <w:szCs w:val="24"/>
          <w:lang w:eastAsia="en-US"/>
        </w:rPr>
      </w:pPr>
      <w:r w:rsidRPr="00277BC3">
        <w:rPr>
          <w:rFonts w:cs="Calibri"/>
          <w:szCs w:val="24"/>
          <w:lang w:eastAsia="en-US"/>
        </w:rPr>
        <w:t xml:space="preserve">souvisejících veřejných zakázek činil </w:t>
      </w:r>
      <w:r w:rsidR="00961084" w:rsidRPr="00277BC3">
        <w:rPr>
          <w:rFonts w:cs="Calibri"/>
          <w:szCs w:val="24"/>
          <w:lang w:eastAsia="en-US"/>
        </w:rPr>
        <w:t>125 864 947</w:t>
      </w:r>
      <w:r w:rsidRPr="00277BC3">
        <w:rPr>
          <w:rFonts w:cs="Calibri"/>
          <w:szCs w:val="24"/>
          <w:lang w:eastAsia="en-US"/>
        </w:rPr>
        <w:t xml:space="preserve"> Kč</w:t>
      </w:r>
      <w:r w:rsidR="00E376C8">
        <w:rPr>
          <w:rFonts w:cs="Calibri"/>
          <w:szCs w:val="24"/>
          <w:lang w:eastAsia="en-US"/>
        </w:rPr>
        <w:t>;</w:t>
      </w:r>
    </w:p>
    <w:p w14:paraId="1F8322A0" w14:textId="12A9EE7A" w:rsidR="00277BC3" w:rsidRPr="00277BC3" w:rsidRDefault="00277BC3" w:rsidP="00D723A6">
      <w:pPr>
        <w:widowControl/>
        <w:numPr>
          <w:ilvl w:val="0"/>
          <w:numId w:val="14"/>
        </w:numPr>
        <w:autoSpaceDE/>
        <w:autoSpaceDN/>
        <w:adjustRightInd/>
        <w:spacing w:after="120"/>
        <w:ind w:left="284" w:hanging="284"/>
        <w:rPr>
          <w:rFonts w:cs="Calibri"/>
          <w:szCs w:val="24"/>
          <w:lang w:eastAsia="en-US"/>
        </w:rPr>
      </w:pPr>
      <w:r w:rsidRPr="00277BC3">
        <w:rPr>
          <w:rFonts w:cs="Calibri"/>
          <w:szCs w:val="24"/>
          <w:lang w:eastAsia="en-US"/>
        </w:rPr>
        <w:t>pohledáv</w:t>
      </w:r>
      <w:r w:rsidR="00B35E75">
        <w:rPr>
          <w:rFonts w:cs="Calibri"/>
          <w:szCs w:val="24"/>
          <w:lang w:eastAsia="en-US"/>
        </w:rPr>
        <w:t>e</w:t>
      </w:r>
      <w:r w:rsidRPr="00277BC3">
        <w:rPr>
          <w:rFonts w:cs="Calibri"/>
          <w:szCs w:val="24"/>
          <w:lang w:eastAsia="en-US"/>
        </w:rPr>
        <w:t xml:space="preserve">k na systémové úrovni </w:t>
      </w:r>
      <w:r w:rsidR="00B35E75">
        <w:rPr>
          <w:rFonts w:cs="Calibri"/>
          <w:szCs w:val="24"/>
          <w:lang w:eastAsia="en-US"/>
        </w:rPr>
        <w:t xml:space="preserve">činil </w:t>
      </w:r>
      <w:r w:rsidRPr="00277BC3">
        <w:rPr>
          <w:rFonts w:cs="Calibri"/>
          <w:szCs w:val="24"/>
          <w:lang w:eastAsia="en-US"/>
        </w:rPr>
        <w:t>24 744 990 017 Kč</w:t>
      </w:r>
      <w:r w:rsidR="001E093D">
        <w:rPr>
          <w:rFonts w:cs="Calibri"/>
          <w:szCs w:val="24"/>
          <w:lang w:eastAsia="en-US"/>
        </w:rPr>
        <w:t>.</w:t>
      </w:r>
    </w:p>
    <w:p w14:paraId="04D41FCE" w14:textId="77777777" w:rsidR="001B5E71" w:rsidRPr="00AF4BB9" w:rsidRDefault="001B5E71" w:rsidP="00D723A6">
      <w:pPr>
        <w:widowControl/>
        <w:autoSpaceDE/>
        <w:autoSpaceDN/>
        <w:adjustRightInd/>
        <w:spacing w:before="120" w:after="120"/>
        <w:rPr>
          <w:rFonts w:cs="Calibri"/>
          <w:szCs w:val="24"/>
          <w:lang w:eastAsia="en-US"/>
        </w:rPr>
      </w:pPr>
    </w:p>
    <w:p w14:paraId="58D4E6D8" w14:textId="77777777" w:rsidR="00E3589C" w:rsidRPr="007A5E00" w:rsidRDefault="00E8692E" w:rsidP="00D723A6">
      <w:pPr>
        <w:widowControl/>
        <w:spacing w:before="120" w:after="120"/>
        <w:ind w:left="567" w:hanging="567"/>
        <w:rPr>
          <w:rFonts w:cs="Calibri"/>
          <w:sz w:val="22"/>
        </w:rPr>
      </w:pPr>
      <w:r w:rsidRPr="007A5E00">
        <w:rPr>
          <w:rFonts w:cs="Calibri"/>
          <w:b/>
          <w:sz w:val="20"/>
        </w:rPr>
        <w:t xml:space="preserve">Pozn.: </w:t>
      </w:r>
      <w:r w:rsidR="00E3589C" w:rsidRPr="007A5E00">
        <w:rPr>
          <w:rFonts w:cs="Calibri"/>
          <w:sz w:val="20"/>
        </w:rPr>
        <w:t>Právní předpisy</w:t>
      </w:r>
      <w:r w:rsidRPr="007A5E00">
        <w:rPr>
          <w:rFonts w:cs="Calibri"/>
          <w:sz w:val="20"/>
        </w:rPr>
        <w:t xml:space="preserve"> uvedené</w:t>
      </w:r>
      <w:r w:rsidR="00E3589C" w:rsidRPr="007A5E00">
        <w:rPr>
          <w:rFonts w:cs="Calibri"/>
          <w:sz w:val="20"/>
        </w:rPr>
        <w:t xml:space="preserve"> v tomto kontrolním závěru </w:t>
      </w:r>
      <w:r w:rsidRPr="007A5E00">
        <w:rPr>
          <w:rFonts w:cs="Calibri"/>
          <w:sz w:val="20"/>
        </w:rPr>
        <w:t xml:space="preserve">jsou </w:t>
      </w:r>
      <w:r w:rsidR="00E3589C" w:rsidRPr="007A5E00">
        <w:rPr>
          <w:rFonts w:cs="Calibri"/>
          <w:sz w:val="20"/>
        </w:rPr>
        <w:t>aplikovány ve znění účinném pro kontrolované období.</w:t>
      </w:r>
    </w:p>
    <w:p w14:paraId="7AA8D178" w14:textId="77777777" w:rsidR="00246D13" w:rsidRPr="009315EB" w:rsidRDefault="004E3409" w:rsidP="00D723A6">
      <w:pPr>
        <w:pStyle w:val="Nadpis1"/>
        <w:widowControl/>
        <w:spacing w:before="600" w:after="120"/>
        <w:jc w:val="center"/>
        <w:rPr>
          <w:rFonts w:asciiTheme="minorHAnsi" w:eastAsia="Times New Roman" w:hAnsiTheme="minorHAnsi" w:cstheme="minorHAnsi"/>
          <w:color w:val="auto"/>
        </w:rPr>
      </w:pPr>
      <w:r w:rsidRPr="007A5E00">
        <w:rPr>
          <w:rFonts w:asciiTheme="minorHAnsi" w:hAnsiTheme="minorHAnsi" w:cstheme="minorHAnsi"/>
          <w:color w:val="auto"/>
          <w:sz w:val="28"/>
        </w:rPr>
        <w:t xml:space="preserve">IV. </w:t>
      </w:r>
      <w:r w:rsidR="00246D13" w:rsidRPr="007A5E00">
        <w:rPr>
          <w:rFonts w:asciiTheme="minorHAnsi" w:hAnsiTheme="minorHAnsi" w:cstheme="minorHAnsi"/>
          <w:color w:val="auto"/>
          <w:sz w:val="28"/>
        </w:rPr>
        <w:t>Podrobn</w:t>
      </w:r>
      <w:r w:rsidR="00246D13" w:rsidRPr="007A5E00">
        <w:rPr>
          <w:rFonts w:asciiTheme="minorHAnsi" w:eastAsia="Times New Roman" w:hAnsiTheme="minorHAnsi" w:cstheme="minorHAnsi"/>
          <w:color w:val="auto"/>
          <w:sz w:val="28"/>
        </w:rPr>
        <w:t>é skute</w:t>
      </w:r>
      <w:r w:rsidR="00246D13" w:rsidRPr="007A5E00">
        <w:rPr>
          <w:rFonts w:asciiTheme="minorHAnsi" w:hAnsiTheme="minorHAnsi" w:cstheme="minorHAnsi"/>
          <w:color w:val="auto"/>
          <w:sz w:val="28"/>
        </w:rPr>
        <w:t>č</w:t>
      </w:r>
      <w:r w:rsidR="00246D13" w:rsidRPr="007A5E00">
        <w:rPr>
          <w:rFonts w:asciiTheme="minorHAnsi" w:eastAsia="Times New Roman" w:hAnsiTheme="minorHAnsi" w:cstheme="minorHAnsi"/>
          <w:color w:val="auto"/>
          <w:sz w:val="28"/>
        </w:rPr>
        <w:t>nosti zjišt</w:t>
      </w:r>
      <w:r w:rsidR="00246D13" w:rsidRPr="007A5E00">
        <w:rPr>
          <w:rFonts w:asciiTheme="minorHAnsi" w:hAnsiTheme="minorHAnsi" w:cstheme="minorHAnsi"/>
          <w:color w:val="auto"/>
          <w:sz w:val="28"/>
        </w:rPr>
        <w:t>ě</w:t>
      </w:r>
      <w:r w:rsidR="00246D13" w:rsidRPr="007A5E00">
        <w:rPr>
          <w:rFonts w:asciiTheme="minorHAnsi" w:eastAsia="Times New Roman" w:hAnsiTheme="minorHAnsi" w:cstheme="minorHAnsi"/>
          <w:color w:val="auto"/>
          <w:sz w:val="28"/>
        </w:rPr>
        <w:t>né kontrolou</w:t>
      </w:r>
    </w:p>
    <w:p w14:paraId="3978E31A" w14:textId="4F967E27" w:rsidR="00C65B2D" w:rsidRPr="00AA33BE" w:rsidRDefault="00AA33BE" w:rsidP="00D723A6">
      <w:pPr>
        <w:keepNext/>
        <w:widowControl/>
        <w:spacing w:before="240" w:after="120"/>
        <w:rPr>
          <w:b/>
        </w:rPr>
      </w:pPr>
      <w:r>
        <w:rPr>
          <w:b/>
        </w:rPr>
        <w:t>1</w:t>
      </w:r>
      <w:r w:rsidR="00F70894">
        <w:rPr>
          <w:b/>
        </w:rPr>
        <w:t>.</w:t>
      </w:r>
      <w:r>
        <w:rPr>
          <w:b/>
        </w:rPr>
        <w:t xml:space="preserve"> </w:t>
      </w:r>
      <w:r w:rsidR="00C65B2D" w:rsidRPr="00AA33BE">
        <w:rPr>
          <w:b/>
        </w:rPr>
        <w:t xml:space="preserve">Provozní fond </w:t>
      </w:r>
    </w:p>
    <w:p w14:paraId="28F1613A" w14:textId="28EB4361" w:rsidR="00C65B2D" w:rsidRPr="00AA33BE" w:rsidRDefault="00AA33BE" w:rsidP="00D723A6">
      <w:pPr>
        <w:keepNext/>
        <w:widowControl/>
        <w:spacing w:before="120" w:after="120"/>
        <w:ind w:left="426" w:hanging="426"/>
        <w:jc w:val="left"/>
        <w:rPr>
          <w:b/>
          <w:lang w:eastAsia="en-US"/>
        </w:rPr>
      </w:pPr>
      <w:bookmarkStart w:id="2" w:name="_Hlk159585679"/>
      <w:r>
        <w:rPr>
          <w:b/>
          <w:lang w:eastAsia="en-US"/>
        </w:rPr>
        <w:t xml:space="preserve">1.1 </w:t>
      </w:r>
      <w:r>
        <w:rPr>
          <w:b/>
          <w:lang w:eastAsia="en-US"/>
        </w:rPr>
        <w:tab/>
      </w:r>
      <w:r w:rsidR="00C65B2D" w:rsidRPr="00AA33BE">
        <w:rPr>
          <w:b/>
          <w:lang w:eastAsia="en-US"/>
        </w:rPr>
        <w:t xml:space="preserve">ZPMV porušila zásadu transparentnosti, rovného zacházení a zákazu diskriminace </w:t>
      </w:r>
      <w:r>
        <w:rPr>
          <w:b/>
          <w:lang w:eastAsia="en-US"/>
        </w:rPr>
        <w:br/>
      </w:r>
      <w:r w:rsidR="00C65B2D" w:rsidRPr="00AA33BE">
        <w:rPr>
          <w:b/>
          <w:lang w:eastAsia="en-US"/>
        </w:rPr>
        <w:t>při</w:t>
      </w:r>
      <w:r w:rsidRPr="00AA33BE">
        <w:rPr>
          <w:b/>
          <w:lang w:eastAsia="en-US"/>
        </w:rPr>
        <w:t xml:space="preserve"> </w:t>
      </w:r>
      <w:r w:rsidR="00C65B2D" w:rsidRPr="00AA33BE">
        <w:rPr>
          <w:b/>
          <w:lang w:eastAsia="en-US"/>
        </w:rPr>
        <w:t xml:space="preserve">zadávání veřejných zakázek </w:t>
      </w:r>
    </w:p>
    <w:p w14:paraId="5CC69125" w14:textId="1C2E67C2" w:rsidR="00C65B2D" w:rsidRDefault="00C65B2D" w:rsidP="00D723A6">
      <w:pPr>
        <w:widowControl/>
        <w:spacing w:before="120" w:after="120"/>
        <w:rPr>
          <w:rFonts w:asciiTheme="minorHAnsi" w:hAnsiTheme="minorHAnsi" w:cstheme="minorHAnsi"/>
          <w:szCs w:val="24"/>
        </w:rPr>
      </w:pPr>
      <w:bookmarkStart w:id="3" w:name="_Hlk163801583"/>
      <w:r w:rsidRPr="002C50FD">
        <w:rPr>
          <w:rFonts w:asciiTheme="minorHAnsi" w:hAnsiTheme="minorHAnsi" w:cstheme="minorHAnsi"/>
          <w:szCs w:val="24"/>
        </w:rPr>
        <w:t>ZPMV každoročně sestav</w:t>
      </w:r>
      <w:r w:rsidR="00E04518">
        <w:rPr>
          <w:rFonts w:asciiTheme="minorHAnsi" w:hAnsiTheme="minorHAnsi" w:cstheme="minorHAnsi"/>
          <w:szCs w:val="24"/>
        </w:rPr>
        <w:t>ovala</w:t>
      </w:r>
      <w:r w:rsidRPr="002C50FD">
        <w:rPr>
          <w:rFonts w:asciiTheme="minorHAnsi" w:hAnsiTheme="minorHAnsi" w:cstheme="minorHAnsi"/>
          <w:szCs w:val="24"/>
        </w:rPr>
        <w:t xml:space="preserve"> plán veřejných zakázek na </w:t>
      </w:r>
      <w:r w:rsidR="00B35E75">
        <w:rPr>
          <w:rFonts w:asciiTheme="minorHAnsi" w:hAnsiTheme="minorHAnsi" w:cstheme="minorHAnsi"/>
          <w:szCs w:val="24"/>
        </w:rPr>
        <w:t>následující</w:t>
      </w:r>
      <w:r w:rsidRPr="002C50FD">
        <w:rPr>
          <w:rFonts w:asciiTheme="minorHAnsi" w:hAnsiTheme="minorHAnsi" w:cstheme="minorHAnsi"/>
          <w:szCs w:val="24"/>
        </w:rPr>
        <w:t xml:space="preserve"> kalendářní rok</w:t>
      </w:r>
      <w:r w:rsidR="004E6F3F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 xml:space="preserve"> </w:t>
      </w:r>
      <w:r w:rsidR="00277BC3">
        <w:rPr>
          <w:rFonts w:asciiTheme="minorHAnsi" w:hAnsiTheme="minorHAnsi" w:cstheme="minorHAnsi"/>
          <w:szCs w:val="24"/>
        </w:rPr>
        <w:t>U</w:t>
      </w:r>
      <w:r w:rsidR="00B35E75">
        <w:rPr>
          <w:rFonts w:asciiTheme="minorHAnsi" w:hAnsiTheme="minorHAnsi" w:cstheme="minorHAnsi"/>
          <w:szCs w:val="24"/>
        </w:rPr>
        <w:t> </w:t>
      </w:r>
      <w:r w:rsidR="00277BC3">
        <w:rPr>
          <w:rFonts w:asciiTheme="minorHAnsi" w:hAnsiTheme="minorHAnsi" w:cstheme="minorHAnsi"/>
          <w:szCs w:val="24"/>
        </w:rPr>
        <w:t xml:space="preserve">veřejných zakázek, jejichž </w:t>
      </w:r>
      <w:r w:rsidR="00277BC3" w:rsidRPr="00277BC3">
        <w:rPr>
          <w:rFonts w:asciiTheme="minorHAnsi" w:hAnsiTheme="minorHAnsi" w:cstheme="minorHAnsi"/>
          <w:szCs w:val="24"/>
        </w:rPr>
        <w:t>rozsah a hodnota jsou v časovém horizontu nejméně 12</w:t>
      </w:r>
      <w:r w:rsidR="00B35E75">
        <w:rPr>
          <w:rFonts w:asciiTheme="minorHAnsi" w:hAnsiTheme="minorHAnsi" w:cstheme="minorHAnsi"/>
          <w:szCs w:val="24"/>
        </w:rPr>
        <w:t> </w:t>
      </w:r>
      <w:r w:rsidR="00277BC3" w:rsidRPr="00277BC3">
        <w:rPr>
          <w:rFonts w:asciiTheme="minorHAnsi" w:hAnsiTheme="minorHAnsi" w:cstheme="minorHAnsi"/>
          <w:szCs w:val="24"/>
        </w:rPr>
        <w:t>kalendářních měsíců předvídatelné</w:t>
      </w:r>
      <w:r w:rsidR="00DA2C41">
        <w:rPr>
          <w:rFonts w:asciiTheme="minorHAnsi" w:hAnsiTheme="minorHAnsi" w:cstheme="minorHAnsi"/>
          <w:szCs w:val="24"/>
        </w:rPr>
        <w:t>,</w:t>
      </w:r>
      <w:r w:rsidR="00277BC3">
        <w:rPr>
          <w:rFonts w:asciiTheme="minorHAnsi" w:hAnsiTheme="minorHAnsi" w:cstheme="minorHAnsi"/>
          <w:szCs w:val="24"/>
        </w:rPr>
        <w:t xml:space="preserve"> </w:t>
      </w:r>
      <w:r w:rsidR="004E6F3F">
        <w:rPr>
          <w:rFonts w:asciiTheme="minorHAnsi" w:hAnsiTheme="minorHAnsi" w:cstheme="minorHAnsi"/>
          <w:szCs w:val="24"/>
        </w:rPr>
        <w:t>musí</w:t>
      </w:r>
      <w:r w:rsidR="00277BC3">
        <w:rPr>
          <w:rFonts w:asciiTheme="minorHAnsi" w:hAnsiTheme="minorHAnsi" w:cstheme="minorHAnsi"/>
          <w:szCs w:val="24"/>
        </w:rPr>
        <w:t xml:space="preserve"> ZPMV do s</w:t>
      </w:r>
      <w:r w:rsidR="00277BC3" w:rsidRPr="00277BC3">
        <w:rPr>
          <w:rFonts w:asciiTheme="minorHAnsi" w:hAnsiTheme="minorHAnsi" w:cstheme="minorHAnsi"/>
          <w:szCs w:val="24"/>
        </w:rPr>
        <w:t>oučt</w:t>
      </w:r>
      <w:r w:rsidR="00277BC3">
        <w:rPr>
          <w:rFonts w:asciiTheme="minorHAnsi" w:hAnsiTheme="minorHAnsi" w:cstheme="minorHAnsi"/>
          <w:szCs w:val="24"/>
        </w:rPr>
        <w:t>u</w:t>
      </w:r>
      <w:r w:rsidR="00277BC3" w:rsidRPr="00277BC3">
        <w:rPr>
          <w:rFonts w:asciiTheme="minorHAnsi" w:hAnsiTheme="minorHAnsi" w:cstheme="minorHAnsi"/>
          <w:szCs w:val="24"/>
        </w:rPr>
        <w:t xml:space="preserve"> předpokládaných hodnot zahrn</w:t>
      </w:r>
      <w:r w:rsidR="00DA2C41">
        <w:rPr>
          <w:rFonts w:asciiTheme="minorHAnsi" w:hAnsiTheme="minorHAnsi" w:cstheme="minorHAnsi"/>
          <w:szCs w:val="24"/>
        </w:rPr>
        <w:t>out</w:t>
      </w:r>
      <w:r w:rsidR="00277BC3" w:rsidRPr="00277BC3">
        <w:rPr>
          <w:rFonts w:asciiTheme="minorHAnsi" w:hAnsiTheme="minorHAnsi" w:cstheme="minorHAnsi"/>
          <w:szCs w:val="24"/>
        </w:rPr>
        <w:t xml:space="preserve"> předpokládanou hodnotu všech plnění, která tvoří jeden funkční celek</w:t>
      </w:r>
      <w:r w:rsidR="00277BC3">
        <w:rPr>
          <w:rFonts w:asciiTheme="minorHAnsi" w:hAnsiTheme="minorHAnsi" w:cstheme="minorHAnsi"/>
          <w:szCs w:val="24"/>
        </w:rPr>
        <w:t>.</w:t>
      </w:r>
      <w:r w:rsidRPr="002C50FD">
        <w:rPr>
          <w:rFonts w:asciiTheme="minorHAnsi" w:hAnsiTheme="minorHAnsi" w:cstheme="minorHAnsi"/>
          <w:szCs w:val="24"/>
        </w:rPr>
        <w:t xml:space="preserve"> </w:t>
      </w:r>
      <w:r w:rsidR="0070322C">
        <w:rPr>
          <w:rFonts w:asciiTheme="minorHAnsi" w:hAnsiTheme="minorHAnsi" w:cstheme="minorHAnsi"/>
          <w:szCs w:val="24"/>
        </w:rPr>
        <w:t>NKÚ zkontroloval 13 v</w:t>
      </w:r>
      <w:r w:rsidR="00093356">
        <w:rPr>
          <w:rFonts w:asciiTheme="minorHAnsi" w:hAnsiTheme="minorHAnsi" w:cstheme="minorHAnsi"/>
          <w:szCs w:val="24"/>
        </w:rPr>
        <w:t>eřejných zakázek.</w:t>
      </w:r>
      <w:r w:rsidRPr="002C50FD">
        <w:rPr>
          <w:rFonts w:asciiTheme="minorHAnsi" w:hAnsiTheme="minorHAnsi" w:cstheme="minorHAnsi"/>
          <w:szCs w:val="24"/>
        </w:rPr>
        <w:t xml:space="preserve"> </w:t>
      </w:r>
    </w:p>
    <w:p w14:paraId="4C995BBD" w14:textId="3B4F421D" w:rsidR="00C65B2D" w:rsidRPr="002C50FD" w:rsidRDefault="00C65B2D" w:rsidP="00D723A6">
      <w:pPr>
        <w:widowControl/>
        <w:spacing w:before="120"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NKÚ zjistil, že </w:t>
      </w:r>
      <w:r w:rsidRPr="002C50FD">
        <w:rPr>
          <w:rFonts w:asciiTheme="minorHAnsi" w:hAnsiTheme="minorHAnsi" w:cstheme="minorHAnsi"/>
          <w:szCs w:val="24"/>
        </w:rPr>
        <w:t>ZPMV</w:t>
      </w:r>
      <w:r>
        <w:rPr>
          <w:rFonts w:asciiTheme="minorHAnsi" w:hAnsiTheme="minorHAnsi" w:cstheme="minorHAnsi"/>
          <w:szCs w:val="24"/>
        </w:rPr>
        <w:t xml:space="preserve"> </w:t>
      </w:r>
      <w:r w:rsidRPr="002C50FD">
        <w:rPr>
          <w:rFonts w:asciiTheme="minorHAnsi" w:hAnsiTheme="minorHAnsi" w:cstheme="minorHAnsi"/>
          <w:szCs w:val="24"/>
        </w:rPr>
        <w:t>jako zadavatel</w:t>
      </w:r>
      <w:r>
        <w:rPr>
          <w:rFonts w:asciiTheme="minorHAnsi" w:hAnsiTheme="minorHAnsi" w:cstheme="minorHAnsi"/>
          <w:szCs w:val="24"/>
        </w:rPr>
        <w:t xml:space="preserve"> ve dvou případech</w:t>
      </w:r>
      <w:r w:rsidRPr="002C50F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řádně nestanovila celkovou předpokládanou hodnotu veřejných zakázek součtem dílčích plnění, kter</w:t>
      </w:r>
      <w:r w:rsidR="00D723A6">
        <w:rPr>
          <w:rFonts w:asciiTheme="minorHAnsi" w:hAnsiTheme="minorHAnsi" w:cstheme="minorHAnsi"/>
          <w:szCs w:val="24"/>
        </w:rPr>
        <w:t>á</w:t>
      </w:r>
      <w:r>
        <w:rPr>
          <w:rFonts w:asciiTheme="minorHAnsi" w:hAnsiTheme="minorHAnsi" w:cstheme="minorHAnsi"/>
          <w:szCs w:val="24"/>
        </w:rPr>
        <w:t xml:space="preserve"> spolu věcně a</w:t>
      </w:r>
      <w:r w:rsidR="00A554DC">
        <w:rPr>
          <w:rFonts w:asciiTheme="minorHAnsi" w:hAnsiTheme="minorHAnsi" w:cstheme="minorHAnsi"/>
          <w:szCs w:val="24"/>
        </w:rPr>
        <w:t> </w:t>
      </w:r>
      <w:r>
        <w:rPr>
          <w:rFonts w:asciiTheme="minorHAnsi" w:hAnsiTheme="minorHAnsi" w:cstheme="minorHAnsi"/>
          <w:szCs w:val="24"/>
        </w:rPr>
        <w:t>časově souvisí</w:t>
      </w:r>
      <w:r w:rsidR="00D723A6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a následně nezadala veřejné zakázky v režimu podlimitní veřejné zakázky </w:t>
      </w:r>
      <w:r w:rsidRPr="002C50FD">
        <w:rPr>
          <w:rFonts w:asciiTheme="minorHAnsi" w:hAnsiTheme="minorHAnsi" w:cstheme="minorHAnsi"/>
          <w:szCs w:val="24"/>
        </w:rPr>
        <w:t>dle</w:t>
      </w:r>
      <w:r w:rsidR="00D723A6">
        <w:rPr>
          <w:rFonts w:asciiTheme="minorHAnsi" w:hAnsiTheme="minorHAnsi" w:cstheme="minorHAnsi"/>
          <w:szCs w:val="24"/>
        </w:rPr>
        <w:t xml:space="preserve"> </w:t>
      </w:r>
      <w:r w:rsidRPr="002C50FD">
        <w:rPr>
          <w:rFonts w:asciiTheme="minorHAnsi" w:hAnsiTheme="minorHAnsi" w:cstheme="minorHAnsi"/>
          <w:szCs w:val="24"/>
        </w:rPr>
        <w:t xml:space="preserve">zákona č. </w:t>
      </w:r>
      <w:r w:rsidRPr="00DA5D49">
        <w:rPr>
          <w:rFonts w:asciiTheme="minorHAnsi" w:hAnsiTheme="minorHAnsi" w:cstheme="minorHAnsi"/>
          <w:szCs w:val="24"/>
        </w:rPr>
        <w:t>134/2016 Sb</w:t>
      </w:r>
      <w:r>
        <w:rPr>
          <w:rFonts w:asciiTheme="minorHAnsi" w:hAnsiTheme="minorHAnsi" w:cstheme="minorHAnsi"/>
          <w:szCs w:val="24"/>
        </w:rPr>
        <w:t>.</w:t>
      </w:r>
      <w:r>
        <w:rPr>
          <w:rStyle w:val="Znakapoznpodarou"/>
          <w:rFonts w:asciiTheme="minorHAnsi" w:hAnsiTheme="minorHAnsi"/>
          <w:szCs w:val="24"/>
        </w:rPr>
        <w:footnoteReference w:id="15"/>
      </w:r>
      <w:r w:rsidRPr="002C50F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Tím ZPMV </w:t>
      </w:r>
      <w:r w:rsidRPr="00DA5D49">
        <w:rPr>
          <w:rFonts w:asciiTheme="minorHAnsi" w:hAnsiTheme="minorHAnsi" w:cstheme="minorHAnsi"/>
          <w:szCs w:val="24"/>
        </w:rPr>
        <w:t>porušila zásadu transparentnosti, rovného zacházení a</w:t>
      </w:r>
      <w:r w:rsidR="00A554DC">
        <w:rPr>
          <w:rFonts w:asciiTheme="minorHAnsi" w:hAnsiTheme="minorHAnsi" w:cstheme="minorHAnsi"/>
          <w:szCs w:val="24"/>
        </w:rPr>
        <w:t> </w:t>
      </w:r>
      <w:r w:rsidRPr="00DA5D49">
        <w:rPr>
          <w:rFonts w:asciiTheme="minorHAnsi" w:hAnsiTheme="minorHAnsi" w:cstheme="minorHAnsi"/>
          <w:szCs w:val="24"/>
        </w:rPr>
        <w:t>zákazu diskriminace dle zákona č. 134/2016 Sb.</w:t>
      </w:r>
      <w:r w:rsidRPr="00DA5D49">
        <w:rPr>
          <w:rFonts w:asciiTheme="minorHAnsi" w:hAnsiTheme="minorHAnsi" w:cstheme="minorHAnsi"/>
          <w:szCs w:val="24"/>
          <w:vertAlign w:val="superscript"/>
        </w:rPr>
        <w:footnoteReference w:id="16"/>
      </w:r>
      <w:r w:rsidR="00D723A6">
        <w:rPr>
          <w:rFonts w:asciiTheme="minorHAnsi" w:hAnsiTheme="minorHAnsi" w:cstheme="minorHAnsi"/>
          <w:szCs w:val="24"/>
        </w:rPr>
        <w:t>,</w:t>
      </w:r>
      <w:r w:rsidRPr="00DA5D49">
        <w:rPr>
          <w:rFonts w:asciiTheme="minorHAnsi" w:hAnsiTheme="minorHAnsi" w:cstheme="minorHAnsi"/>
          <w:szCs w:val="24"/>
        </w:rPr>
        <w:t xml:space="preserve"> a znemožnila</w:t>
      </w:r>
      <w:r>
        <w:rPr>
          <w:rFonts w:asciiTheme="minorHAnsi" w:hAnsiTheme="minorHAnsi" w:cstheme="minorHAnsi"/>
          <w:szCs w:val="24"/>
        </w:rPr>
        <w:t xml:space="preserve"> tak</w:t>
      </w:r>
      <w:r w:rsidRPr="00DA5D49">
        <w:rPr>
          <w:rFonts w:asciiTheme="minorHAnsi" w:hAnsiTheme="minorHAnsi" w:cstheme="minorHAnsi"/>
          <w:szCs w:val="24"/>
        </w:rPr>
        <w:t xml:space="preserve"> dalším </w:t>
      </w:r>
      <w:r w:rsidR="00602DDE">
        <w:rPr>
          <w:rFonts w:asciiTheme="minorHAnsi" w:hAnsiTheme="minorHAnsi" w:cstheme="minorHAnsi"/>
          <w:szCs w:val="24"/>
        </w:rPr>
        <w:t>dodavatelům</w:t>
      </w:r>
      <w:r w:rsidR="00E400F1">
        <w:rPr>
          <w:rFonts w:asciiTheme="minorHAnsi" w:hAnsiTheme="minorHAnsi" w:cstheme="minorHAnsi"/>
          <w:szCs w:val="24"/>
        </w:rPr>
        <w:t xml:space="preserve"> </w:t>
      </w:r>
      <w:r w:rsidR="00E400F1" w:rsidRPr="00E400F1">
        <w:rPr>
          <w:rFonts w:asciiTheme="minorHAnsi" w:hAnsiTheme="minorHAnsi" w:cstheme="minorHAnsi"/>
          <w:szCs w:val="24"/>
        </w:rPr>
        <w:t>přihlášení do zadávacího řízení</w:t>
      </w:r>
      <w:r w:rsidR="00467A25">
        <w:rPr>
          <w:rFonts w:asciiTheme="minorHAnsi" w:hAnsiTheme="minorHAnsi" w:cstheme="minorHAnsi"/>
          <w:szCs w:val="24"/>
        </w:rPr>
        <w:t xml:space="preserve"> (dále také „</w:t>
      </w:r>
      <w:r w:rsidR="00467A25" w:rsidRPr="002C50FD">
        <w:rPr>
          <w:rFonts w:asciiTheme="minorHAnsi" w:hAnsiTheme="minorHAnsi" w:cstheme="minorHAnsi"/>
          <w:szCs w:val="24"/>
        </w:rPr>
        <w:t>ZŘ</w:t>
      </w:r>
      <w:r w:rsidR="00467A25">
        <w:rPr>
          <w:rFonts w:asciiTheme="minorHAnsi" w:hAnsiTheme="minorHAnsi" w:cstheme="minorHAnsi"/>
          <w:szCs w:val="24"/>
        </w:rPr>
        <w:t>“)</w:t>
      </w:r>
      <w:r w:rsidRPr="00DA5D49">
        <w:rPr>
          <w:rFonts w:asciiTheme="minorHAnsi" w:hAnsiTheme="minorHAnsi" w:cstheme="minorHAnsi"/>
          <w:szCs w:val="24"/>
        </w:rPr>
        <w:t>.</w:t>
      </w:r>
      <w:r w:rsidR="00467A25">
        <w:rPr>
          <w:rFonts w:asciiTheme="minorHAnsi" w:hAnsiTheme="minorHAnsi" w:cstheme="minorHAnsi"/>
          <w:szCs w:val="24"/>
        </w:rPr>
        <w:t xml:space="preserve"> </w:t>
      </w:r>
    </w:p>
    <w:bookmarkEnd w:id="3"/>
    <w:p w14:paraId="5AB546D2" w14:textId="77777777" w:rsidR="00C65B2D" w:rsidRDefault="00C65B2D" w:rsidP="00D723A6">
      <w:pPr>
        <w:keepNext/>
        <w:widowControl/>
        <w:spacing w:before="120" w:after="120"/>
        <w:rPr>
          <w:rFonts w:asciiTheme="minorHAnsi" w:hAnsiTheme="minorHAnsi" w:cstheme="minorHAnsi"/>
          <w:b/>
          <w:i/>
          <w:szCs w:val="24"/>
        </w:rPr>
      </w:pPr>
      <w:r w:rsidRPr="00116148">
        <w:rPr>
          <w:rFonts w:asciiTheme="minorHAnsi" w:hAnsiTheme="minorHAnsi" w:cstheme="minorHAnsi"/>
          <w:b/>
          <w:i/>
          <w:szCs w:val="24"/>
        </w:rPr>
        <w:t>Propagace ZPMV prostřednictvím sportovců</w:t>
      </w:r>
    </w:p>
    <w:p w14:paraId="5811245D" w14:textId="78990D7B" w:rsidR="00C65B2D" w:rsidRPr="002C50FD" w:rsidRDefault="00C65B2D" w:rsidP="00D723A6">
      <w:pPr>
        <w:widowControl/>
        <w:spacing w:before="120" w:after="120"/>
        <w:rPr>
          <w:rFonts w:asciiTheme="minorHAnsi" w:hAnsiTheme="minorHAnsi" w:cstheme="minorHAnsi"/>
          <w:szCs w:val="24"/>
        </w:rPr>
      </w:pPr>
      <w:r w:rsidRPr="002C50FD">
        <w:rPr>
          <w:rFonts w:asciiTheme="minorHAnsi" w:hAnsiTheme="minorHAnsi" w:cstheme="minorHAnsi"/>
          <w:szCs w:val="24"/>
        </w:rPr>
        <w:t>ZPMV plánovala v roce 2022 dvě veřejné zakázky se stejným předmětem plnění (na služby poskytování reklamy a reklamu a propagaci pojišťovny a její činnosti v rámci sportovní a</w:t>
      </w:r>
      <w:r w:rsidR="00A554DC">
        <w:rPr>
          <w:rFonts w:asciiTheme="minorHAnsi" w:hAnsiTheme="minorHAnsi" w:cstheme="minorHAnsi"/>
          <w:szCs w:val="24"/>
        </w:rPr>
        <w:t> </w:t>
      </w:r>
      <w:r w:rsidRPr="002C50FD">
        <w:rPr>
          <w:rFonts w:asciiTheme="minorHAnsi" w:hAnsiTheme="minorHAnsi" w:cstheme="minorHAnsi"/>
          <w:szCs w:val="24"/>
        </w:rPr>
        <w:t>mediální činnosti sportovců) s celkovou předpokládanou hodnotou 5 400 000 Kč bez DPH</w:t>
      </w:r>
      <w:r>
        <w:rPr>
          <w:rFonts w:asciiTheme="minorHAnsi" w:hAnsiTheme="minorHAnsi" w:cstheme="minorHAnsi"/>
          <w:szCs w:val="24"/>
        </w:rPr>
        <w:t>. N</w:t>
      </w:r>
      <w:r w:rsidRPr="002C50FD">
        <w:rPr>
          <w:rFonts w:asciiTheme="minorHAnsi" w:hAnsiTheme="minorHAnsi" w:cstheme="minorHAnsi"/>
          <w:szCs w:val="24"/>
        </w:rPr>
        <w:t xml:space="preserve">ásledně zahájila </w:t>
      </w:r>
      <w:r w:rsidR="00EA48E4">
        <w:rPr>
          <w:rFonts w:asciiTheme="minorHAnsi" w:hAnsiTheme="minorHAnsi" w:cstheme="minorHAnsi"/>
          <w:szCs w:val="24"/>
        </w:rPr>
        <w:t>zadávání</w:t>
      </w:r>
      <w:r w:rsidRPr="002C50FD">
        <w:rPr>
          <w:rFonts w:asciiTheme="minorHAnsi" w:hAnsiTheme="minorHAnsi" w:cstheme="minorHAnsi"/>
          <w:szCs w:val="24"/>
        </w:rPr>
        <w:t xml:space="preserve"> veřejn</w:t>
      </w:r>
      <w:r w:rsidR="00EA48E4">
        <w:rPr>
          <w:rFonts w:asciiTheme="minorHAnsi" w:hAnsiTheme="minorHAnsi" w:cstheme="minorHAnsi"/>
          <w:szCs w:val="24"/>
        </w:rPr>
        <w:t>é</w:t>
      </w:r>
      <w:r w:rsidRPr="002C50FD">
        <w:rPr>
          <w:rFonts w:asciiTheme="minorHAnsi" w:hAnsiTheme="minorHAnsi" w:cstheme="minorHAnsi"/>
          <w:szCs w:val="24"/>
        </w:rPr>
        <w:t xml:space="preserve"> zakázk</w:t>
      </w:r>
      <w:r w:rsidR="00EA48E4">
        <w:rPr>
          <w:rFonts w:asciiTheme="minorHAnsi" w:hAnsiTheme="minorHAnsi" w:cstheme="minorHAnsi"/>
          <w:szCs w:val="24"/>
        </w:rPr>
        <w:t>y</w:t>
      </w:r>
      <w:r w:rsidRPr="002C50FD">
        <w:rPr>
          <w:rFonts w:asciiTheme="minorHAnsi" w:hAnsiTheme="minorHAnsi" w:cstheme="minorHAnsi"/>
          <w:szCs w:val="24"/>
        </w:rPr>
        <w:t xml:space="preserve"> malého rozsahu</w:t>
      </w:r>
      <w:r>
        <w:rPr>
          <w:rFonts w:asciiTheme="minorHAnsi" w:hAnsiTheme="minorHAnsi" w:cstheme="minorHAnsi"/>
          <w:szCs w:val="24"/>
        </w:rPr>
        <w:t xml:space="preserve"> na</w:t>
      </w:r>
      <w:r w:rsidRPr="002C50F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r</w:t>
      </w:r>
      <w:r w:rsidRPr="002C50FD">
        <w:rPr>
          <w:rFonts w:asciiTheme="minorHAnsi" w:hAnsiTheme="minorHAnsi" w:cstheme="minorHAnsi"/>
          <w:szCs w:val="24"/>
        </w:rPr>
        <w:t>eklam</w:t>
      </w:r>
      <w:r>
        <w:rPr>
          <w:rFonts w:asciiTheme="minorHAnsi" w:hAnsiTheme="minorHAnsi" w:cstheme="minorHAnsi"/>
          <w:szCs w:val="24"/>
        </w:rPr>
        <w:t>u</w:t>
      </w:r>
      <w:r w:rsidRPr="002C50FD">
        <w:rPr>
          <w:rFonts w:asciiTheme="minorHAnsi" w:hAnsiTheme="minorHAnsi" w:cstheme="minorHAnsi"/>
          <w:szCs w:val="24"/>
        </w:rPr>
        <w:t xml:space="preserve"> a propagac</w:t>
      </w:r>
      <w:r>
        <w:rPr>
          <w:rFonts w:asciiTheme="minorHAnsi" w:hAnsiTheme="minorHAnsi" w:cstheme="minorHAnsi"/>
          <w:szCs w:val="24"/>
        </w:rPr>
        <w:t>i</w:t>
      </w:r>
      <w:r w:rsidRPr="002C50FD">
        <w:rPr>
          <w:rFonts w:asciiTheme="minorHAnsi" w:hAnsiTheme="minorHAnsi" w:cstheme="minorHAnsi"/>
          <w:szCs w:val="24"/>
        </w:rPr>
        <w:t xml:space="preserve"> prostřednictvím sportovců s předpokládanou hodnotou v</w:t>
      </w:r>
      <w:r>
        <w:rPr>
          <w:rFonts w:asciiTheme="minorHAnsi" w:hAnsiTheme="minorHAnsi" w:cstheme="minorHAnsi"/>
          <w:szCs w:val="24"/>
        </w:rPr>
        <w:t xml:space="preserve"> maximální</w:t>
      </w:r>
      <w:r w:rsidRPr="002C50FD">
        <w:rPr>
          <w:rFonts w:asciiTheme="minorHAnsi" w:hAnsiTheme="minorHAnsi" w:cstheme="minorHAnsi"/>
          <w:szCs w:val="24"/>
        </w:rPr>
        <w:t xml:space="preserve"> výši 2 000</w:t>
      </w:r>
      <w:r w:rsidR="00D723A6">
        <w:rPr>
          <w:rFonts w:asciiTheme="minorHAnsi" w:hAnsiTheme="minorHAnsi" w:cstheme="minorHAnsi"/>
          <w:szCs w:val="24"/>
        </w:rPr>
        <w:t> </w:t>
      </w:r>
      <w:r w:rsidRPr="002C50FD">
        <w:rPr>
          <w:rFonts w:asciiTheme="minorHAnsi" w:hAnsiTheme="minorHAnsi" w:cstheme="minorHAnsi"/>
          <w:szCs w:val="24"/>
        </w:rPr>
        <w:t>000</w:t>
      </w:r>
      <w:r w:rsidR="00D723A6">
        <w:rPr>
          <w:rFonts w:asciiTheme="minorHAnsi" w:hAnsiTheme="minorHAnsi" w:cstheme="minorHAnsi"/>
          <w:szCs w:val="24"/>
        </w:rPr>
        <w:t> </w:t>
      </w:r>
      <w:r w:rsidRPr="002C50FD">
        <w:rPr>
          <w:rFonts w:asciiTheme="minorHAnsi" w:hAnsiTheme="minorHAnsi" w:cstheme="minorHAnsi"/>
          <w:szCs w:val="24"/>
        </w:rPr>
        <w:t>Kč bez</w:t>
      </w:r>
      <w:r w:rsidR="00A554DC">
        <w:rPr>
          <w:rFonts w:asciiTheme="minorHAnsi" w:hAnsiTheme="minorHAnsi" w:cstheme="minorHAnsi"/>
          <w:szCs w:val="24"/>
        </w:rPr>
        <w:t> </w:t>
      </w:r>
      <w:r w:rsidRPr="002C50FD">
        <w:rPr>
          <w:rFonts w:asciiTheme="minorHAnsi" w:hAnsiTheme="minorHAnsi" w:cstheme="minorHAnsi"/>
          <w:szCs w:val="24"/>
        </w:rPr>
        <w:t xml:space="preserve">DPH. </w:t>
      </w:r>
    </w:p>
    <w:p w14:paraId="24ACDD54" w14:textId="774BF9B6" w:rsidR="00C65B2D" w:rsidRDefault="00C65B2D" w:rsidP="00D723A6">
      <w:pPr>
        <w:widowControl/>
        <w:spacing w:before="120" w:after="120"/>
        <w:rPr>
          <w:rFonts w:asciiTheme="minorHAnsi" w:hAnsiTheme="minorHAnsi" w:cstheme="minorHAnsi"/>
          <w:szCs w:val="24"/>
        </w:rPr>
      </w:pPr>
      <w:r w:rsidRPr="002C50FD">
        <w:rPr>
          <w:rFonts w:asciiTheme="minorHAnsi" w:hAnsiTheme="minorHAnsi" w:cstheme="minorHAnsi"/>
          <w:szCs w:val="24"/>
        </w:rPr>
        <w:t xml:space="preserve">Druhé </w:t>
      </w:r>
      <w:r w:rsidR="00467A25">
        <w:rPr>
          <w:rFonts w:asciiTheme="minorHAnsi" w:hAnsiTheme="minorHAnsi" w:cstheme="minorHAnsi"/>
          <w:szCs w:val="24"/>
        </w:rPr>
        <w:t>ZŘ</w:t>
      </w:r>
      <w:r w:rsidRPr="002C50FD">
        <w:rPr>
          <w:rFonts w:asciiTheme="minorHAnsi" w:hAnsiTheme="minorHAnsi" w:cstheme="minorHAnsi"/>
          <w:szCs w:val="24"/>
        </w:rPr>
        <w:t xml:space="preserve"> na veřejnou zakázku </w:t>
      </w:r>
      <w:r w:rsidRPr="00CB716C">
        <w:rPr>
          <w:rFonts w:asciiTheme="minorHAnsi" w:hAnsiTheme="minorHAnsi" w:cstheme="minorHAnsi"/>
          <w:szCs w:val="24"/>
        </w:rPr>
        <w:t>na reklamu a propagaci prostřednictvím sportovců</w:t>
      </w:r>
      <w:r w:rsidRPr="002C50FD">
        <w:rPr>
          <w:rFonts w:asciiTheme="minorHAnsi" w:hAnsiTheme="minorHAnsi" w:cstheme="minorHAnsi"/>
          <w:szCs w:val="24"/>
        </w:rPr>
        <w:t xml:space="preserve"> zahájila ZPMV v</w:t>
      </w:r>
      <w:r w:rsidR="00EA48E4">
        <w:rPr>
          <w:rFonts w:asciiTheme="minorHAnsi" w:hAnsiTheme="minorHAnsi" w:cstheme="minorHAnsi"/>
          <w:szCs w:val="24"/>
        </w:rPr>
        <w:t xml:space="preserve"> rámci</w:t>
      </w:r>
      <w:r w:rsidRPr="002C50FD">
        <w:rPr>
          <w:rFonts w:asciiTheme="minorHAnsi" w:hAnsiTheme="minorHAnsi" w:cstheme="minorHAnsi"/>
          <w:szCs w:val="24"/>
        </w:rPr>
        <w:t xml:space="preserve"> zjednodušen</w:t>
      </w:r>
      <w:r w:rsidR="00EA48E4">
        <w:rPr>
          <w:rFonts w:asciiTheme="minorHAnsi" w:hAnsiTheme="minorHAnsi" w:cstheme="minorHAnsi"/>
          <w:szCs w:val="24"/>
        </w:rPr>
        <w:t>ého</w:t>
      </w:r>
      <w:r w:rsidRPr="002C50FD">
        <w:rPr>
          <w:rFonts w:asciiTheme="minorHAnsi" w:hAnsiTheme="minorHAnsi" w:cstheme="minorHAnsi"/>
          <w:szCs w:val="24"/>
        </w:rPr>
        <w:t xml:space="preserve"> podlimitní</w:t>
      </w:r>
      <w:r w:rsidR="00EA48E4">
        <w:rPr>
          <w:rFonts w:asciiTheme="minorHAnsi" w:hAnsiTheme="minorHAnsi" w:cstheme="minorHAnsi"/>
          <w:szCs w:val="24"/>
        </w:rPr>
        <w:t>ho</w:t>
      </w:r>
      <w:r w:rsidRPr="002C50FD">
        <w:rPr>
          <w:rFonts w:asciiTheme="minorHAnsi" w:hAnsiTheme="minorHAnsi" w:cstheme="minorHAnsi"/>
          <w:szCs w:val="24"/>
        </w:rPr>
        <w:t xml:space="preserve"> řízení. Předpokládaná hodnota byla stanovena v</w:t>
      </w:r>
      <w:r w:rsidR="00A554DC">
        <w:rPr>
          <w:rFonts w:asciiTheme="minorHAnsi" w:hAnsiTheme="minorHAnsi" w:cstheme="minorHAnsi"/>
          <w:szCs w:val="24"/>
        </w:rPr>
        <w:t> </w:t>
      </w:r>
      <w:r w:rsidRPr="002C50FD">
        <w:rPr>
          <w:rFonts w:asciiTheme="minorHAnsi" w:hAnsiTheme="minorHAnsi" w:cstheme="minorHAnsi"/>
          <w:szCs w:val="24"/>
        </w:rPr>
        <w:t>maximální výši 3 400 000 Kč bez DPH. Uzavřené smlouvy měly totožný předmět, který stanovuje rozsah užití určených sportovců na reklamních a</w:t>
      </w:r>
      <w:r w:rsidR="00A554DC">
        <w:rPr>
          <w:rFonts w:asciiTheme="minorHAnsi" w:hAnsiTheme="minorHAnsi" w:cstheme="minorHAnsi"/>
          <w:szCs w:val="24"/>
        </w:rPr>
        <w:t> </w:t>
      </w:r>
      <w:r w:rsidRPr="002C50FD">
        <w:rPr>
          <w:rFonts w:asciiTheme="minorHAnsi" w:hAnsiTheme="minorHAnsi" w:cstheme="minorHAnsi"/>
          <w:szCs w:val="24"/>
        </w:rPr>
        <w:t>propagačních materiálech ZPMV, sociálních sítích, oblečení sportovců a propagace ZPMV na</w:t>
      </w:r>
      <w:r w:rsidR="00A554DC">
        <w:rPr>
          <w:rFonts w:asciiTheme="minorHAnsi" w:hAnsiTheme="minorHAnsi" w:cstheme="minorHAnsi"/>
          <w:szCs w:val="24"/>
        </w:rPr>
        <w:t> </w:t>
      </w:r>
      <w:r w:rsidRPr="002C50FD">
        <w:rPr>
          <w:rFonts w:asciiTheme="minorHAnsi" w:hAnsiTheme="minorHAnsi" w:cstheme="minorHAnsi"/>
          <w:szCs w:val="24"/>
        </w:rPr>
        <w:t>tiskových konferencích sportovců. V obou případech byly vybranými sportovci totožné osoby.</w:t>
      </w:r>
      <w:bookmarkStart w:id="4" w:name="_Hlk155273427"/>
      <w:r>
        <w:rPr>
          <w:rFonts w:asciiTheme="minorHAnsi" w:hAnsiTheme="minorHAnsi" w:cstheme="minorHAnsi"/>
          <w:szCs w:val="24"/>
        </w:rPr>
        <w:t xml:space="preserve"> </w:t>
      </w:r>
      <w:bookmarkEnd w:id="4"/>
    </w:p>
    <w:p w14:paraId="38614EEA" w14:textId="77777777" w:rsidR="00C65B2D" w:rsidRPr="00CE279C" w:rsidRDefault="00C65B2D" w:rsidP="00D723A6">
      <w:pPr>
        <w:keepNext/>
        <w:widowControl/>
        <w:spacing w:before="120" w:after="120"/>
        <w:rPr>
          <w:rFonts w:asciiTheme="minorHAnsi" w:hAnsiTheme="minorHAnsi" w:cstheme="minorHAnsi"/>
          <w:b/>
          <w:i/>
          <w:szCs w:val="24"/>
        </w:rPr>
      </w:pPr>
      <w:r w:rsidRPr="00CE279C">
        <w:rPr>
          <w:rFonts w:asciiTheme="minorHAnsi" w:hAnsiTheme="minorHAnsi" w:cstheme="minorHAnsi"/>
          <w:b/>
          <w:i/>
          <w:szCs w:val="24"/>
        </w:rPr>
        <w:t>Společenské akce ZPMV</w:t>
      </w:r>
    </w:p>
    <w:p w14:paraId="654DAD81" w14:textId="77777777" w:rsidR="00C65B2D" w:rsidRDefault="00C65B2D" w:rsidP="00D723A6">
      <w:pPr>
        <w:widowControl/>
        <w:spacing w:before="120" w:after="120"/>
        <w:rPr>
          <w:rFonts w:asciiTheme="minorHAnsi" w:hAnsiTheme="minorHAnsi" w:cstheme="minorHAnsi"/>
          <w:szCs w:val="24"/>
        </w:rPr>
      </w:pPr>
      <w:r w:rsidRPr="00277208">
        <w:rPr>
          <w:rFonts w:asciiTheme="minorHAnsi" w:hAnsiTheme="minorHAnsi" w:cstheme="minorHAnsi"/>
          <w:szCs w:val="24"/>
        </w:rPr>
        <w:t>ZPMV plánovala VZ na dvě společenské akce před začátkem roku 2022, třetí VZ naplánovala v</w:t>
      </w:r>
      <w:r w:rsidR="00A554DC">
        <w:rPr>
          <w:rFonts w:asciiTheme="minorHAnsi" w:hAnsiTheme="minorHAnsi" w:cstheme="minorHAnsi"/>
          <w:szCs w:val="24"/>
        </w:rPr>
        <w:t> </w:t>
      </w:r>
      <w:r w:rsidRPr="00277208">
        <w:rPr>
          <w:rFonts w:asciiTheme="minorHAnsi" w:hAnsiTheme="minorHAnsi" w:cstheme="minorHAnsi"/>
          <w:szCs w:val="24"/>
        </w:rPr>
        <w:t xml:space="preserve">průběhu roku 2022. Již před zahájením </w:t>
      </w:r>
      <w:r w:rsidR="00467A25">
        <w:rPr>
          <w:rFonts w:asciiTheme="minorHAnsi" w:hAnsiTheme="minorHAnsi" w:cstheme="minorHAnsi"/>
          <w:szCs w:val="24"/>
        </w:rPr>
        <w:t>zadávání</w:t>
      </w:r>
      <w:r w:rsidRPr="00E04518">
        <w:rPr>
          <w:rFonts w:asciiTheme="minorHAnsi" w:hAnsiTheme="minorHAnsi" w:cstheme="minorHAnsi"/>
          <w:szCs w:val="24"/>
        </w:rPr>
        <w:t xml:space="preserve"> první VZMR věděla (dle plánu veřejných zakázek), že zahájí minimálně jedno další </w:t>
      </w:r>
      <w:r w:rsidR="00467A25">
        <w:rPr>
          <w:rFonts w:asciiTheme="minorHAnsi" w:hAnsiTheme="minorHAnsi" w:cstheme="minorHAnsi"/>
          <w:szCs w:val="24"/>
        </w:rPr>
        <w:t>zadávání</w:t>
      </w:r>
      <w:r w:rsidRPr="00277208">
        <w:rPr>
          <w:rFonts w:asciiTheme="minorHAnsi" w:hAnsiTheme="minorHAnsi" w:cstheme="minorHAnsi"/>
          <w:szCs w:val="24"/>
        </w:rPr>
        <w:t xml:space="preserve"> s obdobným předmětem plnění.</w:t>
      </w:r>
      <w:r>
        <w:rPr>
          <w:rFonts w:asciiTheme="minorHAnsi" w:hAnsiTheme="minorHAnsi" w:cstheme="minorHAnsi"/>
          <w:szCs w:val="24"/>
        </w:rPr>
        <w:t xml:space="preserve"> </w:t>
      </w:r>
      <w:r w:rsidRPr="00277208">
        <w:rPr>
          <w:rFonts w:asciiTheme="minorHAnsi" w:hAnsiTheme="minorHAnsi" w:cstheme="minorHAnsi"/>
          <w:szCs w:val="24"/>
        </w:rPr>
        <w:t>Vždy se</w:t>
      </w:r>
      <w:r w:rsidR="00E43FA4">
        <w:rPr>
          <w:rFonts w:asciiTheme="minorHAnsi" w:hAnsiTheme="minorHAnsi" w:cstheme="minorHAnsi"/>
          <w:szCs w:val="24"/>
        </w:rPr>
        <w:t> </w:t>
      </w:r>
      <w:r w:rsidRPr="00277208">
        <w:rPr>
          <w:rFonts w:asciiTheme="minorHAnsi" w:hAnsiTheme="minorHAnsi" w:cstheme="minorHAnsi"/>
          <w:szCs w:val="24"/>
        </w:rPr>
        <w:t>jednalo o</w:t>
      </w:r>
      <w:r w:rsidR="00A554DC">
        <w:rPr>
          <w:rFonts w:asciiTheme="minorHAnsi" w:hAnsiTheme="minorHAnsi" w:cstheme="minorHAnsi"/>
          <w:szCs w:val="24"/>
        </w:rPr>
        <w:t> </w:t>
      </w:r>
      <w:r w:rsidRPr="00277208">
        <w:rPr>
          <w:rFonts w:asciiTheme="minorHAnsi" w:hAnsiTheme="minorHAnsi" w:cstheme="minorHAnsi"/>
          <w:szCs w:val="24"/>
        </w:rPr>
        <w:t xml:space="preserve">kompletní zajištění společenské akce, které ve všech případech zahrnovalo zajištění prostor na akci, techniky a souvisejících služeb, cateringu, kulturního programu, dekorace, pozvánek, parkování, produkce a doplňkových služeb. </w:t>
      </w:r>
      <w:r w:rsidR="00E36B89" w:rsidRPr="00E36B89">
        <w:rPr>
          <w:rFonts w:asciiTheme="minorHAnsi" w:hAnsiTheme="minorHAnsi" w:cstheme="minorHAnsi"/>
          <w:szCs w:val="24"/>
        </w:rPr>
        <w:t>ZPMV nesečetla předpokládané hodnoty obou VZ, zadaných ZPMV v režimu VZMR, a nezadala je v podlimitním režimu.</w:t>
      </w:r>
      <w:r w:rsidRPr="00277208">
        <w:rPr>
          <w:rFonts w:asciiTheme="minorHAnsi" w:hAnsiTheme="minorHAnsi" w:cstheme="minorHAnsi"/>
          <w:szCs w:val="24"/>
        </w:rPr>
        <w:t xml:space="preserve"> Součet předpokládaných hodnot za</w:t>
      </w:r>
      <w:r w:rsidR="00A554DC">
        <w:rPr>
          <w:rFonts w:asciiTheme="minorHAnsi" w:hAnsiTheme="minorHAnsi" w:cstheme="minorHAnsi"/>
          <w:szCs w:val="24"/>
        </w:rPr>
        <w:t> </w:t>
      </w:r>
      <w:r w:rsidRPr="00277208">
        <w:rPr>
          <w:rFonts w:asciiTheme="minorHAnsi" w:hAnsiTheme="minorHAnsi" w:cstheme="minorHAnsi"/>
          <w:szCs w:val="24"/>
        </w:rPr>
        <w:t>všechny tři VZMR činil celkem 5 390 000 Kč bez DPH. ZPMV následně uzavřela smlouvy na</w:t>
      </w:r>
      <w:r w:rsidR="00A554DC">
        <w:rPr>
          <w:rFonts w:asciiTheme="minorHAnsi" w:hAnsiTheme="minorHAnsi" w:cstheme="minorHAnsi"/>
          <w:szCs w:val="24"/>
        </w:rPr>
        <w:t> </w:t>
      </w:r>
      <w:r w:rsidRPr="00277208">
        <w:rPr>
          <w:rFonts w:asciiTheme="minorHAnsi" w:hAnsiTheme="minorHAnsi" w:cstheme="minorHAnsi"/>
          <w:szCs w:val="24"/>
        </w:rPr>
        <w:t>celkovou částku 4 963 485</w:t>
      </w:r>
      <w:r w:rsidRPr="00277208">
        <w:rPr>
          <w:rFonts w:asciiTheme="minorHAnsi" w:hAnsiTheme="minorHAnsi" w:cstheme="minorHAnsi"/>
          <w:szCs w:val="24"/>
        </w:rPr>
        <w:t xml:space="preserve">‬ Kč bez DPH. </w:t>
      </w:r>
    </w:p>
    <w:p w14:paraId="36B50446" w14:textId="77777777" w:rsidR="00C65B2D" w:rsidRDefault="00C65B2D" w:rsidP="00D723A6">
      <w:pPr>
        <w:widowControl/>
        <w:spacing w:before="120"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První </w:t>
      </w:r>
      <w:r w:rsidRPr="003B3DD7">
        <w:rPr>
          <w:rFonts w:asciiTheme="minorHAnsi" w:hAnsiTheme="minorHAnsi" w:cstheme="minorHAnsi"/>
          <w:szCs w:val="24"/>
        </w:rPr>
        <w:t xml:space="preserve">VZMR měla stanovenou </w:t>
      </w:r>
      <w:r>
        <w:rPr>
          <w:rFonts w:asciiTheme="minorHAnsi" w:hAnsiTheme="minorHAnsi" w:cstheme="minorHAnsi"/>
          <w:szCs w:val="24"/>
        </w:rPr>
        <w:t>předpokládanou hodnotu</w:t>
      </w:r>
      <w:r w:rsidRPr="003B3DD7">
        <w:rPr>
          <w:rFonts w:asciiTheme="minorHAnsi" w:hAnsiTheme="minorHAnsi" w:cstheme="minorHAnsi"/>
          <w:szCs w:val="24"/>
        </w:rPr>
        <w:t xml:space="preserve"> 1 900 000 Kč bez DPH.</w:t>
      </w:r>
      <w:r>
        <w:rPr>
          <w:rFonts w:asciiTheme="minorHAnsi" w:hAnsiTheme="minorHAnsi" w:cstheme="minorHAnsi"/>
          <w:szCs w:val="24"/>
        </w:rPr>
        <w:t xml:space="preserve"> </w:t>
      </w:r>
      <w:r w:rsidRPr="003B3DD7">
        <w:rPr>
          <w:rFonts w:asciiTheme="minorHAnsi" w:hAnsiTheme="minorHAnsi" w:cstheme="minorHAnsi"/>
          <w:szCs w:val="24"/>
        </w:rPr>
        <w:t xml:space="preserve">Vybraný dodavatel kompletně zajistil konání společenské akce </w:t>
      </w:r>
      <w:r>
        <w:rPr>
          <w:rFonts w:asciiTheme="minorHAnsi" w:hAnsiTheme="minorHAnsi" w:cstheme="minorHAnsi"/>
          <w:szCs w:val="24"/>
        </w:rPr>
        <w:t>v červnu</w:t>
      </w:r>
      <w:r w:rsidRPr="003B3DD7">
        <w:rPr>
          <w:rFonts w:asciiTheme="minorHAnsi" w:hAnsiTheme="minorHAnsi" w:cstheme="minorHAnsi"/>
          <w:szCs w:val="24"/>
        </w:rPr>
        <w:t xml:space="preserve"> 2022. </w:t>
      </w:r>
      <w:r>
        <w:rPr>
          <w:rFonts w:asciiTheme="minorHAnsi" w:hAnsiTheme="minorHAnsi" w:cstheme="minorHAnsi"/>
          <w:szCs w:val="24"/>
        </w:rPr>
        <w:t xml:space="preserve">Druhá </w:t>
      </w:r>
      <w:r w:rsidRPr="003B3DD7">
        <w:rPr>
          <w:rFonts w:asciiTheme="minorHAnsi" w:hAnsiTheme="minorHAnsi" w:cstheme="minorHAnsi"/>
          <w:szCs w:val="24"/>
        </w:rPr>
        <w:t xml:space="preserve">VZMR měla stanovenou </w:t>
      </w:r>
      <w:r>
        <w:rPr>
          <w:rFonts w:asciiTheme="minorHAnsi" w:hAnsiTheme="minorHAnsi" w:cstheme="minorHAnsi"/>
          <w:szCs w:val="24"/>
        </w:rPr>
        <w:t xml:space="preserve">předpokládanou hodnotu </w:t>
      </w:r>
      <w:r w:rsidRPr="003B3DD7">
        <w:rPr>
          <w:rFonts w:asciiTheme="minorHAnsi" w:hAnsiTheme="minorHAnsi" w:cstheme="minorHAnsi"/>
          <w:szCs w:val="24"/>
        </w:rPr>
        <w:t xml:space="preserve">2 000 000 Kč bez DPH. Vybraný dodavatel kompletně zajistil konání společenské akce </w:t>
      </w:r>
      <w:r>
        <w:rPr>
          <w:rFonts w:asciiTheme="minorHAnsi" w:hAnsiTheme="minorHAnsi" w:cstheme="minorHAnsi"/>
          <w:szCs w:val="24"/>
        </w:rPr>
        <w:t>v říjnu</w:t>
      </w:r>
      <w:r w:rsidRPr="003B3DD7">
        <w:rPr>
          <w:rFonts w:asciiTheme="minorHAnsi" w:hAnsiTheme="minorHAnsi" w:cstheme="minorHAnsi"/>
          <w:szCs w:val="24"/>
        </w:rPr>
        <w:t xml:space="preserve"> 2022. </w:t>
      </w:r>
      <w:r>
        <w:rPr>
          <w:rFonts w:asciiTheme="minorHAnsi" w:hAnsiTheme="minorHAnsi" w:cstheme="minorHAnsi"/>
          <w:szCs w:val="24"/>
        </w:rPr>
        <w:t xml:space="preserve">Třetí </w:t>
      </w:r>
      <w:r w:rsidRPr="003B3DD7">
        <w:rPr>
          <w:rFonts w:asciiTheme="minorHAnsi" w:hAnsiTheme="minorHAnsi" w:cstheme="minorHAnsi"/>
          <w:szCs w:val="24"/>
        </w:rPr>
        <w:t xml:space="preserve">VZMR měla stanovenou </w:t>
      </w:r>
      <w:r>
        <w:rPr>
          <w:rFonts w:asciiTheme="minorHAnsi" w:hAnsiTheme="minorHAnsi" w:cstheme="minorHAnsi"/>
          <w:szCs w:val="24"/>
        </w:rPr>
        <w:t>předpokládanou hodnotu</w:t>
      </w:r>
      <w:r w:rsidRPr="003B3DD7">
        <w:rPr>
          <w:rFonts w:asciiTheme="minorHAnsi" w:hAnsiTheme="minorHAnsi" w:cstheme="minorHAnsi"/>
          <w:szCs w:val="24"/>
        </w:rPr>
        <w:t xml:space="preserve"> 1 490 000 Kč bez DPH. Vybraný dodavatel kompletně zajistil konání společenské akce</w:t>
      </w:r>
      <w:r>
        <w:rPr>
          <w:rFonts w:asciiTheme="minorHAnsi" w:hAnsiTheme="minorHAnsi" w:cstheme="minorHAnsi"/>
          <w:szCs w:val="24"/>
        </w:rPr>
        <w:t xml:space="preserve"> v prosinci</w:t>
      </w:r>
      <w:r w:rsidRPr="003B3DD7">
        <w:rPr>
          <w:rFonts w:asciiTheme="minorHAnsi" w:hAnsiTheme="minorHAnsi" w:cstheme="minorHAnsi"/>
          <w:szCs w:val="24"/>
        </w:rPr>
        <w:t> 2022</w:t>
      </w:r>
      <w:r>
        <w:rPr>
          <w:rFonts w:asciiTheme="minorHAnsi" w:hAnsiTheme="minorHAnsi" w:cstheme="minorHAnsi"/>
          <w:szCs w:val="24"/>
        </w:rPr>
        <w:t>.</w:t>
      </w:r>
      <w:r w:rsidR="008D703E">
        <w:rPr>
          <w:rFonts w:asciiTheme="minorHAnsi" w:hAnsiTheme="minorHAnsi" w:cstheme="minorHAnsi"/>
          <w:szCs w:val="24"/>
        </w:rPr>
        <w:t xml:space="preserve"> Ve všech třech případech zajistil konání společenských </w:t>
      </w:r>
      <w:r w:rsidR="00075FC8">
        <w:rPr>
          <w:rFonts w:asciiTheme="minorHAnsi" w:hAnsiTheme="minorHAnsi" w:cstheme="minorHAnsi"/>
          <w:szCs w:val="24"/>
        </w:rPr>
        <w:t>akcí stejný dodavatel.</w:t>
      </w:r>
    </w:p>
    <w:p w14:paraId="7B73800C" w14:textId="77146089" w:rsidR="002A2999" w:rsidRPr="00DE2E69" w:rsidRDefault="00DE2E69" w:rsidP="00D723A6">
      <w:pPr>
        <w:keepNext/>
        <w:widowControl/>
        <w:spacing w:before="240" w:after="120"/>
        <w:rPr>
          <w:b/>
          <w:lang w:eastAsia="en-US"/>
        </w:rPr>
      </w:pPr>
      <w:r>
        <w:rPr>
          <w:b/>
          <w:lang w:eastAsia="en-US"/>
        </w:rPr>
        <w:t xml:space="preserve">1.2 </w:t>
      </w:r>
      <w:r w:rsidR="002A2999" w:rsidRPr="00DE2E69">
        <w:rPr>
          <w:b/>
          <w:lang w:eastAsia="en-US"/>
        </w:rPr>
        <w:t xml:space="preserve">ZPMV prodlužuje přechod na nový pojišťovací informační systém </w:t>
      </w:r>
    </w:p>
    <w:p w14:paraId="560835E7" w14:textId="065A7C13" w:rsidR="002A2999" w:rsidRPr="00BF1862" w:rsidRDefault="002A2999" w:rsidP="00D723A6">
      <w:pPr>
        <w:widowControl/>
        <w:spacing w:before="120" w:after="120"/>
        <w:rPr>
          <w:rFonts w:asciiTheme="minorHAnsi" w:hAnsiTheme="minorHAnsi" w:cstheme="minorHAnsi"/>
          <w:szCs w:val="24"/>
        </w:rPr>
      </w:pPr>
      <w:r w:rsidRPr="00BF1862">
        <w:rPr>
          <w:rFonts w:asciiTheme="minorHAnsi" w:hAnsiTheme="minorHAnsi" w:cstheme="minorHAnsi"/>
          <w:szCs w:val="24"/>
        </w:rPr>
        <w:t>ZPMV užívá pojišťovací informační systém (dále také „PIS“), jenž zajišťuje agendu spojenou s</w:t>
      </w:r>
      <w:r w:rsidR="00A554DC">
        <w:rPr>
          <w:rFonts w:asciiTheme="minorHAnsi" w:hAnsiTheme="minorHAnsi" w:cstheme="minorHAnsi"/>
          <w:szCs w:val="24"/>
        </w:rPr>
        <w:t> </w:t>
      </w:r>
      <w:r>
        <w:rPr>
          <w:rFonts w:asciiTheme="minorHAnsi" w:hAnsiTheme="minorHAnsi" w:cstheme="minorHAnsi"/>
          <w:szCs w:val="24"/>
        </w:rPr>
        <w:t>veřejným</w:t>
      </w:r>
      <w:r w:rsidRPr="00BF1862">
        <w:rPr>
          <w:rFonts w:asciiTheme="minorHAnsi" w:hAnsiTheme="minorHAnsi" w:cstheme="minorHAnsi"/>
          <w:szCs w:val="24"/>
        </w:rPr>
        <w:t xml:space="preserve"> zdravotn</w:t>
      </w:r>
      <w:r>
        <w:rPr>
          <w:rFonts w:asciiTheme="minorHAnsi" w:hAnsiTheme="minorHAnsi" w:cstheme="minorHAnsi"/>
          <w:szCs w:val="24"/>
        </w:rPr>
        <w:t>ím</w:t>
      </w:r>
      <w:r w:rsidRPr="00BF1862">
        <w:rPr>
          <w:rFonts w:asciiTheme="minorHAnsi" w:hAnsiTheme="minorHAnsi" w:cstheme="minorHAnsi"/>
          <w:szCs w:val="24"/>
        </w:rPr>
        <w:t xml:space="preserve"> pojištění</w:t>
      </w:r>
      <w:r>
        <w:rPr>
          <w:rFonts w:asciiTheme="minorHAnsi" w:hAnsiTheme="minorHAnsi" w:cstheme="minorHAnsi"/>
          <w:szCs w:val="24"/>
        </w:rPr>
        <w:t>m</w:t>
      </w:r>
      <w:r w:rsidRPr="00BF1862">
        <w:rPr>
          <w:rFonts w:asciiTheme="minorHAnsi" w:hAnsiTheme="minorHAnsi" w:cstheme="minorHAnsi"/>
          <w:szCs w:val="24"/>
        </w:rPr>
        <w:t>. V případě úprav</w:t>
      </w:r>
      <w:r w:rsidR="00780393">
        <w:rPr>
          <w:rFonts w:asciiTheme="minorHAnsi" w:hAnsiTheme="minorHAnsi" w:cstheme="minorHAnsi"/>
          <w:szCs w:val="24"/>
        </w:rPr>
        <w:t xml:space="preserve"> </w:t>
      </w:r>
      <w:r w:rsidRPr="00BF1862">
        <w:rPr>
          <w:rFonts w:asciiTheme="minorHAnsi" w:hAnsiTheme="minorHAnsi" w:cstheme="minorHAnsi"/>
          <w:szCs w:val="24"/>
        </w:rPr>
        <w:t>či aktualizací</w:t>
      </w:r>
      <w:r w:rsidR="00780393">
        <w:rPr>
          <w:rFonts w:asciiTheme="minorHAnsi" w:hAnsiTheme="minorHAnsi" w:cstheme="minorHAnsi"/>
          <w:szCs w:val="24"/>
        </w:rPr>
        <w:t xml:space="preserve"> stávajícího PIS nemá</w:t>
      </w:r>
      <w:r w:rsidRPr="00BF1862">
        <w:rPr>
          <w:rFonts w:asciiTheme="minorHAnsi" w:hAnsiTheme="minorHAnsi" w:cstheme="minorHAnsi"/>
          <w:szCs w:val="24"/>
        </w:rPr>
        <w:t xml:space="preserve"> ZPMV </w:t>
      </w:r>
      <w:r w:rsidR="00780393">
        <w:rPr>
          <w:rFonts w:asciiTheme="minorHAnsi" w:hAnsiTheme="minorHAnsi" w:cstheme="minorHAnsi"/>
          <w:szCs w:val="24"/>
        </w:rPr>
        <w:t>jinou možnost než</w:t>
      </w:r>
      <w:r w:rsidRPr="00BF1862">
        <w:rPr>
          <w:rFonts w:asciiTheme="minorHAnsi" w:hAnsiTheme="minorHAnsi" w:cstheme="minorHAnsi"/>
          <w:szCs w:val="24"/>
        </w:rPr>
        <w:t xml:space="preserve"> </w:t>
      </w:r>
      <w:r w:rsidR="00780393">
        <w:rPr>
          <w:rFonts w:asciiTheme="minorHAnsi" w:hAnsiTheme="minorHAnsi" w:cstheme="minorHAnsi"/>
          <w:szCs w:val="24"/>
        </w:rPr>
        <w:t>požádat o úpravy zhotovitele</w:t>
      </w:r>
      <w:r w:rsidR="0053594F">
        <w:rPr>
          <w:rFonts w:asciiTheme="minorHAnsi" w:hAnsiTheme="minorHAnsi" w:cstheme="minorHAnsi"/>
          <w:szCs w:val="24"/>
        </w:rPr>
        <w:t xml:space="preserve"> stávajícího PIS.</w:t>
      </w:r>
      <w:r w:rsidRPr="00BF1862">
        <w:rPr>
          <w:rFonts w:asciiTheme="minorHAnsi" w:hAnsiTheme="minorHAnsi" w:cstheme="minorHAnsi"/>
          <w:szCs w:val="24"/>
        </w:rPr>
        <w:t xml:space="preserve"> </w:t>
      </w:r>
      <w:r w:rsidR="0053594F">
        <w:rPr>
          <w:rFonts w:eastAsia="Calibri"/>
        </w:rPr>
        <w:t>P</w:t>
      </w:r>
      <w:r w:rsidR="00DC2233" w:rsidRPr="00516BD3">
        <w:rPr>
          <w:rFonts w:eastAsia="Calibri"/>
        </w:rPr>
        <w:t>ředchozím postupem</w:t>
      </w:r>
      <w:r w:rsidR="0053594F">
        <w:rPr>
          <w:rFonts w:eastAsia="Calibri"/>
        </w:rPr>
        <w:t>, tj.</w:t>
      </w:r>
      <w:r w:rsidR="00C0576C">
        <w:rPr>
          <w:rFonts w:eastAsia="Calibri"/>
        </w:rPr>
        <w:t> </w:t>
      </w:r>
      <w:r w:rsidR="0053594F">
        <w:rPr>
          <w:rFonts w:eastAsia="Calibri"/>
        </w:rPr>
        <w:t>smlouvami se zhotovitelem, se ZPMV</w:t>
      </w:r>
      <w:r w:rsidR="00DC2233" w:rsidRPr="00516BD3">
        <w:rPr>
          <w:rFonts w:eastAsia="Calibri"/>
        </w:rPr>
        <w:t xml:space="preserve"> dostal</w:t>
      </w:r>
      <w:r w:rsidR="00DC2233">
        <w:rPr>
          <w:rFonts w:eastAsia="Calibri"/>
        </w:rPr>
        <w:t>a</w:t>
      </w:r>
      <w:r w:rsidR="00DC2233" w:rsidRPr="00516BD3">
        <w:rPr>
          <w:rFonts w:eastAsia="Calibri"/>
        </w:rPr>
        <w:t xml:space="preserve"> do pozice, kdy se nemůže vymanit ze závislosti na </w:t>
      </w:r>
      <w:r w:rsidR="0053594F">
        <w:rPr>
          <w:rFonts w:eastAsia="Calibri"/>
        </w:rPr>
        <w:t>zhotoviteli</w:t>
      </w:r>
      <w:r w:rsidR="00DC2233" w:rsidRPr="00516BD3">
        <w:rPr>
          <w:rFonts w:eastAsia="Calibri"/>
        </w:rPr>
        <w:t xml:space="preserve"> a jeho</w:t>
      </w:r>
      <w:r w:rsidR="00DC2233">
        <w:rPr>
          <w:rFonts w:eastAsia="Calibri"/>
        </w:rPr>
        <w:t xml:space="preserve"> technickém</w:t>
      </w:r>
      <w:r w:rsidR="00DC2233" w:rsidRPr="00516BD3">
        <w:rPr>
          <w:rFonts w:eastAsia="Calibri"/>
        </w:rPr>
        <w:t xml:space="preserve"> </w:t>
      </w:r>
      <w:r w:rsidR="00DC2233">
        <w:rPr>
          <w:rFonts w:eastAsia="Calibri"/>
        </w:rPr>
        <w:t>řešení.</w:t>
      </w:r>
      <w:r w:rsidR="00DC2233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V dubnu</w:t>
      </w:r>
      <w:r w:rsidRPr="00BF1862">
        <w:rPr>
          <w:rFonts w:asciiTheme="minorHAnsi" w:hAnsiTheme="minorHAnsi" w:cstheme="minorHAnsi"/>
          <w:szCs w:val="24"/>
        </w:rPr>
        <w:t xml:space="preserve"> 2020 ZPMV</w:t>
      </w:r>
      <w:r>
        <w:rPr>
          <w:rFonts w:asciiTheme="minorHAnsi" w:hAnsiTheme="minorHAnsi" w:cstheme="minorHAnsi"/>
          <w:szCs w:val="24"/>
        </w:rPr>
        <w:t xml:space="preserve"> zadala</w:t>
      </w:r>
      <w:r w:rsidRPr="00BF1862">
        <w:rPr>
          <w:rFonts w:asciiTheme="minorHAnsi" w:hAnsiTheme="minorHAnsi" w:cstheme="minorHAnsi"/>
          <w:szCs w:val="24"/>
        </w:rPr>
        <w:t xml:space="preserve"> zpracování </w:t>
      </w:r>
      <w:proofErr w:type="spellStart"/>
      <w:r w:rsidRPr="00BF1862">
        <w:rPr>
          <w:rFonts w:asciiTheme="minorHAnsi" w:hAnsiTheme="minorHAnsi" w:cstheme="minorHAnsi"/>
          <w:szCs w:val="24"/>
        </w:rPr>
        <w:t>cost</w:t>
      </w:r>
      <w:proofErr w:type="spellEnd"/>
      <w:r>
        <w:rPr>
          <w:rFonts w:asciiTheme="minorHAnsi" w:hAnsiTheme="minorHAnsi" w:cstheme="minorHAnsi"/>
          <w:szCs w:val="24"/>
        </w:rPr>
        <w:t>-</w:t>
      </w:r>
      <w:r w:rsidRPr="00BF1862">
        <w:rPr>
          <w:rFonts w:asciiTheme="minorHAnsi" w:hAnsiTheme="minorHAnsi" w:cstheme="minorHAnsi"/>
          <w:szCs w:val="24"/>
        </w:rPr>
        <w:t>benefit analýzy</w:t>
      </w:r>
      <w:r w:rsidR="00A71154">
        <w:rPr>
          <w:rStyle w:val="Znakapoznpodarou"/>
          <w:rFonts w:asciiTheme="minorHAnsi" w:hAnsiTheme="minorHAnsi"/>
          <w:szCs w:val="24"/>
        </w:rPr>
        <w:footnoteReference w:id="17"/>
      </w:r>
      <w:r>
        <w:rPr>
          <w:rFonts w:asciiTheme="minorHAnsi" w:hAnsiTheme="minorHAnsi" w:cstheme="minorHAnsi"/>
          <w:szCs w:val="24"/>
        </w:rPr>
        <w:t xml:space="preserve"> z důvodu možného</w:t>
      </w:r>
      <w:r w:rsidRPr="00BF1862">
        <w:rPr>
          <w:rFonts w:asciiTheme="minorHAnsi" w:hAnsiTheme="minorHAnsi" w:cstheme="minorHAnsi"/>
          <w:szCs w:val="24"/>
        </w:rPr>
        <w:t xml:space="preserve"> vyvázání z</w:t>
      </w:r>
      <w:r w:rsidR="00DC2233">
        <w:rPr>
          <w:rFonts w:asciiTheme="minorHAnsi" w:hAnsiTheme="minorHAnsi" w:cstheme="minorHAnsi"/>
          <w:szCs w:val="24"/>
        </w:rPr>
        <w:t>e závislosti na stávajícím dodavateli</w:t>
      </w:r>
      <w:r w:rsidRPr="00BF1862">
        <w:rPr>
          <w:rFonts w:asciiTheme="minorHAnsi" w:hAnsiTheme="minorHAnsi" w:cstheme="minorHAnsi"/>
          <w:szCs w:val="24"/>
        </w:rPr>
        <w:t>. S ohledem na</w:t>
      </w:r>
      <w:r w:rsidR="00360788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výsledky</w:t>
      </w:r>
      <w:r w:rsidRPr="00BF1862">
        <w:rPr>
          <w:rFonts w:asciiTheme="minorHAnsi" w:hAnsiTheme="minorHAnsi" w:cstheme="minorHAnsi"/>
          <w:szCs w:val="24"/>
        </w:rPr>
        <w:t xml:space="preserve"> analýz</w:t>
      </w:r>
      <w:r>
        <w:rPr>
          <w:rFonts w:asciiTheme="minorHAnsi" w:hAnsiTheme="minorHAnsi" w:cstheme="minorHAnsi"/>
          <w:szCs w:val="24"/>
        </w:rPr>
        <w:t>y se</w:t>
      </w:r>
      <w:r w:rsidRPr="00BF1862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ZPMV</w:t>
      </w:r>
      <w:r w:rsidRPr="00BF1862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v prosinci</w:t>
      </w:r>
      <w:r w:rsidRPr="00BF1862">
        <w:rPr>
          <w:rFonts w:asciiTheme="minorHAnsi" w:hAnsiTheme="minorHAnsi" w:cstheme="minorHAnsi"/>
          <w:szCs w:val="24"/>
        </w:rPr>
        <w:t xml:space="preserve"> 2020</w:t>
      </w:r>
      <w:r>
        <w:rPr>
          <w:rFonts w:asciiTheme="minorHAnsi" w:hAnsiTheme="minorHAnsi" w:cstheme="minorHAnsi"/>
          <w:szCs w:val="24"/>
        </w:rPr>
        <w:t xml:space="preserve"> rozhodla</w:t>
      </w:r>
      <w:r w:rsidRPr="00BF1862">
        <w:rPr>
          <w:rFonts w:asciiTheme="minorHAnsi" w:hAnsiTheme="minorHAnsi" w:cstheme="minorHAnsi"/>
          <w:szCs w:val="24"/>
        </w:rPr>
        <w:t xml:space="preserve"> pro vývoj nového </w:t>
      </w:r>
      <w:r>
        <w:rPr>
          <w:rFonts w:asciiTheme="minorHAnsi" w:hAnsiTheme="minorHAnsi" w:cstheme="minorHAnsi"/>
          <w:szCs w:val="24"/>
        </w:rPr>
        <w:t>PIS uzpůsobeného</w:t>
      </w:r>
      <w:r w:rsidRPr="00BF1862">
        <w:rPr>
          <w:rFonts w:asciiTheme="minorHAnsi" w:hAnsiTheme="minorHAnsi" w:cstheme="minorHAnsi"/>
          <w:szCs w:val="24"/>
        </w:rPr>
        <w:t xml:space="preserve"> na</w:t>
      </w:r>
      <w:r w:rsidR="00360788">
        <w:rPr>
          <w:rFonts w:asciiTheme="minorHAnsi" w:hAnsiTheme="minorHAnsi" w:cstheme="minorHAnsi"/>
          <w:szCs w:val="24"/>
        </w:rPr>
        <w:t xml:space="preserve"> </w:t>
      </w:r>
      <w:r w:rsidRPr="00BF1862">
        <w:rPr>
          <w:rFonts w:asciiTheme="minorHAnsi" w:hAnsiTheme="minorHAnsi" w:cstheme="minorHAnsi"/>
          <w:szCs w:val="24"/>
        </w:rPr>
        <w:t>míru ZPMV.</w:t>
      </w:r>
    </w:p>
    <w:p w14:paraId="2E0F175D" w14:textId="0BE77BDB" w:rsidR="002A2999" w:rsidRPr="00BF1862" w:rsidRDefault="002A2999" w:rsidP="00D723A6">
      <w:pPr>
        <w:widowControl/>
        <w:spacing w:before="120" w:after="120"/>
        <w:rPr>
          <w:rFonts w:asciiTheme="minorHAnsi" w:hAnsiTheme="minorHAnsi" w:cstheme="minorHAnsi"/>
          <w:szCs w:val="24"/>
        </w:rPr>
      </w:pPr>
      <w:r w:rsidRPr="00BF1862">
        <w:rPr>
          <w:rFonts w:asciiTheme="minorHAnsi" w:hAnsiTheme="minorHAnsi" w:cstheme="minorHAnsi"/>
          <w:szCs w:val="24"/>
        </w:rPr>
        <w:t xml:space="preserve">ZPMV </w:t>
      </w:r>
      <w:r>
        <w:rPr>
          <w:rFonts w:asciiTheme="minorHAnsi" w:hAnsiTheme="minorHAnsi" w:cstheme="minorHAnsi"/>
          <w:szCs w:val="24"/>
        </w:rPr>
        <w:t xml:space="preserve">však </w:t>
      </w:r>
      <w:r w:rsidRPr="00BF1862">
        <w:rPr>
          <w:rFonts w:asciiTheme="minorHAnsi" w:hAnsiTheme="minorHAnsi" w:cstheme="minorHAnsi"/>
          <w:szCs w:val="24"/>
        </w:rPr>
        <w:t>zastavil</w:t>
      </w:r>
      <w:r>
        <w:rPr>
          <w:rFonts w:asciiTheme="minorHAnsi" w:hAnsiTheme="minorHAnsi" w:cstheme="minorHAnsi"/>
          <w:szCs w:val="24"/>
        </w:rPr>
        <w:t>a</w:t>
      </w:r>
      <w:r w:rsidRPr="00BF1862">
        <w:rPr>
          <w:rFonts w:asciiTheme="minorHAnsi" w:hAnsiTheme="minorHAnsi" w:cstheme="minorHAnsi"/>
          <w:szCs w:val="24"/>
        </w:rPr>
        <w:t xml:space="preserve"> přípravu zadávacího řízení na nový </w:t>
      </w:r>
      <w:r>
        <w:rPr>
          <w:rFonts w:asciiTheme="minorHAnsi" w:hAnsiTheme="minorHAnsi" w:cstheme="minorHAnsi"/>
          <w:szCs w:val="24"/>
        </w:rPr>
        <w:t>P</w:t>
      </w:r>
      <w:r w:rsidRPr="00BF1862">
        <w:rPr>
          <w:rFonts w:asciiTheme="minorHAnsi" w:hAnsiTheme="minorHAnsi" w:cstheme="minorHAnsi"/>
          <w:szCs w:val="24"/>
        </w:rPr>
        <w:t>IS z důvodu některých nejasností a nepřesností v zadávací dokumentac</w:t>
      </w:r>
      <w:r>
        <w:rPr>
          <w:rFonts w:asciiTheme="minorHAnsi" w:hAnsiTheme="minorHAnsi" w:cstheme="minorHAnsi"/>
          <w:szCs w:val="24"/>
        </w:rPr>
        <w:t>i</w:t>
      </w:r>
      <w:r w:rsidR="00DC2233">
        <w:rPr>
          <w:rFonts w:asciiTheme="minorHAnsi" w:hAnsiTheme="minorHAnsi" w:cstheme="minorHAnsi"/>
          <w:szCs w:val="24"/>
        </w:rPr>
        <w:t>.</w:t>
      </w:r>
      <w:r w:rsidRPr="00BF1862">
        <w:rPr>
          <w:rFonts w:asciiTheme="minorHAnsi" w:hAnsiTheme="minorHAnsi" w:cstheme="minorHAnsi"/>
          <w:szCs w:val="24"/>
        </w:rPr>
        <w:t xml:space="preserve"> ZPMV </w:t>
      </w:r>
      <w:r>
        <w:rPr>
          <w:rFonts w:asciiTheme="minorHAnsi" w:hAnsiTheme="minorHAnsi" w:cstheme="minorHAnsi"/>
          <w:szCs w:val="24"/>
        </w:rPr>
        <w:t>v lednu</w:t>
      </w:r>
      <w:r w:rsidRPr="00BF1862">
        <w:rPr>
          <w:rFonts w:asciiTheme="minorHAnsi" w:hAnsiTheme="minorHAnsi" w:cstheme="minorHAnsi"/>
          <w:szCs w:val="24"/>
        </w:rPr>
        <w:t xml:space="preserve"> 2022</w:t>
      </w:r>
      <w:r>
        <w:rPr>
          <w:rFonts w:asciiTheme="minorHAnsi" w:hAnsiTheme="minorHAnsi" w:cstheme="minorHAnsi"/>
          <w:szCs w:val="24"/>
        </w:rPr>
        <w:t xml:space="preserve"> uzavřela</w:t>
      </w:r>
      <w:r w:rsidRPr="00BF1862">
        <w:rPr>
          <w:rFonts w:asciiTheme="minorHAnsi" w:hAnsiTheme="minorHAnsi" w:cstheme="minorHAnsi"/>
          <w:szCs w:val="24"/>
        </w:rPr>
        <w:t xml:space="preserve"> rámcovou dohodu o</w:t>
      </w:r>
      <w:r w:rsidR="00C0576C">
        <w:rPr>
          <w:rFonts w:asciiTheme="minorHAnsi" w:hAnsiTheme="minorHAnsi" w:cstheme="minorHAnsi"/>
          <w:szCs w:val="24"/>
        </w:rPr>
        <w:t> </w:t>
      </w:r>
      <w:r w:rsidRPr="00BF1862">
        <w:rPr>
          <w:rFonts w:asciiTheme="minorHAnsi" w:hAnsiTheme="minorHAnsi" w:cstheme="minorHAnsi"/>
          <w:szCs w:val="24"/>
        </w:rPr>
        <w:t>technickém dozoru investora a zajištění poskytování odborných konzultací při pořízení a</w:t>
      </w:r>
      <w:r w:rsidR="00C0576C">
        <w:rPr>
          <w:rFonts w:asciiTheme="minorHAnsi" w:hAnsiTheme="minorHAnsi" w:cstheme="minorHAnsi"/>
          <w:szCs w:val="24"/>
        </w:rPr>
        <w:t> </w:t>
      </w:r>
      <w:r w:rsidRPr="00BF1862">
        <w:rPr>
          <w:rFonts w:asciiTheme="minorHAnsi" w:hAnsiTheme="minorHAnsi" w:cstheme="minorHAnsi"/>
          <w:szCs w:val="24"/>
        </w:rPr>
        <w:t>implementaci nových informačních systémů</w:t>
      </w:r>
      <w:r>
        <w:rPr>
          <w:rFonts w:asciiTheme="minorHAnsi" w:hAnsiTheme="minorHAnsi" w:cstheme="minorHAnsi"/>
          <w:szCs w:val="24"/>
        </w:rPr>
        <w:t xml:space="preserve">. </w:t>
      </w:r>
      <w:r w:rsidRPr="00B12386">
        <w:rPr>
          <w:rFonts w:asciiTheme="minorHAnsi" w:hAnsiTheme="minorHAnsi" w:cstheme="minorHAnsi"/>
          <w:szCs w:val="24"/>
        </w:rPr>
        <w:t>ZPMV</w:t>
      </w:r>
      <w:r>
        <w:rPr>
          <w:rFonts w:asciiTheme="minorHAnsi" w:hAnsiTheme="minorHAnsi" w:cstheme="minorHAnsi"/>
          <w:szCs w:val="24"/>
        </w:rPr>
        <w:t xml:space="preserve"> tak</w:t>
      </w:r>
      <w:r w:rsidRPr="00B12386">
        <w:rPr>
          <w:rFonts w:asciiTheme="minorHAnsi" w:hAnsiTheme="minorHAnsi" w:cstheme="minorHAnsi"/>
          <w:szCs w:val="24"/>
        </w:rPr>
        <w:t xml:space="preserve"> od</w:t>
      </w:r>
      <w:r w:rsidR="000E7F9C">
        <w:rPr>
          <w:rFonts w:asciiTheme="minorHAnsi" w:hAnsiTheme="minorHAnsi" w:cstheme="minorHAnsi"/>
          <w:szCs w:val="24"/>
        </w:rPr>
        <w:t xml:space="preserve"> </w:t>
      </w:r>
      <w:r w:rsidRPr="00B12386">
        <w:rPr>
          <w:rFonts w:asciiTheme="minorHAnsi" w:hAnsiTheme="minorHAnsi" w:cstheme="minorHAnsi"/>
          <w:szCs w:val="24"/>
        </w:rPr>
        <w:t>roku 2020 do roku 2022 vynaložila na</w:t>
      </w:r>
      <w:r>
        <w:rPr>
          <w:rFonts w:asciiTheme="minorHAnsi" w:hAnsiTheme="minorHAnsi" w:cstheme="minorHAnsi"/>
          <w:szCs w:val="24"/>
        </w:rPr>
        <w:t xml:space="preserve"> přípravu</w:t>
      </w:r>
      <w:r w:rsidRPr="00B12386">
        <w:rPr>
          <w:rFonts w:asciiTheme="minorHAnsi" w:hAnsiTheme="minorHAnsi" w:cstheme="minorHAnsi"/>
          <w:szCs w:val="24"/>
        </w:rPr>
        <w:t xml:space="preserve"> nov</w:t>
      </w:r>
      <w:r>
        <w:rPr>
          <w:rFonts w:asciiTheme="minorHAnsi" w:hAnsiTheme="minorHAnsi" w:cstheme="minorHAnsi"/>
          <w:szCs w:val="24"/>
        </w:rPr>
        <w:t>ého</w:t>
      </w:r>
      <w:r w:rsidRPr="00B12386">
        <w:rPr>
          <w:rFonts w:asciiTheme="minorHAnsi" w:hAnsiTheme="minorHAnsi" w:cstheme="minorHAnsi"/>
          <w:szCs w:val="24"/>
        </w:rPr>
        <w:t xml:space="preserve"> PIS téměř 10 mil. Kč</w:t>
      </w:r>
      <w:r>
        <w:rPr>
          <w:rFonts w:asciiTheme="minorHAnsi" w:hAnsiTheme="minorHAnsi" w:cstheme="minorHAnsi"/>
          <w:szCs w:val="24"/>
        </w:rPr>
        <w:t>, přesto</w:t>
      </w:r>
      <w:r w:rsidRPr="00B12386">
        <w:rPr>
          <w:rFonts w:asciiTheme="minorHAnsi" w:hAnsiTheme="minorHAnsi" w:cstheme="minorHAnsi"/>
          <w:szCs w:val="24"/>
        </w:rPr>
        <w:t xml:space="preserve"> nový PIS ne</w:t>
      </w:r>
      <w:r w:rsidR="001E093D">
        <w:rPr>
          <w:rFonts w:asciiTheme="minorHAnsi" w:hAnsiTheme="minorHAnsi" w:cstheme="minorHAnsi"/>
          <w:szCs w:val="24"/>
        </w:rPr>
        <w:t>byl</w:t>
      </w:r>
      <w:r w:rsidRPr="00B12386">
        <w:rPr>
          <w:rFonts w:asciiTheme="minorHAnsi" w:hAnsiTheme="minorHAnsi" w:cstheme="minorHAnsi"/>
          <w:szCs w:val="24"/>
        </w:rPr>
        <w:t xml:space="preserve"> prozatím vyvíjen. </w:t>
      </w:r>
      <w:r>
        <w:rPr>
          <w:rFonts w:asciiTheme="minorHAnsi" w:hAnsiTheme="minorHAnsi" w:cstheme="minorHAnsi"/>
          <w:szCs w:val="24"/>
        </w:rPr>
        <w:t xml:space="preserve">Tím že </w:t>
      </w:r>
      <w:r w:rsidRPr="00B12386">
        <w:rPr>
          <w:rFonts w:asciiTheme="minorHAnsi" w:hAnsiTheme="minorHAnsi" w:cstheme="minorHAnsi"/>
          <w:szCs w:val="24"/>
        </w:rPr>
        <w:t>ZPMV prodlužuje přechod na nový PIS</w:t>
      </w:r>
      <w:r>
        <w:rPr>
          <w:rFonts w:asciiTheme="minorHAnsi" w:hAnsiTheme="minorHAnsi" w:cstheme="minorHAnsi"/>
          <w:szCs w:val="24"/>
        </w:rPr>
        <w:t xml:space="preserve">, musí zároveň </w:t>
      </w:r>
      <w:r w:rsidRPr="00B12386">
        <w:rPr>
          <w:rFonts w:asciiTheme="minorHAnsi" w:hAnsiTheme="minorHAnsi" w:cstheme="minorHAnsi"/>
          <w:szCs w:val="24"/>
        </w:rPr>
        <w:t>vynaklá</w:t>
      </w:r>
      <w:r>
        <w:rPr>
          <w:rFonts w:asciiTheme="minorHAnsi" w:hAnsiTheme="minorHAnsi" w:cstheme="minorHAnsi"/>
          <w:szCs w:val="24"/>
        </w:rPr>
        <w:t>dat</w:t>
      </w:r>
      <w:r w:rsidRPr="00B12386">
        <w:rPr>
          <w:rFonts w:asciiTheme="minorHAnsi" w:hAnsiTheme="minorHAnsi" w:cstheme="minorHAnsi"/>
          <w:szCs w:val="24"/>
        </w:rPr>
        <w:t xml:space="preserve"> peněžní prostředk</w:t>
      </w:r>
      <w:r>
        <w:rPr>
          <w:rFonts w:asciiTheme="minorHAnsi" w:hAnsiTheme="minorHAnsi" w:cstheme="minorHAnsi"/>
          <w:szCs w:val="24"/>
        </w:rPr>
        <w:t>y</w:t>
      </w:r>
      <w:r w:rsidRPr="00B12386">
        <w:rPr>
          <w:rFonts w:asciiTheme="minorHAnsi" w:hAnsiTheme="minorHAnsi" w:cstheme="minorHAnsi"/>
          <w:szCs w:val="24"/>
        </w:rPr>
        <w:t xml:space="preserve"> i</w:t>
      </w:r>
      <w:r w:rsidR="00C0576C">
        <w:rPr>
          <w:rFonts w:asciiTheme="minorHAnsi" w:hAnsiTheme="minorHAnsi" w:cstheme="minorHAnsi"/>
          <w:szCs w:val="24"/>
        </w:rPr>
        <w:t> </w:t>
      </w:r>
      <w:r w:rsidRPr="00B12386">
        <w:rPr>
          <w:rFonts w:asciiTheme="minorHAnsi" w:hAnsiTheme="minorHAnsi" w:cstheme="minorHAnsi"/>
          <w:szCs w:val="24"/>
        </w:rPr>
        <w:t>na</w:t>
      </w:r>
      <w:r w:rsidR="00C0576C">
        <w:rPr>
          <w:rFonts w:asciiTheme="minorHAnsi" w:hAnsiTheme="minorHAnsi" w:cstheme="minorHAnsi"/>
          <w:szCs w:val="24"/>
        </w:rPr>
        <w:t> </w:t>
      </w:r>
      <w:r w:rsidRPr="00B12386">
        <w:rPr>
          <w:rFonts w:asciiTheme="minorHAnsi" w:hAnsiTheme="minorHAnsi" w:cstheme="minorHAnsi"/>
          <w:szCs w:val="24"/>
        </w:rPr>
        <w:t>stávající PIS. Za roky 2020 až 2022 vynaložila na stávající PIS cca 75</w:t>
      </w:r>
      <w:r w:rsidR="00A554DC">
        <w:rPr>
          <w:rFonts w:asciiTheme="minorHAnsi" w:hAnsiTheme="minorHAnsi" w:cstheme="minorHAnsi"/>
          <w:szCs w:val="24"/>
        </w:rPr>
        <w:t> </w:t>
      </w:r>
      <w:r w:rsidRPr="00B12386">
        <w:rPr>
          <w:rFonts w:asciiTheme="minorHAnsi" w:hAnsiTheme="minorHAnsi" w:cstheme="minorHAnsi"/>
          <w:szCs w:val="24"/>
        </w:rPr>
        <w:t xml:space="preserve">mil. Kč. </w:t>
      </w:r>
      <w:r w:rsidR="00187727">
        <w:rPr>
          <w:rFonts w:asciiTheme="minorHAnsi" w:hAnsiTheme="minorHAnsi" w:cstheme="minorHAnsi"/>
          <w:szCs w:val="24"/>
        </w:rPr>
        <w:t>Závislost na stávajícím PIS pokračovala i v roce 2023 a e</w:t>
      </w:r>
      <w:r w:rsidRPr="00B12386">
        <w:rPr>
          <w:rFonts w:asciiTheme="minorHAnsi" w:hAnsiTheme="minorHAnsi" w:cstheme="minorHAnsi"/>
          <w:szCs w:val="24"/>
        </w:rPr>
        <w:t>xistuje riziko závislosti na stávajícím dodavateli PIS i po roce 2024, kdy měl být nový PIS již uveden do</w:t>
      </w:r>
      <w:r w:rsidR="000E7F9C">
        <w:rPr>
          <w:rFonts w:asciiTheme="minorHAnsi" w:hAnsiTheme="minorHAnsi" w:cstheme="minorHAnsi"/>
          <w:szCs w:val="24"/>
        </w:rPr>
        <w:t xml:space="preserve"> </w:t>
      </w:r>
      <w:r w:rsidRPr="00B12386">
        <w:rPr>
          <w:rFonts w:asciiTheme="minorHAnsi" w:hAnsiTheme="minorHAnsi" w:cstheme="minorHAnsi"/>
          <w:szCs w:val="24"/>
        </w:rPr>
        <w:t>provozu.</w:t>
      </w:r>
      <w:r>
        <w:rPr>
          <w:rFonts w:asciiTheme="minorHAnsi" w:hAnsiTheme="minorHAnsi" w:cstheme="minorHAnsi"/>
          <w:szCs w:val="24"/>
        </w:rPr>
        <w:t xml:space="preserve"> </w:t>
      </w:r>
      <w:r w:rsidRPr="00BF1862">
        <w:rPr>
          <w:rFonts w:asciiTheme="minorHAnsi" w:hAnsiTheme="minorHAnsi" w:cstheme="minorHAnsi"/>
          <w:szCs w:val="24"/>
        </w:rPr>
        <w:t>Přehled vynaložených peněžních prostředků na stávající a</w:t>
      </w:r>
      <w:r w:rsidR="00A554DC">
        <w:rPr>
          <w:rFonts w:asciiTheme="minorHAnsi" w:hAnsiTheme="minorHAnsi" w:cstheme="minorHAnsi"/>
          <w:szCs w:val="24"/>
        </w:rPr>
        <w:t> </w:t>
      </w:r>
      <w:r w:rsidRPr="00BF1862">
        <w:rPr>
          <w:rFonts w:asciiTheme="minorHAnsi" w:hAnsiTheme="minorHAnsi" w:cstheme="minorHAnsi"/>
          <w:szCs w:val="24"/>
        </w:rPr>
        <w:t>nový PIS v jednotlivých let</w:t>
      </w:r>
      <w:r>
        <w:rPr>
          <w:rFonts w:asciiTheme="minorHAnsi" w:hAnsiTheme="minorHAnsi" w:cstheme="minorHAnsi"/>
          <w:szCs w:val="24"/>
        </w:rPr>
        <w:t>ech</w:t>
      </w:r>
      <w:r w:rsidRPr="00BF1862">
        <w:rPr>
          <w:rFonts w:asciiTheme="minorHAnsi" w:hAnsiTheme="minorHAnsi" w:cstheme="minorHAnsi"/>
          <w:szCs w:val="24"/>
        </w:rPr>
        <w:t xml:space="preserve"> je uveden v</w:t>
      </w:r>
      <w:r>
        <w:rPr>
          <w:rFonts w:asciiTheme="minorHAnsi" w:hAnsiTheme="minorHAnsi" w:cstheme="minorHAnsi"/>
          <w:szCs w:val="24"/>
        </w:rPr>
        <w:t xml:space="preserve"> následující tabulce. </w:t>
      </w:r>
    </w:p>
    <w:p w14:paraId="1DC12426" w14:textId="7FBD36D1" w:rsidR="002A2999" w:rsidRPr="0078522A" w:rsidRDefault="00A554DC" w:rsidP="00B95E2B">
      <w:pPr>
        <w:pStyle w:val="tabulka"/>
        <w:keepNext/>
        <w:tabs>
          <w:tab w:val="right" w:pos="9072"/>
        </w:tabs>
        <w:spacing w:before="120" w:after="40"/>
        <w:ind w:left="1247" w:hanging="1247"/>
        <w:jc w:val="left"/>
        <w:rPr>
          <w:b/>
          <w:spacing w:val="-4"/>
          <w:sz w:val="24"/>
          <w:szCs w:val="24"/>
        </w:rPr>
      </w:pPr>
      <w:r w:rsidRPr="0078522A">
        <w:rPr>
          <w:b/>
          <w:spacing w:val="-4"/>
          <w:sz w:val="24"/>
          <w:szCs w:val="24"/>
        </w:rPr>
        <w:t>Tabulka č.</w:t>
      </w:r>
      <w:r w:rsidR="004D0D18" w:rsidRPr="0078522A">
        <w:rPr>
          <w:b/>
          <w:spacing w:val="-4"/>
          <w:sz w:val="24"/>
          <w:szCs w:val="24"/>
        </w:rPr>
        <w:t> </w:t>
      </w:r>
      <w:r w:rsidR="00C56165" w:rsidRPr="0078522A">
        <w:rPr>
          <w:b/>
          <w:spacing w:val="-4"/>
          <w:sz w:val="24"/>
          <w:szCs w:val="24"/>
        </w:rPr>
        <w:t>2</w:t>
      </w:r>
      <w:r w:rsidRPr="0078522A">
        <w:rPr>
          <w:b/>
          <w:spacing w:val="-4"/>
          <w:sz w:val="24"/>
          <w:szCs w:val="24"/>
        </w:rPr>
        <w:t>:</w:t>
      </w:r>
      <w:r w:rsidR="000E7F9C" w:rsidRPr="0078522A">
        <w:rPr>
          <w:b/>
          <w:spacing w:val="-4"/>
          <w:sz w:val="24"/>
          <w:szCs w:val="24"/>
        </w:rPr>
        <w:tab/>
      </w:r>
      <w:r w:rsidR="002A2999" w:rsidRPr="0078522A">
        <w:rPr>
          <w:b/>
          <w:spacing w:val="-4"/>
          <w:sz w:val="24"/>
          <w:szCs w:val="24"/>
        </w:rPr>
        <w:t>Přehled výdajů na PIS v kontrolovaném období v členění na st</w:t>
      </w:r>
      <w:r w:rsidR="0078522A" w:rsidRPr="0078522A">
        <w:rPr>
          <w:b/>
          <w:spacing w:val="-4"/>
          <w:sz w:val="24"/>
          <w:szCs w:val="24"/>
        </w:rPr>
        <w:t>arý</w:t>
      </w:r>
      <w:r w:rsidR="002A2999" w:rsidRPr="0078522A">
        <w:rPr>
          <w:b/>
          <w:spacing w:val="-4"/>
          <w:sz w:val="24"/>
          <w:szCs w:val="24"/>
        </w:rPr>
        <w:t xml:space="preserve"> a</w:t>
      </w:r>
      <w:r w:rsidR="000E7F9C" w:rsidRPr="0078522A">
        <w:rPr>
          <w:b/>
          <w:spacing w:val="-4"/>
          <w:sz w:val="24"/>
          <w:szCs w:val="24"/>
        </w:rPr>
        <w:t> </w:t>
      </w:r>
      <w:r w:rsidR="002A2999" w:rsidRPr="0078522A">
        <w:rPr>
          <w:b/>
          <w:spacing w:val="-4"/>
          <w:sz w:val="24"/>
          <w:szCs w:val="24"/>
        </w:rPr>
        <w:t>nový PIS</w:t>
      </w:r>
      <w:r w:rsidR="004D0D18" w:rsidRPr="0078522A">
        <w:rPr>
          <w:b/>
          <w:spacing w:val="-4"/>
          <w:sz w:val="24"/>
          <w:szCs w:val="24"/>
        </w:rPr>
        <w:t xml:space="preserve"> </w:t>
      </w:r>
      <w:r w:rsidR="0078522A">
        <w:rPr>
          <w:b/>
          <w:spacing w:val="-4"/>
          <w:sz w:val="24"/>
          <w:szCs w:val="24"/>
        </w:rPr>
        <w:t>(</w:t>
      </w:r>
      <w:r w:rsidR="0073157F" w:rsidRPr="0078522A">
        <w:rPr>
          <w:b/>
          <w:spacing w:val="-4"/>
          <w:sz w:val="24"/>
          <w:szCs w:val="24"/>
        </w:rPr>
        <w:t>v</w:t>
      </w:r>
      <w:r w:rsidR="004D0D18" w:rsidRPr="0078522A">
        <w:rPr>
          <w:b/>
          <w:spacing w:val="-4"/>
          <w:sz w:val="24"/>
          <w:szCs w:val="24"/>
        </w:rPr>
        <w:t> </w:t>
      </w:r>
      <w:r w:rsidR="0073157F" w:rsidRPr="0078522A">
        <w:rPr>
          <w:b/>
          <w:spacing w:val="-4"/>
          <w:sz w:val="24"/>
          <w:szCs w:val="24"/>
        </w:rPr>
        <w:t>Kč</w:t>
      </w:r>
      <w:r w:rsidR="0078522A">
        <w:rPr>
          <w:b/>
          <w:spacing w:val="-4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9"/>
        <w:gridCol w:w="3737"/>
        <w:gridCol w:w="3366"/>
      </w:tblGrid>
      <w:tr w:rsidR="002A2999" w14:paraId="06AE48FF" w14:textId="77777777" w:rsidTr="00DE2E69">
        <w:trPr>
          <w:trHeight w:val="255"/>
        </w:trPr>
        <w:tc>
          <w:tcPr>
            <w:tcW w:w="1081" w:type="pct"/>
            <w:shd w:val="clear" w:color="auto" w:fill="E5F1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9478E9" w14:textId="77777777" w:rsidR="002A2999" w:rsidRPr="00DE48B6" w:rsidRDefault="002A2999" w:rsidP="00D723A6">
            <w:pPr>
              <w:widowControl/>
              <w:jc w:val="center"/>
              <w:rPr>
                <w:rFonts w:eastAsiaTheme="minorHAnsi" w:cs="Calibri"/>
                <w:b/>
                <w:bCs/>
                <w:color w:val="000000"/>
                <w:sz w:val="20"/>
              </w:rPr>
            </w:pPr>
            <w:r w:rsidRPr="00DE48B6">
              <w:rPr>
                <w:rFonts w:cs="Calibri"/>
                <w:b/>
                <w:bCs/>
                <w:color w:val="000000"/>
                <w:sz w:val="20"/>
              </w:rPr>
              <w:t>Rok</w:t>
            </w:r>
          </w:p>
        </w:tc>
        <w:tc>
          <w:tcPr>
            <w:tcW w:w="2062" w:type="pct"/>
            <w:shd w:val="clear" w:color="auto" w:fill="E5F1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EF3179" w14:textId="77777777" w:rsidR="002A2999" w:rsidRPr="00DE48B6" w:rsidRDefault="00083F57" w:rsidP="00D723A6">
            <w:pPr>
              <w:widowControl/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</w:rPr>
              <w:t>Výdaje na s</w:t>
            </w:r>
            <w:r w:rsidR="002A2999" w:rsidRPr="00DE48B6">
              <w:rPr>
                <w:rFonts w:cs="Calibri"/>
                <w:b/>
                <w:bCs/>
                <w:color w:val="000000"/>
                <w:sz w:val="20"/>
              </w:rPr>
              <w:t>tarý PIS</w:t>
            </w:r>
          </w:p>
        </w:tc>
        <w:tc>
          <w:tcPr>
            <w:tcW w:w="1857" w:type="pct"/>
            <w:shd w:val="clear" w:color="auto" w:fill="E5F1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49DCF4" w14:textId="77777777" w:rsidR="002A2999" w:rsidRPr="00DE48B6" w:rsidRDefault="00083F57" w:rsidP="00D723A6">
            <w:pPr>
              <w:widowControl/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</w:rPr>
              <w:t>Výdaje na n</w:t>
            </w:r>
            <w:r w:rsidR="002A2999" w:rsidRPr="00DE48B6">
              <w:rPr>
                <w:rFonts w:cs="Calibri"/>
                <w:b/>
                <w:bCs/>
                <w:color w:val="000000"/>
                <w:sz w:val="20"/>
              </w:rPr>
              <w:t>ový PIS</w:t>
            </w:r>
          </w:p>
        </w:tc>
      </w:tr>
      <w:tr w:rsidR="002A2999" w14:paraId="253CF7B3" w14:textId="77777777" w:rsidTr="00DE2E69">
        <w:trPr>
          <w:trHeight w:val="255"/>
        </w:trPr>
        <w:tc>
          <w:tcPr>
            <w:tcW w:w="108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3315A2" w14:textId="77777777" w:rsidR="002A2999" w:rsidRPr="00DE48B6" w:rsidRDefault="002A2999" w:rsidP="00D723A6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48B6">
              <w:rPr>
                <w:rFonts w:asciiTheme="minorHAnsi" w:hAnsiTheme="minorHAnsi" w:cstheme="minorHAnsi"/>
                <w:color w:val="000000"/>
                <w:sz w:val="20"/>
              </w:rPr>
              <w:t>2020</w:t>
            </w:r>
          </w:p>
        </w:tc>
        <w:tc>
          <w:tcPr>
            <w:tcW w:w="206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D1CE21" w14:textId="77777777" w:rsidR="002A2999" w:rsidRPr="00DE48B6" w:rsidRDefault="002A2999" w:rsidP="00D723A6">
            <w:pPr>
              <w:widowControl/>
              <w:ind w:right="952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48B6">
              <w:rPr>
                <w:rFonts w:asciiTheme="minorHAnsi" w:hAnsiTheme="minorHAnsi" w:cstheme="minorHAnsi"/>
                <w:color w:val="000000"/>
                <w:sz w:val="20"/>
              </w:rPr>
              <w:t>17 296 987</w:t>
            </w:r>
          </w:p>
        </w:tc>
        <w:tc>
          <w:tcPr>
            <w:tcW w:w="185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DD9F81" w14:textId="77777777" w:rsidR="002A2999" w:rsidRPr="00DE48B6" w:rsidRDefault="002A2999" w:rsidP="00D723A6">
            <w:pPr>
              <w:widowControl/>
              <w:ind w:right="952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48B6">
              <w:rPr>
                <w:rFonts w:asciiTheme="minorHAnsi" w:hAnsiTheme="minorHAnsi" w:cstheme="minorHAnsi"/>
                <w:color w:val="000000"/>
                <w:sz w:val="20"/>
              </w:rPr>
              <w:t>1 294 700</w:t>
            </w:r>
          </w:p>
        </w:tc>
      </w:tr>
      <w:tr w:rsidR="002A2999" w14:paraId="0F185C2D" w14:textId="77777777" w:rsidTr="00DE2E69">
        <w:trPr>
          <w:trHeight w:val="255"/>
        </w:trPr>
        <w:tc>
          <w:tcPr>
            <w:tcW w:w="108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F74DB8" w14:textId="77777777" w:rsidR="002A2999" w:rsidRPr="00DE48B6" w:rsidRDefault="002A2999" w:rsidP="00D723A6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48B6">
              <w:rPr>
                <w:rFonts w:asciiTheme="minorHAnsi" w:hAnsiTheme="minorHAnsi" w:cstheme="minorHAnsi"/>
                <w:color w:val="000000"/>
                <w:sz w:val="20"/>
              </w:rPr>
              <w:t>2021</w:t>
            </w:r>
          </w:p>
        </w:tc>
        <w:tc>
          <w:tcPr>
            <w:tcW w:w="206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6D4E74" w14:textId="77777777" w:rsidR="002A2999" w:rsidRPr="00DE48B6" w:rsidRDefault="002A2999" w:rsidP="00D723A6">
            <w:pPr>
              <w:widowControl/>
              <w:ind w:right="952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48B6">
              <w:rPr>
                <w:rFonts w:asciiTheme="minorHAnsi" w:hAnsiTheme="minorHAnsi" w:cstheme="minorHAnsi"/>
                <w:color w:val="000000"/>
                <w:sz w:val="20"/>
              </w:rPr>
              <w:t>29 941 868</w:t>
            </w:r>
          </w:p>
        </w:tc>
        <w:tc>
          <w:tcPr>
            <w:tcW w:w="185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67A456" w14:textId="77777777" w:rsidR="002A2999" w:rsidRPr="00DE48B6" w:rsidRDefault="002A2999" w:rsidP="00D723A6">
            <w:pPr>
              <w:widowControl/>
              <w:ind w:right="952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48B6">
              <w:rPr>
                <w:rFonts w:asciiTheme="minorHAnsi" w:hAnsiTheme="minorHAnsi" w:cstheme="minorHAnsi"/>
                <w:color w:val="000000"/>
                <w:sz w:val="20"/>
              </w:rPr>
              <w:t>5 170 504</w:t>
            </w:r>
          </w:p>
        </w:tc>
      </w:tr>
      <w:tr w:rsidR="002A2999" w14:paraId="35EA7674" w14:textId="77777777" w:rsidTr="00DE2E69">
        <w:trPr>
          <w:trHeight w:val="255"/>
        </w:trPr>
        <w:tc>
          <w:tcPr>
            <w:tcW w:w="108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94D129" w14:textId="77777777" w:rsidR="002A2999" w:rsidRPr="00DE48B6" w:rsidRDefault="002A2999" w:rsidP="00D723A6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48B6">
              <w:rPr>
                <w:rFonts w:asciiTheme="minorHAnsi" w:hAnsiTheme="minorHAnsi" w:cstheme="minorHAnsi"/>
                <w:color w:val="000000"/>
                <w:sz w:val="20"/>
              </w:rPr>
              <w:t>2022</w:t>
            </w:r>
          </w:p>
        </w:tc>
        <w:tc>
          <w:tcPr>
            <w:tcW w:w="206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28EF2E" w14:textId="77777777" w:rsidR="002A2999" w:rsidRPr="00DE48B6" w:rsidRDefault="002A2999" w:rsidP="00D723A6">
            <w:pPr>
              <w:widowControl/>
              <w:ind w:right="952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48B6">
              <w:rPr>
                <w:rFonts w:asciiTheme="minorHAnsi" w:hAnsiTheme="minorHAnsi" w:cstheme="minorHAnsi"/>
                <w:color w:val="000000"/>
                <w:sz w:val="20"/>
              </w:rPr>
              <w:t>27 854 116</w:t>
            </w:r>
          </w:p>
        </w:tc>
        <w:tc>
          <w:tcPr>
            <w:tcW w:w="185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6C9705" w14:textId="77777777" w:rsidR="002A2999" w:rsidRPr="00DE48B6" w:rsidRDefault="002A2999" w:rsidP="00D723A6">
            <w:pPr>
              <w:widowControl/>
              <w:ind w:right="952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48B6">
              <w:rPr>
                <w:rFonts w:asciiTheme="minorHAnsi" w:hAnsiTheme="minorHAnsi" w:cstheme="minorHAnsi"/>
                <w:color w:val="000000"/>
                <w:sz w:val="20"/>
              </w:rPr>
              <w:t>3 174 973</w:t>
            </w:r>
          </w:p>
        </w:tc>
      </w:tr>
      <w:tr w:rsidR="002A2999" w14:paraId="41C434A8" w14:textId="77777777" w:rsidTr="00DE2E69">
        <w:trPr>
          <w:trHeight w:val="255"/>
        </w:trPr>
        <w:tc>
          <w:tcPr>
            <w:tcW w:w="1081" w:type="pct"/>
            <w:shd w:val="clear" w:color="auto" w:fill="DCA8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CF1F99" w14:textId="77777777" w:rsidR="002A2999" w:rsidRPr="00DE48B6" w:rsidRDefault="002A2999" w:rsidP="00D723A6">
            <w:pPr>
              <w:widowControl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E48B6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Celkem</w:t>
            </w:r>
          </w:p>
        </w:tc>
        <w:tc>
          <w:tcPr>
            <w:tcW w:w="2062" w:type="pct"/>
            <w:shd w:val="clear" w:color="auto" w:fill="DCA8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FC1A27" w14:textId="77777777" w:rsidR="002A2999" w:rsidRPr="00DE48B6" w:rsidRDefault="002A2999" w:rsidP="00D723A6">
            <w:pPr>
              <w:widowControl/>
              <w:ind w:right="952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E48B6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75 092 971</w:t>
            </w:r>
          </w:p>
        </w:tc>
        <w:tc>
          <w:tcPr>
            <w:tcW w:w="1857" w:type="pct"/>
            <w:shd w:val="clear" w:color="auto" w:fill="DCA8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8447D2" w14:textId="77777777" w:rsidR="002A2999" w:rsidRPr="00DE48B6" w:rsidRDefault="002A2999" w:rsidP="00D723A6">
            <w:pPr>
              <w:widowControl/>
              <w:ind w:right="952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E48B6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9 640 177</w:t>
            </w:r>
          </w:p>
        </w:tc>
      </w:tr>
    </w:tbl>
    <w:p w14:paraId="1F24E40E" w14:textId="6AA814B2" w:rsidR="002A2999" w:rsidRPr="00951DA1" w:rsidRDefault="002A2999" w:rsidP="00D723A6">
      <w:pPr>
        <w:pStyle w:val="Zdroj"/>
        <w:spacing w:before="40" w:after="120"/>
        <w:rPr>
          <w:i w:val="0"/>
        </w:rPr>
      </w:pPr>
      <w:r w:rsidRPr="00951DA1">
        <w:rPr>
          <w:b/>
          <w:i w:val="0"/>
        </w:rPr>
        <w:t>Zdroj:</w:t>
      </w:r>
      <w:r w:rsidRPr="00951DA1">
        <w:rPr>
          <w:i w:val="0"/>
        </w:rPr>
        <w:t xml:space="preserve"> </w:t>
      </w:r>
      <w:r w:rsidR="000E7F9C">
        <w:rPr>
          <w:i w:val="0"/>
        </w:rPr>
        <w:t>vypracoval</w:t>
      </w:r>
      <w:r w:rsidRPr="00951DA1">
        <w:rPr>
          <w:i w:val="0"/>
        </w:rPr>
        <w:t xml:space="preserve"> NKÚ na základě hlavních knih ZPMV a odpovědí na žádosti NKÚ</w:t>
      </w:r>
      <w:r w:rsidR="00E577CF" w:rsidRPr="00951DA1">
        <w:rPr>
          <w:i w:val="0"/>
        </w:rPr>
        <w:t>.</w:t>
      </w:r>
      <w:r w:rsidRPr="00951DA1">
        <w:rPr>
          <w:i w:val="0"/>
        </w:rPr>
        <w:t xml:space="preserve"> </w:t>
      </w:r>
    </w:p>
    <w:bookmarkEnd w:id="2"/>
    <w:p w14:paraId="6F90F4E9" w14:textId="3787F976" w:rsidR="00C65B2D" w:rsidRDefault="00951DA1" w:rsidP="00D723A6">
      <w:pPr>
        <w:pStyle w:val="Nadpis2"/>
        <w:widowControl/>
        <w:rPr>
          <w:lang w:eastAsia="en-US"/>
        </w:rPr>
      </w:pPr>
      <w:r>
        <w:rPr>
          <w:lang w:eastAsia="en-US"/>
        </w:rPr>
        <w:t xml:space="preserve">1.3 </w:t>
      </w:r>
      <w:r w:rsidR="000E7F9C">
        <w:rPr>
          <w:lang w:eastAsia="en-US"/>
        </w:rPr>
        <w:tab/>
      </w:r>
      <w:r w:rsidR="00C65B2D" w:rsidRPr="00802BB7">
        <w:rPr>
          <w:lang w:eastAsia="en-US"/>
        </w:rPr>
        <w:t>ZPMV vynakládala část peněžních prostředků na marketing, aniž by sledovala</w:t>
      </w:r>
      <w:r w:rsidR="00C65B2D">
        <w:rPr>
          <w:lang w:eastAsia="en-US"/>
        </w:rPr>
        <w:t xml:space="preserve"> jejich</w:t>
      </w:r>
      <w:r w:rsidR="00C65B2D" w:rsidRPr="00802BB7">
        <w:rPr>
          <w:lang w:eastAsia="en-US"/>
        </w:rPr>
        <w:t xml:space="preserve"> přínos</w:t>
      </w:r>
    </w:p>
    <w:p w14:paraId="402B3941" w14:textId="5E833C1E" w:rsidR="00C65B2D" w:rsidRPr="000A79C4" w:rsidRDefault="00C65B2D" w:rsidP="00D723A6">
      <w:pPr>
        <w:widowControl/>
        <w:spacing w:before="120" w:after="120"/>
        <w:rPr>
          <w:rFonts w:cs="Calibri"/>
        </w:rPr>
      </w:pPr>
      <w:r w:rsidRPr="00861E2C">
        <w:rPr>
          <w:rFonts w:asciiTheme="minorHAnsi" w:hAnsiTheme="minorHAnsi" w:cstheme="minorHAnsi"/>
          <w:szCs w:val="24"/>
        </w:rPr>
        <w:t>Náklady na propagaci ZPMV se mezi lety 2020 až 2022 zvyšovaly, přičemž nejvíce ZPMV vynakládala na marketingové služby (prezentace na akcích, soutěž</w:t>
      </w:r>
      <w:r w:rsidR="00E93CFB">
        <w:rPr>
          <w:rFonts w:asciiTheme="minorHAnsi" w:hAnsiTheme="minorHAnsi" w:cstheme="minorHAnsi"/>
          <w:szCs w:val="24"/>
        </w:rPr>
        <w:t>e</w:t>
      </w:r>
      <w:r w:rsidRPr="00861E2C">
        <w:rPr>
          <w:rFonts w:asciiTheme="minorHAnsi" w:hAnsiTheme="minorHAnsi" w:cstheme="minorHAnsi"/>
          <w:szCs w:val="24"/>
        </w:rPr>
        <w:t xml:space="preserve">, tvorba </w:t>
      </w:r>
      <w:proofErr w:type="spellStart"/>
      <w:r w:rsidRPr="00861E2C">
        <w:rPr>
          <w:rFonts w:asciiTheme="minorHAnsi" w:hAnsiTheme="minorHAnsi" w:cstheme="minorHAnsi"/>
          <w:szCs w:val="24"/>
        </w:rPr>
        <w:t>videospotů</w:t>
      </w:r>
      <w:proofErr w:type="spellEnd"/>
      <w:r w:rsidRPr="00861E2C">
        <w:rPr>
          <w:rFonts w:asciiTheme="minorHAnsi" w:hAnsiTheme="minorHAnsi" w:cstheme="minorHAnsi"/>
          <w:szCs w:val="24"/>
        </w:rPr>
        <w:t xml:space="preserve"> aj.) a</w:t>
      </w:r>
      <w:r w:rsidR="00C0576C">
        <w:rPr>
          <w:rFonts w:asciiTheme="minorHAnsi" w:hAnsiTheme="minorHAnsi" w:cstheme="minorHAnsi"/>
          <w:szCs w:val="24"/>
        </w:rPr>
        <w:t> </w:t>
      </w:r>
      <w:r w:rsidRPr="00861E2C">
        <w:rPr>
          <w:rFonts w:asciiTheme="minorHAnsi" w:hAnsiTheme="minorHAnsi" w:cstheme="minorHAnsi"/>
          <w:szCs w:val="24"/>
        </w:rPr>
        <w:t>reklamní inzerci (reklama v rádiu, propagace na internetu, reklamní bannery, inzerce v novinách, online marketing aj.).</w:t>
      </w:r>
    </w:p>
    <w:p w14:paraId="1D0443DC" w14:textId="6F0A1894" w:rsidR="00C65B2D" w:rsidRPr="00951DA1" w:rsidRDefault="00A554DC" w:rsidP="00D723A6">
      <w:pPr>
        <w:pStyle w:val="tabulka"/>
        <w:tabs>
          <w:tab w:val="right" w:pos="9072"/>
        </w:tabs>
        <w:spacing w:before="120" w:after="40"/>
        <w:ind w:left="1304" w:hanging="1304"/>
        <w:rPr>
          <w:b/>
          <w:spacing w:val="-2"/>
          <w:sz w:val="24"/>
        </w:rPr>
      </w:pPr>
      <w:r w:rsidRPr="00951DA1">
        <w:rPr>
          <w:b/>
          <w:spacing w:val="-2"/>
          <w:sz w:val="24"/>
        </w:rPr>
        <w:t xml:space="preserve">Tabulka č. </w:t>
      </w:r>
      <w:r w:rsidR="00C56165" w:rsidRPr="00951DA1">
        <w:rPr>
          <w:b/>
          <w:spacing w:val="-2"/>
          <w:sz w:val="24"/>
        </w:rPr>
        <w:t>3</w:t>
      </w:r>
      <w:r w:rsidRPr="00951DA1">
        <w:rPr>
          <w:b/>
          <w:spacing w:val="-2"/>
          <w:sz w:val="24"/>
        </w:rPr>
        <w:t xml:space="preserve">: </w:t>
      </w:r>
      <w:r w:rsidR="00951DA1" w:rsidRPr="00951DA1">
        <w:rPr>
          <w:b/>
          <w:spacing w:val="-2"/>
          <w:sz w:val="24"/>
        </w:rPr>
        <w:tab/>
      </w:r>
      <w:r w:rsidR="00C65B2D" w:rsidRPr="00951DA1">
        <w:rPr>
          <w:b/>
          <w:spacing w:val="-2"/>
          <w:sz w:val="24"/>
        </w:rPr>
        <w:t>Přehled nákladů v oblasti reklamy a propagace ZPMV v jednotlivých letech</w:t>
      </w:r>
      <w:r w:rsidR="00951DA1">
        <w:rPr>
          <w:b/>
          <w:spacing w:val="-2"/>
          <w:sz w:val="24"/>
        </w:rPr>
        <w:t xml:space="preserve"> </w:t>
      </w:r>
      <w:r w:rsidR="00C65B2D" w:rsidRPr="00951DA1">
        <w:rPr>
          <w:b/>
          <w:spacing w:val="-2"/>
          <w:sz w:val="24"/>
        </w:rPr>
        <w:t>(v Kč)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3460"/>
        <w:gridCol w:w="1695"/>
        <w:gridCol w:w="1560"/>
        <w:gridCol w:w="1406"/>
      </w:tblGrid>
      <w:tr w:rsidR="00C65B2D" w:rsidRPr="000A79C4" w14:paraId="5FEC67A2" w14:textId="77777777" w:rsidTr="00A36348">
        <w:trPr>
          <w:trHeight w:val="283"/>
        </w:trPr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47AC1AE6" w14:textId="77777777" w:rsidR="00C65B2D" w:rsidRPr="00DE48B6" w:rsidRDefault="00C65B2D" w:rsidP="00D723A6">
            <w:pPr>
              <w:widowControl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DE48B6">
              <w:rPr>
                <w:rFonts w:asciiTheme="minorHAnsi" w:hAnsiTheme="minorHAnsi" w:cstheme="minorHAnsi"/>
                <w:b/>
                <w:color w:val="000000"/>
                <w:sz w:val="20"/>
              </w:rPr>
              <w:t>Reklama a propagace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090CA70" w14:textId="77777777" w:rsidR="00C65B2D" w:rsidRPr="00DE48B6" w:rsidRDefault="00C65B2D" w:rsidP="00D723A6">
            <w:pPr>
              <w:widowControl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DE48B6">
              <w:rPr>
                <w:rFonts w:asciiTheme="minorHAnsi" w:hAnsiTheme="minorHAnsi" w:cstheme="minorHAnsi"/>
                <w:b/>
                <w:color w:val="000000"/>
                <w:sz w:val="20"/>
              </w:rPr>
              <w:t>2020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DB2FF35" w14:textId="77777777" w:rsidR="00C65B2D" w:rsidRPr="00DE48B6" w:rsidRDefault="00C65B2D" w:rsidP="00D723A6">
            <w:pPr>
              <w:widowControl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DE48B6">
              <w:rPr>
                <w:rFonts w:asciiTheme="minorHAnsi" w:hAnsiTheme="minorHAnsi" w:cstheme="minorHAnsi"/>
                <w:b/>
                <w:color w:val="000000"/>
                <w:sz w:val="20"/>
              </w:rPr>
              <w:t>2021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6F569E6" w14:textId="77777777" w:rsidR="00C65B2D" w:rsidRPr="00DE48B6" w:rsidRDefault="00C65B2D" w:rsidP="00D723A6">
            <w:pPr>
              <w:widowControl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DE48B6">
              <w:rPr>
                <w:rFonts w:asciiTheme="minorHAnsi" w:hAnsiTheme="minorHAnsi" w:cstheme="minorHAnsi"/>
                <w:b/>
                <w:color w:val="000000"/>
                <w:sz w:val="20"/>
              </w:rPr>
              <w:t>2022</w:t>
            </w:r>
          </w:p>
        </w:tc>
      </w:tr>
      <w:tr w:rsidR="00C65B2D" w:rsidRPr="000A79C4" w14:paraId="719DC9C1" w14:textId="77777777" w:rsidTr="00A36348">
        <w:trPr>
          <w:trHeight w:val="283"/>
        </w:trPr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08BD8" w14:textId="77777777" w:rsidR="00C65B2D" w:rsidRPr="00DE48B6" w:rsidRDefault="00C65B2D" w:rsidP="00D723A6">
            <w:pPr>
              <w:widowControl/>
              <w:rPr>
                <w:rFonts w:cs="Calibri"/>
                <w:color w:val="000000"/>
                <w:sz w:val="20"/>
              </w:rPr>
            </w:pPr>
            <w:r w:rsidRPr="00DE48B6">
              <w:rPr>
                <w:rFonts w:cs="Calibri"/>
                <w:color w:val="000000"/>
                <w:sz w:val="20"/>
              </w:rPr>
              <w:t>v tom: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196B7" w14:textId="77777777" w:rsidR="00C65B2D" w:rsidRPr="00DE48B6" w:rsidRDefault="00C65B2D" w:rsidP="00D723A6">
            <w:pPr>
              <w:widowControl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48B6">
              <w:rPr>
                <w:rFonts w:asciiTheme="minorHAnsi" w:hAnsiTheme="minorHAnsi" w:cstheme="minorHAnsi"/>
                <w:color w:val="000000"/>
                <w:sz w:val="20"/>
              </w:rPr>
              <w:t>Reklamní inzerce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FBBA1" w14:textId="77777777" w:rsidR="00C65B2D" w:rsidRPr="00DE48B6" w:rsidRDefault="00C65B2D" w:rsidP="00D723A6">
            <w:pPr>
              <w:widowControl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48B6">
              <w:rPr>
                <w:rFonts w:asciiTheme="minorHAnsi" w:hAnsiTheme="minorHAnsi" w:cstheme="minorHAnsi"/>
                <w:color w:val="000000"/>
                <w:sz w:val="20"/>
              </w:rPr>
              <w:t>33 223 910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DDE76" w14:textId="77777777" w:rsidR="00C65B2D" w:rsidRPr="00DE48B6" w:rsidRDefault="00C65B2D" w:rsidP="00D723A6">
            <w:pPr>
              <w:widowControl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48B6">
              <w:rPr>
                <w:rFonts w:asciiTheme="minorHAnsi" w:hAnsiTheme="minorHAnsi" w:cstheme="minorHAnsi"/>
                <w:color w:val="000000"/>
                <w:sz w:val="20"/>
              </w:rPr>
              <w:t>26 855 498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C3FF1" w14:textId="77777777" w:rsidR="00C65B2D" w:rsidRPr="00DE48B6" w:rsidRDefault="00C65B2D" w:rsidP="00D723A6">
            <w:pPr>
              <w:widowControl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48B6">
              <w:rPr>
                <w:rFonts w:asciiTheme="minorHAnsi" w:hAnsiTheme="minorHAnsi" w:cstheme="minorHAnsi"/>
                <w:color w:val="000000"/>
                <w:sz w:val="20"/>
              </w:rPr>
              <w:t>31 475 984</w:t>
            </w:r>
          </w:p>
        </w:tc>
      </w:tr>
      <w:tr w:rsidR="00C65B2D" w:rsidRPr="000A79C4" w14:paraId="6FA3F9B8" w14:textId="77777777" w:rsidTr="00A36348">
        <w:trPr>
          <w:trHeight w:val="283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DCB6" w14:textId="77777777" w:rsidR="00C65B2D" w:rsidRPr="00DE48B6" w:rsidRDefault="00C65B2D" w:rsidP="00D723A6">
            <w:pPr>
              <w:widowControl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D05A9" w14:textId="352317C9" w:rsidR="00C65B2D" w:rsidRPr="00DE48B6" w:rsidRDefault="00C65B2D" w:rsidP="00D723A6">
            <w:pPr>
              <w:widowControl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48B6">
              <w:rPr>
                <w:rFonts w:asciiTheme="minorHAnsi" w:hAnsiTheme="minorHAnsi" w:cstheme="minorHAnsi"/>
                <w:color w:val="000000"/>
                <w:sz w:val="20"/>
              </w:rPr>
              <w:t>Tiskoviny-letáky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F128A" w14:textId="77777777" w:rsidR="00C65B2D" w:rsidRPr="00DE48B6" w:rsidRDefault="00C65B2D" w:rsidP="00D723A6">
            <w:pPr>
              <w:widowControl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48B6">
              <w:rPr>
                <w:rFonts w:asciiTheme="minorHAnsi" w:hAnsiTheme="minorHAnsi" w:cstheme="minorHAnsi"/>
                <w:color w:val="000000"/>
                <w:sz w:val="20"/>
              </w:rPr>
              <w:t>6 124 876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7126D" w14:textId="77777777" w:rsidR="00C65B2D" w:rsidRPr="00DE48B6" w:rsidRDefault="00C65B2D" w:rsidP="00D723A6">
            <w:pPr>
              <w:widowControl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48B6">
              <w:rPr>
                <w:rFonts w:asciiTheme="minorHAnsi" w:hAnsiTheme="minorHAnsi" w:cstheme="minorHAnsi"/>
                <w:color w:val="000000"/>
                <w:sz w:val="20"/>
              </w:rPr>
              <w:t>6 438 684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A8E5B" w14:textId="77777777" w:rsidR="00C65B2D" w:rsidRPr="00DE48B6" w:rsidRDefault="00C65B2D" w:rsidP="00D723A6">
            <w:pPr>
              <w:widowControl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48B6">
              <w:rPr>
                <w:rFonts w:asciiTheme="minorHAnsi" w:hAnsiTheme="minorHAnsi" w:cstheme="minorHAnsi"/>
                <w:color w:val="000000"/>
                <w:sz w:val="20"/>
              </w:rPr>
              <w:t>1 916 980</w:t>
            </w:r>
          </w:p>
        </w:tc>
      </w:tr>
      <w:tr w:rsidR="00C65B2D" w:rsidRPr="000A79C4" w14:paraId="5412EEB5" w14:textId="77777777" w:rsidTr="00A36348">
        <w:trPr>
          <w:trHeight w:val="283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FEAF" w14:textId="77777777" w:rsidR="00C65B2D" w:rsidRPr="00DE48B6" w:rsidRDefault="00C65B2D" w:rsidP="00D723A6">
            <w:pPr>
              <w:widowControl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A3658" w14:textId="77777777" w:rsidR="00C65B2D" w:rsidRPr="00DE48B6" w:rsidRDefault="00C65B2D" w:rsidP="00D723A6">
            <w:pPr>
              <w:widowControl/>
              <w:rPr>
                <w:rFonts w:asciiTheme="minorHAnsi" w:hAnsiTheme="minorHAnsi" w:cstheme="minorHAnsi"/>
                <w:color w:val="000000"/>
                <w:sz w:val="20"/>
                <w:vertAlign w:val="superscript"/>
              </w:rPr>
            </w:pPr>
            <w:r w:rsidRPr="00DE48B6">
              <w:rPr>
                <w:rFonts w:asciiTheme="minorHAnsi" w:hAnsiTheme="minorHAnsi" w:cstheme="minorHAnsi"/>
                <w:color w:val="000000"/>
                <w:sz w:val="20"/>
              </w:rPr>
              <w:t>Marketingové služby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3C5B5" w14:textId="77777777" w:rsidR="00C65B2D" w:rsidRPr="00DE48B6" w:rsidRDefault="00C65B2D" w:rsidP="00D723A6">
            <w:pPr>
              <w:widowControl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48B6">
              <w:rPr>
                <w:rFonts w:asciiTheme="minorHAnsi" w:hAnsiTheme="minorHAnsi" w:cstheme="minorHAnsi"/>
                <w:color w:val="000000"/>
                <w:sz w:val="20"/>
              </w:rPr>
              <w:t>30 495 160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479CF" w14:textId="77777777" w:rsidR="00C65B2D" w:rsidRPr="00DE48B6" w:rsidRDefault="00C65B2D" w:rsidP="00D723A6">
            <w:pPr>
              <w:widowControl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48B6">
              <w:rPr>
                <w:rFonts w:asciiTheme="minorHAnsi" w:hAnsiTheme="minorHAnsi" w:cstheme="minorHAnsi"/>
                <w:color w:val="000000"/>
                <w:sz w:val="20"/>
              </w:rPr>
              <w:t>38 501 216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1D7DB" w14:textId="77777777" w:rsidR="00C65B2D" w:rsidRPr="00DE48B6" w:rsidRDefault="00C65B2D" w:rsidP="00D723A6">
            <w:pPr>
              <w:widowControl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48B6">
              <w:rPr>
                <w:rFonts w:asciiTheme="minorHAnsi" w:hAnsiTheme="minorHAnsi" w:cstheme="minorHAnsi"/>
                <w:color w:val="000000"/>
                <w:sz w:val="20"/>
              </w:rPr>
              <w:t>40 482 775</w:t>
            </w:r>
          </w:p>
        </w:tc>
      </w:tr>
      <w:tr w:rsidR="00C65B2D" w:rsidRPr="000A79C4" w14:paraId="5E21C81A" w14:textId="77777777" w:rsidTr="00A36348">
        <w:trPr>
          <w:trHeight w:val="283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8339" w14:textId="77777777" w:rsidR="00C65B2D" w:rsidRPr="00DE48B6" w:rsidRDefault="00C65B2D" w:rsidP="00D723A6">
            <w:pPr>
              <w:widowControl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30A01" w14:textId="77777777" w:rsidR="00C65B2D" w:rsidRPr="00DE48B6" w:rsidRDefault="00C65B2D" w:rsidP="00D723A6">
            <w:pPr>
              <w:widowControl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48B6">
              <w:rPr>
                <w:rFonts w:asciiTheme="minorHAnsi" w:hAnsiTheme="minorHAnsi" w:cstheme="minorHAnsi"/>
                <w:color w:val="000000"/>
                <w:sz w:val="20"/>
              </w:rPr>
              <w:t>Dárkové předměty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3C292" w14:textId="77777777" w:rsidR="00C65B2D" w:rsidRPr="00DE48B6" w:rsidRDefault="00C65B2D" w:rsidP="00D723A6">
            <w:pPr>
              <w:widowControl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48B6">
              <w:rPr>
                <w:rFonts w:asciiTheme="minorHAnsi" w:hAnsiTheme="minorHAnsi" w:cstheme="minorHAnsi"/>
                <w:color w:val="000000"/>
                <w:sz w:val="20"/>
              </w:rPr>
              <w:t>1 583 684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C3EC5" w14:textId="77777777" w:rsidR="00C65B2D" w:rsidRPr="00DE48B6" w:rsidRDefault="00C65B2D" w:rsidP="00D723A6">
            <w:pPr>
              <w:widowControl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48B6">
              <w:rPr>
                <w:rFonts w:asciiTheme="minorHAnsi" w:hAnsiTheme="minorHAnsi" w:cstheme="minorHAnsi"/>
                <w:color w:val="000000"/>
                <w:sz w:val="20"/>
              </w:rPr>
              <w:t>3 363 307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0DC56" w14:textId="77777777" w:rsidR="00C65B2D" w:rsidRPr="00DE48B6" w:rsidRDefault="00C65B2D" w:rsidP="00D723A6">
            <w:pPr>
              <w:widowControl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48B6">
              <w:rPr>
                <w:rFonts w:asciiTheme="minorHAnsi" w:hAnsiTheme="minorHAnsi" w:cstheme="minorHAnsi"/>
                <w:color w:val="000000"/>
                <w:sz w:val="20"/>
              </w:rPr>
              <w:t>2 486 005</w:t>
            </w:r>
          </w:p>
        </w:tc>
      </w:tr>
      <w:tr w:rsidR="00C65B2D" w:rsidRPr="000A79C4" w14:paraId="32822F06" w14:textId="77777777" w:rsidTr="00A36348">
        <w:trPr>
          <w:trHeight w:val="283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66C2" w14:textId="77777777" w:rsidR="00C65B2D" w:rsidRPr="00DE48B6" w:rsidRDefault="00C65B2D" w:rsidP="00D723A6">
            <w:pPr>
              <w:widowControl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10E18" w14:textId="77777777" w:rsidR="00C65B2D" w:rsidRPr="00DE48B6" w:rsidRDefault="00C65B2D" w:rsidP="00D723A6">
            <w:pPr>
              <w:widowControl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48B6">
              <w:rPr>
                <w:rFonts w:asciiTheme="minorHAnsi" w:hAnsiTheme="minorHAnsi" w:cstheme="minorHAnsi"/>
                <w:color w:val="000000"/>
                <w:sz w:val="20"/>
              </w:rPr>
              <w:t>Jiné marketingové náklady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6A4F5" w14:textId="77777777" w:rsidR="00C65B2D" w:rsidRPr="00DE48B6" w:rsidRDefault="00C65B2D" w:rsidP="00D723A6">
            <w:pPr>
              <w:widowControl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48B6">
              <w:rPr>
                <w:rFonts w:asciiTheme="minorHAnsi" w:hAnsiTheme="minorHAnsi" w:cstheme="minorHAnsi"/>
                <w:color w:val="000000"/>
                <w:sz w:val="20"/>
              </w:rPr>
              <w:t>396 868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316C1" w14:textId="77777777" w:rsidR="00C65B2D" w:rsidRPr="00DE48B6" w:rsidRDefault="00C65B2D" w:rsidP="00D723A6">
            <w:pPr>
              <w:widowControl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48B6">
              <w:rPr>
                <w:rFonts w:asciiTheme="minorHAnsi" w:hAnsiTheme="minorHAnsi" w:cstheme="minorHAnsi"/>
                <w:color w:val="000000"/>
                <w:sz w:val="20"/>
              </w:rPr>
              <w:t>70 906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CDC75" w14:textId="77777777" w:rsidR="00C65B2D" w:rsidRPr="00DE48B6" w:rsidRDefault="00C65B2D" w:rsidP="00D723A6">
            <w:pPr>
              <w:widowControl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48B6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</w:p>
        </w:tc>
      </w:tr>
      <w:tr w:rsidR="00C65B2D" w:rsidRPr="000A79C4" w14:paraId="325DDDA8" w14:textId="77777777" w:rsidTr="00A36348">
        <w:trPr>
          <w:trHeight w:val="283"/>
        </w:trPr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A8B3"/>
            <w:vAlign w:val="center"/>
          </w:tcPr>
          <w:p w14:paraId="4752CDB3" w14:textId="77777777" w:rsidR="00C65B2D" w:rsidRPr="00DE48B6" w:rsidRDefault="00C65B2D" w:rsidP="00D723A6">
            <w:pPr>
              <w:widowControl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DE48B6">
              <w:rPr>
                <w:rFonts w:asciiTheme="minorHAnsi" w:hAnsiTheme="minorHAnsi" w:cstheme="minorHAnsi"/>
                <w:b/>
                <w:color w:val="000000"/>
                <w:sz w:val="20"/>
              </w:rPr>
              <w:t>Celkem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A8B3"/>
            <w:noWrap/>
            <w:vAlign w:val="center"/>
          </w:tcPr>
          <w:p w14:paraId="4EAA21AB" w14:textId="77777777" w:rsidR="00C65B2D" w:rsidRPr="00DE48B6" w:rsidRDefault="00C65B2D" w:rsidP="00D723A6">
            <w:pPr>
              <w:widowControl/>
              <w:ind w:right="57"/>
              <w:jc w:val="right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DE48B6">
              <w:rPr>
                <w:rFonts w:asciiTheme="minorHAnsi" w:hAnsiTheme="minorHAnsi" w:cstheme="minorHAnsi"/>
                <w:b/>
                <w:color w:val="000000"/>
                <w:sz w:val="20"/>
              </w:rPr>
              <w:t>71 824 498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A8B3"/>
            <w:noWrap/>
            <w:vAlign w:val="center"/>
          </w:tcPr>
          <w:p w14:paraId="6FDA8E8F" w14:textId="77777777" w:rsidR="00C65B2D" w:rsidRPr="00DE48B6" w:rsidRDefault="00C65B2D" w:rsidP="00D723A6">
            <w:pPr>
              <w:widowControl/>
              <w:ind w:right="57"/>
              <w:jc w:val="right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DE48B6">
              <w:rPr>
                <w:rFonts w:asciiTheme="minorHAnsi" w:hAnsiTheme="minorHAnsi" w:cstheme="minorHAnsi"/>
                <w:b/>
                <w:color w:val="000000"/>
                <w:sz w:val="20"/>
              </w:rPr>
              <w:t>75 229 611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A8B3"/>
            <w:noWrap/>
            <w:vAlign w:val="center"/>
          </w:tcPr>
          <w:p w14:paraId="2E9C044E" w14:textId="77777777" w:rsidR="00C65B2D" w:rsidRPr="00DE48B6" w:rsidRDefault="00C65B2D" w:rsidP="00D723A6">
            <w:pPr>
              <w:widowControl/>
              <w:ind w:right="57"/>
              <w:jc w:val="right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DE48B6">
              <w:rPr>
                <w:rFonts w:asciiTheme="minorHAnsi" w:hAnsiTheme="minorHAnsi" w:cstheme="minorHAnsi"/>
                <w:b/>
                <w:color w:val="000000"/>
                <w:sz w:val="20"/>
              </w:rPr>
              <w:t>76 361 744</w:t>
            </w:r>
          </w:p>
        </w:tc>
      </w:tr>
    </w:tbl>
    <w:p w14:paraId="560D4E25" w14:textId="15298011" w:rsidR="00C65B2D" w:rsidRPr="00A36348" w:rsidRDefault="00C65B2D" w:rsidP="00D723A6">
      <w:pPr>
        <w:pStyle w:val="Zdroj"/>
        <w:spacing w:before="40" w:after="120"/>
        <w:rPr>
          <w:rFonts w:eastAsia="Calibri"/>
          <w:i w:val="0"/>
        </w:rPr>
      </w:pPr>
      <w:r w:rsidRPr="00A36348">
        <w:rPr>
          <w:rFonts w:eastAsia="Calibri"/>
          <w:b/>
          <w:i w:val="0"/>
        </w:rPr>
        <w:t>Zdroj:</w:t>
      </w:r>
      <w:r w:rsidRPr="00A36348">
        <w:rPr>
          <w:rFonts w:eastAsia="Calibri"/>
          <w:i w:val="0"/>
        </w:rPr>
        <w:t xml:space="preserve"> </w:t>
      </w:r>
      <w:r w:rsidR="009F3C2A">
        <w:rPr>
          <w:rFonts w:eastAsia="Calibri"/>
          <w:i w:val="0"/>
        </w:rPr>
        <w:t>v</w:t>
      </w:r>
      <w:r w:rsidRPr="00A36348">
        <w:rPr>
          <w:rFonts w:eastAsia="Calibri"/>
          <w:i w:val="0"/>
        </w:rPr>
        <w:t>ypracoval NKÚ na základě hlavních knih ZPMV 2020, 2021 a 2022</w:t>
      </w:r>
      <w:r w:rsidR="00BB5646" w:rsidRPr="00A36348">
        <w:rPr>
          <w:rFonts w:eastAsia="Calibri"/>
          <w:i w:val="0"/>
        </w:rPr>
        <w:t>.</w:t>
      </w:r>
    </w:p>
    <w:p w14:paraId="444D627A" w14:textId="7422BC5A" w:rsidR="00C65B2D" w:rsidRDefault="00CF7601" w:rsidP="00D723A6">
      <w:pPr>
        <w:pStyle w:val="Zdroj"/>
        <w:spacing w:before="120" w:after="120"/>
        <w:rPr>
          <w:rFonts w:eastAsia="Calibri"/>
          <w:i w:val="0"/>
          <w:sz w:val="24"/>
          <w:szCs w:val="24"/>
        </w:rPr>
      </w:pPr>
      <w:r>
        <w:rPr>
          <w:rFonts w:eastAsia="Calibri"/>
          <w:i w:val="0"/>
          <w:sz w:val="24"/>
          <w:szCs w:val="24"/>
        </w:rPr>
        <w:t>Nejvyšší nárůst nákladů mezi lety 2020 a 2022 byl v oblasti marketingových služeb, jejichž součástí je i propagace prostřednictvím vybraných sportovců.</w:t>
      </w:r>
      <w:r w:rsidR="000E09BA">
        <w:rPr>
          <w:rFonts w:eastAsia="Calibri"/>
          <w:i w:val="0"/>
          <w:sz w:val="24"/>
          <w:szCs w:val="24"/>
        </w:rPr>
        <w:t xml:space="preserve"> </w:t>
      </w:r>
      <w:r w:rsidR="00C65B2D" w:rsidRPr="000E09BA">
        <w:rPr>
          <w:rFonts w:eastAsia="Calibri"/>
          <w:i w:val="0"/>
          <w:sz w:val="24"/>
          <w:szCs w:val="24"/>
        </w:rPr>
        <w:t>V letech 2020 až 2022 ZPMV vynaložila na propagaci prostřednictvím vybraných sportovců peněžní prostředky ve výši 14</w:t>
      </w:r>
      <w:r w:rsidR="00EE7C0D" w:rsidRPr="000E09BA">
        <w:rPr>
          <w:rFonts w:eastAsia="Calibri"/>
          <w:i w:val="0"/>
          <w:sz w:val="24"/>
          <w:szCs w:val="24"/>
        </w:rPr>
        <w:t>,1</w:t>
      </w:r>
      <w:r w:rsidR="00E43FA4">
        <w:rPr>
          <w:rFonts w:eastAsia="Calibri"/>
          <w:i w:val="0"/>
          <w:sz w:val="24"/>
          <w:szCs w:val="24"/>
        </w:rPr>
        <w:t> </w:t>
      </w:r>
      <w:r w:rsidR="00C65B2D" w:rsidRPr="000E09BA">
        <w:rPr>
          <w:rFonts w:eastAsia="Calibri"/>
          <w:i w:val="0"/>
          <w:sz w:val="24"/>
          <w:szCs w:val="24"/>
        </w:rPr>
        <w:t>mil. Kč bez DPH, aniž by stanovila cíle této formy propagace</w:t>
      </w:r>
      <w:r w:rsidR="00B410D6">
        <w:rPr>
          <w:rFonts w:eastAsia="Calibri"/>
          <w:i w:val="0"/>
          <w:sz w:val="24"/>
          <w:szCs w:val="24"/>
        </w:rPr>
        <w:t>.</w:t>
      </w:r>
      <w:r w:rsidR="00C65B2D" w:rsidRPr="000E09BA">
        <w:rPr>
          <w:rFonts w:eastAsia="Calibri"/>
          <w:i w:val="0"/>
          <w:sz w:val="24"/>
          <w:szCs w:val="24"/>
        </w:rPr>
        <w:t xml:space="preserve"> ZPMV tak nemohla prověřit přínos</w:t>
      </w:r>
      <w:r w:rsidR="002D6176">
        <w:rPr>
          <w:rFonts w:eastAsia="Calibri"/>
          <w:i w:val="0"/>
          <w:sz w:val="24"/>
          <w:szCs w:val="24"/>
        </w:rPr>
        <w:t xml:space="preserve"> </w:t>
      </w:r>
      <w:r w:rsidR="00C65B2D" w:rsidRPr="000E09BA">
        <w:rPr>
          <w:rFonts w:eastAsia="Calibri"/>
          <w:i w:val="0"/>
          <w:sz w:val="24"/>
          <w:szCs w:val="24"/>
        </w:rPr>
        <w:t xml:space="preserve">této formy propagace a nezajistila ochranu veřejných prostředků proti rizikům, nesrovnalostem nebo jiným nedostatkům způsobeným jejich neúčelným nakládáním </w:t>
      </w:r>
      <w:r w:rsidR="004C2A7C">
        <w:rPr>
          <w:rFonts w:eastAsia="Calibri"/>
          <w:i w:val="0"/>
          <w:sz w:val="24"/>
          <w:szCs w:val="24"/>
        </w:rPr>
        <w:t xml:space="preserve">dle </w:t>
      </w:r>
      <w:r w:rsidR="001157AE">
        <w:rPr>
          <w:rFonts w:eastAsia="Calibri"/>
          <w:i w:val="0"/>
          <w:sz w:val="24"/>
          <w:szCs w:val="24"/>
        </w:rPr>
        <w:t>zákona č 320/2001 Sb.</w:t>
      </w:r>
      <w:r w:rsidR="001157AE" w:rsidRPr="001157AE">
        <w:rPr>
          <w:rStyle w:val="Znakapoznpodarou"/>
          <w:rFonts w:eastAsia="Calibri"/>
          <w:i w:val="0"/>
          <w:sz w:val="24"/>
          <w:szCs w:val="24"/>
        </w:rPr>
        <w:footnoteReference w:id="18"/>
      </w:r>
    </w:p>
    <w:p w14:paraId="67C7CE4A" w14:textId="5B365CE4" w:rsidR="00780E40" w:rsidRPr="00A36348" w:rsidRDefault="00A36348" w:rsidP="00D723A6">
      <w:pPr>
        <w:keepNext/>
        <w:widowControl/>
        <w:spacing w:before="240" w:after="120"/>
        <w:rPr>
          <w:b/>
          <w:lang w:eastAsia="en-US"/>
        </w:rPr>
      </w:pPr>
      <w:r>
        <w:rPr>
          <w:b/>
          <w:lang w:eastAsia="en-US"/>
        </w:rPr>
        <w:t>2</w:t>
      </w:r>
      <w:r w:rsidR="00F70894">
        <w:rPr>
          <w:b/>
          <w:lang w:eastAsia="en-US"/>
        </w:rPr>
        <w:t>.</w:t>
      </w:r>
      <w:r>
        <w:rPr>
          <w:b/>
          <w:lang w:eastAsia="en-US"/>
        </w:rPr>
        <w:t xml:space="preserve"> </w:t>
      </w:r>
      <w:r w:rsidR="00780E40" w:rsidRPr="00A36348">
        <w:rPr>
          <w:b/>
          <w:lang w:eastAsia="en-US"/>
        </w:rPr>
        <w:t>Fond prevence</w:t>
      </w:r>
    </w:p>
    <w:p w14:paraId="35B8A79B" w14:textId="78D5D5C0" w:rsidR="00C92278" w:rsidRPr="00A36348" w:rsidRDefault="00A36348" w:rsidP="00D723A6">
      <w:pPr>
        <w:keepNext/>
        <w:widowControl/>
        <w:spacing w:before="120" w:after="120"/>
        <w:ind w:left="426" w:hanging="426"/>
        <w:jc w:val="left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 xml:space="preserve">2.1 </w:t>
      </w:r>
      <w:r w:rsidR="00C92278" w:rsidRPr="00A36348">
        <w:rPr>
          <w:rFonts w:eastAsia="Times New Roman"/>
          <w:b/>
          <w:lang w:eastAsia="en-US"/>
        </w:rPr>
        <w:t>ZPMV zvýhodňovala pojištěnce a umožnila také čerpání příspěvku členům spolku, který nesplňoval podmínky pro zařazení do programu</w:t>
      </w:r>
    </w:p>
    <w:p w14:paraId="6CC7E256" w14:textId="422A884C" w:rsidR="001E4C04" w:rsidRDefault="001E4C04" w:rsidP="00D723A6">
      <w:pPr>
        <w:widowControl/>
        <w:autoSpaceDE/>
        <w:autoSpaceDN/>
        <w:adjustRightInd/>
        <w:spacing w:before="120" w:after="120"/>
        <w:rPr>
          <w:rFonts w:eastAsia="Times New Roman" w:cs="Calibri"/>
          <w:szCs w:val="24"/>
          <w:lang w:eastAsia="en-US"/>
        </w:rPr>
      </w:pPr>
      <w:r w:rsidRPr="00900EE8">
        <w:rPr>
          <w:rFonts w:eastAsia="Times New Roman" w:cs="Calibri"/>
          <w:szCs w:val="24"/>
          <w:lang w:eastAsia="en-US"/>
        </w:rPr>
        <w:t>V letech 2020 až 2022 poskytovala ZPMV peněžní prostředky z FP zaměstnavatelům</w:t>
      </w:r>
      <w:r>
        <w:rPr>
          <w:rFonts w:eastAsia="Times New Roman" w:cs="Calibri"/>
          <w:szCs w:val="24"/>
          <w:lang w:eastAsia="en-US"/>
        </w:rPr>
        <w:t xml:space="preserve"> </w:t>
      </w:r>
      <w:r w:rsidRPr="00900EE8">
        <w:rPr>
          <w:rFonts w:eastAsia="Times New Roman" w:cs="Calibri"/>
          <w:szCs w:val="24"/>
          <w:lang w:eastAsia="en-US"/>
        </w:rPr>
        <w:t>z</w:t>
      </w:r>
      <w:r w:rsidR="00E43FA4">
        <w:rPr>
          <w:rFonts w:eastAsia="Times New Roman" w:cs="Calibri"/>
          <w:szCs w:val="24"/>
          <w:lang w:eastAsia="en-US"/>
        </w:rPr>
        <w:t> </w:t>
      </w:r>
      <w:r w:rsidRPr="00091B04">
        <w:rPr>
          <w:rFonts w:eastAsia="Times New Roman" w:cs="Calibri"/>
          <w:i/>
          <w:szCs w:val="24"/>
          <w:lang w:eastAsia="en-US"/>
        </w:rPr>
        <w:t>Programu podpory profesí s vyšším zdravotním rizikem</w:t>
      </w:r>
      <w:r w:rsidRPr="001E4C04">
        <w:rPr>
          <w:rFonts w:eastAsia="Times New Roman" w:cs="Calibri"/>
          <w:szCs w:val="24"/>
          <w:lang w:eastAsia="en-US"/>
        </w:rPr>
        <w:t xml:space="preserve"> (dále také „Program 6“)</w:t>
      </w:r>
      <w:r w:rsidR="007A471D">
        <w:rPr>
          <w:rFonts w:eastAsia="Times New Roman" w:cs="Calibri"/>
          <w:szCs w:val="24"/>
          <w:lang w:eastAsia="en-US"/>
        </w:rPr>
        <w:t>.</w:t>
      </w:r>
      <w:r w:rsidR="00F70894">
        <w:rPr>
          <w:rFonts w:eastAsia="Times New Roman" w:cs="Calibri"/>
          <w:szCs w:val="24"/>
          <w:lang w:eastAsia="en-US"/>
        </w:rPr>
        <w:t xml:space="preserve"> </w:t>
      </w:r>
      <w:r>
        <w:rPr>
          <w:rFonts w:eastAsia="Times New Roman" w:cs="Calibri"/>
          <w:szCs w:val="24"/>
          <w:lang w:eastAsia="en-US"/>
        </w:rPr>
        <w:t xml:space="preserve">Na tento program v letech 2020 až 2022 vynaložila téměř 66 mil. Kč. </w:t>
      </w:r>
      <w:r w:rsidRPr="00900EE8">
        <w:rPr>
          <w:rFonts w:eastAsia="Times New Roman" w:cs="Calibri"/>
          <w:szCs w:val="24"/>
          <w:lang w:eastAsia="en-US"/>
        </w:rPr>
        <w:t xml:space="preserve">Program 6 </w:t>
      </w:r>
      <w:r>
        <w:rPr>
          <w:rFonts w:eastAsia="Times New Roman" w:cs="Calibri"/>
          <w:szCs w:val="24"/>
          <w:lang w:eastAsia="en-US"/>
        </w:rPr>
        <w:t>byl</w:t>
      </w:r>
      <w:r w:rsidRPr="00900EE8">
        <w:rPr>
          <w:rFonts w:eastAsia="Times New Roman" w:cs="Calibri"/>
          <w:szCs w:val="24"/>
          <w:lang w:eastAsia="en-US"/>
        </w:rPr>
        <w:t xml:space="preserve"> určen ke zlepšení zdravotního stavu pojištěnců registrovaných u</w:t>
      </w:r>
      <w:r>
        <w:rPr>
          <w:rFonts w:eastAsia="Times New Roman" w:cs="Calibri"/>
          <w:szCs w:val="24"/>
          <w:lang w:eastAsia="en-US"/>
        </w:rPr>
        <w:t> </w:t>
      </w:r>
      <w:r w:rsidRPr="00900EE8">
        <w:rPr>
          <w:rFonts w:eastAsia="Times New Roman" w:cs="Calibri"/>
          <w:szCs w:val="24"/>
          <w:lang w:eastAsia="en-US"/>
        </w:rPr>
        <w:t>ZPMV, kteří jsou zároveň v pracovním poměru u zaměstnavatele a vykonávají profese s</w:t>
      </w:r>
      <w:r>
        <w:rPr>
          <w:rFonts w:eastAsia="Times New Roman" w:cs="Calibri"/>
          <w:szCs w:val="24"/>
          <w:lang w:eastAsia="en-US"/>
        </w:rPr>
        <w:t> </w:t>
      </w:r>
      <w:r w:rsidRPr="00900EE8">
        <w:rPr>
          <w:rFonts w:eastAsia="Times New Roman" w:cs="Calibri"/>
          <w:szCs w:val="24"/>
          <w:lang w:eastAsia="en-US"/>
        </w:rPr>
        <w:t>významným zdravotním rizikem souvisejícím s jejich výkonem. Aby byl</w:t>
      </w:r>
      <w:r>
        <w:rPr>
          <w:rFonts w:eastAsia="Times New Roman" w:cs="Calibri"/>
          <w:szCs w:val="24"/>
          <w:lang w:eastAsia="en-US"/>
        </w:rPr>
        <w:t xml:space="preserve"> </w:t>
      </w:r>
      <w:r w:rsidRPr="00900EE8">
        <w:rPr>
          <w:rFonts w:eastAsia="Times New Roman" w:cs="Calibri"/>
          <w:szCs w:val="24"/>
          <w:lang w:eastAsia="en-US"/>
        </w:rPr>
        <w:t xml:space="preserve">zaměstnavatel zařazen do Programu 6, musel splňovat kritéria minimálně 300 registrovaných pojištěnců ZPMV v předchozím kalendářním roce nebo 25 % jeho zaměstnanců v trvalém pracovním poměru pojištěných u ZPMV. </w:t>
      </w:r>
      <w:r w:rsidR="003511FF">
        <w:rPr>
          <w:rFonts w:eastAsia="Times New Roman" w:cs="Calibri"/>
          <w:szCs w:val="24"/>
          <w:lang w:eastAsia="en-US"/>
        </w:rPr>
        <w:t>Rozdělení poskytnutých prostředků mezi pojištěnce ponechala ZPMV zcela na</w:t>
      </w:r>
      <w:r w:rsidR="00E93CFB">
        <w:rPr>
          <w:rFonts w:eastAsia="Times New Roman" w:cs="Calibri"/>
          <w:szCs w:val="24"/>
          <w:lang w:eastAsia="en-US"/>
        </w:rPr>
        <w:t xml:space="preserve"> rozhodnutí</w:t>
      </w:r>
      <w:r w:rsidR="003511FF">
        <w:rPr>
          <w:rFonts w:eastAsia="Times New Roman" w:cs="Calibri"/>
          <w:szCs w:val="24"/>
          <w:lang w:eastAsia="en-US"/>
        </w:rPr>
        <w:t xml:space="preserve"> zaměstnavatel</w:t>
      </w:r>
      <w:r w:rsidR="00E93CFB">
        <w:rPr>
          <w:rFonts w:eastAsia="Times New Roman" w:cs="Calibri"/>
          <w:szCs w:val="24"/>
          <w:lang w:eastAsia="en-US"/>
        </w:rPr>
        <w:t>e</w:t>
      </w:r>
      <w:r w:rsidR="003511FF">
        <w:rPr>
          <w:rFonts w:eastAsia="Times New Roman" w:cs="Calibri"/>
          <w:szCs w:val="24"/>
          <w:lang w:eastAsia="en-US"/>
        </w:rPr>
        <w:t>.</w:t>
      </w:r>
    </w:p>
    <w:p w14:paraId="616CADE7" w14:textId="5DAD1F9D" w:rsidR="00C92278" w:rsidRPr="00900EE8" w:rsidRDefault="00C92278" w:rsidP="00D723A6">
      <w:pPr>
        <w:widowControl/>
        <w:autoSpaceDE/>
        <w:autoSpaceDN/>
        <w:adjustRightInd/>
        <w:spacing w:before="120" w:after="120"/>
        <w:rPr>
          <w:rFonts w:eastAsia="Times New Roman" w:cs="Calibri"/>
          <w:szCs w:val="24"/>
          <w:lang w:eastAsia="en-US"/>
        </w:rPr>
      </w:pPr>
      <w:r>
        <w:rPr>
          <w:rFonts w:eastAsia="Times New Roman" w:cs="Calibri"/>
          <w:szCs w:val="24"/>
          <w:lang w:eastAsia="en-US"/>
        </w:rPr>
        <w:t>S</w:t>
      </w:r>
      <w:r w:rsidRPr="00900EE8">
        <w:rPr>
          <w:rFonts w:eastAsia="Times New Roman" w:cs="Calibri"/>
          <w:szCs w:val="24"/>
          <w:lang w:eastAsia="en-US"/>
        </w:rPr>
        <w:t>oučasně</w:t>
      </w:r>
      <w:r>
        <w:rPr>
          <w:rFonts w:eastAsia="Times New Roman" w:cs="Calibri"/>
          <w:szCs w:val="24"/>
          <w:lang w:eastAsia="en-US"/>
        </w:rPr>
        <w:t xml:space="preserve"> ZPMV</w:t>
      </w:r>
      <w:r w:rsidRPr="00900EE8">
        <w:rPr>
          <w:rFonts w:eastAsia="Times New Roman" w:cs="Calibri"/>
          <w:szCs w:val="24"/>
          <w:lang w:eastAsia="en-US"/>
        </w:rPr>
        <w:t xml:space="preserve"> vytvářela v kontrolovaném období netransparentní prostředí, </w:t>
      </w:r>
      <w:r w:rsidR="009E5969">
        <w:rPr>
          <w:rFonts w:eastAsia="Times New Roman" w:cs="Calibri"/>
          <w:szCs w:val="24"/>
          <w:lang w:eastAsia="en-US"/>
        </w:rPr>
        <w:t>když</w:t>
      </w:r>
      <w:r w:rsidR="00F70894">
        <w:rPr>
          <w:rFonts w:eastAsia="Times New Roman" w:cs="Calibri"/>
          <w:szCs w:val="24"/>
          <w:lang w:eastAsia="en-US"/>
        </w:rPr>
        <w:t xml:space="preserve"> </w:t>
      </w:r>
      <w:r w:rsidRPr="00900EE8">
        <w:rPr>
          <w:rFonts w:eastAsia="Times New Roman" w:cs="Calibri"/>
          <w:szCs w:val="24"/>
          <w:lang w:eastAsia="en-US"/>
        </w:rPr>
        <w:t xml:space="preserve">umožnila čerpat </w:t>
      </w:r>
      <w:r>
        <w:rPr>
          <w:rFonts w:eastAsia="Times New Roman" w:cs="Calibri"/>
          <w:szCs w:val="24"/>
          <w:lang w:eastAsia="en-US"/>
        </w:rPr>
        <w:t>příspěvky</w:t>
      </w:r>
      <w:r w:rsidRPr="00900EE8">
        <w:rPr>
          <w:rFonts w:eastAsia="Times New Roman" w:cs="Calibri"/>
          <w:szCs w:val="24"/>
          <w:lang w:eastAsia="en-US"/>
        </w:rPr>
        <w:t xml:space="preserve"> spolku, resp. jeho členům, který</w:t>
      </w:r>
      <w:r w:rsidR="009E5969">
        <w:rPr>
          <w:rFonts w:eastAsia="Times New Roman" w:cs="Calibri"/>
          <w:szCs w:val="24"/>
          <w:lang w:eastAsia="en-US"/>
        </w:rPr>
        <w:t xml:space="preserve"> </w:t>
      </w:r>
      <w:r w:rsidRPr="00900EE8">
        <w:rPr>
          <w:rFonts w:eastAsia="Times New Roman" w:cs="Calibri"/>
          <w:szCs w:val="24"/>
          <w:lang w:eastAsia="en-US"/>
        </w:rPr>
        <w:t>nesplňoval podmínky pro zařazení do</w:t>
      </w:r>
      <w:r w:rsidR="002C5079">
        <w:rPr>
          <w:rFonts w:eastAsia="Times New Roman" w:cs="Calibri"/>
          <w:szCs w:val="24"/>
          <w:lang w:eastAsia="en-US"/>
        </w:rPr>
        <w:t> </w:t>
      </w:r>
      <w:r w:rsidR="007A6806" w:rsidRPr="007A6806">
        <w:rPr>
          <w:rFonts w:eastAsia="Times New Roman" w:cs="Calibri"/>
          <w:szCs w:val="24"/>
          <w:lang w:eastAsia="en-US"/>
        </w:rPr>
        <w:t>Program</w:t>
      </w:r>
      <w:r w:rsidR="007A471D">
        <w:rPr>
          <w:rFonts w:eastAsia="Times New Roman" w:cs="Calibri"/>
          <w:szCs w:val="24"/>
          <w:lang w:eastAsia="en-US"/>
        </w:rPr>
        <w:t>u 6</w:t>
      </w:r>
      <w:r>
        <w:rPr>
          <w:rFonts w:eastAsia="Times New Roman" w:cs="Calibri"/>
          <w:szCs w:val="24"/>
          <w:lang w:eastAsia="en-US"/>
        </w:rPr>
        <w:t>.</w:t>
      </w:r>
      <w:r w:rsidR="00372D02">
        <w:rPr>
          <w:rFonts w:eastAsia="Times New Roman" w:cs="Calibri"/>
          <w:szCs w:val="24"/>
          <w:lang w:eastAsia="en-US"/>
        </w:rPr>
        <w:t xml:space="preserve"> </w:t>
      </w:r>
      <w:r w:rsidR="00372D02" w:rsidRPr="00372D02">
        <w:rPr>
          <w:rFonts w:eastAsia="Times New Roman" w:cs="Calibri"/>
          <w:szCs w:val="24"/>
          <w:lang w:eastAsia="en-US"/>
        </w:rPr>
        <w:t>Dle účetní závěrky za rok 2022 měl spolek pouze dva zaměstnance, přesto čerpal v letech 2020 až 2022</w:t>
      </w:r>
      <w:r w:rsidR="00372D02">
        <w:rPr>
          <w:rFonts w:eastAsia="Times New Roman" w:cs="Calibri"/>
          <w:szCs w:val="24"/>
          <w:lang w:eastAsia="en-US"/>
        </w:rPr>
        <w:t xml:space="preserve"> příspěvek</w:t>
      </w:r>
      <w:r w:rsidR="00372D02" w:rsidRPr="00372D02">
        <w:rPr>
          <w:rFonts w:eastAsia="Times New Roman" w:cs="Calibri"/>
          <w:szCs w:val="24"/>
          <w:lang w:eastAsia="en-US"/>
        </w:rPr>
        <w:t xml:space="preserve"> celkem 2</w:t>
      </w:r>
      <w:r w:rsidR="001E3141">
        <w:rPr>
          <w:rFonts w:eastAsia="Times New Roman" w:cs="Calibri"/>
          <w:szCs w:val="24"/>
          <w:lang w:eastAsia="en-US"/>
        </w:rPr>
        <w:t> </w:t>
      </w:r>
      <w:r w:rsidR="00372D02" w:rsidRPr="00372D02">
        <w:rPr>
          <w:rFonts w:eastAsia="Times New Roman" w:cs="Calibri"/>
          <w:szCs w:val="24"/>
          <w:lang w:eastAsia="en-US"/>
        </w:rPr>
        <w:t>510</w:t>
      </w:r>
      <w:r w:rsidR="001E3141">
        <w:rPr>
          <w:rFonts w:eastAsia="Times New Roman" w:cs="Calibri"/>
          <w:szCs w:val="24"/>
          <w:lang w:eastAsia="en-US"/>
        </w:rPr>
        <w:t> </w:t>
      </w:r>
      <w:r w:rsidR="00372D02" w:rsidRPr="00372D02">
        <w:rPr>
          <w:rFonts w:eastAsia="Times New Roman" w:cs="Calibri"/>
          <w:szCs w:val="24"/>
          <w:lang w:eastAsia="en-US"/>
        </w:rPr>
        <w:t>325 Kč.</w:t>
      </w:r>
    </w:p>
    <w:p w14:paraId="59299A14" w14:textId="7A2268C1" w:rsidR="00810BBC" w:rsidRDefault="00DA6645" w:rsidP="00D723A6">
      <w:pPr>
        <w:widowControl/>
        <w:autoSpaceDE/>
        <w:autoSpaceDN/>
        <w:adjustRightInd/>
        <w:spacing w:before="120" w:after="120"/>
        <w:rPr>
          <w:rFonts w:eastAsia="Times New Roman" w:cs="Calibri"/>
          <w:szCs w:val="24"/>
          <w:lang w:eastAsia="en-US"/>
        </w:rPr>
      </w:pPr>
      <w:r>
        <w:rPr>
          <w:rFonts w:eastAsia="Times New Roman" w:cs="Calibri"/>
          <w:szCs w:val="24"/>
          <w:lang w:eastAsia="en-US"/>
        </w:rPr>
        <w:t>Z</w:t>
      </w:r>
      <w:r w:rsidRPr="00900EE8">
        <w:rPr>
          <w:rFonts w:eastAsia="Times New Roman" w:cs="Calibri"/>
          <w:szCs w:val="24"/>
          <w:lang w:eastAsia="en-US"/>
        </w:rPr>
        <w:t>PMV</w:t>
      </w:r>
      <w:r>
        <w:rPr>
          <w:rFonts w:eastAsia="Times New Roman" w:cs="Calibri"/>
          <w:szCs w:val="24"/>
          <w:lang w:eastAsia="en-US"/>
        </w:rPr>
        <w:t xml:space="preserve"> </w:t>
      </w:r>
      <w:r w:rsidRPr="00900EE8">
        <w:rPr>
          <w:rFonts w:eastAsia="Times New Roman" w:cs="Calibri"/>
          <w:szCs w:val="24"/>
          <w:lang w:eastAsia="en-US"/>
        </w:rPr>
        <w:t>rozdělila</w:t>
      </w:r>
      <w:r w:rsidR="00E93CFB">
        <w:rPr>
          <w:rFonts w:eastAsia="Times New Roman" w:cs="Calibri"/>
          <w:szCs w:val="24"/>
          <w:lang w:eastAsia="en-US"/>
        </w:rPr>
        <w:t xml:space="preserve"> zařazené</w:t>
      </w:r>
      <w:r w:rsidRPr="00900EE8">
        <w:rPr>
          <w:rFonts w:eastAsia="Times New Roman" w:cs="Calibri"/>
          <w:szCs w:val="24"/>
          <w:lang w:eastAsia="en-US"/>
        </w:rPr>
        <w:t xml:space="preserve"> zaměstnavatele</w:t>
      </w:r>
      <w:r>
        <w:rPr>
          <w:rFonts w:eastAsia="Times New Roman" w:cs="Calibri"/>
          <w:szCs w:val="24"/>
          <w:lang w:eastAsia="en-US"/>
        </w:rPr>
        <w:t xml:space="preserve"> </w:t>
      </w:r>
      <w:r w:rsidRPr="00900EE8">
        <w:rPr>
          <w:rFonts w:eastAsia="Times New Roman" w:cs="Calibri"/>
          <w:szCs w:val="24"/>
          <w:lang w:eastAsia="en-US"/>
        </w:rPr>
        <w:t>do kategorií</w:t>
      </w:r>
      <w:r>
        <w:rPr>
          <w:rFonts w:eastAsia="Times New Roman" w:cs="Calibri"/>
          <w:szCs w:val="24"/>
          <w:lang w:eastAsia="en-US"/>
        </w:rPr>
        <w:t xml:space="preserve"> podle zdravotního rizika</w:t>
      </w:r>
      <w:r w:rsidRPr="00900EE8">
        <w:rPr>
          <w:rFonts w:eastAsia="Times New Roman" w:cs="Calibri"/>
          <w:szCs w:val="24"/>
          <w:lang w:eastAsia="en-US"/>
        </w:rPr>
        <w:t xml:space="preserve">, </w:t>
      </w:r>
      <w:r w:rsidR="00D8617C">
        <w:rPr>
          <w:rFonts w:eastAsia="Times New Roman" w:cs="Calibri"/>
          <w:szCs w:val="24"/>
          <w:lang w:eastAsia="en-US"/>
        </w:rPr>
        <w:t>na</w:t>
      </w:r>
      <w:r w:rsidR="00011538">
        <w:rPr>
          <w:rFonts w:eastAsia="Times New Roman" w:cs="Calibri"/>
          <w:szCs w:val="24"/>
          <w:lang w:eastAsia="en-US"/>
        </w:rPr>
        <w:t xml:space="preserve"> jejichž </w:t>
      </w:r>
      <w:r w:rsidR="00D8617C">
        <w:rPr>
          <w:rFonts w:eastAsia="Times New Roman" w:cs="Calibri"/>
          <w:szCs w:val="24"/>
          <w:lang w:eastAsia="en-US"/>
        </w:rPr>
        <w:t>základě jim dle počtu pojištěnců</w:t>
      </w:r>
      <w:r w:rsidR="00D8617C" w:rsidRPr="00D8617C">
        <w:rPr>
          <w:rFonts w:eastAsia="Times New Roman" w:cs="Calibri"/>
          <w:szCs w:val="24"/>
          <w:lang w:eastAsia="en-US"/>
        </w:rPr>
        <w:t xml:space="preserve"> stanovovala rozpočty (200 Kč až 300 Kč</w:t>
      </w:r>
      <w:r w:rsidR="00D8617C">
        <w:rPr>
          <w:rFonts w:eastAsia="Times New Roman" w:cs="Calibri"/>
          <w:szCs w:val="24"/>
          <w:lang w:eastAsia="en-US"/>
        </w:rPr>
        <w:t xml:space="preserve"> na</w:t>
      </w:r>
      <w:r w:rsidR="00C0576C">
        <w:rPr>
          <w:rFonts w:eastAsia="Times New Roman" w:cs="Calibri"/>
          <w:szCs w:val="24"/>
          <w:lang w:eastAsia="en-US"/>
        </w:rPr>
        <w:t> </w:t>
      </w:r>
      <w:r w:rsidR="00D8617C">
        <w:rPr>
          <w:rFonts w:eastAsia="Times New Roman" w:cs="Calibri"/>
          <w:szCs w:val="24"/>
          <w:lang w:eastAsia="en-US"/>
        </w:rPr>
        <w:t>pojištěnce</w:t>
      </w:r>
      <w:r w:rsidR="00D8617C" w:rsidRPr="00D8617C">
        <w:rPr>
          <w:rFonts w:eastAsia="Times New Roman" w:cs="Calibri"/>
          <w:szCs w:val="24"/>
          <w:lang w:eastAsia="en-US"/>
        </w:rPr>
        <w:t>)</w:t>
      </w:r>
      <w:r w:rsidR="007A63CB">
        <w:rPr>
          <w:rFonts w:eastAsia="Times New Roman" w:cs="Calibri"/>
          <w:szCs w:val="24"/>
          <w:lang w:eastAsia="en-US"/>
        </w:rPr>
        <w:t>.</w:t>
      </w:r>
      <w:r w:rsidR="00D8617C">
        <w:rPr>
          <w:rFonts w:eastAsia="Times New Roman" w:cs="Calibri"/>
          <w:szCs w:val="24"/>
          <w:lang w:eastAsia="en-US"/>
        </w:rPr>
        <w:t xml:space="preserve"> </w:t>
      </w:r>
      <w:r w:rsidR="00620D20">
        <w:rPr>
          <w:rFonts w:eastAsia="Times New Roman" w:cs="Calibri"/>
          <w:szCs w:val="24"/>
          <w:lang w:eastAsia="en-US"/>
        </w:rPr>
        <w:t>Z</w:t>
      </w:r>
      <w:r w:rsidR="007A63CB">
        <w:rPr>
          <w:rFonts w:eastAsia="Times New Roman" w:cs="Calibri"/>
          <w:szCs w:val="24"/>
          <w:lang w:eastAsia="en-US"/>
        </w:rPr>
        <w:t>aměstnavatel rozděloval</w:t>
      </w:r>
      <w:r w:rsidR="00D8617C">
        <w:rPr>
          <w:rFonts w:eastAsia="Times New Roman" w:cs="Calibri"/>
          <w:szCs w:val="24"/>
          <w:lang w:eastAsia="en-US"/>
        </w:rPr>
        <w:t xml:space="preserve"> pojištěnc</w:t>
      </w:r>
      <w:r w:rsidR="007A63CB">
        <w:rPr>
          <w:rFonts w:eastAsia="Times New Roman" w:cs="Calibri"/>
          <w:szCs w:val="24"/>
          <w:lang w:eastAsia="en-US"/>
        </w:rPr>
        <w:t>ům</w:t>
      </w:r>
      <w:r w:rsidR="00D8617C">
        <w:rPr>
          <w:rFonts w:eastAsia="Times New Roman" w:cs="Calibri"/>
          <w:szCs w:val="24"/>
          <w:lang w:eastAsia="en-US"/>
        </w:rPr>
        <w:t xml:space="preserve"> </w:t>
      </w:r>
      <w:r w:rsidR="00D8617C" w:rsidRPr="00900EE8">
        <w:rPr>
          <w:rFonts w:eastAsia="Times New Roman" w:cs="Calibri"/>
          <w:szCs w:val="24"/>
          <w:lang w:eastAsia="en-US"/>
        </w:rPr>
        <w:t>ZPMV příspěvky na jednotlivé položky</w:t>
      </w:r>
      <w:r w:rsidR="00D8617C">
        <w:rPr>
          <w:rStyle w:val="Znakapoznpodarou"/>
          <w:rFonts w:eastAsia="Times New Roman"/>
          <w:szCs w:val="24"/>
          <w:lang w:eastAsia="en-US"/>
        </w:rPr>
        <w:footnoteReference w:id="19"/>
      </w:r>
      <w:r w:rsidR="00D8617C" w:rsidRPr="00D8617C">
        <w:rPr>
          <w:rFonts w:eastAsia="Times New Roman" w:cs="Calibri"/>
          <w:szCs w:val="24"/>
          <w:lang w:eastAsia="en-US"/>
        </w:rPr>
        <w:t>.</w:t>
      </w:r>
      <w:r w:rsidRPr="00900EE8">
        <w:rPr>
          <w:rFonts w:eastAsia="Times New Roman" w:cs="Calibri"/>
          <w:szCs w:val="24"/>
          <w:lang w:eastAsia="en-US"/>
        </w:rPr>
        <w:t xml:space="preserve"> </w:t>
      </w:r>
      <w:r w:rsidR="00810BBC" w:rsidRPr="00810BBC">
        <w:rPr>
          <w:rFonts w:eastAsia="Times New Roman" w:cs="Calibri"/>
          <w:szCs w:val="24"/>
          <w:lang w:eastAsia="en-US"/>
        </w:rPr>
        <w:t>Do</w:t>
      </w:r>
      <w:r w:rsidR="001E3141">
        <w:rPr>
          <w:rFonts w:eastAsia="Times New Roman" w:cs="Calibri"/>
          <w:szCs w:val="24"/>
          <w:lang w:eastAsia="en-US"/>
        </w:rPr>
        <w:t> </w:t>
      </w:r>
      <w:r w:rsidR="00810BBC" w:rsidRPr="00810BBC">
        <w:rPr>
          <w:rFonts w:eastAsia="Times New Roman" w:cs="Calibri"/>
          <w:szCs w:val="24"/>
          <w:lang w:eastAsia="en-US"/>
        </w:rPr>
        <w:t>kategorie umožňující čerpat příspěvek na nejvíce položek a na finančně nejnákladnější položky ZPMV zařadila pouze</w:t>
      </w:r>
      <w:r w:rsidR="00810BBC">
        <w:rPr>
          <w:rFonts w:eastAsia="Times New Roman" w:cs="Calibri"/>
          <w:szCs w:val="24"/>
          <w:lang w:eastAsia="en-US"/>
        </w:rPr>
        <w:t xml:space="preserve"> vybrané zaměstnavatele. V</w:t>
      </w:r>
      <w:r w:rsidR="00810BBC" w:rsidRPr="00810BBC">
        <w:rPr>
          <w:rFonts w:eastAsia="Times New Roman" w:cs="Calibri"/>
          <w:szCs w:val="24"/>
          <w:lang w:eastAsia="en-US"/>
        </w:rPr>
        <w:t>šechny ostatní zaměstnavatele (například nemocnice)</w:t>
      </w:r>
      <w:r w:rsidR="00810BBC">
        <w:rPr>
          <w:rFonts w:eastAsia="Times New Roman" w:cs="Calibri"/>
          <w:szCs w:val="24"/>
          <w:lang w:eastAsia="en-US"/>
        </w:rPr>
        <w:t xml:space="preserve"> zařadila ZPMV</w:t>
      </w:r>
      <w:r w:rsidR="00810BBC" w:rsidRPr="00810BBC">
        <w:rPr>
          <w:rFonts w:eastAsia="Times New Roman" w:cs="Calibri"/>
          <w:szCs w:val="24"/>
          <w:lang w:eastAsia="en-US"/>
        </w:rPr>
        <w:t xml:space="preserve"> do nižší kategorie, ačkoli jejich zaměstnanci mohli splňovat podmínky pro čerpání příspěvku na položky v nejvyšší kategorii.</w:t>
      </w:r>
      <w:r w:rsidR="00810BBC">
        <w:rPr>
          <w:rFonts w:eastAsia="Times New Roman" w:cs="Calibri"/>
          <w:szCs w:val="24"/>
          <w:lang w:eastAsia="en-US"/>
        </w:rPr>
        <w:t xml:space="preserve"> </w:t>
      </w:r>
      <w:r w:rsidRPr="00900EE8">
        <w:rPr>
          <w:rFonts w:eastAsia="Times New Roman" w:cs="Calibri"/>
          <w:szCs w:val="24"/>
          <w:lang w:eastAsia="en-US"/>
        </w:rPr>
        <w:t>Podrobný seznam položek</w:t>
      </w:r>
      <w:r w:rsidR="00D8617C">
        <w:rPr>
          <w:rFonts w:eastAsia="Times New Roman" w:cs="Calibri"/>
          <w:szCs w:val="24"/>
          <w:lang w:eastAsia="en-US"/>
        </w:rPr>
        <w:t xml:space="preserve"> tak</w:t>
      </w:r>
      <w:r w:rsidR="00011538">
        <w:rPr>
          <w:rFonts w:eastAsia="Times New Roman" w:cs="Calibri"/>
          <w:szCs w:val="24"/>
          <w:lang w:eastAsia="en-US"/>
        </w:rPr>
        <w:t>,</w:t>
      </w:r>
      <w:r w:rsidRPr="00900EE8">
        <w:rPr>
          <w:rFonts w:eastAsia="Times New Roman" w:cs="Calibri"/>
          <w:szCs w:val="24"/>
          <w:lang w:eastAsia="en-US"/>
        </w:rPr>
        <w:t xml:space="preserve"> jak je uveden v </w:t>
      </w:r>
      <w:r>
        <w:rPr>
          <w:rFonts w:eastAsia="Times New Roman" w:cs="Calibri"/>
          <w:szCs w:val="24"/>
          <w:lang w:eastAsia="en-US"/>
        </w:rPr>
        <w:t>p</w:t>
      </w:r>
      <w:r w:rsidRPr="00900EE8">
        <w:rPr>
          <w:rFonts w:eastAsia="Times New Roman" w:cs="Calibri"/>
          <w:szCs w:val="24"/>
          <w:lang w:eastAsia="en-US"/>
        </w:rPr>
        <w:t xml:space="preserve">odmínkách čerpání v programech fondu prevence, </w:t>
      </w:r>
      <w:r>
        <w:rPr>
          <w:rFonts w:eastAsia="Times New Roman" w:cs="Calibri"/>
          <w:szCs w:val="24"/>
          <w:lang w:eastAsia="en-US"/>
        </w:rPr>
        <w:t xml:space="preserve">ZPMV </w:t>
      </w:r>
      <w:r w:rsidRPr="00900EE8">
        <w:rPr>
          <w:rFonts w:eastAsia="Times New Roman" w:cs="Calibri"/>
          <w:szCs w:val="24"/>
          <w:lang w:eastAsia="en-US"/>
        </w:rPr>
        <w:t>na</w:t>
      </w:r>
      <w:r w:rsidR="00E43FA4">
        <w:rPr>
          <w:rFonts w:eastAsia="Times New Roman" w:cs="Calibri"/>
          <w:szCs w:val="24"/>
          <w:lang w:eastAsia="en-US"/>
        </w:rPr>
        <w:t> </w:t>
      </w:r>
      <w:r w:rsidRPr="00900EE8">
        <w:rPr>
          <w:rFonts w:eastAsia="Times New Roman" w:cs="Calibri"/>
          <w:szCs w:val="24"/>
          <w:lang w:eastAsia="en-US"/>
        </w:rPr>
        <w:t>webových stránkách</w:t>
      </w:r>
      <w:r>
        <w:rPr>
          <w:rFonts w:eastAsia="Times New Roman" w:cs="Calibri"/>
          <w:szCs w:val="24"/>
          <w:lang w:eastAsia="en-US"/>
        </w:rPr>
        <w:t xml:space="preserve"> ne</w:t>
      </w:r>
      <w:r w:rsidRPr="00900EE8">
        <w:rPr>
          <w:rFonts w:eastAsia="Times New Roman" w:cs="Calibri"/>
          <w:szCs w:val="24"/>
          <w:lang w:eastAsia="en-US"/>
        </w:rPr>
        <w:t>uveřejn</w:t>
      </w:r>
      <w:r>
        <w:rPr>
          <w:rFonts w:eastAsia="Times New Roman" w:cs="Calibri"/>
          <w:szCs w:val="24"/>
          <w:lang w:eastAsia="en-US"/>
        </w:rPr>
        <w:t>ila</w:t>
      </w:r>
      <w:r w:rsidRPr="00900EE8">
        <w:rPr>
          <w:rFonts w:eastAsia="Times New Roman" w:cs="Calibri"/>
          <w:szCs w:val="24"/>
          <w:lang w:eastAsia="en-US"/>
        </w:rPr>
        <w:t>.</w:t>
      </w:r>
    </w:p>
    <w:p w14:paraId="75FBF9E8" w14:textId="3E763125" w:rsidR="00DD3BA3" w:rsidRDefault="00DD3BA3" w:rsidP="00D723A6">
      <w:pPr>
        <w:widowControl/>
        <w:autoSpaceDE/>
        <w:autoSpaceDN/>
        <w:adjustRightInd/>
        <w:spacing w:before="120" w:after="120"/>
        <w:jc w:val="left"/>
        <w:rPr>
          <w:rFonts w:eastAsia="Times New Roman" w:cs="Calibri"/>
          <w:szCs w:val="24"/>
          <w:lang w:eastAsia="en-US"/>
        </w:rPr>
      </w:pPr>
    </w:p>
    <w:p w14:paraId="6CBD0A6E" w14:textId="257AE04F" w:rsidR="00BF55EC" w:rsidRPr="00F70894" w:rsidRDefault="00620D20" w:rsidP="00D723A6">
      <w:pPr>
        <w:widowControl/>
        <w:autoSpaceDE/>
        <w:autoSpaceDN/>
        <w:adjustRightInd/>
        <w:spacing w:before="120" w:after="120"/>
        <w:rPr>
          <w:rFonts w:eastAsia="Times New Roman" w:cs="Calibri"/>
          <w:b/>
          <w:szCs w:val="24"/>
          <w:lang w:eastAsia="en-US"/>
        </w:rPr>
      </w:pPr>
      <w:r w:rsidRPr="00F70894">
        <w:rPr>
          <w:rFonts w:eastAsia="Times New Roman" w:cs="Calibri"/>
          <w:b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0174AD" wp14:editId="05822EBC">
                <wp:simplePos x="0" y="0"/>
                <wp:positionH relativeFrom="column">
                  <wp:posOffset>-49005</wp:posOffset>
                </wp:positionH>
                <wp:positionV relativeFrom="paragraph">
                  <wp:posOffset>-64908</wp:posOffset>
                </wp:positionV>
                <wp:extent cx="5868062" cy="2067339"/>
                <wp:effectExtent l="0" t="0" r="1841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062" cy="20673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1A85B" id="Obdélník 3" o:spid="_x0000_s1026" style="position:absolute;margin-left:-3.85pt;margin-top:-5.1pt;width:462.05pt;height:162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" filled="f" strokecolor="black [3213]" strokeweight="1pt"/>
            </w:pict>
          </mc:Fallback>
        </mc:AlternateContent>
      </w:r>
      <w:r w:rsidR="00810BBC" w:rsidRPr="00F70894">
        <w:rPr>
          <w:rFonts w:eastAsia="Times New Roman" w:cs="Calibri"/>
          <w:b/>
          <w:szCs w:val="24"/>
          <w:lang w:eastAsia="en-US"/>
        </w:rPr>
        <w:t>Příklad</w:t>
      </w:r>
      <w:r w:rsidR="00DA6645" w:rsidRPr="00F70894">
        <w:rPr>
          <w:rFonts w:eastAsia="Times New Roman" w:cs="Calibri"/>
          <w:b/>
          <w:szCs w:val="24"/>
          <w:lang w:eastAsia="en-US"/>
        </w:rPr>
        <w:t xml:space="preserve"> </w:t>
      </w:r>
      <w:r w:rsidR="00F73944" w:rsidRPr="00F70894">
        <w:rPr>
          <w:rFonts w:eastAsia="Times New Roman" w:cs="Calibri"/>
          <w:b/>
          <w:szCs w:val="24"/>
          <w:lang w:eastAsia="en-US"/>
        </w:rPr>
        <w:t>1</w:t>
      </w:r>
    </w:p>
    <w:p w14:paraId="38A48999" w14:textId="7E8F7C7A" w:rsidR="005C5D4A" w:rsidRDefault="005C5D4A" w:rsidP="00D723A6">
      <w:pPr>
        <w:widowControl/>
        <w:autoSpaceDE/>
        <w:autoSpaceDN/>
        <w:adjustRightInd/>
        <w:spacing w:before="120" w:after="120"/>
        <w:rPr>
          <w:rFonts w:eastAsia="Times New Roman" w:cs="Calibri"/>
          <w:szCs w:val="24"/>
          <w:lang w:eastAsia="en-US"/>
        </w:rPr>
      </w:pPr>
      <w:r w:rsidRPr="00620D20">
        <w:rPr>
          <w:rFonts w:eastAsia="Times New Roman" w:cs="Calibri"/>
          <w:szCs w:val="24"/>
          <w:lang w:eastAsia="en-US"/>
        </w:rPr>
        <w:t>Pojištěnec</w:t>
      </w:r>
      <w:r w:rsidR="0074304D" w:rsidRPr="00620D20">
        <w:rPr>
          <w:rFonts w:eastAsia="Times New Roman" w:cs="Calibri"/>
          <w:szCs w:val="24"/>
          <w:lang w:eastAsia="en-US"/>
        </w:rPr>
        <w:t xml:space="preserve"> </w:t>
      </w:r>
      <w:r w:rsidRPr="00620D20">
        <w:rPr>
          <w:rFonts w:eastAsia="Times New Roman" w:cs="Calibri"/>
          <w:szCs w:val="24"/>
          <w:lang w:eastAsia="en-US"/>
        </w:rPr>
        <w:t>ZPMV</w:t>
      </w:r>
      <w:r w:rsidR="0074304D" w:rsidRPr="00620D20">
        <w:rPr>
          <w:rFonts w:eastAsia="Times New Roman" w:cs="Calibri"/>
          <w:szCs w:val="24"/>
          <w:lang w:eastAsia="en-US"/>
        </w:rPr>
        <w:t xml:space="preserve"> </w:t>
      </w:r>
      <w:r w:rsidR="00B77263">
        <w:rPr>
          <w:rFonts w:eastAsia="Times New Roman" w:cs="Calibri"/>
          <w:szCs w:val="24"/>
          <w:lang w:eastAsia="en-US"/>
        </w:rPr>
        <w:t>A</w:t>
      </w:r>
      <w:r w:rsidRPr="00620D20">
        <w:rPr>
          <w:rFonts w:eastAsia="Times New Roman" w:cs="Calibri"/>
          <w:szCs w:val="24"/>
          <w:lang w:eastAsia="en-US"/>
        </w:rPr>
        <w:t xml:space="preserve"> vykonává zaměstnání s významným zdravotním rizikem</w:t>
      </w:r>
      <w:r w:rsidR="0074304D" w:rsidRPr="00620D20">
        <w:rPr>
          <w:rFonts w:eastAsia="Times New Roman" w:cs="Calibri"/>
          <w:szCs w:val="24"/>
          <w:lang w:eastAsia="en-US"/>
        </w:rPr>
        <w:t xml:space="preserve"> a</w:t>
      </w:r>
      <w:r w:rsidRPr="00620D20">
        <w:rPr>
          <w:rFonts w:eastAsia="Times New Roman" w:cs="Calibri"/>
          <w:szCs w:val="24"/>
          <w:lang w:eastAsia="en-US"/>
        </w:rPr>
        <w:t xml:space="preserve"> pracuje pro</w:t>
      </w:r>
      <w:r w:rsidR="00E43FA4" w:rsidRPr="00620D20">
        <w:rPr>
          <w:rFonts w:eastAsia="Times New Roman" w:cs="Calibri"/>
          <w:szCs w:val="24"/>
          <w:lang w:eastAsia="en-US"/>
        </w:rPr>
        <w:t> </w:t>
      </w:r>
      <w:r w:rsidRPr="00620D20">
        <w:rPr>
          <w:rFonts w:eastAsia="Times New Roman" w:cs="Calibri"/>
          <w:szCs w:val="24"/>
          <w:lang w:eastAsia="en-US"/>
        </w:rPr>
        <w:t>zaměstnavatele, který nesplňuje podmínky pro zařazení do programu</w:t>
      </w:r>
      <w:r w:rsidR="0074304D" w:rsidRPr="00620D20">
        <w:rPr>
          <w:rFonts w:eastAsia="Times New Roman" w:cs="Calibri"/>
          <w:szCs w:val="24"/>
          <w:lang w:eastAsia="en-US"/>
        </w:rPr>
        <w:t xml:space="preserve">. Pojištěnec ZPMV </w:t>
      </w:r>
      <w:r w:rsidR="00B77263">
        <w:rPr>
          <w:rFonts w:eastAsia="Times New Roman" w:cs="Calibri"/>
          <w:szCs w:val="24"/>
          <w:lang w:eastAsia="en-US"/>
        </w:rPr>
        <w:t>B</w:t>
      </w:r>
      <w:r w:rsidR="00B77263" w:rsidRPr="00620D20">
        <w:rPr>
          <w:rFonts w:eastAsia="Times New Roman" w:cs="Calibri"/>
          <w:szCs w:val="24"/>
          <w:lang w:eastAsia="en-US"/>
        </w:rPr>
        <w:t xml:space="preserve"> </w:t>
      </w:r>
      <w:r w:rsidR="0074304D" w:rsidRPr="00620D20">
        <w:rPr>
          <w:rFonts w:eastAsia="Times New Roman" w:cs="Calibri"/>
          <w:szCs w:val="24"/>
          <w:lang w:eastAsia="en-US"/>
        </w:rPr>
        <w:t xml:space="preserve">vykonává zaměstnání s významným zdravotním rizikem a pracuje pro zaměstnavatele, který splňuje podmínky pro zařazení do programu. Ačkoli oba pojištěnci vykonávají totožná zaměstnání s významným zdravotním rizikem (například pracují oba v nemocnici), pouze pojištěnec ZPMV </w:t>
      </w:r>
      <w:r w:rsidR="00B77263">
        <w:rPr>
          <w:rFonts w:eastAsia="Times New Roman" w:cs="Calibri"/>
          <w:szCs w:val="24"/>
          <w:lang w:eastAsia="en-US"/>
        </w:rPr>
        <w:t>B</w:t>
      </w:r>
      <w:r w:rsidR="00B77263" w:rsidRPr="00620D20">
        <w:rPr>
          <w:rFonts w:eastAsia="Times New Roman" w:cs="Calibri"/>
          <w:szCs w:val="24"/>
          <w:lang w:eastAsia="en-US"/>
        </w:rPr>
        <w:t xml:space="preserve"> </w:t>
      </w:r>
      <w:r w:rsidR="0074304D" w:rsidRPr="00620D20">
        <w:rPr>
          <w:rFonts w:eastAsia="Times New Roman" w:cs="Calibri"/>
          <w:szCs w:val="24"/>
          <w:lang w:eastAsia="en-US"/>
        </w:rPr>
        <w:t xml:space="preserve">může </w:t>
      </w:r>
      <w:r w:rsidR="001805C5" w:rsidRPr="00620D20">
        <w:rPr>
          <w:rFonts w:eastAsia="Times New Roman" w:cs="Calibri"/>
          <w:szCs w:val="24"/>
          <w:lang w:eastAsia="en-US"/>
        </w:rPr>
        <w:t>obdržet</w:t>
      </w:r>
      <w:r w:rsidR="0074304D" w:rsidRPr="00620D20">
        <w:rPr>
          <w:rFonts w:eastAsia="Times New Roman" w:cs="Calibri"/>
          <w:szCs w:val="24"/>
          <w:lang w:eastAsia="en-US"/>
        </w:rPr>
        <w:t xml:space="preserve"> příspěvek na položky v uvedeném programu. O tom, zda</w:t>
      </w:r>
      <w:r w:rsidR="009F21B9">
        <w:rPr>
          <w:rFonts w:eastAsia="Times New Roman" w:cs="Calibri"/>
          <w:szCs w:val="24"/>
          <w:lang w:eastAsia="en-US"/>
        </w:rPr>
        <w:t xml:space="preserve"> a</w:t>
      </w:r>
      <w:r w:rsidR="008B5C34">
        <w:rPr>
          <w:rFonts w:eastAsia="Times New Roman" w:cs="Calibri"/>
          <w:szCs w:val="24"/>
          <w:lang w:eastAsia="en-US"/>
        </w:rPr>
        <w:t> </w:t>
      </w:r>
      <w:r w:rsidR="009F21B9">
        <w:rPr>
          <w:rFonts w:eastAsia="Times New Roman" w:cs="Calibri"/>
          <w:szCs w:val="24"/>
          <w:lang w:eastAsia="en-US"/>
        </w:rPr>
        <w:t>v jaké výši</w:t>
      </w:r>
      <w:r w:rsidR="0074304D" w:rsidRPr="00620D20">
        <w:rPr>
          <w:rFonts w:eastAsia="Times New Roman" w:cs="Calibri"/>
          <w:szCs w:val="24"/>
          <w:lang w:eastAsia="en-US"/>
        </w:rPr>
        <w:t xml:space="preserve"> </w:t>
      </w:r>
      <w:r w:rsidR="009F21B9" w:rsidRPr="00620D20">
        <w:rPr>
          <w:rFonts w:eastAsia="Times New Roman" w:cs="Calibri"/>
          <w:szCs w:val="24"/>
          <w:lang w:eastAsia="en-US"/>
        </w:rPr>
        <w:t>obdrží</w:t>
      </w:r>
      <w:r w:rsidR="0074304D" w:rsidRPr="00620D20">
        <w:rPr>
          <w:rFonts w:eastAsia="Times New Roman" w:cs="Calibri"/>
          <w:szCs w:val="24"/>
          <w:lang w:eastAsia="en-US"/>
        </w:rPr>
        <w:t xml:space="preserve"> pojištěnec ZPMV </w:t>
      </w:r>
      <w:r w:rsidR="00B77263">
        <w:rPr>
          <w:rFonts w:eastAsia="Times New Roman" w:cs="Calibri"/>
          <w:szCs w:val="24"/>
          <w:lang w:eastAsia="en-US"/>
        </w:rPr>
        <w:t>B</w:t>
      </w:r>
      <w:r w:rsidR="00B77263" w:rsidRPr="00620D20">
        <w:rPr>
          <w:rFonts w:eastAsia="Times New Roman" w:cs="Calibri"/>
          <w:szCs w:val="24"/>
          <w:lang w:eastAsia="en-US"/>
        </w:rPr>
        <w:t xml:space="preserve"> </w:t>
      </w:r>
      <w:r w:rsidR="0074304D" w:rsidRPr="00620D20">
        <w:rPr>
          <w:rFonts w:eastAsia="Times New Roman" w:cs="Calibri"/>
          <w:szCs w:val="24"/>
          <w:lang w:eastAsia="en-US"/>
        </w:rPr>
        <w:t>příspěvek na některou z položek programu, navíc rozhoduje</w:t>
      </w:r>
      <w:r w:rsidR="009F21B9">
        <w:rPr>
          <w:rFonts w:eastAsia="Times New Roman" w:cs="Calibri"/>
          <w:szCs w:val="24"/>
          <w:lang w:eastAsia="en-US"/>
        </w:rPr>
        <w:t xml:space="preserve"> jeho</w:t>
      </w:r>
      <w:r w:rsidR="0074304D" w:rsidRPr="00620D20">
        <w:rPr>
          <w:rFonts w:eastAsia="Times New Roman" w:cs="Calibri"/>
          <w:szCs w:val="24"/>
          <w:lang w:eastAsia="en-US"/>
        </w:rPr>
        <w:t xml:space="preserve"> zaměstnavatel. Pojištěnec ZPMV </w:t>
      </w:r>
      <w:r w:rsidR="00B77263">
        <w:rPr>
          <w:rFonts w:eastAsia="Times New Roman" w:cs="Calibri"/>
          <w:szCs w:val="24"/>
          <w:lang w:eastAsia="en-US"/>
        </w:rPr>
        <w:t>B</w:t>
      </w:r>
      <w:r w:rsidR="00B77263" w:rsidRPr="00620D20">
        <w:rPr>
          <w:rFonts w:eastAsia="Times New Roman" w:cs="Calibri"/>
          <w:szCs w:val="24"/>
          <w:lang w:eastAsia="en-US"/>
        </w:rPr>
        <w:t xml:space="preserve"> </w:t>
      </w:r>
      <w:r w:rsidR="0074304D" w:rsidRPr="00620D20">
        <w:rPr>
          <w:rFonts w:eastAsia="Times New Roman" w:cs="Calibri"/>
          <w:szCs w:val="24"/>
          <w:lang w:eastAsia="en-US"/>
        </w:rPr>
        <w:t>ani nemusí žádný příspěvek obdržet</w:t>
      </w:r>
      <w:r w:rsidR="009F21B9">
        <w:rPr>
          <w:rFonts w:eastAsia="Times New Roman" w:cs="Calibri"/>
          <w:szCs w:val="24"/>
          <w:lang w:eastAsia="en-US"/>
        </w:rPr>
        <w:t>.</w:t>
      </w:r>
    </w:p>
    <w:p w14:paraId="1B3F908B" w14:textId="5523FAC9" w:rsidR="00F73944" w:rsidRDefault="00F73944" w:rsidP="00D723A6">
      <w:pPr>
        <w:widowControl/>
        <w:autoSpaceDE/>
        <w:autoSpaceDN/>
        <w:adjustRightInd/>
        <w:spacing w:before="120" w:after="120"/>
        <w:rPr>
          <w:rFonts w:eastAsia="Times New Roman" w:cs="Calibri"/>
          <w:szCs w:val="24"/>
          <w:lang w:eastAsia="en-US"/>
        </w:rPr>
      </w:pPr>
    </w:p>
    <w:p w14:paraId="371A49A8" w14:textId="1519A688" w:rsidR="00C92278" w:rsidRPr="0040296D" w:rsidRDefault="00C92278" w:rsidP="00D723A6">
      <w:pPr>
        <w:pStyle w:val="Nadpis2"/>
        <w:widowControl/>
        <w:rPr>
          <w:rFonts w:eastAsia="Times New Roman"/>
          <w:lang w:eastAsia="en-US"/>
        </w:rPr>
      </w:pPr>
      <w:r w:rsidRPr="0040296D">
        <w:rPr>
          <w:rFonts w:eastAsia="Times New Roman"/>
          <w:lang w:eastAsia="en-US"/>
        </w:rPr>
        <w:t>2.2</w:t>
      </w:r>
      <w:r w:rsidR="00856FCB">
        <w:rPr>
          <w:rFonts w:eastAsia="Times New Roman"/>
          <w:lang w:eastAsia="en-US"/>
        </w:rPr>
        <w:t xml:space="preserve"> </w:t>
      </w:r>
      <w:r w:rsidR="00D51785" w:rsidRPr="0040296D">
        <w:rPr>
          <w:rFonts w:eastAsia="Times New Roman"/>
          <w:lang w:eastAsia="en-US"/>
        </w:rPr>
        <w:t>Rehabilitační a léčebně preventivní pobyty</w:t>
      </w:r>
    </w:p>
    <w:p w14:paraId="6CB0C749" w14:textId="614FC2F8" w:rsidR="00C92278" w:rsidRPr="0040296D" w:rsidRDefault="003B7609" w:rsidP="00D723A6">
      <w:pPr>
        <w:widowControl/>
        <w:autoSpaceDE/>
        <w:autoSpaceDN/>
        <w:adjustRightInd/>
        <w:spacing w:before="120" w:after="120"/>
        <w:rPr>
          <w:rFonts w:eastAsia="Times New Roman" w:cs="Calibri"/>
          <w:szCs w:val="24"/>
          <w:highlight w:val="yellow"/>
          <w:lang w:eastAsia="en-US"/>
        </w:rPr>
      </w:pPr>
      <w:r w:rsidRPr="0040296D">
        <w:rPr>
          <w:rFonts w:eastAsia="Times New Roman" w:cs="Calibri"/>
          <w:szCs w:val="24"/>
          <w:lang w:eastAsia="en-US"/>
        </w:rPr>
        <w:t xml:space="preserve">Z Programu 6 bylo čerpáno na </w:t>
      </w:r>
      <w:r w:rsidR="008446FC" w:rsidRPr="0040296D">
        <w:rPr>
          <w:rFonts w:eastAsia="Times New Roman" w:cs="Calibri"/>
          <w:szCs w:val="24"/>
          <w:lang w:eastAsia="en-US"/>
        </w:rPr>
        <w:t>rehabilitační a léčebně preventivní pobyty (dále také „RLPP“)</w:t>
      </w:r>
      <w:r w:rsidRPr="0040296D">
        <w:rPr>
          <w:rFonts w:eastAsia="Times New Roman" w:cs="Calibri"/>
          <w:i/>
          <w:szCs w:val="24"/>
          <w:lang w:eastAsia="en-US"/>
        </w:rPr>
        <w:t xml:space="preserve"> </w:t>
      </w:r>
      <w:r w:rsidRPr="0040296D">
        <w:rPr>
          <w:rFonts w:eastAsia="Times New Roman" w:cs="Calibri"/>
          <w:szCs w:val="24"/>
          <w:lang w:eastAsia="en-US"/>
        </w:rPr>
        <w:t>v</w:t>
      </w:r>
      <w:r w:rsidR="008C1E8C">
        <w:rPr>
          <w:rFonts w:eastAsia="Times New Roman" w:cs="Calibri"/>
          <w:szCs w:val="24"/>
          <w:lang w:eastAsia="en-US"/>
        </w:rPr>
        <w:t> </w:t>
      </w:r>
      <w:r w:rsidRPr="0040296D">
        <w:rPr>
          <w:rFonts w:eastAsia="Times New Roman" w:cs="Calibri"/>
          <w:szCs w:val="24"/>
          <w:lang w:eastAsia="en-US"/>
        </w:rPr>
        <w:t>letech 2020 až 2022 celkem 39 469 890 Kč. Peněžní prostředky na RLPP čerpali pouze</w:t>
      </w:r>
      <w:r w:rsidR="00F71A78" w:rsidRPr="0040296D">
        <w:rPr>
          <w:rFonts w:eastAsia="Times New Roman" w:cs="Calibri"/>
          <w:szCs w:val="24"/>
          <w:lang w:eastAsia="en-US"/>
        </w:rPr>
        <w:t xml:space="preserve"> pojištěnci zaměstnavatelů a spolku zařazených </w:t>
      </w:r>
      <w:r w:rsidRPr="0040296D">
        <w:rPr>
          <w:rFonts w:eastAsia="Times New Roman" w:cs="Calibri"/>
          <w:szCs w:val="24"/>
          <w:lang w:eastAsia="en-US"/>
        </w:rPr>
        <w:t xml:space="preserve">do nejvyšší kategorie podle zdravotního rizika (viz </w:t>
      </w:r>
      <w:proofErr w:type="spellStart"/>
      <w:r w:rsidRPr="0040296D">
        <w:rPr>
          <w:rFonts w:eastAsia="Times New Roman" w:cs="Calibri"/>
          <w:szCs w:val="24"/>
          <w:lang w:eastAsia="en-US"/>
        </w:rPr>
        <w:t>podkap</w:t>
      </w:r>
      <w:proofErr w:type="spellEnd"/>
      <w:r w:rsidRPr="0040296D">
        <w:rPr>
          <w:rFonts w:eastAsia="Times New Roman" w:cs="Calibri"/>
          <w:szCs w:val="24"/>
          <w:lang w:eastAsia="en-US"/>
        </w:rPr>
        <w:t>. 2.1</w:t>
      </w:r>
      <w:r w:rsidR="00011538">
        <w:rPr>
          <w:rFonts w:eastAsia="Times New Roman" w:cs="Calibri"/>
          <w:szCs w:val="24"/>
          <w:lang w:eastAsia="en-US"/>
        </w:rPr>
        <w:t xml:space="preserve"> tohoto kontrolního závěru</w:t>
      </w:r>
      <w:r w:rsidRPr="0040296D">
        <w:rPr>
          <w:rFonts w:eastAsia="Times New Roman" w:cs="Calibri"/>
          <w:szCs w:val="24"/>
          <w:lang w:eastAsia="en-US"/>
        </w:rPr>
        <w:t xml:space="preserve">). </w:t>
      </w:r>
      <w:r w:rsidR="00C92278" w:rsidRPr="0040296D">
        <w:rPr>
          <w:rFonts w:eastAsia="Times New Roman" w:cs="Calibri"/>
          <w:szCs w:val="24"/>
          <w:lang w:eastAsia="en-US"/>
        </w:rPr>
        <w:t>ZPMV do procesu výběru pojištěnců na</w:t>
      </w:r>
      <w:r w:rsidR="00E43FA4" w:rsidRPr="0040296D">
        <w:rPr>
          <w:rFonts w:eastAsia="Times New Roman" w:cs="Calibri"/>
          <w:szCs w:val="24"/>
          <w:lang w:eastAsia="en-US"/>
        </w:rPr>
        <w:t> </w:t>
      </w:r>
      <w:r w:rsidR="00C92278" w:rsidRPr="0040296D">
        <w:rPr>
          <w:rFonts w:eastAsia="Times New Roman" w:cs="Calibri"/>
          <w:szCs w:val="24"/>
          <w:lang w:eastAsia="en-US"/>
        </w:rPr>
        <w:t>čerpání příspěvků na RLPP vůbec nevstupovala</w:t>
      </w:r>
      <w:r w:rsidR="00D4559F" w:rsidRPr="0040296D">
        <w:rPr>
          <w:rFonts w:eastAsia="Times New Roman" w:cs="Calibri"/>
          <w:szCs w:val="24"/>
          <w:lang w:eastAsia="en-US"/>
        </w:rPr>
        <w:t xml:space="preserve"> a neposuzovala,</w:t>
      </w:r>
      <w:r w:rsidR="00382795">
        <w:rPr>
          <w:rFonts w:eastAsia="Times New Roman" w:cs="Calibri"/>
          <w:szCs w:val="24"/>
          <w:lang w:eastAsia="en-US"/>
        </w:rPr>
        <w:t xml:space="preserve"> </w:t>
      </w:r>
      <w:r w:rsidR="00D4559F" w:rsidRPr="0040296D">
        <w:rPr>
          <w:rFonts w:eastAsia="Times New Roman" w:cs="Calibri"/>
          <w:szCs w:val="24"/>
          <w:lang w:eastAsia="en-US"/>
        </w:rPr>
        <w:t>zda</w:t>
      </w:r>
      <w:r w:rsidR="00382795">
        <w:rPr>
          <w:rFonts w:eastAsia="Times New Roman" w:cs="Calibri"/>
          <w:szCs w:val="24"/>
          <w:lang w:eastAsia="en-US"/>
        </w:rPr>
        <w:t xml:space="preserve"> </w:t>
      </w:r>
      <w:r w:rsidR="00D4559F" w:rsidRPr="0040296D">
        <w:rPr>
          <w:rFonts w:eastAsia="Times New Roman" w:cs="Calibri"/>
          <w:szCs w:val="24"/>
          <w:lang w:eastAsia="en-US"/>
        </w:rPr>
        <w:t>pojištěnci splnili podmínku pro poskytnutí příspěvku na</w:t>
      </w:r>
      <w:r w:rsidR="002C5079" w:rsidRPr="0040296D">
        <w:rPr>
          <w:rFonts w:eastAsia="Times New Roman" w:cs="Calibri"/>
          <w:szCs w:val="24"/>
          <w:lang w:eastAsia="en-US"/>
        </w:rPr>
        <w:t> </w:t>
      </w:r>
      <w:r w:rsidR="00D4559F" w:rsidRPr="0040296D">
        <w:rPr>
          <w:rFonts w:eastAsia="Times New Roman" w:cs="Calibri"/>
          <w:szCs w:val="24"/>
          <w:lang w:eastAsia="en-US"/>
        </w:rPr>
        <w:t xml:space="preserve">RLPP. Dle podmínek měl </w:t>
      </w:r>
      <w:r w:rsidR="00B77263" w:rsidRPr="0040296D">
        <w:rPr>
          <w:rFonts w:eastAsia="Times New Roman" w:cs="Calibri"/>
          <w:szCs w:val="24"/>
          <w:lang w:eastAsia="en-US"/>
        </w:rPr>
        <w:t>zaměstnavatel provádět</w:t>
      </w:r>
      <w:r w:rsidR="00D4559F" w:rsidRPr="0040296D">
        <w:rPr>
          <w:rFonts w:eastAsia="Times New Roman" w:cs="Calibri"/>
          <w:szCs w:val="24"/>
          <w:lang w:eastAsia="en-US"/>
        </w:rPr>
        <w:t xml:space="preserve"> výběr pojištěnců s</w:t>
      </w:r>
      <w:r w:rsidR="00B77263" w:rsidRPr="0040296D">
        <w:rPr>
          <w:rFonts w:eastAsia="Times New Roman" w:cs="Calibri"/>
          <w:szCs w:val="24"/>
          <w:lang w:eastAsia="en-US"/>
        </w:rPr>
        <w:t>polečně s</w:t>
      </w:r>
      <w:r w:rsidR="00D4559F" w:rsidRPr="0040296D">
        <w:rPr>
          <w:rFonts w:eastAsia="Times New Roman" w:cs="Calibri"/>
          <w:szCs w:val="24"/>
          <w:lang w:eastAsia="en-US"/>
        </w:rPr>
        <w:t xml:space="preserve"> lékaři. Poukazy na RLPP žádný záznam lékaře neobsahovaly.</w:t>
      </w:r>
      <w:r w:rsidR="00C92278" w:rsidRPr="0040296D">
        <w:rPr>
          <w:rFonts w:eastAsia="Times New Roman" w:cs="Calibri"/>
          <w:szCs w:val="24"/>
          <w:lang w:eastAsia="en-US"/>
        </w:rPr>
        <w:t xml:space="preserve"> Tím, </w:t>
      </w:r>
      <w:r w:rsidR="003775E8" w:rsidRPr="0040296D">
        <w:rPr>
          <w:rFonts w:eastAsia="Times New Roman" w:cs="Calibri"/>
          <w:szCs w:val="24"/>
          <w:lang w:eastAsia="en-US"/>
        </w:rPr>
        <w:t>že</w:t>
      </w:r>
      <w:r w:rsidR="008B5C34" w:rsidRPr="0040296D">
        <w:rPr>
          <w:rFonts w:eastAsia="Times New Roman" w:cs="Calibri"/>
          <w:szCs w:val="24"/>
          <w:lang w:eastAsia="en-US"/>
        </w:rPr>
        <w:t> </w:t>
      </w:r>
      <w:r w:rsidR="00F71A78" w:rsidRPr="0040296D">
        <w:rPr>
          <w:rFonts w:eastAsia="Times New Roman" w:cs="Calibri"/>
          <w:szCs w:val="24"/>
          <w:lang w:eastAsia="en-US"/>
        </w:rPr>
        <w:t>ZPMV</w:t>
      </w:r>
      <w:r w:rsidR="0007397A" w:rsidRPr="0040296D">
        <w:rPr>
          <w:rFonts w:eastAsia="Times New Roman" w:cs="Calibri"/>
          <w:szCs w:val="24"/>
          <w:lang w:eastAsia="en-US"/>
        </w:rPr>
        <w:t xml:space="preserve"> </w:t>
      </w:r>
      <w:r w:rsidR="003775E8" w:rsidRPr="0040296D">
        <w:rPr>
          <w:rFonts w:eastAsia="Times New Roman" w:cs="Calibri"/>
          <w:szCs w:val="24"/>
          <w:lang w:eastAsia="en-US"/>
        </w:rPr>
        <w:t>neověřovala</w:t>
      </w:r>
      <w:r w:rsidR="00C92278" w:rsidRPr="0040296D">
        <w:rPr>
          <w:rFonts w:eastAsia="Times New Roman" w:cs="Calibri"/>
          <w:szCs w:val="24"/>
          <w:lang w:eastAsia="en-US"/>
        </w:rPr>
        <w:t>, zda pojištěnci čerpa</w:t>
      </w:r>
      <w:r w:rsidR="0007397A" w:rsidRPr="0040296D">
        <w:rPr>
          <w:rFonts w:eastAsia="Times New Roman" w:cs="Calibri"/>
          <w:szCs w:val="24"/>
          <w:lang w:eastAsia="en-US"/>
        </w:rPr>
        <w:t>li</w:t>
      </w:r>
      <w:r w:rsidR="00C92278" w:rsidRPr="0040296D">
        <w:rPr>
          <w:rFonts w:eastAsia="Times New Roman" w:cs="Calibri"/>
          <w:szCs w:val="24"/>
          <w:lang w:eastAsia="en-US"/>
        </w:rPr>
        <w:t xml:space="preserve"> příspěvek oprávněně</w:t>
      </w:r>
      <w:r w:rsidR="00F71A78" w:rsidRPr="0040296D">
        <w:rPr>
          <w:rFonts w:eastAsia="Times New Roman" w:cs="Calibri"/>
          <w:szCs w:val="24"/>
          <w:lang w:eastAsia="en-US"/>
        </w:rPr>
        <w:t>,</w:t>
      </w:r>
      <w:r w:rsidR="00C92278" w:rsidRPr="0040296D">
        <w:rPr>
          <w:rFonts w:eastAsia="Times New Roman" w:cs="Calibri"/>
          <w:szCs w:val="24"/>
          <w:lang w:eastAsia="en-US"/>
        </w:rPr>
        <w:t xml:space="preserve"> vytvářela</w:t>
      </w:r>
      <w:r w:rsidR="003775E8" w:rsidRPr="0040296D">
        <w:rPr>
          <w:rFonts w:eastAsia="Times New Roman" w:cs="Calibri"/>
          <w:szCs w:val="24"/>
          <w:lang w:eastAsia="en-US"/>
        </w:rPr>
        <w:t xml:space="preserve"> </w:t>
      </w:r>
      <w:r w:rsidR="00C92278" w:rsidRPr="0040296D">
        <w:rPr>
          <w:rFonts w:eastAsia="Times New Roman" w:cs="Calibri"/>
          <w:szCs w:val="24"/>
          <w:lang w:eastAsia="en-US"/>
        </w:rPr>
        <w:t xml:space="preserve">netransparentní prostředí a nerovné podmínky při rozdělování peněžních prostředků z fondu prevence. </w:t>
      </w:r>
    </w:p>
    <w:p w14:paraId="4A6CF05D" w14:textId="583B2DB2" w:rsidR="00C92278" w:rsidRPr="0040296D" w:rsidRDefault="00C92278" w:rsidP="00D723A6">
      <w:pPr>
        <w:widowControl/>
        <w:autoSpaceDE/>
        <w:autoSpaceDN/>
        <w:adjustRightInd/>
        <w:spacing w:before="120" w:after="120"/>
        <w:rPr>
          <w:rFonts w:eastAsia="Times New Roman" w:cs="Calibri"/>
          <w:szCs w:val="24"/>
          <w:lang w:eastAsia="en-US"/>
        </w:rPr>
      </w:pPr>
      <w:r w:rsidRPr="0040296D">
        <w:rPr>
          <w:rFonts w:eastAsia="Times New Roman" w:cs="Calibri"/>
          <w:szCs w:val="24"/>
          <w:lang w:eastAsia="en-US"/>
        </w:rPr>
        <w:t>NKÚ</w:t>
      </w:r>
      <w:r w:rsidR="00D4559F" w:rsidRPr="0040296D">
        <w:rPr>
          <w:rFonts w:eastAsia="Times New Roman" w:cs="Calibri"/>
          <w:szCs w:val="24"/>
          <w:lang w:eastAsia="en-US"/>
        </w:rPr>
        <w:t xml:space="preserve"> také</w:t>
      </w:r>
      <w:r w:rsidRPr="0040296D">
        <w:rPr>
          <w:rFonts w:eastAsia="Times New Roman" w:cs="Calibri"/>
          <w:szCs w:val="24"/>
          <w:lang w:eastAsia="en-US"/>
        </w:rPr>
        <w:t xml:space="preserve"> zjistil, že příspěvek na RLPP obdrželi opakovaně stejní zaměstnanci.</w:t>
      </w:r>
      <w:r w:rsidR="00D4559F" w:rsidRPr="0040296D">
        <w:rPr>
          <w:rFonts w:eastAsia="Times New Roman" w:cs="Calibri"/>
          <w:szCs w:val="24"/>
          <w:lang w:eastAsia="en-US"/>
        </w:rPr>
        <w:t xml:space="preserve"> Každoročně obdrželo poukaz na RLPP 1</w:t>
      </w:r>
      <w:r w:rsidR="000622AB">
        <w:rPr>
          <w:rFonts w:eastAsia="Times New Roman" w:cs="Calibri"/>
          <w:szCs w:val="24"/>
          <w:lang w:eastAsia="en-US"/>
        </w:rPr>
        <w:t> </w:t>
      </w:r>
      <w:r w:rsidR="00D4559F" w:rsidRPr="0040296D">
        <w:rPr>
          <w:rFonts w:eastAsia="Times New Roman" w:cs="Calibri"/>
          <w:szCs w:val="24"/>
          <w:lang w:eastAsia="en-US"/>
        </w:rPr>
        <w:t>014 až 1</w:t>
      </w:r>
      <w:r w:rsidR="000622AB">
        <w:rPr>
          <w:rFonts w:eastAsia="Times New Roman" w:cs="Calibri"/>
          <w:szCs w:val="24"/>
          <w:lang w:eastAsia="en-US"/>
        </w:rPr>
        <w:t> </w:t>
      </w:r>
      <w:r w:rsidR="00D4559F" w:rsidRPr="0040296D">
        <w:rPr>
          <w:rFonts w:eastAsia="Times New Roman" w:cs="Calibri"/>
          <w:szCs w:val="24"/>
          <w:lang w:eastAsia="en-US"/>
        </w:rPr>
        <w:t>268 pojištěnců. V</w:t>
      </w:r>
      <w:r w:rsidRPr="0040296D">
        <w:rPr>
          <w:rFonts w:eastAsia="Times New Roman" w:cs="Calibri"/>
          <w:szCs w:val="24"/>
          <w:lang w:eastAsia="en-US"/>
        </w:rPr>
        <w:t>e</w:t>
      </w:r>
      <w:r w:rsidR="00B01853" w:rsidRPr="0040296D">
        <w:rPr>
          <w:rFonts w:eastAsia="Times New Roman" w:cs="Calibri"/>
          <w:szCs w:val="24"/>
          <w:lang w:eastAsia="en-US"/>
        </w:rPr>
        <w:t> </w:t>
      </w:r>
      <w:r w:rsidRPr="0040296D">
        <w:rPr>
          <w:rFonts w:eastAsia="Times New Roman" w:cs="Calibri"/>
          <w:szCs w:val="24"/>
          <w:lang w:eastAsia="en-US"/>
        </w:rPr>
        <w:t>všech třech letech současně čerpalo</w:t>
      </w:r>
      <w:r w:rsidR="00D4559F" w:rsidRPr="0040296D">
        <w:rPr>
          <w:rFonts w:eastAsia="Times New Roman" w:cs="Calibri"/>
          <w:szCs w:val="24"/>
          <w:lang w:eastAsia="en-US"/>
        </w:rPr>
        <w:t xml:space="preserve"> příspěvek</w:t>
      </w:r>
      <w:r w:rsidRPr="0040296D">
        <w:rPr>
          <w:rFonts w:eastAsia="Times New Roman" w:cs="Calibri"/>
          <w:szCs w:val="24"/>
          <w:lang w:eastAsia="en-US"/>
        </w:rPr>
        <w:t xml:space="preserve"> 375 totožných pojištěnců. Aby</w:t>
      </w:r>
      <w:r w:rsidR="00955A5A">
        <w:rPr>
          <w:rFonts w:eastAsia="Times New Roman" w:cs="Calibri"/>
          <w:szCs w:val="24"/>
          <w:lang w:eastAsia="en-US"/>
        </w:rPr>
        <w:t xml:space="preserve"> </w:t>
      </w:r>
      <w:r w:rsidRPr="0040296D">
        <w:rPr>
          <w:rFonts w:eastAsia="Times New Roman" w:cs="Calibri"/>
          <w:szCs w:val="24"/>
          <w:lang w:eastAsia="en-US"/>
        </w:rPr>
        <w:t>mohl jeden pojištěnec zaměstnavatele obdržet poukaz na RLPP</w:t>
      </w:r>
      <w:r w:rsidR="00955A5A">
        <w:rPr>
          <w:rFonts w:eastAsia="Times New Roman" w:cs="Calibri"/>
          <w:szCs w:val="24"/>
          <w:lang w:eastAsia="en-US"/>
        </w:rPr>
        <w:t>,</w:t>
      </w:r>
      <w:r w:rsidRPr="0040296D">
        <w:rPr>
          <w:rFonts w:eastAsia="Times New Roman" w:cs="Calibri"/>
          <w:szCs w:val="24"/>
          <w:lang w:eastAsia="en-US"/>
        </w:rPr>
        <w:t xml:space="preserve"> bylo třeba vykázat </w:t>
      </w:r>
      <w:r w:rsidR="00AE40D2" w:rsidRPr="0040296D">
        <w:rPr>
          <w:rFonts w:eastAsia="Times New Roman" w:cs="Calibri"/>
          <w:szCs w:val="24"/>
          <w:lang w:eastAsia="en-US"/>
        </w:rPr>
        <w:t>i více než 43</w:t>
      </w:r>
      <w:r w:rsidR="000652DD" w:rsidRPr="0040296D">
        <w:rPr>
          <w:rFonts w:eastAsia="Times New Roman" w:cs="Calibri"/>
          <w:szCs w:val="24"/>
          <w:lang w:eastAsia="en-US"/>
        </w:rPr>
        <w:t xml:space="preserve"> </w:t>
      </w:r>
      <w:r w:rsidRPr="0040296D">
        <w:rPr>
          <w:rFonts w:eastAsia="Times New Roman" w:cs="Calibri"/>
          <w:szCs w:val="24"/>
          <w:lang w:eastAsia="en-US"/>
        </w:rPr>
        <w:t>pojištěnců (dle výše příspěvku na jednoho pojištěnce). Spolek zapojený do programu v rozporu s</w:t>
      </w:r>
      <w:r w:rsidR="000622AB">
        <w:rPr>
          <w:rFonts w:eastAsia="Times New Roman" w:cs="Calibri"/>
          <w:szCs w:val="24"/>
          <w:lang w:eastAsia="en-US"/>
        </w:rPr>
        <w:t> </w:t>
      </w:r>
      <w:r w:rsidRPr="0040296D">
        <w:rPr>
          <w:rFonts w:eastAsia="Times New Roman" w:cs="Calibri"/>
          <w:szCs w:val="24"/>
          <w:lang w:eastAsia="en-US"/>
        </w:rPr>
        <w:t>jeho</w:t>
      </w:r>
      <w:r w:rsidR="000622AB">
        <w:rPr>
          <w:rFonts w:eastAsia="Times New Roman" w:cs="Calibri"/>
          <w:szCs w:val="24"/>
          <w:lang w:eastAsia="en-US"/>
        </w:rPr>
        <w:t xml:space="preserve"> </w:t>
      </w:r>
      <w:r w:rsidRPr="0040296D">
        <w:rPr>
          <w:rFonts w:eastAsia="Times New Roman" w:cs="Calibri"/>
          <w:szCs w:val="24"/>
          <w:lang w:eastAsia="en-US"/>
        </w:rPr>
        <w:t>podmínkami přidělil v roce 2020 z 19 vydaných poukazů celkem osm poukazů členům svého výkonného výboru nebo kontrolního orgánu. V roce 2021 přidělil ze 17 poukazů celkem sedm poukazů členům svého výkonného výboru nebo kontrolního orgánu. V roce 2022 přidělil ze 17 poukazů celkem 8</w:t>
      </w:r>
      <w:r w:rsidR="00E43FA4" w:rsidRPr="0040296D">
        <w:rPr>
          <w:rFonts w:eastAsia="Times New Roman" w:cs="Calibri"/>
          <w:szCs w:val="24"/>
          <w:lang w:eastAsia="en-US"/>
        </w:rPr>
        <w:t> </w:t>
      </w:r>
      <w:r w:rsidRPr="0040296D">
        <w:rPr>
          <w:rFonts w:eastAsia="Times New Roman" w:cs="Calibri"/>
          <w:szCs w:val="24"/>
          <w:lang w:eastAsia="en-US"/>
        </w:rPr>
        <w:t>poukazů členům svého výkonného výboru nebo kontrolního orgánu.</w:t>
      </w:r>
    </w:p>
    <w:p w14:paraId="5854B8FB" w14:textId="4D35AF2B" w:rsidR="00C92278" w:rsidRPr="0040296D" w:rsidRDefault="00C92278" w:rsidP="00D723A6">
      <w:pPr>
        <w:pStyle w:val="Nadpis2"/>
        <w:widowControl/>
        <w:rPr>
          <w:rFonts w:eastAsia="Times New Roman"/>
          <w:lang w:eastAsia="en-US"/>
        </w:rPr>
      </w:pPr>
      <w:r w:rsidRPr="0040296D">
        <w:rPr>
          <w:rFonts w:eastAsia="Times New Roman"/>
          <w:lang w:eastAsia="en-US"/>
        </w:rPr>
        <w:t>2.3</w:t>
      </w:r>
      <w:r w:rsidR="00856FCB">
        <w:rPr>
          <w:rFonts w:eastAsia="Times New Roman"/>
          <w:lang w:eastAsia="en-US"/>
        </w:rPr>
        <w:t xml:space="preserve"> </w:t>
      </w:r>
      <w:r w:rsidRPr="0040296D">
        <w:rPr>
          <w:rFonts w:eastAsia="Times New Roman"/>
          <w:lang w:eastAsia="en-US"/>
        </w:rPr>
        <w:t xml:space="preserve">ZPMV pojištěncům neoprávněně vyplatila příspěvky z fondu prevence </w:t>
      </w:r>
    </w:p>
    <w:p w14:paraId="28D985CF" w14:textId="509B4609" w:rsidR="00C92278" w:rsidRPr="0040296D" w:rsidRDefault="001D486A" w:rsidP="00D723A6">
      <w:pPr>
        <w:widowControl/>
        <w:autoSpaceDE/>
        <w:autoSpaceDN/>
        <w:adjustRightInd/>
        <w:spacing w:before="120" w:after="120"/>
        <w:rPr>
          <w:rFonts w:eastAsia="Times New Roman" w:cs="Calibri"/>
          <w:i/>
          <w:szCs w:val="24"/>
          <w:lang w:eastAsia="en-US"/>
        </w:rPr>
      </w:pPr>
      <w:r w:rsidRPr="0040296D">
        <w:rPr>
          <w:rFonts w:cs="Calibri"/>
          <w:szCs w:val="24"/>
          <w:lang w:eastAsia="en-US"/>
        </w:rPr>
        <w:t>NKÚ prověřil vzorek 146 pojištěnců, kterým byl vyplacen příspěvek v celkové výši 191 88</w:t>
      </w:r>
      <w:r w:rsidR="00077785" w:rsidRPr="0040296D">
        <w:rPr>
          <w:rFonts w:cs="Calibri"/>
          <w:szCs w:val="24"/>
          <w:lang w:eastAsia="en-US"/>
        </w:rPr>
        <w:t>3</w:t>
      </w:r>
      <w:r w:rsidRPr="0040296D">
        <w:rPr>
          <w:rFonts w:cs="Calibri"/>
          <w:szCs w:val="24"/>
          <w:lang w:eastAsia="en-US"/>
        </w:rPr>
        <w:t> Kč.</w:t>
      </w:r>
      <w:r w:rsidR="00876BD4" w:rsidRPr="0040296D">
        <w:rPr>
          <w:rFonts w:cs="Calibri"/>
          <w:szCs w:val="24"/>
          <w:lang w:eastAsia="en-US"/>
        </w:rPr>
        <w:t xml:space="preserve"> </w:t>
      </w:r>
      <w:r w:rsidR="00C92278" w:rsidRPr="0040296D">
        <w:rPr>
          <w:rFonts w:eastAsia="Times New Roman" w:cs="Calibri"/>
          <w:szCs w:val="24"/>
          <w:lang w:eastAsia="en-US"/>
        </w:rPr>
        <w:t xml:space="preserve">V letech 2020 až 2022 ZPMV poskytovala příspěvky netransparentně, neoprávněně zvýhodňovala pojištěnce ZPMV </w:t>
      </w:r>
      <w:bookmarkStart w:id="5" w:name="_Hlk160197221"/>
      <w:r w:rsidR="00C92278" w:rsidRPr="0040296D">
        <w:rPr>
          <w:rFonts w:eastAsia="Times New Roman" w:cs="Calibri"/>
          <w:szCs w:val="24"/>
          <w:lang w:eastAsia="en-US"/>
        </w:rPr>
        <w:t xml:space="preserve">a postupovala v rozporu s podmínkami, když jim vyplatila příspěvek z FP nad maximální nebo také </w:t>
      </w:r>
      <w:r w:rsidR="001E6FCC" w:rsidRPr="0040296D">
        <w:rPr>
          <w:rFonts w:eastAsia="Times New Roman" w:cs="Calibri"/>
          <w:szCs w:val="24"/>
          <w:lang w:eastAsia="en-US"/>
        </w:rPr>
        <w:t xml:space="preserve">nad </w:t>
      </w:r>
      <w:r w:rsidR="00C92278" w:rsidRPr="0040296D">
        <w:rPr>
          <w:rFonts w:eastAsia="Times New Roman" w:cs="Calibri"/>
          <w:szCs w:val="24"/>
          <w:lang w:eastAsia="en-US"/>
        </w:rPr>
        <w:t>doloženou výši.</w:t>
      </w:r>
      <w:r w:rsidR="00B77263" w:rsidRPr="0040296D">
        <w:rPr>
          <w:rFonts w:eastAsia="Times New Roman" w:cs="Calibri"/>
          <w:szCs w:val="24"/>
          <w:lang w:eastAsia="en-US"/>
        </w:rPr>
        <w:t xml:space="preserve"> </w:t>
      </w:r>
      <w:r w:rsidR="00B77263" w:rsidRPr="0040296D">
        <w:rPr>
          <w:rFonts w:eastAsia="Calibri" w:cs="Calibri"/>
          <w:iCs/>
          <w:szCs w:val="24"/>
        </w:rPr>
        <w:t>ZPMV vyplatila 37 pojištěncům v letech 2020 až 2022 příspěvek ve vyšší částce, než byla stanovena maximální výše příspěvku nebo také o kterou pojištěnci žádali a doložili doklady</w:t>
      </w:r>
      <w:r w:rsidR="00B77263" w:rsidRPr="0040296D">
        <w:rPr>
          <w:rStyle w:val="Znakapoznpodarou"/>
          <w:rFonts w:eastAsia="Calibri" w:cs="Calibri"/>
          <w:iCs/>
          <w:szCs w:val="24"/>
        </w:rPr>
        <w:footnoteReference w:id="20"/>
      </w:r>
      <w:r w:rsidR="00B77263" w:rsidRPr="0040296D">
        <w:rPr>
          <w:rFonts w:eastAsia="Calibri" w:cs="Calibri"/>
          <w:iCs/>
          <w:szCs w:val="24"/>
        </w:rPr>
        <w:t xml:space="preserve">. </w:t>
      </w:r>
      <w:r w:rsidR="00B77263" w:rsidRPr="0040296D">
        <w:rPr>
          <w:rFonts w:eastAsia="Times New Roman" w:cs="Calibri"/>
          <w:szCs w:val="24"/>
          <w:lang w:eastAsia="en-US"/>
        </w:rPr>
        <w:t xml:space="preserve">Na základě kontroly NKÚ oslovila ZPMV pojištěnce s žádostí o vrácení příspěvku. </w:t>
      </w:r>
      <w:r w:rsidR="00B77263" w:rsidRPr="0040296D">
        <w:rPr>
          <w:rFonts w:cs="Calibri"/>
        </w:rPr>
        <w:t>P</w:t>
      </w:r>
      <w:r w:rsidR="00B77263" w:rsidRPr="0040296D">
        <w:rPr>
          <w:rFonts w:eastAsia="Times New Roman" w:cs="Calibri"/>
          <w:szCs w:val="24"/>
          <w:lang w:eastAsia="en-US"/>
        </w:rPr>
        <w:t>řeplatek příspěvku vrátilo 15</w:t>
      </w:r>
      <w:r w:rsidR="00B77263" w:rsidRPr="0040296D">
        <w:rPr>
          <w:rFonts w:cs="Calibri"/>
        </w:rPr>
        <w:t xml:space="preserve"> </w:t>
      </w:r>
      <w:r w:rsidR="00B77263" w:rsidRPr="0040296D">
        <w:rPr>
          <w:rFonts w:eastAsia="Times New Roman" w:cs="Calibri"/>
          <w:szCs w:val="24"/>
          <w:lang w:eastAsia="en-US"/>
        </w:rPr>
        <w:t>pojištěnců.</w:t>
      </w:r>
      <w:r w:rsidR="00C92278" w:rsidRPr="0040296D">
        <w:rPr>
          <w:rFonts w:eastAsia="Times New Roman" w:cs="Calibri"/>
          <w:szCs w:val="24"/>
          <w:lang w:eastAsia="en-US"/>
        </w:rPr>
        <w:t xml:space="preserve"> </w:t>
      </w:r>
      <w:bookmarkEnd w:id="5"/>
    </w:p>
    <w:p w14:paraId="60EAAEA0" w14:textId="77777777" w:rsidR="00780E40" w:rsidRPr="0040296D" w:rsidRDefault="00C92278" w:rsidP="00D723A6">
      <w:pPr>
        <w:pStyle w:val="Nadpis2"/>
        <w:widowControl/>
        <w:rPr>
          <w:rFonts w:eastAsia="Times New Roman"/>
          <w:lang w:eastAsia="en-US"/>
        </w:rPr>
      </w:pPr>
      <w:r w:rsidRPr="0040296D">
        <w:rPr>
          <w:rFonts w:eastAsia="Times New Roman"/>
          <w:lang w:eastAsia="en-US"/>
        </w:rPr>
        <w:t>2.4</w:t>
      </w:r>
      <w:r w:rsidRPr="0040296D">
        <w:rPr>
          <w:rFonts w:eastAsia="Times New Roman"/>
          <w:lang w:eastAsia="en-US"/>
        </w:rPr>
        <w:tab/>
      </w:r>
      <w:r w:rsidR="00780E40" w:rsidRPr="0040296D">
        <w:rPr>
          <w:rFonts w:eastAsia="Times New Roman"/>
          <w:lang w:eastAsia="en-US"/>
        </w:rPr>
        <w:t>ZPMV neoprávněně zvýhodňovala některé pojištěnce při poskytování příspěvku z fondu prevence</w:t>
      </w:r>
    </w:p>
    <w:p w14:paraId="1BEAB6EA" w14:textId="5044E855" w:rsidR="00780E40" w:rsidRPr="0040296D" w:rsidRDefault="00780E40" w:rsidP="00D723A6">
      <w:pPr>
        <w:widowControl/>
        <w:autoSpaceDE/>
        <w:autoSpaceDN/>
        <w:adjustRightInd/>
        <w:spacing w:before="120" w:after="120"/>
        <w:ind w:right="-2"/>
        <w:rPr>
          <w:rFonts w:cs="Calibri"/>
        </w:rPr>
      </w:pPr>
      <w:r w:rsidRPr="0040296D">
        <w:rPr>
          <w:rFonts w:eastAsia="Calibri" w:cs="Calibri"/>
          <w:iCs/>
          <w:szCs w:val="24"/>
        </w:rPr>
        <w:t xml:space="preserve">ZPMV bez jasně stanovených kritérií pro vyhodnocování stížností </w:t>
      </w:r>
      <w:r w:rsidR="00B77263" w:rsidRPr="0040296D">
        <w:rPr>
          <w:rFonts w:eastAsia="Calibri" w:cs="Calibri"/>
          <w:iCs/>
          <w:szCs w:val="24"/>
        </w:rPr>
        <w:t xml:space="preserve">pojištěnců </w:t>
      </w:r>
      <w:r w:rsidRPr="0040296D">
        <w:rPr>
          <w:rFonts w:eastAsia="Calibri" w:cs="Calibri"/>
          <w:iCs/>
          <w:szCs w:val="24"/>
        </w:rPr>
        <w:t xml:space="preserve">vytvářela v roce 2020 a 2022 netransparentní prostředí pro žadatele a také neoprávněně zvýhodnila některé pojištěnce, když jim vyplatila příspěvek z fondu prevence, </w:t>
      </w:r>
      <w:r w:rsidR="00B238B6" w:rsidRPr="0040296D">
        <w:rPr>
          <w:rFonts w:eastAsia="Calibri" w:cs="Calibri"/>
          <w:iCs/>
          <w:szCs w:val="24"/>
        </w:rPr>
        <w:t>přestože</w:t>
      </w:r>
      <w:r w:rsidRPr="0040296D">
        <w:rPr>
          <w:rFonts w:eastAsia="Calibri" w:cs="Calibri"/>
          <w:iCs/>
          <w:szCs w:val="24"/>
        </w:rPr>
        <w:t xml:space="preserve"> jiným pojištěncům příspěvek v</w:t>
      </w:r>
      <w:r w:rsidR="00B01853" w:rsidRPr="0040296D">
        <w:rPr>
          <w:rFonts w:eastAsia="Calibri" w:cs="Calibri"/>
          <w:iCs/>
          <w:szCs w:val="24"/>
        </w:rPr>
        <w:t> </w:t>
      </w:r>
      <w:r w:rsidRPr="0040296D">
        <w:rPr>
          <w:rFonts w:eastAsia="Calibri" w:cs="Calibri"/>
          <w:iCs/>
          <w:szCs w:val="24"/>
        </w:rPr>
        <w:t xml:space="preserve">obdobných případech neposkytla, a tím je i diskriminovala. </w:t>
      </w:r>
    </w:p>
    <w:p w14:paraId="10B9DAE7" w14:textId="2C2E2212" w:rsidR="00780E40" w:rsidRPr="0040296D" w:rsidRDefault="00780E40" w:rsidP="00D723A6">
      <w:pPr>
        <w:widowControl/>
        <w:autoSpaceDE/>
        <w:autoSpaceDN/>
        <w:adjustRightInd/>
        <w:spacing w:before="120" w:after="120"/>
        <w:rPr>
          <w:rFonts w:eastAsia="Times New Roman" w:cs="Calibri"/>
          <w:szCs w:val="24"/>
          <w:lang w:eastAsia="en-US"/>
        </w:rPr>
      </w:pPr>
      <w:r w:rsidRPr="0040296D">
        <w:rPr>
          <w:rFonts w:eastAsia="Times New Roman" w:cs="Calibri"/>
          <w:szCs w:val="24"/>
          <w:lang w:eastAsia="en-US"/>
        </w:rPr>
        <w:t xml:space="preserve">ZPMV přispívala prostřednictvím preventivního programu </w:t>
      </w:r>
      <w:r w:rsidR="000622AB">
        <w:rPr>
          <w:rFonts w:eastAsia="Times New Roman" w:cs="Calibri"/>
          <w:szCs w:val="24"/>
          <w:lang w:eastAsia="en-US"/>
        </w:rPr>
        <w:t>„</w:t>
      </w:r>
      <w:r w:rsidRPr="0040296D">
        <w:rPr>
          <w:rFonts w:eastAsia="Times New Roman" w:cs="Calibri"/>
          <w:szCs w:val="24"/>
          <w:lang w:eastAsia="en-US"/>
        </w:rPr>
        <w:t>s</w:t>
      </w:r>
      <w:r w:rsidRPr="000622AB">
        <w:rPr>
          <w:rFonts w:eastAsia="Times New Roman" w:cs="Calibri"/>
          <w:szCs w:val="24"/>
          <w:lang w:eastAsia="en-US"/>
        </w:rPr>
        <w:t>ezónní akce – silná imunita</w:t>
      </w:r>
      <w:r w:rsidR="000622AB">
        <w:rPr>
          <w:rFonts w:eastAsia="Times New Roman" w:cs="Calibri"/>
          <w:szCs w:val="24"/>
          <w:lang w:eastAsia="en-US"/>
        </w:rPr>
        <w:t>“</w:t>
      </w:r>
      <w:r w:rsidRPr="0040296D">
        <w:rPr>
          <w:rFonts w:eastAsia="Times New Roman" w:cs="Calibri"/>
          <w:szCs w:val="24"/>
          <w:lang w:eastAsia="en-US"/>
        </w:rPr>
        <w:t xml:space="preserve"> v letech 2020 a 2022 </w:t>
      </w:r>
      <w:r w:rsidRPr="0040296D">
        <w:rPr>
          <w:rFonts w:eastAsia="Times New Roman" w:cs="Calibri"/>
          <w:szCs w:val="22"/>
          <w:lang w:eastAsia="en-US"/>
        </w:rPr>
        <w:t>na posílení imunity příspěvkem až do výše 250 Kč na nákup vitamínů a</w:t>
      </w:r>
      <w:r w:rsidR="000622AB">
        <w:rPr>
          <w:rFonts w:eastAsia="Times New Roman" w:cs="Calibri"/>
          <w:szCs w:val="22"/>
          <w:lang w:eastAsia="en-US"/>
        </w:rPr>
        <w:t> </w:t>
      </w:r>
      <w:r w:rsidRPr="0040296D">
        <w:rPr>
          <w:rFonts w:eastAsia="Times New Roman" w:cs="Calibri"/>
          <w:szCs w:val="22"/>
          <w:lang w:eastAsia="en-US"/>
        </w:rPr>
        <w:t xml:space="preserve">minerálních látek. Podmínky čerpání byly zveřejněné na webových stránkách ZPMV. </w:t>
      </w:r>
    </w:p>
    <w:p w14:paraId="0013A127" w14:textId="4F49EC9A" w:rsidR="00780E40" w:rsidRPr="0040296D" w:rsidRDefault="00780E40" w:rsidP="00D723A6">
      <w:pPr>
        <w:widowControl/>
        <w:autoSpaceDE/>
        <w:autoSpaceDN/>
        <w:adjustRightInd/>
        <w:spacing w:before="120" w:after="120"/>
        <w:rPr>
          <w:rFonts w:eastAsia="Times New Roman" w:cs="Calibri"/>
          <w:szCs w:val="24"/>
          <w:lang w:eastAsia="en-US"/>
        </w:rPr>
      </w:pPr>
      <w:r w:rsidRPr="0040296D">
        <w:rPr>
          <w:rFonts w:eastAsia="Times New Roman" w:cs="Calibri"/>
          <w:szCs w:val="24"/>
          <w:lang w:eastAsia="en-US"/>
        </w:rPr>
        <w:t>ZPMV na rok 2020 plánovala výdaje na tento preventivní program ve výši 10 mil. Kč, ve</w:t>
      </w:r>
      <w:r w:rsidR="00B01853" w:rsidRPr="0040296D">
        <w:rPr>
          <w:rFonts w:eastAsia="Times New Roman" w:cs="Calibri"/>
          <w:szCs w:val="24"/>
          <w:lang w:eastAsia="en-US"/>
        </w:rPr>
        <w:t> </w:t>
      </w:r>
      <w:r w:rsidRPr="0040296D">
        <w:rPr>
          <w:rFonts w:eastAsia="Times New Roman" w:cs="Calibri"/>
          <w:szCs w:val="24"/>
          <w:lang w:eastAsia="en-US"/>
        </w:rPr>
        <w:t>skutečnosti poskytla částku ve výši 24</w:t>
      </w:r>
      <w:r w:rsidR="001E093D" w:rsidRPr="0040296D">
        <w:rPr>
          <w:rFonts w:eastAsia="Times New Roman" w:cs="Calibri"/>
          <w:szCs w:val="24"/>
          <w:lang w:eastAsia="en-US"/>
        </w:rPr>
        <w:t>,4 mil.</w:t>
      </w:r>
      <w:r w:rsidRPr="0040296D">
        <w:rPr>
          <w:rFonts w:eastAsia="Times New Roman" w:cs="Calibri"/>
          <w:szCs w:val="24"/>
          <w:lang w:eastAsia="en-US"/>
        </w:rPr>
        <w:t xml:space="preserve"> Kč. Z důvodu velkého zájmu pojištěnců ZPMV v roce 2020 ukončila předčasně příjem žádostí o proplacení příspěvku, na což byly podány v roce 2020 stížnosti od pojištěnců. NKÚ zjistil, že ZPMV postupovala</w:t>
      </w:r>
      <w:r w:rsidR="00E65634" w:rsidRPr="0040296D">
        <w:rPr>
          <w:rFonts w:eastAsia="Times New Roman" w:cs="Calibri"/>
          <w:szCs w:val="24"/>
          <w:lang w:eastAsia="en-US"/>
        </w:rPr>
        <w:t xml:space="preserve"> při rozhodování o</w:t>
      </w:r>
      <w:r w:rsidR="00756B64" w:rsidRPr="0040296D">
        <w:rPr>
          <w:rFonts w:eastAsia="Times New Roman" w:cs="Calibri"/>
          <w:szCs w:val="24"/>
          <w:lang w:eastAsia="en-US"/>
        </w:rPr>
        <w:t> </w:t>
      </w:r>
      <w:r w:rsidR="00E65634" w:rsidRPr="0040296D">
        <w:rPr>
          <w:rFonts w:eastAsia="Times New Roman" w:cs="Calibri"/>
          <w:szCs w:val="24"/>
          <w:lang w:eastAsia="en-US"/>
        </w:rPr>
        <w:t>stížnostech</w:t>
      </w:r>
      <w:r w:rsidRPr="0040296D">
        <w:rPr>
          <w:rFonts w:eastAsia="Times New Roman" w:cs="Calibri"/>
          <w:szCs w:val="24"/>
          <w:lang w:eastAsia="en-US"/>
        </w:rPr>
        <w:t xml:space="preserve"> rozdílně, když části pojištěnců příspěvek vyplatila, ačkoli jiným pojištěncům v</w:t>
      </w:r>
      <w:r w:rsidR="00E43FA4" w:rsidRPr="0040296D">
        <w:rPr>
          <w:rFonts w:eastAsia="Times New Roman" w:cs="Calibri"/>
          <w:szCs w:val="24"/>
          <w:lang w:eastAsia="en-US"/>
        </w:rPr>
        <w:t> </w:t>
      </w:r>
      <w:r w:rsidRPr="0040296D">
        <w:rPr>
          <w:rFonts w:eastAsia="Times New Roman" w:cs="Calibri"/>
          <w:szCs w:val="24"/>
          <w:lang w:eastAsia="en-US"/>
        </w:rPr>
        <w:t xml:space="preserve">obdobných případech nevyhověla. </w:t>
      </w:r>
    </w:p>
    <w:p w14:paraId="5AED7497" w14:textId="4E22BEAA" w:rsidR="00780E40" w:rsidRPr="0040296D" w:rsidRDefault="00780E40" w:rsidP="00D723A6">
      <w:pPr>
        <w:widowControl/>
        <w:autoSpaceDE/>
        <w:autoSpaceDN/>
        <w:adjustRightInd/>
        <w:spacing w:before="120" w:after="120"/>
        <w:rPr>
          <w:rFonts w:eastAsia="Times New Roman" w:cs="Calibri"/>
          <w:iCs/>
          <w:szCs w:val="24"/>
          <w:lang w:eastAsia="en-US"/>
        </w:rPr>
      </w:pPr>
      <w:r w:rsidRPr="0040296D">
        <w:rPr>
          <w:rFonts w:eastAsia="Times New Roman" w:cs="Calibri"/>
          <w:szCs w:val="24"/>
          <w:lang w:eastAsia="en-US"/>
        </w:rPr>
        <w:t>ZPMV na rok 2022 plánovala výdaje na tento preventivní program ve výši 15 mil. Kč, ve</w:t>
      </w:r>
      <w:r w:rsidR="00B01853" w:rsidRPr="0040296D">
        <w:rPr>
          <w:rFonts w:eastAsia="Times New Roman" w:cs="Calibri"/>
          <w:szCs w:val="24"/>
          <w:lang w:eastAsia="en-US"/>
        </w:rPr>
        <w:t> </w:t>
      </w:r>
      <w:r w:rsidRPr="0040296D">
        <w:rPr>
          <w:rFonts w:eastAsia="Times New Roman" w:cs="Calibri"/>
          <w:szCs w:val="24"/>
          <w:lang w:eastAsia="en-US"/>
        </w:rPr>
        <w:t>skutečnosti poskytla částku ve výši 12</w:t>
      </w:r>
      <w:r w:rsidR="001E093D" w:rsidRPr="0040296D">
        <w:rPr>
          <w:rFonts w:eastAsia="Times New Roman" w:cs="Calibri"/>
          <w:szCs w:val="24"/>
          <w:lang w:eastAsia="en-US"/>
        </w:rPr>
        <w:t>,1 mil.</w:t>
      </w:r>
      <w:r w:rsidRPr="0040296D">
        <w:rPr>
          <w:rFonts w:eastAsia="Times New Roman" w:cs="Calibri"/>
          <w:szCs w:val="24"/>
          <w:lang w:eastAsia="en-US"/>
        </w:rPr>
        <w:t xml:space="preserve"> Kč. Jednou z podmínek čerpání příspěvku bylo vygenerování pořadového čísla pro následné podání žádosti o příspěvek. </w:t>
      </w:r>
      <w:r w:rsidRPr="0040296D">
        <w:rPr>
          <w:rFonts w:eastAsia="Times New Roman" w:cs="Calibri"/>
          <w:iCs/>
          <w:szCs w:val="24"/>
          <w:lang w:eastAsia="en-US"/>
        </w:rPr>
        <w:t>Na</w:t>
      </w:r>
      <w:r w:rsidR="00B01853" w:rsidRPr="0040296D">
        <w:rPr>
          <w:rFonts w:eastAsia="Times New Roman" w:cs="Calibri"/>
          <w:iCs/>
          <w:szCs w:val="24"/>
          <w:lang w:eastAsia="en-US"/>
        </w:rPr>
        <w:t> </w:t>
      </w:r>
      <w:r w:rsidRPr="0040296D">
        <w:rPr>
          <w:rFonts w:eastAsia="Times New Roman" w:cs="Calibri"/>
          <w:iCs/>
          <w:szCs w:val="24"/>
          <w:lang w:eastAsia="en-US"/>
        </w:rPr>
        <w:t>podmínky čerpání příspěvku byly v roce 2022 podány stížnosti. NKÚ zjistil, že ZPMV postupovala</w:t>
      </w:r>
      <w:r w:rsidR="00E65634" w:rsidRPr="0040296D">
        <w:rPr>
          <w:rFonts w:eastAsia="Times New Roman" w:cs="Calibri"/>
          <w:iCs/>
          <w:szCs w:val="24"/>
          <w:lang w:eastAsia="en-US"/>
        </w:rPr>
        <w:t xml:space="preserve"> při</w:t>
      </w:r>
      <w:r w:rsidR="00E43FA4" w:rsidRPr="0040296D">
        <w:rPr>
          <w:rFonts w:eastAsia="Times New Roman" w:cs="Calibri"/>
          <w:iCs/>
          <w:szCs w:val="24"/>
          <w:lang w:eastAsia="en-US"/>
        </w:rPr>
        <w:t> </w:t>
      </w:r>
      <w:r w:rsidR="00E65634" w:rsidRPr="0040296D">
        <w:rPr>
          <w:rFonts w:eastAsia="Times New Roman" w:cs="Calibri"/>
          <w:iCs/>
          <w:szCs w:val="24"/>
          <w:lang w:eastAsia="en-US"/>
        </w:rPr>
        <w:t>rozhodování o stížnostech</w:t>
      </w:r>
      <w:r w:rsidRPr="0040296D">
        <w:rPr>
          <w:rFonts w:eastAsia="Times New Roman" w:cs="Calibri"/>
          <w:iCs/>
          <w:szCs w:val="24"/>
          <w:lang w:eastAsia="en-US"/>
        </w:rPr>
        <w:t xml:space="preserve"> rozdílně a části pojištěnců příspěvek vyplatila, ačkoli jiným pojištěncům v</w:t>
      </w:r>
      <w:r w:rsidR="00B01853" w:rsidRPr="0040296D">
        <w:rPr>
          <w:rFonts w:eastAsia="Times New Roman" w:cs="Calibri"/>
          <w:iCs/>
          <w:szCs w:val="24"/>
          <w:lang w:eastAsia="en-US"/>
        </w:rPr>
        <w:t> </w:t>
      </w:r>
      <w:r w:rsidRPr="0040296D">
        <w:rPr>
          <w:rFonts w:eastAsia="Times New Roman" w:cs="Calibri"/>
          <w:iCs/>
          <w:szCs w:val="24"/>
          <w:lang w:eastAsia="en-US"/>
        </w:rPr>
        <w:t xml:space="preserve">obdobných případech nevyhověla.  </w:t>
      </w:r>
    </w:p>
    <w:p w14:paraId="629EBAF6" w14:textId="6741B0D7" w:rsidR="00A927A9" w:rsidRPr="00856FCB" w:rsidRDefault="00856FCB" w:rsidP="00D723A6">
      <w:pPr>
        <w:keepNext/>
        <w:widowControl/>
        <w:spacing w:before="240" w:after="120"/>
        <w:rPr>
          <w:b/>
          <w:lang w:eastAsia="en-US"/>
        </w:rPr>
      </w:pPr>
      <w:r>
        <w:rPr>
          <w:b/>
          <w:lang w:eastAsia="en-US"/>
        </w:rPr>
        <w:t>3</w:t>
      </w:r>
      <w:r w:rsidR="00F70894">
        <w:rPr>
          <w:b/>
          <w:lang w:eastAsia="en-US"/>
        </w:rPr>
        <w:t>.</w:t>
      </w:r>
      <w:r>
        <w:rPr>
          <w:b/>
          <w:lang w:eastAsia="en-US"/>
        </w:rPr>
        <w:t xml:space="preserve"> </w:t>
      </w:r>
      <w:r w:rsidR="00A927A9" w:rsidRPr="00856FCB">
        <w:rPr>
          <w:b/>
          <w:lang w:eastAsia="en-US"/>
        </w:rPr>
        <w:t>Základní fond zdravotního pojištění</w:t>
      </w:r>
    </w:p>
    <w:p w14:paraId="419963EB" w14:textId="6FF228BB" w:rsidR="00D03205" w:rsidRPr="00856FCB" w:rsidRDefault="00856FCB" w:rsidP="00D723A6">
      <w:pPr>
        <w:keepNext/>
        <w:widowControl/>
        <w:spacing w:before="120" w:after="120"/>
        <w:rPr>
          <w:b/>
          <w:lang w:eastAsia="en-US"/>
        </w:rPr>
      </w:pPr>
      <w:r>
        <w:rPr>
          <w:b/>
          <w:lang w:eastAsia="en-US"/>
        </w:rPr>
        <w:t xml:space="preserve">3.1 </w:t>
      </w:r>
      <w:r w:rsidR="00D03205" w:rsidRPr="00856FCB">
        <w:rPr>
          <w:b/>
          <w:lang w:eastAsia="en-US"/>
        </w:rPr>
        <w:t>ZPMV porušila zákon o účetnictví</w:t>
      </w:r>
    </w:p>
    <w:p w14:paraId="38A2A7CB" w14:textId="77777777" w:rsidR="00D03205" w:rsidRPr="0040296D" w:rsidRDefault="00D03205" w:rsidP="00D723A6">
      <w:pPr>
        <w:widowControl/>
        <w:spacing w:before="120" w:after="120"/>
        <w:rPr>
          <w:rFonts w:cs="Calibri"/>
          <w:bCs/>
          <w:szCs w:val="24"/>
        </w:rPr>
      </w:pPr>
      <w:r w:rsidRPr="0040296D">
        <w:rPr>
          <w:rFonts w:cs="Calibri"/>
          <w:bCs/>
          <w:szCs w:val="24"/>
        </w:rPr>
        <w:t>ZPMV postupovala při dokladové inventuře pohledávek z veřejného zdravotního pojištění k 31. 12. 2020, k 31. 12. 2021 a k 31. 12. 2022 v rozporu se zákonem č. 563/1991 Sb.</w:t>
      </w:r>
      <w:r w:rsidRPr="0040296D">
        <w:rPr>
          <w:rFonts w:cs="Calibri"/>
          <w:bCs/>
          <w:szCs w:val="24"/>
          <w:vertAlign w:val="superscript"/>
        </w:rPr>
        <w:footnoteReference w:id="21"/>
      </w:r>
      <w:r w:rsidRPr="0040296D">
        <w:rPr>
          <w:rFonts w:cs="Calibri"/>
          <w:bCs/>
          <w:szCs w:val="24"/>
        </w:rPr>
        <w:t xml:space="preserve"> tím, že</w:t>
      </w:r>
      <w:r w:rsidR="00B01853" w:rsidRPr="0040296D">
        <w:rPr>
          <w:rFonts w:cs="Calibri"/>
          <w:bCs/>
          <w:szCs w:val="24"/>
        </w:rPr>
        <w:t> </w:t>
      </w:r>
      <w:r w:rsidRPr="0040296D">
        <w:rPr>
          <w:rFonts w:cs="Calibri"/>
          <w:bCs/>
          <w:szCs w:val="24"/>
        </w:rPr>
        <w:t xml:space="preserve">jednotlivé inventurní soupisy všech středisek ZPMV neobsahovaly způsob zjišťování skutečných stavů. </w:t>
      </w:r>
    </w:p>
    <w:p w14:paraId="0A421161" w14:textId="1A6022C5" w:rsidR="00D03205" w:rsidRPr="0040296D" w:rsidRDefault="00D03205" w:rsidP="00D723A6">
      <w:pPr>
        <w:widowControl/>
        <w:spacing w:before="120" w:after="120"/>
        <w:rPr>
          <w:rFonts w:cs="Calibri"/>
          <w:szCs w:val="24"/>
        </w:rPr>
      </w:pPr>
      <w:r w:rsidRPr="0040296D">
        <w:rPr>
          <w:rFonts w:cs="Calibri"/>
          <w:szCs w:val="24"/>
        </w:rPr>
        <w:t>ZPMV porušila</w:t>
      </w:r>
      <w:r w:rsidR="00965372">
        <w:rPr>
          <w:rFonts w:cs="Calibri"/>
          <w:szCs w:val="24"/>
        </w:rPr>
        <w:t xml:space="preserve"> </w:t>
      </w:r>
      <w:r w:rsidRPr="0040296D">
        <w:rPr>
          <w:rFonts w:cs="Calibri"/>
          <w:szCs w:val="24"/>
        </w:rPr>
        <w:t>zákon č. 563/1991 Sb.</w:t>
      </w:r>
      <w:r w:rsidRPr="0040296D">
        <w:rPr>
          <w:rStyle w:val="Znakapoznpodarou"/>
          <w:rFonts w:cs="Calibri"/>
          <w:szCs w:val="24"/>
        </w:rPr>
        <w:footnoteReference w:id="22"/>
      </w:r>
      <w:r w:rsidRPr="0040296D">
        <w:rPr>
          <w:rFonts w:cs="Calibri"/>
          <w:bCs/>
          <w:szCs w:val="24"/>
        </w:rPr>
        <w:t xml:space="preserve"> a vyhlášku č. 270/2010 Sb.</w:t>
      </w:r>
      <w:r w:rsidRPr="0040296D">
        <w:rPr>
          <w:rStyle w:val="Znakapoznpodarou"/>
          <w:rFonts w:cs="Calibri"/>
          <w:bCs/>
          <w:szCs w:val="24"/>
        </w:rPr>
        <w:footnoteReference w:id="23"/>
      </w:r>
      <w:r w:rsidRPr="0040296D">
        <w:rPr>
          <w:rFonts w:cs="Calibri"/>
          <w:szCs w:val="24"/>
        </w:rPr>
        <w:t xml:space="preserve"> tím, že při dokladové inventuře v rámci inventarizace k 31. 12. 2016, k 31. 12. 2017, k 31. 12. 2018, 31. 12. 2019, 31.</w:t>
      </w:r>
      <w:r w:rsidR="00B01853" w:rsidRPr="0040296D">
        <w:rPr>
          <w:rFonts w:cs="Calibri"/>
          <w:szCs w:val="24"/>
        </w:rPr>
        <w:t> </w:t>
      </w:r>
      <w:r w:rsidRPr="0040296D">
        <w:rPr>
          <w:rFonts w:cs="Calibri"/>
          <w:szCs w:val="24"/>
        </w:rPr>
        <w:t>12. 2020, k 31. 12. 2021 a 31. 12. 2022 nezjistila skutečný stav pohledávek z veřejného zdravotního pojištění (viz</w:t>
      </w:r>
      <w:r w:rsidR="00CC1C5A" w:rsidRPr="0040296D">
        <w:rPr>
          <w:rFonts w:cs="Calibri"/>
          <w:szCs w:val="24"/>
        </w:rPr>
        <w:t xml:space="preserve"> </w:t>
      </w:r>
      <w:proofErr w:type="spellStart"/>
      <w:r w:rsidR="00CC1C5A" w:rsidRPr="0040296D">
        <w:rPr>
          <w:rFonts w:cs="Calibri"/>
          <w:szCs w:val="24"/>
        </w:rPr>
        <w:t>podkap</w:t>
      </w:r>
      <w:proofErr w:type="spellEnd"/>
      <w:r w:rsidR="00CC1C5A" w:rsidRPr="0040296D">
        <w:rPr>
          <w:rFonts w:cs="Calibri"/>
          <w:szCs w:val="24"/>
        </w:rPr>
        <w:t>. 3</w:t>
      </w:r>
      <w:r w:rsidRPr="0040296D">
        <w:rPr>
          <w:rFonts w:cs="Calibri"/>
          <w:szCs w:val="24"/>
        </w:rPr>
        <w:t>.</w:t>
      </w:r>
      <w:r w:rsidR="00CC1C5A" w:rsidRPr="0040296D">
        <w:rPr>
          <w:rFonts w:cs="Calibri"/>
          <w:szCs w:val="24"/>
        </w:rPr>
        <w:t>2 a 3.4</w:t>
      </w:r>
      <w:r w:rsidR="00965372">
        <w:rPr>
          <w:rFonts w:cs="Calibri"/>
          <w:szCs w:val="24"/>
        </w:rPr>
        <w:t xml:space="preserve"> tohoto kontrolního závěru</w:t>
      </w:r>
      <w:r w:rsidRPr="0040296D">
        <w:rPr>
          <w:rFonts w:cs="Calibri"/>
          <w:szCs w:val="24"/>
        </w:rPr>
        <w:t xml:space="preserve">). </w:t>
      </w:r>
    </w:p>
    <w:p w14:paraId="001CBD48" w14:textId="08AAF25C" w:rsidR="00D03205" w:rsidRPr="0040296D" w:rsidRDefault="00D03205" w:rsidP="00D723A6">
      <w:pPr>
        <w:widowControl/>
        <w:spacing w:before="120" w:after="120"/>
        <w:rPr>
          <w:rFonts w:cs="Calibri"/>
          <w:szCs w:val="24"/>
        </w:rPr>
      </w:pPr>
      <w:r w:rsidRPr="0040296D">
        <w:rPr>
          <w:rFonts w:cs="Calibri"/>
          <w:szCs w:val="24"/>
        </w:rPr>
        <w:t>NKÚ dále zjistil, že ZPMV porušila zákon č. 563/1991 Sb.</w:t>
      </w:r>
      <w:r w:rsidRPr="0040296D">
        <w:rPr>
          <w:rFonts w:cs="Calibri"/>
          <w:szCs w:val="24"/>
          <w:vertAlign w:val="superscript"/>
        </w:rPr>
        <w:footnoteReference w:id="24"/>
      </w:r>
      <w:bookmarkStart w:id="6" w:name="_Hlk79411183"/>
      <w:bookmarkStart w:id="7" w:name="_Hlk79415999"/>
      <w:r w:rsidRPr="0040296D">
        <w:rPr>
          <w:rFonts w:cs="Calibri"/>
          <w:szCs w:val="24"/>
        </w:rPr>
        <w:t xml:space="preserve"> tím, že neúčtovala o odpisu pohledávek z důvodu nemajetnosti plátce, splnění reorganizačního plánu či zrušení konkurzu, resp. po její částečné úhradě z rozvrhového usnesení u pohledávek</w:t>
      </w:r>
      <w:bookmarkEnd w:id="6"/>
      <w:bookmarkEnd w:id="7"/>
      <w:r w:rsidRPr="0040296D">
        <w:rPr>
          <w:rFonts w:cs="Calibri"/>
          <w:szCs w:val="24"/>
        </w:rPr>
        <w:t xml:space="preserve"> do</w:t>
      </w:r>
      <w:r w:rsidRPr="0040296D">
        <w:rPr>
          <w:rFonts w:cs="Calibri"/>
        </w:rPr>
        <w:t xml:space="preserve"> </w:t>
      </w:r>
      <w:r w:rsidRPr="0040296D">
        <w:rPr>
          <w:rFonts w:cs="Calibri"/>
          <w:szCs w:val="24"/>
        </w:rPr>
        <w:t>období, s nímž skutečnost časově a věcně souvisela (viz</w:t>
      </w:r>
      <w:r w:rsidR="00CC1C5A" w:rsidRPr="0040296D">
        <w:rPr>
          <w:rFonts w:cs="Calibri"/>
          <w:szCs w:val="24"/>
        </w:rPr>
        <w:t xml:space="preserve"> </w:t>
      </w:r>
      <w:proofErr w:type="spellStart"/>
      <w:r w:rsidR="00CC1C5A" w:rsidRPr="0040296D">
        <w:rPr>
          <w:rFonts w:cs="Calibri"/>
          <w:szCs w:val="24"/>
        </w:rPr>
        <w:t>podkap</w:t>
      </w:r>
      <w:proofErr w:type="spellEnd"/>
      <w:r w:rsidR="00CC1C5A" w:rsidRPr="0040296D">
        <w:rPr>
          <w:rFonts w:cs="Calibri"/>
          <w:szCs w:val="24"/>
        </w:rPr>
        <w:t>.</w:t>
      </w:r>
      <w:r w:rsidRPr="0040296D">
        <w:rPr>
          <w:rFonts w:cs="Calibri"/>
          <w:szCs w:val="24"/>
        </w:rPr>
        <w:t xml:space="preserve"> </w:t>
      </w:r>
      <w:r w:rsidR="00CC1C5A" w:rsidRPr="0040296D">
        <w:rPr>
          <w:rFonts w:cs="Calibri"/>
          <w:szCs w:val="24"/>
        </w:rPr>
        <w:t>3.2 a 3.4</w:t>
      </w:r>
      <w:r w:rsidR="00965372">
        <w:rPr>
          <w:rFonts w:cs="Calibri"/>
          <w:szCs w:val="24"/>
        </w:rPr>
        <w:t xml:space="preserve"> tohoto kontrolního závěru</w:t>
      </w:r>
      <w:r w:rsidRPr="0040296D">
        <w:rPr>
          <w:rFonts w:cs="Calibri"/>
          <w:szCs w:val="24"/>
        </w:rPr>
        <w:t>).</w:t>
      </w:r>
    </w:p>
    <w:p w14:paraId="3E88FB38" w14:textId="066BFDB1" w:rsidR="00D03205" w:rsidRPr="0040296D" w:rsidRDefault="00D03205" w:rsidP="00D723A6">
      <w:pPr>
        <w:widowControl/>
        <w:spacing w:before="120" w:after="120"/>
        <w:rPr>
          <w:rFonts w:cs="Calibri"/>
          <w:szCs w:val="24"/>
        </w:rPr>
      </w:pPr>
      <w:r w:rsidRPr="0040296D">
        <w:rPr>
          <w:rFonts w:cs="Calibri"/>
          <w:szCs w:val="24"/>
        </w:rPr>
        <w:t>ZPMV v rámci dokladových inventur neprověřovala skutečnosti nezbytné ke zjištění skutečného stavu. ZPMV tak nezjistila, že v účetnictví vedla nevymahatelné pohledávky za</w:t>
      </w:r>
      <w:r w:rsidR="00B01853" w:rsidRPr="0040296D">
        <w:rPr>
          <w:rFonts w:cs="Calibri"/>
          <w:szCs w:val="24"/>
        </w:rPr>
        <w:t> </w:t>
      </w:r>
      <w:r w:rsidRPr="0040296D">
        <w:rPr>
          <w:rFonts w:cs="Calibri"/>
          <w:szCs w:val="24"/>
        </w:rPr>
        <w:t>zaniklými plátci pojistného (tj. vymazanými z</w:t>
      </w:r>
      <w:r w:rsidR="00AE0355" w:rsidRPr="0040296D">
        <w:rPr>
          <w:rFonts w:cs="Calibri"/>
          <w:szCs w:val="24"/>
        </w:rPr>
        <w:t> obchodního rejstříku</w:t>
      </w:r>
      <w:r w:rsidRPr="0040296D">
        <w:rPr>
          <w:rFonts w:cs="Calibri"/>
          <w:szCs w:val="24"/>
        </w:rPr>
        <w:t>)</w:t>
      </w:r>
      <w:r w:rsidR="00CD50AB" w:rsidRPr="0040296D">
        <w:rPr>
          <w:rFonts w:cs="Calibri"/>
          <w:szCs w:val="24"/>
        </w:rPr>
        <w:t>. P</w:t>
      </w:r>
      <w:r w:rsidRPr="0040296D">
        <w:rPr>
          <w:rFonts w:cs="Calibri"/>
          <w:szCs w:val="24"/>
        </w:rPr>
        <w:t xml:space="preserve">ohledávka za </w:t>
      </w:r>
      <w:r w:rsidR="000A376C" w:rsidRPr="0040296D">
        <w:rPr>
          <w:rFonts w:cs="Calibri"/>
          <w:szCs w:val="24"/>
        </w:rPr>
        <w:t>plátci pojistného</w:t>
      </w:r>
      <w:r w:rsidRPr="0040296D">
        <w:rPr>
          <w:rFonts w:cs="Calibri"/>
          <w:szCs w:val="24"/>
        </w:rPr>
        <w:t xml:space="preserve"> tak zanikla (viz</w:t>
      </w:r>
      <w:r w:rsidR="00CC1C5A" w:rsidRPr="0040296D">
        <w:rPr>
          <w:rFonts w:cs="Calibri"/>
          <w:szCs w:val="24"/>
        </w:rPr>
        <w:t xml:space="preserve"> </w:t>
      </w:r>
      <w:proofErr w:type="spellStart"/>
      <w:r w:rsidR="00CC1C5A" w:rsidRPr="0040296D">
        <w:rPr>
          <w:rFonts w:cs="Calibri"/>
          <w:szCs w:val="24"/>
        </w:rPr>
        <w:t>podkap</w:t>
      </w:r>
      <w:proofErr w:type="spellEnd"/>
      <w:r w:rsidR="00662F2A" w:rsidRPr="0040296D">
        <w:rPr>
          <w:rFonts w:cs="Calibri"/>
          <w:szCs w:val="24"/>
        </w:rPr>
        <w:t>.</w:t>
      </w:r>
      <w:r w:rsidRPr="0040296D">
        <w:rPr>
          <w:rFonts w:cs="Calibri"/>
          <w:szCs w:val="24"/>
        </w:rPr>
        <w:t xml:space="preserve"> </w:t>
      </w:r>
      <w:r w:rsidR="00CC1C5A" w:rsidRPr="0040296D">
        <w:rPr>
          <w:rFonts w:cs="Calibri"/>
          <w:szCs w:val="24"/>
        </w:rPr>
        <w:t>3</w:t>
      </w:r>
      <w:r w:rsidRPr="0040296D">
        <w:rPr>
          <w:rFonts w:cs="Calibri"/>
          <w:szCs w:val="24"/>
        </w:rPr>
        <w:t>.</w:t>
      </w:r>
      <w:r w:rsidR="00CC1C5A" w:rsidRPr="0040296D">
        <w:rPr>
          <w:rFonts w:cs="Calibri"/>
          <w:szCs w:val="24"/>
        </w:rPr>
        <w:t>2</w:t>
      </w:r>
      <w:r w:rsidR="00965372">
        <w:rPr>
          <w:rFonts w:cs="Calibri"/>
          <w:szCs w:val="24"/>
        </w:rPr>
        <w:t xml:space="preserve"> tohoto kontrolního závěru</w:t>
      </w:r>
      <w:r w:rsidRPr="0040296D">
        <w:rPr>
          <w:rFonts w:cs="Calibri"/>
          <w:szCs w:val="24"/>
        </w:rPr>
        <w:t>). Účetnictví ZPMV nebylo v</w:t>
      </w:r>
      <w:r w:rsidR="00965372">
        <w:rPr>
          <w:rFonts w:cs="Calibri"/>
          <w:szCs w:val="24"/>
        </w:rPr>
        <w:t> </w:t>
      </w:r>
      <w:r w:rsidRPr="0040296D">
        <w:rPr>
          <w:rFonts w:cs="Calibri"/>
          <w:szCs w:val="24"/>
        </w:rPr>
        <w:t>účetním období let 2020 až</w:t>
      </w:r>
      <w:r w:rsidR="008B5C34" w:rsidRPr="0040296D">
        <w:rPr>
          <w:rFonts w:cs="Calibri"/>
          <w:szCs w:val="24"/>
        </w:rPr>
        <w:t> </w:t>
      </w:r>
      <w:r w:rsidRPr="0040296D">
        <w:rPr>
          <w:rFonts w:cs="Calibri"/>
          <w:szCs w:val="24"/>
        </w:rPr>
        <w:t>2022 správné a úplné ve</w:t>
      </w:r>
      <w:r w:rsidR="00B01853" w:rsidRPr="0040296D">
        <w:rPr>
          <w:rFonts w:cs="Calibri"/>
          <w:szCs w:val="24"/>
        </w:rPr>
        <w:t> </w:t>
      </w:r>
      <w:r w:rsidRPr="0040296D">
        <w:rPr>
          <w:rFonts w:cs="Calibri"/>
          <w:szCs w:val="24"/>
        </w:rPr>
        <w:t>smyslu zákona č. 563/1991 Sb.</w:t>
      </w:r>
      <w:r w:rsidRPr="0040296D">
        <w:rPr>
          <w:rStyle w:val="Znakapoznpodarou"/>
          <w:rFonts w:cs="Calibri"/>
          <w:szCs w:val="24"/>
        </w:rPr>
        <w:footnoteReference w:id="25"/>
      </w:r>
    </w:p>
    <w:p w14:paraId="1646537E" w14:textId="0C80B1DB" w:rsidR="00190C85" w:rsidRPr="00856FCB" w:rsidRDefault="00856FCB" w:rsidP="00D723A6">
      <w:pPr>
        <w:widowControl/>
        <w:spacing w:before="240" w:after="120"/>
        <w:rPr>
          <w:b/>
        </w:rPr>
      </w:pPr>
      <w:r>
        <w:rPr>
          <w:b/>
        </w:rPr>
        <w:t xml:space="preserve">3.2 </w:t>
      </w:r>
      <w:r w:rsidR="00190C85" w:rsidRPr="00856FCB">
        <w:rPr>
          <w:b/>
        </w:rPr>
        <w:t>ZPMV vedla v evidenci pohledávky z veřejného zdravotního pojištění za zaniklými plátci</w:t>
      </w:r>
    </w:p>
    <w:p w14:paraId="7F2B06E1" w14:textId="43C6E56A" w:rsidR="00190C85" w:rsidRPr="0040296D" w:rsidRDefault="00190C85" w:rsidP="00D723A6">
      <w:pPr>
        <w:widowControl/>
        <w:spacing w:before="120" w:after="120"/>
        <w:rPr>
          <w:rFonts w:cs="Calibri"/>
          <w:szCs w:val="24"/>
        </w:rPr>
      </w:pPr>
      <w:r w:rsidRPr="0040296D">
        <w:rPr>
          <w:rFonts w:cs="Calibri"/>
          <w:szCs w:val="24"/>
        </w:rPr>
        <w:t>ZPMV vedla pohledávky za plátci pojistného na veřejné</w:t>
      </w:r>
      <w:r w:rsidR="004A617C" w:rsidRPr="0040296D">
        <w:rPr>
          <w:rFonts w:cs="Calibri"/>
          <w:szCs w:val="24"/>
        </w:rPr>
        <w:t>m</w:t>
      </w:r>
      <w:r w:rsidRPr="0040296D">
        <w:rPr>
          <w:rFonts w:cs="Calibri"/>
          <w:szCs w:val="24"/>
        </w:rPr>
        <w:t xml:space="preserve"> zdravotní</w:t>
      </w:r>
      <w:r w:rsidR="004A617C" w:rsidRPr="0040296D">
        <w:rPr>
          <w:rFonts w:cs="Calibri"/>
          <w:szCs w:val="24"/>
        </w:rPr>
        <w:t>m</w:t>
      </w:r>
      <w:r w:rsidRPr="0040296D">
        <w:rPr>
          <w:rFonts w:cs="Calibri"/>
          <w:szCs w:val="24"/>
        </w:rPr>
        <w:t xml:space="preserve"> pojištění, kteří zanikli</w:t>
      </w:r>
      <w:r w:rsidR="00975327" w:rsidRPr="0040296D">
        <w:rPr>
          <w:rFonts w:cs="Calibri"/>
          <w:szCs w:val="24"/>
        </w:rPr>
        <w:t>.</w:t>
      </w:r>
      <w:r w:rsidRPr="0040296D">
        <w:rPr>
          <w:rFonts w:cs="Calibri"/>
          <w:szCs w:val="24"/>
        </w:rPr>
        <w:t xml:space="preserve"> K</w:t>
      </w:r>
      <w:r w:rsidR="00C0576C" w:rsidRPr="0040296D">
        <w:rPr>
          <w:rFonts w:cs="Calibri"/>
          <w:szCs w:val="24"/>
        </w:rPr>
        <w:t> </w:t>
      </w:r>
      <w:r w:rsidRPr="0040296D">
        <w:rPr>
          <w:rFonts w:cs="Calibri"/>
          <w:szCs w:val="24"/>
        </w:rPr>
        <w:t>31. 12.</w:t>
      </w:r>
      <w:r w:rsidR="00B01853" w:rsidRPr="0040296D">
        <w:rPr>
          <w:rFonts w:cs="Calibri"/>
          <w:szCs w:val="24"/>
        </w:rPr>
        <w:t> </w:t>
      </w:r>
      <w:r w:rsidRPr="0040296D">
        <w:rPr>
          <w:rFonts w:cs="Calibri"/>
          <w:szCs w:val="24"/>
        </w:rPr>
        <w:t>2020 ZPMV vedla pohledávky v brutto hodnotě 6 501 859 Kč vůči 125 zaniklým plátcům pojistného, k 31. 12. 2021 pohledávky v brutto hodnotě ve výši 1 694 682 Kč vůči 88</w:t>
      </w:r>
      <w:r w:rsidR="002C5079" w:rsidRPr="0040296D">
        <w:rPr>
          <w:rFonts w:cs="Calibri"/>
          <w:szCs w:val="24"/>
        </w:rPr>
        <w:t> </w:t>
      </w:r>
      <w:r w:rsidRPr="0040296D">
        <w:rPr>
          <w:rFonts w:cs="Calibri"/>
          <w:szCs w:val="24"/>
        </w:rPr>
        <w:t>zaniklým plátcům pojistného a k 31. 12. 202</w:t>
      </w:r>
      <w:r w:rsidR="00E96932" w:rsidRPr="0040296D">
        <w:rPr>
          <w:rFonts w:cs="Calibri"/>
          <w:szCs w:val="24"/>
        </w:rPr>
        <w:t>2</w:t>
      </w:r>
      <w:r w:rsidRPr="0040296D">
        <w:rPr>
          <w:rFonts w:cs="Calibri"/>
          <w:szCs w:val="24"/>
        </w:rPr>
        <w:t xml:space="preserve"> pohledávky v brutto hodnotě ve výši 41 264</w:t>
      </w:r>
      <w:r w:rsidR="00C0576C" w:rsidRPr="0040296D">
        <w:rPr>
          <w:rFonts w:cs="Calibri"/>
          <w:szCs w:val="24"/>
        </w:rPr>
        <w:t> </w:t>
      </w:r>
      <w:r w:rsidRPr="0040296D">
        <w:rPr>
          <w:rFonts w:cs="Calibri"/>
          <w:szCs w:val="24"/>
        </w:rPr>
        <w:t>54</w:t>
      </w:r>
      <w:r w:rsidR="005543FF" w:rsidRPr="0040296D">
        <w:rPr>
          <w:rFonts w:cs="Calibri"/>
          <w:szCs w:val="24"/>
        </w:rPr>
        <w:t>3</w:t>
      </w:r>
      <w:r w:rsidR="00C0576C" w:rsidRPr="0040296D">
        <w:rPr>
          <w:rFonts w:cs="Calibri"/>
          <w:szCs w:val="24"/>
        </w:rPr>
        <w:t> </w:t>
      </w:r>
      <w:r w:rsidRPr="0040296D">
        <w:rPr>
          <w:rFonts w:cs="Calibri"/>
          <w:szCs w:val="24"/>
        </w:rPr>
        <w:t xml:space="preserve">Kč vůči 779 plátcům pojistného. </w:t>
      </w:r>
      <w:r w:rsidRPr="0040296D">
        <w:rPr>
          <w:rFonts w:cs="Calibri"/>
          <w:bCs/>
          <w:szCs w:val="24"/>
        </w:rPr>
        <w:t>U těchto pohledávek ZPMV nezjistila jejich skutečný stav, když nezjistila zánik plátců</w:t>
      </w:r>
      <w:r w:rsidR="008D5BBE" w:rsidRPr="0040296D">
        <w:rPr>
          <w:rFonts w:cs="Calibri"/>
          <w:bCs/>
          <w:szCs w:val="24"/>
        </w:rPr>
        <w:t>,</w:t>
      </w:r>
      <w:r w:rsidRPr="0040296D">
        <w:rPr>
          <w:rFonts w:cs="Calibri"/>
          <w:bCs/>
          <w:szCs w:val="24"/>
        </w:rPr>
        <w:t xml:space="preserve"> a tedy i souvisejících pohledávek.</w:t>
      </w:r>
    </w:p>
    <w:p w14:paraId="30B3DC34" w14:textId="3BF8B176" w:rsidR="00190C85" w:rsidRPr="0040296D" w:rsidRDefault="00190C85" w:rsidP="00D723A6">
      <w:pPr>
        <w:widowControl/>
        <w:spacing w:before="120" w:after="120"/>
        <w:rPr>
          <w:rFonts w:cs="Calibri"/>
          <w:szCs w:val="24"/>
        </w:rPr>
      </w:pPr>
      <w:r w:rsidRPr="0040296D">
        <w:rPr>
          <w:rFonts w:cs="Calibri"/>
          <w:bCs/>
          <w:szCs w:val="24"/>
        </w:rPr>
        <w:t>Na vzorku 100 právnických osob zjistil</w:t>
      </w:r>
      <w:r w:rsidR="00965372" w:rsidRPr="00965372">
        <w:rPr>
          <w:rFonts w:cs="Calibri"/>
          <w:bCs/>
          <w:szCs w:val="24"/>
        </w:rPr>
        <w:t xml:space="preserve"> </w:t>
      </w:r>
      <w:r w:rsidR="00965372" w:rsidRPr="0040296D">
        <w:rPr>
          <w:rFonts w:cs="Calibri"/>
          <w:bCs/>
          <w:szCs w:val="24"/>
        </w:rPr>
        <w:t>NKÚ</w:t>
      </w:r>
      <w:r w:rsidRPr="0040296D">
        <w:rPr>
          <w:rFonts w:cs="Calibri"/>
          <w:bCs/>
          <w:szCs w:val="24"/>
        </w:rPr>
        <w:t xml:space="preserve"> také netto hodnotu pohledávek vedených v účetnictví ZPMV za zaniklými plátci. Netto hodnota pohledávek z</w:t>
      </w:r>
      <w:r w:rsidR="00B01853" w:rsidRPr="0040296D">
        <w:rPr>
          <w:rFonts w:cs="Calibri"/>
          <w:bCs/>
          <w:szCs w:val="24"/>
        </w:rPr>
        <w:t> </w:t>
      </w:r>
      <w:r w:rsidRPr="0040296D">
        <w:rPr>
          <w:rFonts w:cs="Calibri"/>
          <w:bCs/>
          <w:szCs w:val="24"/>
        </w:rPr>
        <w:t>vybraného vzorku byla</w:t>
      </w:r>
      <w:r w:rsidR="00965372">
        <w:rPr>
          <w:rFonts w:cs="Calibri"/>
          <w:bCs/>
          <w:szCs w:val="24"/>
        </w:rPr>
        <w:t xml:space="preserve"> </w:t>
      </w:r>
      <w:r w:rsidRPr="0040296D">
        <w:rPr>
          <w:rFonts w:cs="Calibri"/>
          <w:bCs/>
          <w:szCs w:val="24"/>
        </w:rPr>
        <w:t>k 31. 12. 2020 celkem 831 921</w:t>
      </w:r>
      <w:r w:rsidR="005543FF" w:rsidRPr="0040296D">
        <w:rPr>
          <w:rFonts w:cs="Calibri"/>
          <w:bCs/>
          <w:szCs w:val="24"/>
        </w:rPr>
        <w:t>2</w:t>
      </w:r>
      <w:r w:rsidRPr="0040296D">
        <w:rPr>
          <w:rFonts w:cs="Calibri"/>
          <w:bCs/>
          <w:szCs w:val="24"/>
        </w:rPr>
        <w:t xml:space="preserve"> Kč, k 31. 12. 2021 celkem 12</w:t>
      </w:r>
      <w:r w:rsidR="00A5316D" w:rsidRPr="0040296D">
        <w:rPr>
          <w:rFonts w:cs="Calibri"/>
          <w:bCs/>
          <w:szCs w:val="24"/>
        </w:rPr>
        <w:t> </w:t>
      </w:r>
      <w:r w:rsidRPr="0040296D">
        <w:rPr>
          <w:rFonts w:cs="Calibri"/>
          <w:bCs/>
          <w:szCs w:val="24"/>
        </w:rPr>
        <w:t>925</w:t>
      </w:r>
      <w:r w:rsidR="00A5316D" w:rsidRPr="0040296D">
        <w:rPr>
          <w:rFonts w:cs="Calibri"/>
          <w:bCs/>
          <w:szCs w:val="24"/>
        </w:rPr>
        <w:t> </w:t>
      </w:r>
      <w:r w:rsidRPr="0040296D">
        <w:rPr>
          <w:rFonts w:cs="Calibri"/>
          <w:bCs/>
          <w:szCs w:val="24"/>
        </w:rPr>
        <w:t>Kč a k 31. 12. 2022 celkem 2 713 810 Kč. O výši těchto pohledávek ZPMV nadhodnotila svá aktiva, a tím porušila zákon o</w:t>
      </w:r>
      <w:r w:rsidR="00965372">
        <w:rPr>
          <w:rFonts w:cs="Calibri"/>
          <w:bCs/>
          <w:szCs w:val="24"/>
        </w:rPr>
        <w:t> </w:t>
      </w:r>
      <w:r w:rsidRPr="0040296D">
        <w:rPr>
          <w:rFonts w:cs="Calibri"/>
          <w:bCs/>
          <w:szCs w:val="24"/>
        </w:rPr>
        <w:t>účetnictví</w:t>
      </w:r>
      <w:r w:rsidR="00047522" w:rsidRPr="0040296D">
        <w:rPr>
          <w:rFonts w:cs="Calibri"/>
          <w:bCs/>
          <w:szCs w:val="24"/>
          <w:vertAlign w:val="superscript"/>
        </w:rPr>
        <w:t>25</w:t>
      </w:r>
      <w:r w:rsidRPr="0040296D">
        <w:rPr>
          <w:rFonts w:cs="Calibri"/>
          <w:bCs/>
          <w:szCs w:val="24"/>
        </w:rPr>
        <w:t xml:space="preserve">. </w:t>
      </w:r>
      <w:r w:rsidRPr="0040296D">
        <w:rPr>
          <w:rFonts w:cs="Calibri"/>
          <w:szCs w:val="24"/>
        </w:rPr>
        <w:t>ZPMV vedla pohledávky i za plátcem pojistného, u</w:t>
      </w:r>
      <w:r w:rsidR="00A5316D" w:rsidRPr="0040296D">
        <w:rPr>
          <w:rFonts w:cs="Calibri"/>
          <w:szCs w:val="24"/>
        </w:rPr>
        <w:t> </w:t>
      </w:r>
      <w:r w:rsidRPr="0040296D">
        <w:rPr>
          <w:rFonts w:cs="Calibri"/>
          <w:szCs w:val="24"/>
        </w:rPr>
        <w:t>kterého došlo k</w:t>
      </w:r>
      <w:r w:rsidR="00C0576C" w:rsidRPr="0040296D">
        <w:rPr>
          <w:rFonts w:cs="Calibri"/>
          <w:szCs w:val="24"/>
        </w:rPr>
        <w:t> </w:t>
      </w:r>
      <w:r w:rsidRPr="0040296D">
        <w:rPr>
          <w:rFonts w:cs="Calibri"/>
          <w:szCs w:val="24"/>
        </w:rPr>
        <w:t>přeměně před více než 20 lety.</w:t>
      </w:r>
    </w:p>
    <w:p w14:paraId="27E71E2F" w14:textId="0F0AECD5" w:rsidR="0030084F" w:rsidRPr="00AD75F9" w:rsidRDefault="00AD75F9" w:rsidP="00D723A6">
      <w:pPr>
        <w:keepNext/>
        <w:widowControl/>
        <w:spacing w:before="240" w:after="120"/>
        <w:rPr>
          <w:b/>
        </w:rPr>
      </w:pPr>
      <w:r>
        <w:rPr>
          <w:b/>
        </w:rPr>
        <w:t xml:space="preserve">3.3 </w:t>
      </w:r>
      <w:r w:rsidR="0030084F" w:rsidRPr="00AD75F9">
        <w:rPr>
          <w:b/>
        </w:rPr>
        <w:t>ZPMV nevymáhala pojistné včetně penále ve stanoven</w:t>
      </w:r>
      <w:r w:rsidR="009848C2" w:rsidRPr="00AD75F9">
        <w:rPr>
          <w:b/>
        </w:rPr>
        <w:t>é</w:t>
      </w:r>
      <w:r w:rsidR="0030084F" w:rsidRPr="00AD75F9">
        <w:rPr>
          <w:b/>
        </w:rPr>
        <w:t xml:space="preserve"> výši a včas</w:t>
      </w:r>
    </w:p>
    <w:p w14:paraId="38F5F1B0" w14:textId="4C01335E" w:rsidR="0030084F" w:rsidRPr="0040296D" w:rsidRDefault="0030084F" w:rsidP="00D723A6">
      <w:pPr>
        <w:widowControl/>
        <w:spacing w:before="120" w:after="120"/>
        <w:rPr>
          <w:rFonts w:cs="Calibri"/>
          <w:szCs w:val="24"/>
        </w:rPr>
      </w:pPr>
      <w:r w:rsidRPr="0040296D">
        <w:rPr>
          <w:rFonts w:cs="Calibri"/>
          <w:szCs w:val="24"/>
        </w:rPr>
        <w:t>Z kontrolního vzorku pohledávek za 20 plátci, za kterými ZPMV odepsala pohledávku, NKÚ zjistil, že ZPMV porušila zákon č. 48/1997 Sb.</w:t>
      </w:r>
      <w:r w:rsidRPr="0040296D">
        <w:rPr>
          <w:rFonts w:cs="Calibri"/>
          <w:szCs w:val="24"/>
          <w:vertAlign w:val="superscript"/>
        </w:rPr>
        <w:footnoteReference w:id="26"/>
      </w:r>
      <w:r w:rsidRPr="0040296D">
        <w:rPr>
          <w:rFonts w:cs="Calibri"/>
          <w:szCs w:val="24"/>
        </w:rPr>
        <w:t xml:space="preserve"> tím, že nevyměřila dlužné pojistné a penále u</w:t>
      </w:r>
      <w:r w:rsidR="00B01853" w:rsidRPr="0040296D">
        <w:rPr>
          <w:rFonts w:cs="Calibri"/>
          <w:szCs w:val="24"/>
        </w:rPr>
        <w:t> </w:t>
      </w:r>
      <w:r w:rsidRPr="0040296D">
        <w:rPr>
          <w:rFonts w:cs="Calibri"/>
          <w:szCs w:val="24"/>
        </w:rPr>
        <w:t>jednoho plátce pojistného</w:t>
      </w:r>
      <w:r w:rsidR="004458CE" w:rsidRPr="0040296D">
        <w:rPr>
          <w:rFonts w:cs="Calibri"/>
          <w:szCs w:val="24"/>
        </w:rPr>
        <w:t xml:space="preserve">, a to </w:t>
      </w:r>
      <w:r w:rsidRPr="0040296D">
        <w:rPr>
          <w:rFonts w:cs="Calibri"/>
          <w:szCs w:val="24"/>
        </w:rPr>
        <w:t>penále ve výši 1 811 173 Kč za období leden 1993 až prosinec 2003 a</w:t>
      </w:r>
      <w:r w:rsidR="004458CE" w:rsidRPr="0040296D">
        <w:rPr>
          <w:rFonts w:cs="Calibri"/>
          <w:szCs w:val="24"/>
        </w:rPr>
        <w:t xml:space="preserve"> </w:t>
      </w:r>
      <w:r w:rsidRPr="0040296D">
        <w:rPr>
          <w:rFonts w:cs="Calibri"/>
          <w:szCs w:val="24"/>
        </w:rPr>
        <w:t>pojistné a penále ve výši 3 246 588 Kč za období leden 2004 až červen 2005.</w:t>
      </w:r>
      <w:r w:rsidR="00433C2A" w:rsidRPr="0040296D">
        <w:rPr>
          <w:rFonts w:cs="Calibri"/>
          <w:szCs w:val="24"/>
        </w:rPr>
        <w:t xml:space="preserve"> </w:t>
      </w:r>
      <w:r w:rsidRPr="0040296D">
        <w:rPr>
          <w:rFonts w:cs="Calibri"/>
          <w:szCs w:val="24"/>
        </w:rPr>
        <w:t>ZPMV u </w:t>
      </w:r>
      <w:r w:rsidR="002F3380" w:rsidRPr="0040296D">
        <w:rPr>
          <w:rFonts w:cs="Calibri"/>
          <w:szCs w:val="24"/>
        </w:rPr>
        <w:t>tohoto</w:t>
      </w:r>
      <w:r w:rsidRPr="0040296D">
        <w:rPr>
          <w:rFonts w:cs="Calibri"/>
          <w:szCs w:val="24"/>
        </w:rPr>
        <w:t xml:space="preserve"> plátce vyhotovila vyúčtování</w:t>
      </w:r>
      <w:r w:rsidR="00433C2A" w:rsidRPr="0040296D">
        <w:rPr>
          <w:rFonts w:cs="Calibri"/>
          <w:szCs w:val="24"/>
        </w:rPr>
        <w:t xml:space="preserve"> až</w:t>
      </w:r>
      <w:r w:rsidRPr="0040296D">
        <w:rPr>
          <w:rFonts w:cs="Calibri"/>
          <w:szCs w:val="24"/>
        </w:rPr>
        <w:t xml:space="preserve"> v roce 2021, tj. po 18 letech</w:t>
      </w:r>
      <w:r w:rsidR="00965372">
        <w:rPr>
          <w:rFonts w:cs="Calibri"/>
          <w:szCs w:val="24"/>
        </w:rPr>
        <w:t>,</w:t>
      </w:r>
      <w:r w:rsidR="00433C2A" w:rsidRPr="0040296D">
        <w:rPr>
          <w:rFonts w:cs="Calibri"/>
          <w:szCs w:val="24"/>
        </w:rPr>
        <w:t xml:space="preserve"> a</w:t>
      </w:r>
      <w:r w:rsidRPr="0040296D">
        <w:rPr>
          <w:rFonts w:cs="Calibri"/>
          <w:szCs w:val="24"/>
        </w:rPr>
        <w:t xml:space="preserve"> dlužnou částku</w:t>
      </w:r>
      <w:r w:rsidR="002F3380" w:rsidRPr="0040296D">
        <w:rPr>
          <w:rFonts w:cs="Calibri"/>
          <w:szCs w:val="24"/>
        </w:rPr>
        <w:t xml:space="preserve"> 5 057 761 Kč</w:t>
      </w:r>
      <w:r w:rsidRPr="0040296D">
        <w:rPr>
          <w:rFonts w:cs="Calibri"/>
          <w:szCs w:val="24"/>
        </w:rPr>
        <w:t xml:space="preserve"> </w:t>
      </w:r>
      <w:r w:rsidR="00433C2A" w:rsidRPr="0040296D">
        <w:rPr>
          <w:rFonts w:cs="Calibri"/>
          <w:szCs w:val="24"/>
        </w:rPr>
        <w:t xml:space="preserve">tedy </w:t>
      </w:r>
      <w:r w:rsidRPr="0040296D">
        <w:rPr>
          <w:rFonts w:cs="Calibri"/>
          <w:szCs w:val="24"/>
        </w:rPr>
        <w:t>nevymáhala</w:t>
      </w:r>
      <w:r w:rsidR="00433C2A" w:rsidRPr="0040296D">
        <w:rPr>
          <w:rFonts w:cs="Calibri"/>
          <w:szCs w:val="24"/>
        </w:rPr>
        <w:t xml:space="preserve"> ve stanovené výši a včas.</w:t>
      </w:r>
      <w:r w:rsidRPr="0040296D">
        <w:rPr>
          <w:rFonts w:cs="Calibri"/>
          <w:szCs w:val="24"/>
        </w:rPr>
        <w:t xml:space="preserve"> </w:t>
      </w:r>
    </w:p>
    <w:p w14:paraId="6249FB9B" w14:textId="77777777" w:rsidR="0030084F" w:rsidRPr="0040296D" w:rsidRDefault="0030084F" w:rsidP="00D723A6">
      <w:pPr>
        <w:widowControl/>
        <w:spacing w:before="120" w:after="120"/>
        <w:rPr>
          <w:rFonts w:cs="Calibri"/>
          <w:szCs w:val="24"/>
        </w:rPr>
      </w:pPr>
      <w:r w:rsidRPr="0040296D">
        <w:rPr>
          <w:rFonts w:cs="Calibri"/>
          <w:szCs w:val="24"/>
        </w:rPr>
        <w:t xml:space="preserve">NKÚ </w:t>
      </w:r>
      <w:r w:rsidR="00802E94" w:rsidRPr="0040296D">
        <w:rPr>
          <w:rFonts w:cs="Calibri"/>
          <w:szCs w:val="24"/>
        </w:rPr>
        <w:t xml:space="preserve">dále </w:t>
      </w:r>
      <w:r w:rsidRPr="0040296D">
        <w:rPr>
          <w:rFonts w:cs="Calibri"/>
          <w:szCs w:val="24"/>
        </w:rPr>
        <w:t>zjistil, že z kontrolního vzorku 30 pohledávek, u kterých bylo zahájeno insolvenční řízení</w:t>
      </w:r>
      <w:r w:rsidR="00206284" w:rsidRPr="0040296D">
        <w:rPr>
          <w:rFonts w:cs="Calibri"/>
          <w:szCs w:val="24"/>
        </w:rPr>
        <w:t>,</w:t>
      </w:r>
      <w:r w:rsidR="00433C2A" w:rsidRPr="0040296D">
        <w:rPr>
          <w:rFonts w:cs="Calibri"/>
          <w:szCs w:val="24"/>
        </w:rPr>
        <w:t xml:space="preserve"> ZPMV</w:t>
      </w:r>
      <w:r w:rsidRPr="0040296D">
        <w:rPr>
          <w:rFonts w:cs="Calibri"/>
          <w:szCs w:val="24"/>
        </w:rPr>
        <w:t xml:space="preserve"> </w:t>
      </w:r>
      <w:r w:rsidR="00F92E6D" w:rsidRPr="0040296D">
        <w:rPr>
          <w:rFonts w:cs="Calibri"/>
          <w:szCs w:val="24"/>
        </w:rPr>
        <w:t>u</w:t>
      </w:r>
      <w:r w:rsidRPr="0040296D">
        <w:rPr>
          <w:rFonts w:cs="Calibri"/>
          <w:szCs w:val="24"/>
        </w:rPr>
        <w:t xml:space="preserve"> čty</w:t>
      </w:r>
      <w:r w:rsidR="00F92E6D" w:rsidRPr="0040296D">
        <w:rPr>
          <w:rFonts w:cs="Calibri"/>
          <w:szCs w:val="24"/>
        </w:rPr>
        <w:t>ř</w:t>
      </w:r>
      <w:r w:rsidRPr="0040296D">
        <w:rPr>
          <w:rFonts w:cs="Calibri"/>
          <w:szCs w:val="24"/>
        </w:rPr>
        <w:t xml:space="preserve"> plátc</w:t>
      </w:r>
      <w:r w:rsidR="00F92E6D" w:rsidRPr="0040296D">
        <w:rPr>
          <w:rFonts w:cs="Calibri"/>
          <w:szCs w:val="24"/>
        </w:rPr>
        <w:t>ů</w:t>
      </w:r>
      <w:r w:rsidRPr="0040296D">
        <w:rPr>
          <w:rFonts w:cs="Calibri"/>
          <w:szCs w:val="24"/>
        </w:rPr>
        <w:t xml:space="preserve"> pojistného porušila zákon č. 48/1997 Sb. tím, že neplnila povinnost vymáhat </w:t>
      </w:r>
      <w:r w:rsidR="00F92E6D" w:rsidRPr="0040296D">
        <w:rPr>
          <w:rFonts w:cs="Calibri"/>
          <w:szCs w:val="24"/>
        </w:rPr>
        <w:t>u</w:t>
      </w:r>
      <w:r w:rsidRPr="0040296D">
        <w:rPr>
          <w:rFonts w:cs="Calibri"/>
          <w:szCs w:val="24"/>
        </w:rPr>
        <w:t xml:space="preserve"> plátc</w:t>
      </w:r>
      <w:r w:rsidR="00F92E6D" w:rsidRPr="0040296D">
        <w:rPr>
          <w:rFonts w:cs="Calibri"/>
          <w:szCs w:val="24"/>
        </w:rPr>
        <w:t>ů</w:t>
      </w:r>
      <w:r w:rsidRPr="0040296D">
        <w:rPr>
          <w:rFonts w:cs="Calibri"/>
          <w:szCs w:val="24"/>
        </w:rPr>
        <w:t xml:space="preserve"> pojistného dlužné pojistného a penále v insolvenčních řízeních</w:t>
      </w:r>
      <w:r w:rsidR="00433C2A" w:rsidRPr="0040296D">
        <w:rPr>
          <w:rFonts w:cs="Calibri"/>
          <w:szCs w:val="24"/>
        </w:rPr>
        <w:t xml:space="preserve"> řádně a včas</w:t>
      </w:r>
      <w:r w:rsidRPr="0040296D">
        <w:rPr>
          <w:rFonts w:cs="Calibri"/>
          <w:szCs w:val="24"/>
        </w:rPr>
        <w:t xml:space="preserve"> v celkové výši pojistného 1 234 484 Kč a penále v min</w:t>
      </w:r>
      <w:r w:rsidR="0073380A" w:rsidRPr="0040296D">
        <w:rPr>
          <w:rFonts w:cs="Calibri"/>
          <w:szCs w:val="24"/>
        </w:rPr>
        <w:t>imální</w:t>
      </w:r>
      <w:r w:rsidRPr="0040296D">
        <w:rPr>
          <w:rFonts w:cs="Calibri"/>
          <w:szCs w:val="24"/>
        </w:rPr>
        <w:t xml:space="preserve"> výši 810 341 Kč. </w:t>
      </w:r>
    </w:p>
    <w:p w14:paraId="2856C359" w14:textId="1C67729C" w:rsidR="0030084F" w:rsidRPr="00AD75F9" w:rsidRDefault="00AD75F9" w:rsidP="00D723A6">
      <w:pPr>
        <w:keepNext/>
        <w:widowControl/>
        <w:spacing w:before="240" w:after="120"/>
        <w:rPr>
          <w:b/>
        </w:rPr>
      </w:pPr>
      <w:r>
        <w:rPr>
          <w:b/>
        </w:rPr>
        <w:t xml:space="preserve">3.4 </w:t>
      </w:r>
      <w:r w:rsidR="0030084F" w:rsidRPr="00AD75F9">
        <w:rPr>
          <w:b/>
        </w:rPr>
        <w:t>ZPMV</w:t>
      </w:r>
      <w:r w:rsidR="0073380A" w:rsidRPr="00AD75F9">
        <w:rPr>
          <w:b/>
        </w:rPr>
        <w:t xml:space="preserve"> neúčtovala o odpisu pohledávek </w:t>
      </w:r>
      <w:r w:rsidR="00C46CA0" w:rsidRPr="00AD75F9">
        <w:rPr>
          <w:b/>
        </w:rPr>
        <w:t>do správného účetního období</w:t>
      </w:r>
    </w:p>
    <w:p w14:paraId="0B6E6FF3" w14:textId="77777777" w:rsidR="0030084F" w:rsidRPr="0040296D" w:rsidRDefault="00C46CA0" w:rsidP="00D723A6">
      <w:pPr>
        <w:widowControl/>
        <w:spacing w:before="120" w:after="120"/>
        <w:rPr>
          <w:rFonts w:cs="Calibri"/>
          <w:szCs w:val="24"/>
        </w:rPr>
      </w:pPr>
      <w:r w:rsidRPr="0040296D">
        <w:rPr>
          <w:rFonts w:cs="Calibri"/>
          <w:szCs w:val="24"/>
        </w:rPr>
        <w:t>ZPMV porušila zákon o účetnictví. P</w:t>
      </w:r>
      <w:r w:rsidR="0030084F" w:rsidRPr="0040296D">
        <w:rPr>
          <w:rFonts w:cs="Calibri"/>
          <w:szCs w:val="24"/>
        </w:rPr>
        <w:t xml:space="preserve">ři kontrole vybraného vzorku 20 plátců, za kterými ZPMV odepsala pohledávku, </w:t>
      </w:r>
      <w:r w:rsidR="00720CE7" w:rsidRPr="0040296D">
        <w:rPr>
          <w:rFonts w:cs="Calibri"/>
          <w:szCs w:val="24"/>
        </w:rPr>
        <w:t xml:space="preserve">NKÚ zjistil, </w:t>
      </w:r>
      <w:r w:rsidR="0030084F" w:rsidRPr="0040296D">
        <w:rPr>
          <w:rFonts w:cs="Calibri"/>
          <w:szCs w:val="24"/>
        </w:rPr>
        <w:t>že</w:t>
      </w:r>
      <w:r w:rsidR="00720CE7" w:rsidRPr="0040296D">
        <w:rPr>
          <w:rFonts w:cs="Calibri"/>
          <w:szCs w:val="24"/>
        </w:rPr>
        <w:t xml:space="preserve"> ZPMV</w:t>
      </w:r>
      <w:r w:rsidR="0030084F" w:rsidRPr="0040296D">
        <w:rPr>
          <w:rFonts w:cs="Calibri"/>
          <w:szCs w:val="24"/>
        </w:rPr>
        <w:t xml:space="preserve"> účtovala o odpisu pohledávek z důvodu nemajetnosti plátce, splnění reorganizačního plánu či zrušení konkurzu u pohledávek za třemi plátci v celkové výši 4 478 99</w:t>
      </w:r>
      <w:r w:rsidR="005543FF" w:rsidRPr="0040296D">
        <w:rPr>
          <w:rFonts w:cs="Calibri"/>
          <w:szCs w:val="24"/>
        </w:rPr>
        <w:t>6</w:t>
      </w:r>
      <w:r w:rsidR="0030084F" w:rsidRPr="0040296D">
        <w:rPr>
          <w:rFonts w:cs="Calibri"/>
          <w:szCs w:val="24"/>
        </w:rPr>
        <w:t xml:space="preserve"> Kč v účetním období, s nímž skutečnost časově a věcně nesouvisela.</w:t>
      </w:r>
    </w:p>
    <w:p w14:paraId="16FAA4AE" w14:textId="4EBCCDC3" w:rsidR="0030084F" w:rsidRPr="0040296D" w:rsidRDefault="0030084F" w:rsidP="00D723A6">
      <w:pPr>
        <w:widowControl/>
        <w:spacing w:before="120" w:after="120"/>
        <w:rPr>
          <w:rFonts w:cs="Calibri"/>
          <w:szCs w:val="24"/>
        </w:rPr>
      </w:pPr>
      <w:r w:rsidRPr="0040296D">
        <w:rPr>
          <w:rFonts w:cs="Calibri"/>
          <w:szCs w:val="24"/>
        </w:rPr>
        <w:t xml:space="preserve">Pohledávky </w:t>
      </w:r>
      <w:r w:rsidR="00375A84">
        <w:rPr>
          <w:rFonts w:cs="Calibri"/>
          <w:szCs w:val="24"/>
        </w:rPr>
        <w:t>tří</w:t>
      </w:r>
      <w:r w:rsidRPr="0040296D">
        <w:rPr>
          <w:rFonts w:cs="Calibri"/>
          <w:szCs w:val="24"/>
        </w:rPr>
        <w:t xml:space="preserve"> plátců se</w:t>
      </w:r>
      <w:r w:rsidR="00731D31" w:rsidRPr="0040296D">
        <w:rPr>
          <w:rFonts w:cs="Calibri"/>
          <w:szCs w:val="24"/>
        </w:rPr>
        <w:t xml:space="preserve"> staly nedobytné</w:t>
      </w:r>
      <w:r w:rsidRPr="0040296D">
        <w:rPr>
          <w:rFonts w:cs="Calibri"/>
          <w:szCs w:val="24"/>
        </w:rPr>
        <w:t xml:space="preserve"> z důvodu usnesení o ukončení exekučního řízení pro</w:t>
      </w:r>
      <w:r w:rsidR="00375A84">
        <w:rPr>
          <w:rFonts w:cs="Calibri"/>
          <w:szCs w:val="24"/>
        </w:rPr>
        <w:t xml:space="preserve"> </w:t>
      </w:r>
      <w:r w:rsidRPr="0040296D">
        <w:rPr>
          <w:rFonts w:cs="Calibri"/>
          <w:szCs w:val="24"/>
        </w:rPr>
        <w:t>nemajetnost, resp. splnění reorganizačního plánu či zrušení konkurzu.</w:t>
      </w:r>
      <w:r w:rsidRPr="0040296D">
        <w:rPr>
          <w:rFonts w:cs="Calibri"/>
          <w:i/>
          <w:szCs w:val="24"/>
        </w:rPr>
        <w:t xml:space="preserve"> </w:t>
      </w:r>
      <w:r w:rsidRPr="0040296D">
        <w:rPr>
          <w:rFonts w:cs="Calibri"/>
          <w:szCs w:val="24"/>
        </w:rPr>
        <w:t>Důvod odpisu pohledávky ve výši 1 983 040 Kč</w:t>
      </w:r>
      <w:r w:rsidR="00720CE7" w:rsidRPr="0040296D">
        <w:rPr>
          <w:rFonts w:cs="Calibri"/>
          <w:szCs w:val="24"/>
        </w:rPr>
        <w:t xml:space="preserve"> a 1 723 5</w:t>
      </w:r>
      <w:r w:rsidR="005543FF" w:rsidRPr="0040296D">
        <w:rPr>
          <w:rFonts w:cs="Calibri"/>
          <w:szCs w:val="24"/>
        </w:rPr>
        <w:t>40</w:t>
      </w:r>
      <w:r w:rsidR="00720CE7" w:rsidRPr="0040296D">
        <w:rPr>
          <w:rFonts w:cs="Calibri"/>
          <w:szCs w:val="24"/>
        </w:rPr>
        <w:t xml:space="preserve"> Kč</w:t>
      </w:r>
      <w:r w:rsidRPr="0040296D">
        <w:rPr>
          <w:rFonts w:cs="Calibri"/>
          <w:szCs w:val="24"/>
        </w:rPr>
        <w:t xml:space="preserve"> nastal v účetním období 2018, </w:t>
      </w:r>
      <w:r w:rsidR="00B77263" w:rsidRPr="0040296D">
        <w:rPr>
          <w:rFonts w:cs="Calibri"/>
          <w:szCs w:val="24"/>
        </w:rPr>
        <w:t xml:space="preserve">v případě </w:t>
      </w:r>
      <w:r w:rsidRPr="0040296D">
        <w:rPr>
          <w:rFonts w:cs="Calibri"/>
          <w:szCs w:val="24"/>
        </w:rPr>
        <w:t>třetí pohledávky ve výši 772 416 Kč nastal v účetním období 2021.</w:t>
      </w:r>
    </w:p>
    <w:p w14:paraId="2B82C37B" w14:textId="3C2EA023" w:rsidR="0030084F" w:rsidRPr="0040296D" w:rsidRDefault="0030084F" w:rsidP="00D723A6">
      <w:pPr>
        <w:widowControl/>
        <w:spacing w:before="120" w:after="120"/>
        <w:rPr>
          <w:rFonts w:cs="Calibri"/>
          <w:szCs w:val="24"/>
        </w:rPr>
      </w:pPr>
      <w:r w:rsidRPr="0040296D">
        <w:rPr>
          <w:rFonts w:cs="Calibri"/>
          <w:szCs w:val="24"/>
        </w:rPr>
        <w:t>Na vybraném vzorku 30 plátců, u kterých bylo zahájeno insolvenční řízení, NKÚ zjistil, že ZPMV</w:t>
      </w:r>
      <w:r w:rsidR="00720CE7" w:rsidRPr="0040296D">
        <w:rPr>
          <w:rFonts w:cs="Calibri"/>
          <w:szCs w:val="24"/>
        </w:rPr>
        <w:t xml:space="preserve"> neúčtovala </w:t>
      </w:r>
      <w:r w:rsidRPr="0040296D">
        <w:rPr>
          <w:rFonts w:cs="Calibri"/>
          <w:szCs w:val="24"/>
        </w:rPr>
        <w:t>v účetním období, s nímž skutečnost časově a věcně souvisela.</w:t>
      </w:r>
      <w:r w:rsidR="00720CE7" w:rsidRPr="0040296D">
        <w:rPr>
          <w:rFonts w:cs="Calibri"/>
          <w:szCs w:val="24"/>
        </w:rPr>
        <w:t xml:space="preserve"> </w:t>
      </w:r>
      <w:r w:rsidRPr="0040296D">
        <w:rPr>
          <w:rFonts w:cs="Calibri"/>
          <w:szCs w:val="24"/>
        </w:rPr>
        <w:t>Pohledávky za</w:t>
      </w:r>
      <w:r w:rsidR="00E43FA4" w:rsidRPr="0040296D">
        <w:rPr>
          <w:rFonts w:cs="Calibri"/>
          <w:szCs w:val="24"/>
        </w:rPr>
        <w:t> </w:t>
      </w:r>
      <w:r w:rsidRPr="0040296D">
        <w:rPr>
          <w:rFonts w:cs="Calibri"/>
          <w:szCs w:val="24"/>
        </w:rPr>
        <w:t>dvěma plátci se</w:t>
      </w:r>
      <w:r w:rsidR="00731D31" w:rsidRPr="0040296D">
        <w:rPr>
          <w:rFonts w:cs="Calibri"/>
          <w:szCs w:val="24"/>
        </w:rPr>
        <w:t xml:space="preserve"> staly nedobytnými</w:t>
      </w:r>
      <w:r w:rsidRPr="0040296D">
        <w:rPr>
          <w:rFonts w:cs="Calibri"/>
          <w:szCs w:val="24"/>
        </w:rPr>
        <w:t xml:space="preserve"> z důvodu usnesení o zrušení konkursu, resp. po částečné úhradě</w:t>
      </w:r>
      <w:r w:rsidR="00375A84">
        <w:rPr>
          <w:rFonts w:cs="Calibri"/>
          <w:szCs w:val="24"/>
        </w:rPr>
        <w:t xml:space="preserve"> pohledávky</w:t>
      </w:r>
      <w:r w:rsidRPr="0040296D">
        <w:rPr>
          <w:rFonts w:cs="Calibri"/>
          <w:szCs w:val="24"/>
        </w:rPr>
        <w:t xml:space="preserve"> z rozvrhového usnesení.</w:t>
      </w:r>
      <w:r w:rsidRPr="0040296D">
        <w:rPr>
          <w:rFonts w:cs="Calibri"/>
          <w:i/>
          <w:szCs w:val="24"/>
        </w:rPr>
        <w:t xml:space="preserve"> </w:t>
      </w:r>
      <w:r w:rsidRPr="0040296D">
        <w:rPr>
          <w:rFonts w:cs="Calibri"/>
          <w:szCs w:val="24"/>
        </w:rPr>
        <w:t>Důvod odpisu pohledávky ve výši 240 528 Kč za</w:t>
      </w:r>
      <w:r w:rsidR="00A5316D" w:rsidRPr="0040296D">
        <w:rPr>
          <w:rFonts w:cs="Calibri"/>
          <w:szCs w:val="24"/>
        </w:rPr>
        <w:t> </w:t>
      </w:r>
      <w:r w:rsidRPr="0040296D">
        <w:rPr>
          <w:rFonts w:cs="Calibri"/>
          <w:szCs w:val="24"/>
        </w:rPr>
        <w:t>jedním plátcem nastal v účetním období 2016 a ZPMV tuto pohledávku odepsala až v roce 2022</w:t>
      </w:r>
      <w:r w:rsidR="00E411F5" w:rsidRPr="0040296D">
        <w:rPr>
          <w:rFonts w:cs="Calibri"/>
          <w:szCs w:val="24"/>
        </w:rPr>
        <w:t>.</w:t>
      </w:r>
      <w:r w:rsidRPr="0040296D">
        <w:rPr>
          <w:rFonts w:cs="Calibri"/>
          <w:szCs w:val="24"/>
        </w:rPr>
        <w:t xml:space="preserve"> </w:t>
      </w:r>
      <w:r w:rsidR="00E411F5" w:rsidRPr="0040296D">
        <w:rPr>
          <w:rFonts w:cs="Calibri"/>
          <w:szCs w:val="24"/>
        </w:rPr>
        <w:t>D</w:t>
      </w:r>
      <w:r w:rsidRPr="0040296D">
        <w:rPr>
          <w:rFonts w:cs="Calibri"/>
          <w:szCs w:val="24"/>
        </w:rPr>
        <w:t>ůvod odpisu pohledávky ve výši 240 21</w:t>
      </w:r>
      <w:r w:rsidR="005543FF" w:rsidRPr="0040296D">
        <w:rPr>
          <w:rFonts w:cs="Calibri"/>
          <w:szCs w:val="24"/>
        </w:rPr>
        <w:t>8</w:t>
      </w:r>
      <w:r w:rsidRPr="0040296D">
        <w:rPr>
          <w:rFonts w:cs="Calibri"/>
          <w:szCs w:val="24"/>
        </w:rPr>
        <w:t xml:space="preserve"> Kč za druhým plátcem nastal v</w:t>
      </w:r>
      <w:r w:rsidR="00375A84">
        <w:rPr>
          <w:rFonts w:cs="Calibri"/>
          <w:szCs w:val="24"/>
        </w:rPr>
        <w:t> </w:t>
      </w:r>
      <w:r w:rsidRPr="0040296D">
        <w:rPr>
          <w:rFonts w:cs="Calibri"/>
          <w:szCs w:val="24"/>
        </w:rPr>
        <w:t xml:space="preserve">účetním období 2022 a ZPMV tuto pohledávku </w:t>
      </w:r>
      <w:r w:rsidR="00720CE7" w:rsidRPr="0040296D">
        <w:rPr>
          <w:rFonts w:cs="Calibri"/>
          <w:szCs w:val="24"/>
        </w:rPr>
        <w:t>v daném roce neodepsala</w:t>
      </w:r>
      <w:r w:rsidRPr="0040296D">
        <w:rPr>
          <w:rFonts w:cs="Calibri"/>
          <w:szCs w:val="24"/>
        </w:rPr>
        <w:t>.</w:t>
      </w:r>
    </w:p>
    <w:p w14:paraId="4A20D13D" w14:textId="205E9332" w:rsidR="00D66BB9" w:rsidRPr="00AD75F9" w:rsidRDefault="00AD75F9" w:rsidP="00D723A6">
      <w:pPr>
        <w:keepNext/>
        <w:widowControl/>
        <w:spacing w:before="240" w:after="120"/>
        <w:ind w:left="425" w:hanging="425"/>
        <w:rPr>
          <w:b/>
          <w:noProof/>
        </w:rPr>
      </w:pPr>
      <w:r>
        <w:rPr>
          <w:b/>
          <w:lang w:eastAsia="en-US"/>
        </w:rPr>
        <w:t>4</w:t>
      </w:r>
      <w:r w:rsidR="00F70894">
        <w:rPr>
          <w:b/>
          <w:lang w:eastAsia="en-US"/>
        </w:rPr>
        <w:t>.</w:t>
      </w:r>
      <w:r>
        <w:rPr>
          <w:b/>
          <w:lang w:eastAsia="en-US"/>
        </w:rPr>
        <w:t xml:space="preserve"> </w:t>
      </w:r>
      <w:r w:rsidR="007462FA" w:rsidRPr="00AD75F9">
        <w:rPr>
          <w:b/>
          <w:lang w:eastAsia="en-US"/>
        </w:rPr>
        <w:t xml:space="preserve">Další </w:t>
      </w:r>
      <w:r w:rsidR="00D66BB9" w:rsidRPr="00AD75F9">
        <w:rPr>
          <w:b/>
          <w:lang w:eastAsia="en-US"/>
        </w:rPr>
        <w:t>skutečnosti zjištěné kontrolou</w:t>
      </w:r>
      <w:r w:rsidR="00D66BB9" w:rsidRPr="00AD75F9">
        <w:rPr>
          <w:b/>
          <w:noProof/>
        </w:rPr>
        <w:t xml:space="preserve"> </w:t>
      </w:r>
    </w:p>
    <w:p w14:paraId="0DEAE918" w14:textId="339CA73D" w:rsidR="00501D68" w:rsidRPr="00AD75F9" w:rsidRDefault="00190C85" w:rsidP="00D723A6">
      <w:pPr>
        <w:keepNext/>
        <w:widowControl/>
        <w:spacing w:before="120" w:after="120"/>
        <w:ind w:left="425" w:hanging="425"/>
        <w:jc w:val="left"/>
        <w:rPr>
          <w:rFonts w:eastAsia="Calibri"/>
          <w:b/>
          <w:lang w:eastAsia="en-US"/>
        </w:rPr>
      </w:pPr>
      <w:r w:rsidRPr="00AD75F9">
        <w:rPr>
          <w:rFonts w:eastAsia="Calibri"/>
          <w:b/>
          <w:lang w:eastAsia="en-US"/>
        </w:rPr>
        <w:t>4.</w:t>
      </w:r>
      <w:r w:rsidR="004444EE" w:rsidRPr="00AD75F9">
        <w:rPr>
          <w:rFonts w:eastAsia="Calibri"/>
          <w:b/>
          <w:lang w:eastAsia="en-US"/>
        </w:rPr>
        <w:t>1</w:t>
      </w:r>
      <w:r w:rsidRPr="00AD75F9">
        <w:rPr>
          <w:rFonts w:eastAsia="Calibri"/>
          <w:b/>
          <w:lang w:eastAsia="en-US"/>
        </w:rPr>
        <w:tab/>
      </w:r>
      <w:r w:rsidR="006868C2" w:rsidRPr="00AD75F9">
        <w:rPr>
          <w:rFonts w:eastAsia="Calibri"/>
          <w:b/>
          <w:lang w:eastAsia="en-US"/>
        </w:rPr>
        <w:t>ZPMV se dopustila dílčích nedostatků při zveřejňování</w:t>
      </w:r>
      <w:r w:rsidR="001160E4" w:rsidRPr="00AD75F9">
        <w:rPr>
          <w:rFonts w:eastAsia="Calibri"/>
          <w:b/>
          <w:lang w:eastAsia="en-US"/>
        </w:rPr>
        <w:t xml:space="preserve"> zvláštních</w:t>
      </w:r>
      <w:r w:rsidR="006868C2" w:rsidRPr="00AD75F9">
        <w:rPr>
          <w:rFonts w:eastAsia="Calibri"/>
          <w:b/>
          <w:lang w:eastAsia="en-US"/>
        </w:rPr>
        <w:t xml:space="preserve"> smluv </w:t>
      </w:r>
      <w:r w:rsidR="001160E4" w:rsidRPr="00AD75F9">
        <w:rPr>
          <w:rFonts w:eastAsia="Calibri"/>
          <w:b/>
          <w:lang w:eastAsia="en-US"/>
        </w:rPr>
        <w:t>a</w:t>
      </w:r>
      <w:r w:rsidR="009C0EAC" w:rsidRPr="00AD75F9">
        <w:rPr>
          <w:rFonts w:eastAsia="Calibri"/>
          <w:b/>
          <w:lang w:eastAsia="en-US"/>
        </w:rPr>
        <w:t xml:space="preserve"> smluv</w:t>
      </w:r>
      <w:r w:rsidR="001160E4" w:rsidRPr="00AD75F9">
        <w:rPr>
          <w:rFonts w:eastAsia="Calibri"/>
          <w:b/>
          <w:lang w:eastAsia="en-US"/>
        </w:rPr>
        <w:t xml:space="preserve"> v registru smluv</w:t>
      </w:r>
    </w:p>
    <w:p w14:paraId="0C11901C" w14:textId="6D4D3B87" w:rsidR="00501D68" w:rsidRPr="0040296D" w:rsidRDefault="00501D68" w:rsidP="00D723A6">
      <w:pPr>
        <w:widowControl/>
        <w:autoSpaceDE/>
        <w:autoSpaceDN/>
        <w:adjustRightInd/>
        <w:spacing w:before="120" w:after="120"/>
        <w:rPr>
          <w:rFonts w:cs="Calibri"/>
          <w:szCs w:val="24"/>
        </w:rPr>
      </w:pPr>
      <w:r w:rsidRPr="0040296D">
        <w:rPr>
          <w:rFonts w:cs="Calibri"/>
          <w:szCs w:val="24"/>
        </w:rPr>
        <w:t>ZPMV postupovala v rozporu s</w:t>
      </w:r>
      <w:r w:rsidR="00953071" w:rsidRPr="0040296D">
        <w:rPr>
          <w:rFonts w:cs="Calibri"/>
          <w:szCs w:val="24"/>
        </w:rPr>
        <w:t>e</w:t>
      </w:r>
      <w:r w:rsidRPr="0040296D">
        <w:rPr>
          <w:rFonts w:cs="Calibri"/>
          <w:szCs w:val="24"/>
        </w:rPr>
        <w:t xml:space="preserve"> zákon</w:t>
      </w:r>
      <w:r w:rsidR="00953071" w:rsidRPr="0040296D">
        <w:rPr>
          <w:rFonts w:cs="Calibri"/>
          <w:szCs w:val="24"/>
        </w:rPr>
        <w:t>em</w:t>
      </w:r>
      <w:r w:rsidRPr="0040296D">
        <w:rPr>
          <w:rFonts w:cs="Calibri"/>
          <w:szCs w:val="24"/>
        </w:rPr>
        <w:t xml:space="preserve"> č. 48/1997 Sb.</w:t>
      </w:r>
      <w:bookmarkStart w:id="8" w:name="_Ref160526045"/>
      <w:r w:rsidR="00953071" w:rsidRPr="0040296D">
        <w:rPr>
          <w:rStyle w:val="Znakapoznpodarou"/>
          <w:rFonts w:cs="Calibri"/>
          <w:szCs w:val="24"/>
        </w:rPr>
        <w:footnoteReference w:id="27"/>
      </w:r>
      <w:bookmarkEnd w:id="8"/>
      <w:r w:rsidRPr="0040296D">
        <w:rPr>
          <w:rFonts w:cs="Calibri"/>
          <w:szCs w:val="24"/>
        </w:rPr>
        <w:t xml:space="preserve">, když při zveřejnění </w:t>
      </w:r>
      <w:r w:rsidR="006868C2" w:rsidRPr="0040296D">
        <w:rPr>
          <w:rFonts w:cs="Calibri"/>
          <w:szCs w:val="24"/>
        </w:rPr>
        <w:t>3</w:t>
      </w:r>
      <w:r w:rsidRPr="0040296D">
        <w:rPr>
          <w:rFonts w:cs="Calibri"/>
          <w:szCs w:val="24"/>
        </w:rPr>
        <w:t>2 dodatků ke</w:t>
      </w:r>
      <w:r w:rsidR="00AD75F9">
        <w:rPr>
          <w:rFonts w:cs="Calibri"/>
          <w:szCs w:val="24"/>
        </w:rPr>
        <w:t xml:space="preserve"> </w:t>
      </w:r>
      <w:r w:rsidRPr="0040296D">
        <w:rPr>
          <w:rFonts w:cs="Calibri"/>
          <w:szCs w:val="24"/>
        </w:rPr>
        <w:t>smlouvám o poskytování a úhradě hrazených služeb uzavřených s</w:t>
      </w:r>
      <w:r w:rsidR="001160E4" w:rsidRPr="0040296D">
        <w:rPr>
          <w:rFonts w:cs="Calibri"/>
          <w:szCs w:val="24"/>
        </w:rPr>
        <w:t>e</w:t>
      </w:r>
      <w:r w:rsidRPr="0040296D">
        <w:rPr>
          <w:rFonts w:cs="Calibri"/>
          <w:szCs w:val="24"/>
        </w:rPr>
        <w:t> 1</w:t>
      </w:r>
      <w:r w:rsidR="00A76CE1" w:rsidRPr="0040296D">
        <w:rPr>
          <w:rFonts w:cs="Calibri"/>
          <w:szCs w:val="24"/>
        </w:rPr>
        <w:t>7</w:t>
      </w:r>
      <w:r w:rsidRPr="0040296D">
        <w:rPr>
          <w:rFonts w:cs="Calibri"/>
          <w:szCs w:val="24"/>
        </w:rPr>
        <w:t xml:space="preserve"> PZS některé údaje znečitelnila (např. název PZS, sídlo, IČO)</w:t>
      </w:r>
      <w:r w:rsidR="001160E4" w:rsidRPr="0040296D">
        <w:rPr>
          <w:rFonts w:cs="Calibri"/>
          <w:szCs w:val="24"/>
        </w:rPr>
        <w:t>.</w:t>
      </w:r>
      <w:r w:rsidRPr="0040296D">
        <w:rPr>
          <w:rFonts w:cs="Calibri"/>
          <w:szCs w:val="24"/>
        </w:rPr>
        <w:t xml:space="preserve"> </w:t>
      </w:r>
      <w:r w:rsidR="001160E4" w:rsidRPr="0040296D">
        <w:rPr>
          <w:rFonts w:cs="Calibri"/>
          <w:szCs w:val="24"/>
        </w:rPr>
        <w:t>Zákon</w:t>
      </w:r>
      <w:r w:rsidRPr="0040296D">
        <w:rPr>
          <w:rFonts w:cs="Calibri"/>
          <w:szCs w:val="24"/>
        </w:rPr>
        <w:t xml:space="preserve"> výše uvedená znečitelnění údajů v</w:t>
      </w:r>
      <w:r w:rsidR="001160E4" w:rsidRPr="0040296D">
        <w:rPr>
          <w:rFonts w:cs="Calibri"/>
          <w:szCs w:val="24"/>
        </w:rPr>
        <w:t>e smlouvách</w:t>
      </w:r>
      <w:r w:rsidRPr="0040296D">
        <w:rPr>
          <w:rFonts w:cs="Calibri"/>
          <w:szCs w:val="24"/>
        </w:rPr>
        <w:t xml:space="preserve"> nepřipouští a tyto údaje nejsou předmětem ochrany podle jiných právních předpisů.</w:t>
      </w:r>
      <w:r w:rsidR="00A5316D" w:rsidRPr="0040296D">
        <w:rPr>
          <w:rFonts w:cs="Calibri"/>
          <w:szCs w:val="24"/>
        </w:rPr>
        <w:t xml:space="preserve"> </w:t>
      </w:r>
      <w:r w:rsidRPr="0040296D">
        <w:rPr>
          <w:rFonts w:cs="Calibri"/>
          <w:szCs w:val="24"/>
        </w:rPr>
        <w:t>ZPMV dále postupovala v rozporu s</w:t>
      </w:r>
      <w:r w:rsidR="00953071" w:rsidRPr="0040296D">
        <w:rPr>
          <w:rFonts w:cs="Calibri"/>
          <w:szCs w:val="24"/>
        </w:rPr>
        <w:t>e</w:t>
      </w:r>
      <w:r w:rsidRPr="0040296D">
        <w:rPr>
          <w:rFonts w:cs="Calibri"/>
          <w:szCs w:val="24"/>
        </w:rPr>
        <w:t xml:space="preserve"> zákon</w:t>
      </w:r>
      <w:r w:rsidR="00953071" w:rsidRPr="0040296D">
        <w:rPr>
          <w:rFonts w:cs="Calibri"/>
          <w:szCs w:val="24"/>
        </w:rPr>
        <w:t xml:space="preserve">em </w:t>
      </w:r>
      <w:r w:rsidRPr="0040296D">
        <w:rPr>
          <w:rFonts w:cs="Calibri"/>
          <w:szCs w:val="24"/>
        </w:rPr>
        <w:t>č. 48/1997 Sb. tím, že tři dodatky nezveřejnila způsobem umožňujícím dálkový přístup ve lhůtě 60 dnů ode dne uzavření smlouvy.</w:t>
      </w:r>
    </w:p>
    <w:p w14:paraId="5358535D" w14:textId="68546EA3" w:rsidR="00501D68" w:rsidRPr="0040296D" w:rsidRDefault="00501D68" w:rsidP="00D723A6">
      <w:pPr>
        <w:widowControl/>
        <w:autoSpaceDE/>
        <w:autoSpaceDN/>
        <w:adjustRightInd/>
        <w:spacing w:before="120" w:after="120"/>
        <w:rPr>
          <w:rFonts w:cs="Calibri"/>
          <w:szCs w:val="24"/>
        </w:rPr>
      </w:pPr>
      <w:r w:rsidRPr="0040296D">
        <w:rPr>
          <w:rFonts w:cs="Calibri"/>
          <w:szCs w:val="24"/>
        </w:rPr>
        <w:t>ZPMV postupovala v rozporu s</w:t>
      </w:r>
      <w:r w:rsidR="009A54B9" w:rsidRPr="0040296D">
        <w:rPr>
          <w:rFonts w:cs="Calibri"/>
          <w:szCs w:val="24"/>
        </w:rPr>
        <w:t>e</w:t>
      </w:r>
      <w:r w:rsidRPr="0040296D">
        <w:rPr>
          <w:rFonts w:cs="Calibri"/>
          <w:szCs w:val="24"/>
        </w:rPr>
        <w:t xml:space="preserve"> zákon</w:t>
      </w:r>
      <w:r w:rsidR="009A54B9" w:rsidRPr="0040296D">
        <w:rPr>
          <w:rFonts w:cs="Calibri"/>
          <w:szCs w:val="24"/>
        </w:rPr>
        <w:t>em</w:t>
      </w:r>
      <w:r w:rsidRPr="0040296D">
        <w:rPr>
          <w:rFonts w:cs="Calibri"/>
          <w:szCs w:val="24"/>
        </w:rPr>
        <w:t xml:space="preserve"> č. 340/2015 Sb.</w:t>
      </w:r>
      <w:r w:rsidR="002263CD" w:rsidRPr="0040296D">
        <w:rPr>
          <w:rStyle w:val="Znakapoznpodarou"/>
          <w:rFonts w:cs="Calibri"/>
          <w:szCs w:val="24"/>
        </w:rPr>
        <w:footnoteReference w:id="28"/>
      </w:r>
      <w:r w:rsidRPr="0040296D">
        <w:rPr>
          <w:rFonts w:cs="Calibri"/>
          <w:szCs w:val="24"/>
        </w:rPr>
        <w:t xml:space="preserve"> tím, že uveřejněný elektronický obraz textového obsahu u 6</w:t>
      </w:r>
      <w:r w:rsidR="00015E06" w:rsidRPr="0040296D">
        <w:rPr>
          <w:rFonts w:cs="Calibri"/>
          <w:szCs w:val="24"/>
        </w:rPr>
        <w:t>5</w:t>
      </w:r>
      <w:r w:rsidRPr="0040296D">
        <w:rPr>
          <w:rFonts w:cs="Calibri"/>
          <w:szCs w:val="24"/>
        </w:rPr>
        <w:t xml:space="preserve"> smluv</w:t>
      </w:r>
      <w:r w:rsidR="00015E06" w:rsidRPr="0040296D">
        <w:rPr>
          <w:rFonts w:cs="Calibri"/>
          <w:szCs w:val="24"/>
        </w:rPr>
        <w:t>, dodatků</w:t>
      </w:r>
      <w:r w:rsidRPr="0040296D">
        <w:rPr>
          <w:rFonts w:cs="Calibri"/>
          <w:szCs w:val="24"/>
        </w:rPr>
        <w:t xml:space="preserve"> či objednávek</w:t>
      </w:r>
      <w:r w:rsidR="00D87A4E" w:rsidRPr="0040296D">
        <w:rPr>
          <w:rFonts w:cs="Calibri"/>
          <w:szCs w:val="24"/>
        </w:rPr>
        <w:t xml:space="preserve"> souvisejících s výdaji z provozního fondu nebo</w:t>
      </w:r>
      <w:r w:rsidR="00642014">
        <w:rPr>
          <w:rFonts w:cs="Calibri"/>
          <w:szCs w:val="24"/>
        </w:rPr>
        <w:t xml:space="preserve"> </w:t>
      </w:r>
      <w:r w:rsidR="00D87A4E" w:rsidRPr="0040296D">
        <w:rPr>
          <w:rFonts w:cs="Calibri"/>
          <w:szCs w:val="24"/>
        </w:rPr>
        <w:t>fondu prevence</w:t>
      </w:r>
      <w:r w:rsidRPr="0040296D">
        <w:rPr>
          <w:rFonts w:cs="Calibri"/>
          <w:szCs w:val="24"/>
        </w:rPr>
        <w:t xml:space="preserve"> neodpovídal původnímu textovému obsahu těchto smluv či</w:t>
      </w:r>
      <w:r w:rsidR="00B01853" w:rsidRPr="0040296D">
        <w:rPr>
          <w:rFonts w:cs="Calibri"/>
          <w:szCs w:val="24"/>
        </w:rPr>
        <w:t> </w:t>
      </w:r>
      <w:r w:rsidRPr="0040296D">
        <w:rPr>
          <w:rFonts w:cs="Calibri"/>
          <w:szCs w:val="24"/>
        </w:rPr>
        <w:t>objednávek, tj. byly znečitelněny údaje o čísle bankovního účtu smluvních stran, resp. údaje o</w:t>
      </w:r>
      <w:r w:rsidR="00642014">
        <w:rPr>
          <w:rFonts w:cs="Calibri"/>
          <w:szCs w:val="24"/>
        </w:rPr>
        <w:t> </w:t>
      </w:r>
      <w:r w:rsidRPr="0040296D">
        <w:rPr>
          <w:rFonts w:cs="Calibri"/>
          <w:szCs w:val="24"/>
        </w:rPr>
        <w:t xml:space="preserve">kontaktních či pověřených osobách ZPMV. </w:t>
      </w:r>
    </w:p>
    <w:p w14:paraId="7E82FC89" w14:textId="29689AA5" w:rsidR="00501D68" w:rsidRPr="0040296D" w:rsidRDefault="00501D68" w:rsidP="00D723A6">
      <w:pPr>
        <w:widowControl/>
        <w:autoSpaceDE/>
        <w:autoSpaceDN/>
        <w:adjustRightInd/>
        <w:spacing w:before="120" w:after="120"/>
        <w:rPr>
          <w:rFonts w:eastAsia="Calibri" w:cs="Calibri"/>
          <w:sz w:val="22"/>
          <w:szCs w:val="22"/>
          <w:lang w:eastAsia="en-US"/>
        </w:rPr>
      </w:pPr>
      <w:r w:rsidRPr="0040296D">
        <w:rPr>
          <w:rFonts w:cs="Calibri"/>
          <w:szCs w:val="24"/>
        </w:rPr>
        <w:t>ZPMV postupovala v rozporu s</w:t>
      </w:r>
      <w:r w:rsidR="009A54B9" w:rsidRPr="0040296D">
        <w:rPr>
          <w:rFonts w:cs="Calibri"/>
          <w:szCs w:val="24"/>
        </w:rPr>
        <w:t>e</w:t>
      </w:r>
      <w:r w:rsidRPr="0040296D">
        <w:rPr>
          <w:rFonts w:cs="Calibri"/>
          <w:szCs w:val="24"/>
        </w:rPr>
        <w:t xml:space="preserve"> zákon</w:t>
      </w:r>
      <w:r w:rsidR="009A54B9" w:rsidRPr="0040296D">
        <w:rPr>
          <w:rFonts w:cs="Calibri"/>
          <w:szCs w:val="24"/>
        </w:rPr>
        <w:t>em</w:t>
      </w:r>
      <w:r w:rsidRPr="0040296D">
        <w:rPr>
          <w:rFonts w:cs="Calibri"/>
          <w:szCs w:val="24"/>
        </w:rPr>
        <w:t xml:space="preserve"> č. 340/2015 Sb.</w:t>
      </w:r>
      <w:r w:rsidR="009A54B9" w:rsidRPr="0040296D">
        <w:rPr>
          <w:rStyle w:val="Znakapoznpodarou"/>
          <w:rFonts w:cs="Calibri"/>
          <w:szCs w:val="24"/>
        </w:rPr>
        <w:footnoteReference w:id="29"/>
      </w:r>
      <w:r w:rsidRPr="0040296D">
        <w:rPr>
          <w:rFonts w:cs="Calibri"/>
          <w:szCs w:val="24"/>
        </w:rPr>
        <w:t xml:space="preserve"> </w:t>
      </w:r>
      <w:r w:rsidR="009A54B9" w:rsidRPr="0040296D">
        <w:rPr>
          <w:rFonts w:cs="Calibri"/>
          <w:szCs w:val="24"/>
        </w:rPr>
        <w:t xml:space="preserve">také </w:t>
      </w:r>
      <w:r w:rsidRPr="0040296D">
        <w:rPr>
          <w:rFonts w:cs="Calibri"/>
          <w:szCs w:val="24"/>
        </w:rPr>
        <w:t>tím, že</w:t>
      </w:r>
      <w:r w:rsidR="00642014">
        <w:rPr>
          <w:rFonts w:cs="Calibri"/>
          <w:szCs w:val="24"/>
        </w:rPr>
        <w:t xml:space="preserve"> </w:t>
      </w:r>
      <w:r w:rsidRPr="0040296D">
        <w:rPr>
          <w:rFonts w:cs="Calibri"/>
          <w:szCs w:val="24"/>
        </w:rPr>
        <w:t>odeslala devět smluv</w:t>
      </w:r>
      <w:r w:rsidR="00C85A25" w:rsidRPr="0040296D">
        <w:rPr>
          <w:rFonts w:cs="Calibri"/>
          <w:szCs w:val="24"/>
        </w:rPr>
        <w:t>, dva dodatky ke smlouvě a sedm objednávek</w:t>
      </w:r>
      <w:r w:rsidR="00D87A4E" w:rsidRPr="0040296D">
        <w:rPr>
          <w:rFonts w:cs="Calibri"/>
          <w:szCs w:val="24"/>
        </w:rPr>
        <w:t xml:space="preserve"> souvisejících s výdaji z provozního fondu nebo</w:t>
      </w:r>
      <w:r w:rsidR="00642014">
        <w:rPr>
          <w:rFonts w:cs="Calibri"/>
          <w:szCs w:val="24"/>
        </w:rPr>
        <w:t xml:space="preserve"> </w:t>
      </w:r>
      <w:r w:rsidR="00D87A4E" w:rsidRPr="0040296D">
        <w:rPr>
          <w:rFonts w:cs="Calibri"/>
          <w:szCs w:val="24"/>
        </w:rPr>
        <w:t>fondu prevence</w:t>
      </w:r>
      <w:r w:rsidRPr="0040296D">
        <w:rPr>
          <w:rFonts w:cs="Calibri"/>
          <w:szCs w:val="24"/>
        </w:rPr>
        <w:t xml:space="preserve"> správci registru smluv k uveřejnění prostřednictvím registru smluv po</w:t>
      </w:r>
      <w:r w:rsidR="00642014">
        <w:rPr>
          <w:rFonts w:cs="Calibri"/>
          <w:szCs w:val="24"/>
        </w:rPr>
        <w:t xml:space="preserve"> </w:t>
      </w:r>
      <w:r w:rsidRPr="0040296D">
        <w:rPr>
          <w:rFonts w:cs="Calibri"/>
          <w:szCs w:val="24"/>
        </w:rPr>
        <w:t>více než 30 dnech od jejich uzavření</w:t>
      </w:r>
      <w:r w:rsidR="00C85A25" w:rsidRPr="0040296D">
        <w:rPr>
          <w:rFonts w:cs="Calibri"/>
          <w:szCs w:val="24"/>
        </w:rPr>
        <w:t xml:space="preserve"> či akceptace</w:t>
      </w:r>
      <w:r w:rsidRPr="0040296D">
        <w:rPr>
          <w:rFonts w:cs="Calibri"/>
          <w:szCs w:val="24"/>
        </w:rPr>
        <w:t>.</w:t>
      </w:r>
      <w:r w:rsidR="00C85A25" w:rsidRPr="0040296D">
        <w:rPr>
          <w:rFonts w:cs="Calibri"/>
          <w:szCs w:val="24"/>
        </w:rPr>
        <w:t xml:space="preserve"> </w:t>
      </w:r>
      <w:r w:rsidRPr="0040296D">
        <w:rPr>
          <w:rFonts w:cs="Calibri"/>
          <w:szCs w:val="24"/>
        </w:rPr>
        <w:t xml:space="preserve">Z toho čtyři objednávky ZPMV nezveřejnila ani po více než třech měsících od jejich akceptace dodavatelem, u </w:t>
      </w:r>
      <w:r w:rsidR="00375A84">
        <w:rPr>
          <w:rFonts w:cs="Calibri"/>
          <w:szCs w:val="24"/>
        </w:rPr>
        <w:t>tří</w:t>
      </w:r>
      <w:r w:rsidRPr="0040296D">
        <w:rPr>
          <w:rFonts w:cs="Calibri"/>
          <w:szCs w:val="24"/>
        </w:rPr>
        <w:t xml:space="preserve"> z nich ZPMV uzavřela s</w:t>
      </w:r>
      <w:r w:rsidR="00642014">
        <w:rPr>
          <w:rFonts w:cs="Calibri"/>
          <w:szCs w:val="24"/>
        </w:rPr>
        <w:t> </w:t>
      </w:r>
      <w:r w:rsidRPr="0040296D">
        <w:rPr>
          <w:rFonts w:cs="Calibri"/>
          <w:szCs w:val="24"/>
        </w:rPr>
        <w:t>dodavateli dohodu o narovnání.</w:t>
      </w:r>
      <w:r w:rsidRPr="0040296D">
        <w:rPr>
          <w:rFonts w:eastAsia="Calibri" w:cs="Calibri"/>
          <w:sz w:val="22"/>
          <w:szCs w:val="22"/>
          <w:lang w:eastAsia="en-US"/>
        </w:rPr>
        <w:t xml:space="preserve"> </w:t>
      </w:r>
    </w:p>
    <w:p w14:paraId="7B655F30" w14:textId="77777777" w:rsidR="00501D68" w:rsidRPr="0040296D" w:rsidRDefault="00501D68" w:rsidP="00D723A6">
      <w:pPr>
        <w:widowControl/>
        <w:autoSpaceDE/>
        <w:autoSpaceDN/>
        <w:adjustRightInd/>
        <w:spacing w:before="120" w:after="120"/>
        <w:rPr>
          <w:rFonts w:cs="Calibri"/>
          <w:szCs w:val="24"/>
        </w:rPr>
      </w:pPr>
      <w:r w:rsidRPr="0040296D">
        <w:rPr>
          <w:rFonts w:cs="Calibri"/>
          <w:szCs w:val="24"/>
        </w:rPr>
        <w:t xml:space="preserve">Tím, že ZPMV neuveřejnila objednávku na nákup vakcíny </w:t>
      </w:r>
      <w:r w:rsidR="00D87A4E" w:rsidRPr="0040296D">
        <w:rPr>
          <w:rFonts w:cs="Calibri"/>
          <w:szCs w:val="24"/>
        </w:rPr>
        <w:t>proti hepatitidě</w:t>
      </w:r>
      <w:r w:rsidRPr="0040296D">
        <w:rPr>
          <w:rFonts w:cs="Calibri"/>
          <w:szCs w:val="24"/>
        </w:rPr>
        <w:t xml:space="preserve"> ani do tří měsíců ode dne její akceptace dodavatelem, byla tato objednávka </w:t>
      </w:r>
      <w:r w:rsidR="00D87A4E" w:rsidRPr="0040296D">
        <w:rPr>
          <w:rFonts w:cs="Calibri"/>
          <w:szCs w:val="24"/>
        </w:rPr>
        <w:t>podle</w:t>
      </w:r>
      <w:r w:rsidRPr="0040296D">
        <w:rPr>
          <w:rFonts w:cs="Calibri"/>
          <w:szCs w:val="24"/>
        </w:rPr>
        <w:t xml:space="preserve"> zákon</w:t>
      </w:r>
      <w:r w:rsidR="009A54B9" w:rsidRPr="0040296D">
        <w:rPr>
          <w:rFonts w:cs="Calibri"/>
          <w:szCs w:val="24"/>
        </w:rPr>
        <w:t>a</w:t>
      </w:r>
      <w:r w:rsidRPr="0040296D">
        <w:rPr>
          <w:rFonts w:cs="Calibri"/>
          <w:szCs w:val="24"/>
        </w:rPr>
        <w:t xml:space="preserve"> č. 340/2015 Sb.</w:t>
      </w:r>
      <w:r w:rsidR="009A54B9" w:rsidRPr="0040296D">
        <w:rPr>
          <w:rStyle w:val="Znakapoznpodarou"/>
          <w:rFonts w:cs="Calibri"/>
          <w:szCs w:val="24"/>
        </w:rPr>
        <w:footnoteReference w:id="30"/>
      </w:r>
      <w:r w:rsidRPr="0040296D">
        <w:rPr>
          <w:rFonts w:cs="Calibri"/>
          <w:szCs w:val="24"/>
        </w:rPr>
        <w:t xml:space="preserve"> zrušena od počátku. Následkem zrušené objednávky od počátku tak došlo k bezdůvodnému obohacení plněním bez právního důvodu ve smyslu zákona č. 89/2012 Sb.</w:t>
      </w:r>
      <w:r w:rsidR="009A54B9" w:rsidRPr="0040296D">
        <w:rPr>
          <w:rStyle w:val="Znakapoznpodarou"/>
          <w:rFonts w:cs="Calibri"/>
          <w:szCs w:val="24"/>
        </w:rPr>
        <w:footnoteReference w:id="31"/>
      </w:r>
      <w:r w:rsidRPr="0040296D">
        <w:rPr>
          <w:rFonts w:cs="Calibri"/>
          <w:szCs w:val="24"/>
        </w:rPr>
        <w:t xml:space="preserve"> ve výši 286 897 Kč vč. DPH. </w:t>
      </w:r>
    </w:p>
    <w:p w14:paraId="083765F7" w14:textId="0DB6C10E" w:rsidR="00BD25C8" w:rsidRPr="00642014" w:rsidRDefault="00642014" w:rsidP="00D723A6">
      <w:pPr>
        <w:widowControl/>
        <w:spacing w:before="240" w:after="120"/>
        <w:rPr>
          <w:b/>
        </w:rPr>
      </w:pPr>
      <w:r>
        <w:rPr>
          <w:b/>
        </w:rPr>
        <w:t xml:space="preserve">4.2 </w:t>
      </w:r>
      <w:r w:rsidR="00EC3AD8" w:rsidRPr="00642014">
        <w:rPr>
          <w:b/>
        </w:rPr>
        <w:t xml:space="preserve">Plnění opatření k odstranění nedostatků zjištěných </w:t>
      </w:r>
      <w:r w:rsidR="002B6888" w:rsidRPr="00642014">
        <w:rPr>
          <w:b/>
        </w:rPr>
        <w:t>v KA č. 14/33</w:t>
      </w:r>
    </w:p>
    <w:p w14:paraId="127CFDFF" w14:textId="6785CAC4" w:rsidR="00134100" w:rsidRPr="0040296D" w:rsidRDefault="00134100" w:rsidP="00D723A6">
      <w:pPr>
        <w:widowControl/>
        <w:spacing w:before="120" w:after="120"/>
        <w:rPr>
          <w:rFonts w:cs="Calibri"/>
          <w:szCs w:val="24"/>
        </w:rPr>
      </w:pPr>
      <w:r w:rsidRPr="0040296D">
        <w:rPr>
          <w:rFonts w:cs="Calibri"/>
          <w:szCs w:val="24"/>
        </w:rPr>
        <w:t xml:space="preserve">NKÚ </w:t>
      </w:r>
      <w:r w:rsidR="00686FE1" w:rsidRPr="0040296D">
        <w:rPr>
          <w:rFonts w:cs="Calibri"/>
          <w:szCs w:val="24"/>
        </w:rPr>
        <w:t>ověřoval</w:t>
      </w:r>
      <w:r w:rsidRPr="0040296D">
        <w:rPr>
          <w:rFonts w:cs="Calibri"/>
          <w:szCs w:val="24"/>
        </w:rPr>
        <w:t>, zda ZPMV zavedla</w:t>
      </w:r>
      <w:r w:rsidR="00F5773A" w:rsidRPr="0040296D">
        <w:rPr>
          <w:rFonts w:cs="Calibri"/>
          <w:szCs w:val="24"/>
        </w:rPr>
        <w:t xml:space="preserve"> účinná</w:t>
      </w:r>
      <w:r w:rsidRPr="0040296D">
        <w:rPr>
          <w:rFonts w:cs="Calibri"/>
          <w:szCs w:val="24"/>
        </w:rPr>
        <w:t xml:space="preserve"> opatření k odstranění zjištěných nedostatků z</w:t>
      </w:r>
      <w:r w:rsidR="00C0576C" w:rsidRPr="0040296D">
        <w:rPr>
          <w:rFonts w:cs="Calibri"/>
          <w:szCs w:val="24"/>
        </w:rPr>
        <w:t> </w:t>
      </w:r>
      <w:r w:rsidRPr="0040296D">
        <w:rPr>
          <w:rFonts w:cs="Calibri"/>
          <w:szCs w:val="24"/>
        </w:rPr>
        <w:t>KA</w:t>
      </w:r>
      <w:r w:rsidR="00C0576C" w:rsidRPr="0040296D">
        <w:rPr>
          <w:rFonts w:cs="Calibri"/>
          <w:szCs w:val="24"/>
        </w:rPr>
        <w:t> </w:t>
      </w:r>
      <w:r w:rsidR="00F5773A" w:rsidRPr="0040296D">
        <w:rPr>
          <w:rFonts w:cs="Calibri"/>
          <w:szCs w:val="24"/>
        </w:rPr>
        <w:t>č.</w:t>
      </w:r>
      <w:r w:rsidR="00C0576C" w:rsidRPr="0040296D">
        <w:rPr>
          <w:rFonts w:cs="Calibri"/>
          <w:szCs w:val="24"/>
        </w:rPr>
        <w:t> </w:t>
      </w:r>
      <w:r w:rsidRPr="0040296D">
        <w:rPr>
          <w:rFonts w:cs="Calibri"/>
          <w:szCs w:val="24"/>
        </w:rPr>
        <w:t>14/33.</w:t>
      </w:r>
      <w:r w:rsidR="00686FE1" w:rsidRPr="0040296D">
        <w:rPr>
          <w:rFonts w:cs="Calibri"/>
          <w:szCs w:val="24"/>
        </w:rPr>
        <w:t xml:space="preserve"> </w:t>
      </w:r>
      <w:r w:rsidRPr="0040296D">
        <w:rPr>
          <w:rFonts w:cs="Calibri"/>
          <w:szCs w:val="24"/>
        </w:rPr>
        <w:t xml:space="preserve">Jednalo se o </w:t>
      </w:r>
      <w:r w:rsidR="00F5773A" w:rsidRPr="0040296D">
        <w:rPr>
          <w:rFonts w:cs="Calibri"/>
          <w:szCs w:val="24"/>
        </w:rPr>
        <w:t>odstranění zjištěných nedostatků</w:t>
      </w:r>
      <w:r w:rsidRPr="0040296D">
        <w:rPr>
          <w:rFonts w:cs="Calibri"/>
          <w:szCs w:val="24"/>
        </w:rPr>
        <w:t xml:space="preserve"> v oblasti pravděpodobné výše pojistného, využívání služeb mediálně známých osobností k propagaci ZPMV, evidence dárkových předmětů,</w:t>
      </w:r>
      <w:r w:rsidR="00A95ACA" w:rsidRPr="0040296D">
        <w:rPr>
          <w:rFonts w:cs="Calibri"/>
          <w:szCs w:val="24"/>
        </w:rPr>
        <w:t xml:space="preserve"> dodržování zákona o</w:t>
      </w:r>
      <w:r w:rsidR="00B01853" w:rsidRPr="0040296D">
        <w:rPr>
          <w:rFonts w:cs="Calibri"/>
          <w:szCs w:val="24"/>
        </w:rPr>
        <w:t> </w:t>
      </w:r>
      <w:r w:rsidR="00A95ACA" w:rsidRPr="0040296D">
        <w:rPr>
          <w:rFonts w:cs="Calibri"/>
          <w:szCs w:val="24"/>
        </w:rPr>
        <w:t>zadávání veřejných zakázek, kontroly poskytovaného plnění a prověřování objektů pro</w:t>
      </w:r>
      <w:r w:rsidR="00375A84">
        <w:rPr>
          <w:rFonts w:cs="Calibri"/>
          <w:szCs w:val="24"/>
        </w:rPr>
        <w:t xml:space="preserve"> </w:t>
      </w:r>
      <w:r w:rsidR="00A95ACA" w:rsidRPr="0040296D">
        <w:rPr>
          <w:rFonts w:cs="Calibri"/>
          <w:szCs w:val="24"/>
        </w:rPr>
        <w:t>léčebně ozdravné pobyty dětí.</w:t>
      </w:r>
      <w:r w:rsidR="002B6888" w:rsidRPr="0040296D">
        <w:rPr>
          <w:rFonts w:cs="Calibri"/>
          <w:szCs w:val="24"/>
        </w:rPr>
        <w:t xml:space="preserve"> V pěti uvedených oblastech nezjistil NKÚ nedostatky.</w:t>
      </w:r>
    </w:p>
    <w:p w14:paraId="1AA200EA" w14:textId="77777777" w:rsidR="00BD25C8" w:rsidRPr="0040296D" w:rsidRDefault="00BD25C8" w:rsidP="00D723A6">
      <w:pPr>
        <w:widowControl/>
        <w:spacing w:before="120" w:after="120"/>
        <w:rPr>
          <w:rFonts w:cs="Calibri"/>
        </w:rPr>
      </w:pPr>
      <w:r w:rsidRPr="0040296D">
        <w:rPr>
          <w:rFonts w:cs="Calibri"/>
          <w:szCs w:val="24"/>
        </w:rPr>
        <w:t>ZPMV nedostatečně plnila nápravn</w:t>
      </w:r>
      <w:r w:rsidR="002B6888" w:rsidRPr="0040296D">
        <w:rPr>
          <w:rFonts w:cs="Calibri"/>
          <w:szCs w:val="24"/>
        </w:rPr>
        <w:t>é</w:t>
      </w:r>
      <w:r w:rsidRPr="0040296D">
        <w:rPr>
          <w:rFonts w:cs="Calibri"/>
          <w:szCs w:val="24"/>
        </w:rPr>
        <w:t xml:space="preserve"> opatření v</w:t>
      </w:r>
      <w:r w:rsidR="002B6888" w:rsidRPr="0040296D">
        <w:rPr>
          <w:rFonts w:cs="Calibri"/>
          <w:szCs w:val="24"/>
        </w:rPr>
        <w:t> </w:t>
      </w:r>
      <w:r w:rsidRPr="0040296D">
        <w:rPr>
          <w:rFonts w:cs="Calibri"/>
          <w:szCs w:val="24"/>
        </w:rPr>
        <w:t>oblasti</w:t>
      </w:r>
      <w:r w:rsidR="002B6888" w:rsidRPr="0040296D">
        <w:rPr>
          <w:rFonts w:cs="Calibri"/>
          <w:szCs w:val="24"/>
        </w:rPr>
        <w:t xml:space="preserve"> dodržování zákona o zadávání</w:t>
      </w:r>
      <w:r w:rsidRPr="0040296D">
        <w:rPr>
          <w:rFonts w:cs="Calibri"/>
          <w:szCs w:val="24"/>
        </w:rPr>
        <w:t xml:space="preserve"> </w:t>
      </w:r>
      <w:r w:rsidR="002B6888" w:rsidRPr="0040296D">
        <w:rPr>
          <w:rFonts w:cs="Calibri"/>
          <w:szCs w:val="24"/>
        </w:rPr>
        <w:t>veřejných zakázek.</w:t>
      </w:r>
      <w:r w:rsidRPr="0040296D">
        <w:rPr>
          <w:rFonts w:cs="Calibri"/>
          <w:szCs w:val="24"/>
        </w:rPr>
        <w:t xml:space="preserve"> </w:t>
      </w:r>
      <w:r w:rsidR="002B6888" w:rsidRPr="0040296D">
        <w:rPr>
          <w:rFonts w:cs="Calibri"/>
          <w:szCs w:val="24"/>
        </w:rPr>
        <w:t>O</w:t>
      </w:r>
      <w:r w:rsidRPr="0040296D">
        <w:rPr>
          <w:rFonts w:cs="Calibri"/>
          <w:szCs w:val="24"/>
        </w:rPr>
        <w:t>pakovaně neurčila</w:t>
      </w:r>
      <w:r w:rsidR="00134100" w:rsidRPr="0040296D">
        <w:rPr>
          <w:rFonts w:cs="Calibri"/>
          <w:szCs w:val="24"/>
        </w:rPr>
        <w:t xml:space="preserve"> a nesečetla</w:t>
      </w:r>
      <w:r w:rsidRPr="0040296D">
        <w:rPr>
          <w:rFonts w:cs="Calibri"/>
          <w:szCs w:val="24"/>
        </w:rPr>
        <w:t xml:space="preserve"> předpokládanou hodnotu veřejných zakázek se stejným, resp. obdobným předmětem plnění. Tím</w:t>
      </w:r>
      <w:r w:rsidR="00B34397" w:rsidRPr="0040296D">
        <w:rPr>
          <w:rFonts w:cs="Calibri"/>
          <w:szCs w:val="24"/>
        </w:rPr>
        <w:t xml:space="preserve"> </w:t>
      </w:r>
      <w:r w:rsidRPr="0040296D">
        <w:rPr>
          <w:rFonts w:cs="Calibri"/>
          <w:szCs w:val="24"/>
        </w:rPr>
        <w:t xml:space="preserve">ZPMV </w:t>
      </w:r>
      <w:r w:rsidR="00B34397" w:rsidRPr="0040296D">
        <w:rPr>
          <w:rFonts w:cs="Calibri"/>
          <w:szCs w:val="24"/>
        </w:rPr>
        <w:t xml:space="preserve">porušila povinnost </w:t>
      </w:r>
      <w:r w:rsidRPr="0040296D">
        <w:rPr>
          <w:rFonts w:cs="Calibri"/>
          <w:szCs w:val="24"/>
        </w:rPr>
        <w:t>zadávat tyto veřejné zakázky v režimu zákona a porušila zásady dle zákona č. 134/2016 Sb.</w:t>
      </w:r>
      <w:r w:rsidR="00134100" w:rsidRPr="0040296D">
        <w:rPr>
          <w:rStyle w:val="Znakapoznpodarou"/>
          <w:rFonts w:cs="Calibri"/>
        </w:rPr>
        <w:footnoteReference w:id="32"/>
      </w:r>
    </w:p>
    <w:p w14:paraId="6D471760" w14:textId="4CA1469B" w:rsidR="00B76533" w:rsidRPr="0040296D" w:rsidRDefault="00B76533" w:rsidP="00D723A6">
      <w:pPr>
        <w:keepNext/>
        <w:widowControl/>
        <w:spacing w:before="360" w:after="120"/>
        <w:rPr>
          <w:rFonts w:cs="Calibri"/>
          <w:b/>
          <w:noProof/>
          <w:color w:val="000000" w:themeColor="text1"/>
          <w:szCs w:val="24"/>
        </w:rPr>
      </w:pPr>
      <w:r w:rsidRPr="0040296D">
        <w:rPr>
          <w:rFonts w:cs="Calibri"/>
          <w:b/>
          <w:noProof/>
          <w:color w:val="000000" w:themeColor="text1"/>
          <w:szCs w:val="24"/>
        </w:rPr>
        <w:t>Seznam zkratek</w:t>
      </w:r>
    </w:p>
    <w:p w14:paraId="719B8F65" w14:textId="2D016D5B" w:rsidR="00B34397" w:rsidRPr="0040296D" w:rsidRDefault="00B34397" w:rsidP="00D723A6">
      <w:pPr>
        <w:keepNext/>
        <w:widowControl/>
        <w:spacing w:before="40" w:after="40"/>
        <w:ind w:left="1410" w:hanging="1410"/>
        <w:jc w:val="left"/>
        <w:rPr>
          <w:rFonts w:cs="Calibri"/>
          <w:szCs w:val="24"/>
        </w:rPr>
      </w:pPr>
      <w:r w:rsidRPr="0040296D">
        <w:rPr>
          <w:rFonts w:cs="Calibri"/>
          <w:szCs w:val="24"/>
        </w:rPr>
        <w:t>CMI</w:t>
      </w:r>
      <w:r w:rsidRPr="0040296D">
        <w:rPr>
          <w:rFonts w:cs="Calibri"/>
          <w:szCs w:val="24"/>
        </w:rPr>
        <w:tab/>
      </w:r>
      <w:proofErr w:type="spellStart"/>
      <w:r w:rsidR="005B19BB">
        <w:rPr>
          <w:rFonts w:eastAsia="Calibri" w:cs="Calibri"/>
        </w:rPr>
        <w:t>c</w:t>
      </w:r>
      <w:r w:rsidRPr="0040296D">
        <w:rPr>
          <w:rFonts w:eastAsia="Calibri" w:cs="Calibri"/>
        </w:rPr>
        <w:t>asemixový</w:t>
      </w:r>
      <w:proofErr w:type="spellEnd"/>
      <w:r w:rsidRPr="0040296D">
        <w:rPr>
          <w:rFonts w:eastAsia="Calibri" w:cs="Calibri"/>
        </w:rPr>
        <w:t xml:space="preserve"> index</w:t>
      </w:r>
    </w:p>
    <w:p w14:paraId="77D9161E" w14:textId="6793BCAF" w:rsidR="003B67E8" w:rsidRPr="0040296D" w:rsidRDefault="003B67E8" w:rsidP="00D723A6">
      <w:pPr>
        <w:keepNext/>
        <w:widowControl/>
        <w:spacing w:before="40" w:after="40"/>
        <w:ind w:left="1410" w:hanging="1410"/>
        <w:jc w:val="left"/>
        <w:rPr>
          <w:rFonts w:cs="Calibri"/>
          <w:szCs w:val="24"/>
        </w:rPr>
      </w:pPr>
      <w:r w:rsidRPr="0040296D">
        <w:rPr>
          <w:rFonts w:cs="Calibri"/>
          <w:szCs w:val="24"/>
        </w:rPr>
        <w:t>CZ-DRG</w:t>
      </w:r>
      <w:r w:rsidRPr="0040296D">
        <w:rPr>
          <w:rFonts w:cs="Calibri"/>
          <w:szCs w:val="24"/>
        </w:rPr>
        <w:tab/>
        <w:t xml:space="preserve">DRG z anglického </w:t>
      </w:r>
      <w:proofErr w:type="spellStart"/>
      <w:r w:rsidR="00360788" w:rsidRPr="00091B04">
        <w:rPr>
          <w:rFonts w:cs="Calibri"/>
          <w:i/>
          <w:szCs w:val="24"/>
        </w:rPr>
        <w:t>d</w:t>
      </w:r>
      <w:r w:rsidRPr="00091B04">
        <w:rPr>
          <w:rFonts w:cs="Calibri"/>
          <w:i/>
          <w:szCs w:val="24"/>
        </w:rPr>
        <w:t>iagnosis</w:t>
      </w:r>
      <w:proofErr w:type="spellEnd"/>
      <w:r w:rsidRPr="00091B04">
        <w:rPr>
          <w:rFonts w:cs="Calibri"/>
          <w:i/>
          <w:szCs w:val="24"/>
        </w:rPr>
        <w:t xml:space="preserve"> </w:t>
      </w:r>
      <w:proofErr w:type="spellStart"/>
      <w:r w:rsidR="00360788" w:rsidRPr="00091B04">
        <w:rPr>
          <w:rFonts w:cs="Calibri"/>
          <w:i/>
          <w:szCs w:val="24"/>
        </w:rPr>
        <w:t>r</w:t>
      </w:r>
      <w:r w:rsidRPr="00091B04">
        <w:rPr>
          <w:rFonts w:cs="Calibri"/>
          <w:i/>
          <w:szCs w:val="24"/>
        </w:rPr>
        <w:t>elated</w:t>
      </w:r>
      <w:proofErr w:type="spellEnd"/>
      <w:r w:rsidRPr="00091B04">
        <w:rPr>
          <w:rFonts w:cs="Calibri"/>
          <w:i/>
          <w:szCs w:val="24"/>
        </w:rPr>
        <w:t xml:space="preserve"> </w:t>
      </w:r>
      <w:proofErr w:type="spellStart"/>
      <w:r w:rsidR="00360788" w:rsidRPr="00091B04">
        <w:rPr>
          <w:rFonts w:cs="Calibri"/>
          <w:i/>
          <w:szCs w:val="24"/>
        </w:rPr>
        <w:t>g</w:t>
      </w:r>
      <w:r w:rsidRPr="00091B04">
        <w:rPr>
          <w:rFonts w:cs="Calibri"/>
          <w:i/>
          <w:szCs w:val="24"/>
        </w:rPr>
        <w:t>roup</w:t>
      </w:r>
      <w:proofErr w:type="spellEnd"/>
      <w:r w:rsidR="005B19BB">
        <w:rPr>
          <w:rFonts w:cs="Calibri"/>
          <w:szCs w:val="24"/>
        </w:rPr>
        <w:t>;</w:t>
      </w:r>
      <w:r w:rsidRPr="0040296D">
        <w:rPr>
          <w:rFonts w:cs="Calibri"/>
          <w:szCs w:val="24"/>
        </w:rPr>
        <w:t xml:space="preserve"> </w:t>
      </w:r>
      <w:bookmarkStart w:id="9" w:name="_Hlk163232483"/>
      <w:r w:rsidRPr="0040296D">
        <w:rPr>
          <w:rFonts w:cs="Calibri"/>
          <w:szCs w:val="24"/>
        </w:rPr>
        <w:t>klasifikační systém navržený pro</w:t>
      </w:r>
      <w:r w:rsidR="00D90786" w:rsidRPr="0040296D">
        <w:rPr>
          <w:rFonts w:cs="Calibri"/>
          <w:szCs w:val="24"/>
        </w:rPr>
        <w:t> </w:t>
      </w:r>
      <w:r w:rsidRPr="0040296D">
        <w:rPr>
          <w:rFonts w:cs="Calibri"/>
          <w:szCs w:val="24"/>
        </w:rPr>
        <w:t>akutní lůžkovou péči v ČR</w:t>
      </w:r>
      <w:bookmarkEnd w:id="9"/>
    </w:p>
    <w:p w14:paraId="5E3263A0" w14:textId="092F0EA5" w:rsidR="009C0EAC" w:rsidRPr="0040296D" w:rsidRDefault="009C0EAC" w:rsidP="00D723A6">
      <w:pPr>
        <w:keepNext/>
        <w:widowControl/>
        <w:spacing w:before="40" w:after="40"/>
        <w:ind w:left="1410" w:hanging="1410"/>
        <w:jc w:val="left"/>
        <w:rPr>
          <w:rFonts w:cs="Calibri"/>
          <w:szCs w:val="24"/>
        </w:rPr>
      </w:pPr>
      <w:r w:rsidRPr="0040296D">
        <w:rPr>
          <w:rFonts w:cs="Calibri"/>
          <w:szCs w:val="24"/>
        </w:rPr>
        <w:t>ČNR</w:t>
      </w:r>
      <w:r w:rsidR="00882A82" w:rsidRPr="0040296D">
        <w:rPr>
          <w:rFonts w:cs="Calibri"/>
          <w:szCs w:val="24"/>
        </w:rPr>
        <w:tab/>
        <w:t>Česká národní rada</w:t>
      </w:r>
    </w:p>
    <w:p w14:paraId="4E24CC2A" w14:textId="40A8075B" w:rsidR="00886E96" w:rsidRPr="0040296D" w:rsidRDefault="00886E96" w:rsidP="00D723A6">
      <w:pPr>
        <w:keepNext/>
        <w:widowControl/>
        <w:spacing w:before="40" w:after="40"/>
        <w:ind w:left="1410" w:hanging="1410"/>
        <w:jc w:val="left"/>
        <w:rPr>
          <w:rFonts w:cs="Calibri"/>
          <w:szCs w:val="24"/>
        </w:rPr>
      </w:pPr>
      <w:r w:rsidRPr="0040296D">
        <w:rPr>
          <w:rFonts w:cs="Calibri"/>
          <w:szCs w:val="24"/>
        </w:rPr>
        <w:t>ČR</w:t>
      </w:r>
      <w:r w:rsidRPr="0040296D">
        <w:rPr>
          <w:rFonts w:cs="Calibri"/>
          <w:szCs w:val="24"/>
        </w:rPr>
        <w:tab/>
        <w:t>Česká republika</w:t>
      </w:r>
    </w:p>
    <w:p w14:paraId="74B93555" w14:textId="29BA7BAA" w:rsidR="00AC4D66" w:rsidRPr="0040296D" w:rsidRDefault="00AC4D66" w:rsidP="00D723A6">
      <w:pPr>
        <w:keepNext/>
        <w:widowControl/>
        <w:spacing w:before="40" w:after="40"/>
        <w:ind w:left="1410" w:hanging="1410"/>
        <w:jc w:val="left"/>
        <w:rPr>
          <w:rFonts w:cs="Calibri"/>
          <w:szCs w:val="24"/>
        </w:rPr>
      </w:pPr>
      <w:r w:rsidRPr="0040296D">
        <w:rPr>
          <w:rFonts w:cs="Calibri"/>
          <w:szCs w:val="24"/>
        </w:rPr>
        <w:t>DPH</w:t>
      </w:r>
      <w:r w:rsidRPr="0040296D">
        <w:rPr>
          <w:rFonts w:cs="Calibri"/>
          <w:szCs w:val="24"/>
        </w:rPr>
        <w:tab/>
      </w:r>
      <w:r w:rsidR="005B19BB">
        <w:rPr>
          <w:rFonts w:cs="Calibri"/>
          <w:szCs w:val="24"/>
        </w:rPr>
        <w:t>d</w:t>
      </w:r>
      <w:r w:rsidRPr="0040296D">
        <w:rPr>
          <w:rFonts w:cs="Calibri"/>
          <w:szCs w:val="24"/>
        </w:rPr>
        <w:t>aň z přidané hodnoty</w:t>
      </w:r>
    </w:p>
    <w:p w14:paraId="003FE210" w14:textId="4BF77CA9" w:rsidR="00886E96" w:rsidRPr="0040296D" w:rsidRDefault="00886E96" w:rsidP="00D723A6">
      <w:pPr>
        <w:keepNext/>
        <w:widowControl/>
        <w:spacing w:before="40" w:after="40"/>
        <w:ind w:left="1410" w:hanging="1410"/>
        <w:jc w:val="left"/>
        <w:rPr>
          <w:rFonts w:cs="Calibri"/>
          <w:szCs w:val="24"/>
        </w:rPr>
      </w:pPr>
      <w:r w:rsidRPr="0040296D">
        <w:rPr>
          <w:rFonts w:cs="Calibri"/>
          <w:szCs w:val="24"/>
        </w:rPr>
        <w:t>DRG</w:t>
      </w:r>
      <w:r w:rsidRPr="0040296D">
        <w:rPr>
          <w:rFonts w:cs="Calibri"/>
          <w:szCs w:val="24"/>
        </w:rPr>
        <w:tab/>
      </w:r>
      <w:proofErr w:type="spellStart"/>
      <w:r w:rsidR="00360788" w:rsidRPr="00091B04">
        <w:rPr>
          <w:rFonts w:cs="Calibri"/>
          <w:i/>
          <w:szCs w:val="24"/>
        </w:rPr>
        <w:t>d</w:t>
      </w:r>
      <w:r w:rsidRPr="00091B04">
        <w:rPr>
          <w:rFonts w:cs="Calibri"/>
          <w:i/>
          <w:szCs w:val="24"/>
        </w:rPr>
        <w:t>iagnosis</w:t>
      </w:r>
      <w:proofErr w:type="spellEnd"/>
      <w:r w:rsidRPr="00091B04">
        <w:rPr>
          <w:rFonts w:cs="Calibri"/>
          <w:i/>
          <w:szCs w:val="24"/>
        </w:rPr>
        <w:t xml:space="preserve"> </w:t>
      </w:r>
      <w:proofErr w:type="spellStart"/>
      <w:r w:rsidR="00360788" w:rsidRPr="00091B04">
        <w:rPr>
          <w:rFonts w:cs="Calibri"/>
          <w:i/>
          <w:szCs w:val="24"/>
        </w:rPr>
        <w:t>r</w:t>
      </w:r>
      <w:r w:rsidRPr="00091B04">
        <w:rPr>
          <w:rFonts w:cs="Calibri"/>
          <w:i/>
          <w:szCs w:val="24"/>
        </w:rPr>
        <w:t>elated</w:t>
      </w:r>
      <w:proofErr w:type="spellEnd"/>
      <w:r w:rsidRPr="00091B04">
        <w:rPr>
          <w:rFonts w:cs="Calibri"/>
          <w:i/>
          <w:szCs w:val="24"/>
        </w:rPr>
        <w:t xml:space="preserve"> </w:t>
      </w:r>
      <w:proofErr w:type="spellStart"/>
      <w:r w:rsidR="00360788" w:rsidRPr="00091B04">
        <w:rPr>
          <w:rFonts w:cs="Calibri"/>
          <w:i/>
          <w:szCs w:val="24"/>
        </w:rPr>
        <w:t>g</w:t>
      </w:r>
      <w:r w:rsidRPr="00091B04">
        <w:rPr>
          <w:rFonts w:cs="Calibri"/>
          <w:i/>
          <w:szCs w:val="24"/>
        </w:rPr>
        <w:t>roup</w:t>
      </w:r>
      <w:proofErr w:type="spellEnd"/>
      <w:r w:rsidRPr="0040296D">
        <w:rPr>
          <w:rFonts w:cs="Calibri"/>
          <w:szCs w:val="24"/>
        </w:rPr>
        <w:t xml:space="preserve"> </w:t>
      </w:r>
    </w:p>
    <w:p w14:paraId="2DD02DBF" w14:textId="1C297DA6" w:rsidR="009C0EAC" w:rsidRPr="0040296D" w:rsidRDefault="009C0EAC" w:rsidP="00D723A6">
      <w:pPr>
        <w:keepNext/>
        <w:widowControl/>
        <w:spacing w:before="40" w:after="40"/>
        <w:ind w:left="1410" w:hanging="1410"/>
        <w:jc w:val="left"/>
        <w:rPr>
          <w:rFonts w:cs="Calibri"/>
          <w:szCs w:val="24"/>
        </w:rPr>
      </w:pPr>
      <w:r w:rsidRPr="0040296D">
        <w:rPr>
          <w:rFonts w:cs="Calibri"/>
          <w:szCs w:val="24"/>
        </w:rPr>
        <w:t>IČO</w:t>
      </w:r>
      <w:r w:rsidR="00882A82" w:rsidRPr="0040296D">
        <w:rPr>
          <w:rFonts w:cs="Calibri"/>
          <w:szCs w:val="24"/>
        </w:rPr>
        <w:tab/>
      </w:r>
      <w:r w:rsidR="005B19BB">
        <w:rPr>
          <w:rFonts w:cs="Calibri"/>
          <w:szCs w:val="24"/>
        </w:rPr>
        <w:t>i</w:t>
      </w:r>
      <w:r w:rsidR="00882A82" w:rsidRPr="0040296D">
        <w:rPr>
          <w:rFonts w:cs="Calibri"/>
          <w:szCs w:val="24"/>
        </w:rPr>
        <w:t>dentifikační číslo o</w:t>
      </w:r>
      <w:r w:rsidR="00E876DE" w:rsidRPr="0040296D">
        <w:rPr>
          <w:rFonts w:cs="Calibri"/>
          <w:szCs w:val="24"/>
        </w:rPr>
        <w:t>soby</w:t>
      </w:r>
    </w:p>
    <w:p w14:paraId="2677B921" w14:textId="7EC6143B" w:rsidR="009C0EAC" w:rsidRPr="0040296D" w:rsidRDefault="009C0EAC" w:rsidP="00D723A6">
      <w:pPr>
        <w:keepNext/>
        <w:widowControl/>
        <w:spacing w:before="40" w:after="40"/>
        <w:ind w:left="1410" w:hanging="1410"/>
        <w:jc w:val="left"/>
        <w:rPr>
          <w:rFonts w:cs="Calibri"/>
          <w:szCs w:val="24"/>
        </w:rPr>
      </w:pPr>
      <w:r w:rsidRPr="0040296D">
        <w:rPr>
          <w:rFonts w:cs="Calibri"/>
          <w:szCs w:val="24"/>
        </w:rPr>
        <w:t>IT</w:t>
      </w:r>
      <w:r w:rsidR="00882A82" w:rsidRPr="0040296D">
        <w:rPr>
          <w:rFonts w:cs="Calibri"/>
          <w:szCs w:val="24"/>
        </w:rPr>
        <w:tab/>
      </w:r>
      <w:r w:rsidR="005B19BB">
        <w:rPr>
          <w:rFonts w:cs="Calibri"/>
          <w:szCs w:val="24"/>
        </w:rPr>
        <w:t>i</w:t>
      </w:r>
      <w:r w:rsidR="00882A82" w:rsidRPr="0040296D">
        <w:rPr>
          <w:rFonts w:cs="Calibri"/>
          <w:szCs w:val="24"/>
        </w:rPr>
        <w:t>nformační technologie</w:t>
      </w:r>
    </w:p>
    <w:p w14:paraId="5A05E674" w14:textId="100324DB" w:rsidR="00882A82" w:rsidRPr="0040296D" w:rsidRDefault="00882A82" w:rsidP="00D723A6">
      <w:pPr>
        <w:keepNext/>
        <w:widowControl/>
        <w:spacing w:before="40" w:after="40"/>
        <w:ind w:left="1410" w:hanging="1410"/>
        <w:jc w:val="left"/>
        <w:rPr>
          <w:rFonts w:cs="Calibri"/>
          <w:szCs w:val="24"/>
        </w:rPr>
      </w:pPr>
      <w:r w:rsidRPr="0040296D">
        <w:rPr>
          <w:rFonts w:cs="Calibri"/>
          <w:szCs w:val="24"/>
        </w:rPr>
        <w:t>IZS</w:t>
      </w:r>
      <w:r w:rsidRPr="0040296D">
        <w:rPr>
          <w:rFonts w:cs="Calibri"/>
          <w:szCs w:val="24"/>
        </w:rPr>
        <w:tab/>
      </w:r>
      <w:r w:rsidR="005B19BB">
        <w:rPr>
          <w:rFonts w:cs="Calibri"/>
          <w:szCs w:val="24"/>
        </w:rPr>
        <w:t>i</w:t>
      </w:r>
      <w:r w:rsidRPr="0040296D">
        <w:rPr>
          <w:rFonts w:cs="Calibri"/>
          <w:szCs w:val="24"/>
        </w:rPr>
        <w:t>ndividuální základní sazba</w:t>
      </w:r>
    </w:p>
    <w:p w14:paraId="2F66C436" w14:textId="63A99E21" w:rsidR="00961084" w:rsidRPr="0040296D" w:rsidRDefault="00961084" w:rsidP="00D723A6">
      <w:pPr>
        <w:keepNext/>
        <w:widowControl/>
        <w:spacing w:before="40" w:after="40"/>
        <w:ind w:left="1410" w:hanging="1410"/>
        <w:jc w:val="left"/>
        <w:rPr>
          <w:rFonts w:cs="Calibri"/>
          <w:color w:val="000000"/>
          <w:szCs w:val="24"/>
        </w:rPr>
      </w:pPr>
      <w:r w:rsidRPr="0040296D">
        <w:rPr>
          <w:rFonts w:cs="Calibri"/>
          <w:color w:val="000000"/>
          <w:szCs w:val="24"/>
        </w:rPr>
        <w:t>KA</w:t>
      </w:r>
      <w:r w:rsidRPr="0040296D">
        <w:rPr>
          <w:rFonts w:cs="Calibri"/>
          <w:color w:val="000000"/>
          <w:szCs w:val="24"/>
        </w:rPr>
        <w:tab/>
      </w:r>
      <w:r w:rsidR="005B19BB">
        <w:rPr>
          <w:rFonts w:cs="Calibri"/>
          <w:color w:val="000000"/>
          <w:szCs w:val="24"/>
        </w:rPr>
        <w:t>k</w:t>
      </w:r>
      <w:r w:rsidRPr="0040296D">
        <w:rPr>
          <w:rFonts w:cs="Calibri"/>
          <w:color w:val="000000"/>
          <w:szCs w:val="24"/>
        </w:rPr>
        <w:t>ontrolní akce</w:t>
      </w:r>
    </w:p>
    <w:p w14:paraId="14821DD1" w14:textId="08D5B1A7" w:rsidR="00386D41" w:rsidRPr="0040296D" w:rsidRDefault="00386D41" w:rsidP="00D723A6">
      <w:pPr>
        <w:keepNext/>
        <w:widowControl/>
        <w:spacing w:before="40" w:after="40"/>
        <w:ind w:left="1410" w:hanging="1410"/>
        <w:jc w:val="left"/>
        <w:rPr>
          <w:rFonts w:cs="Calibri"/>
          <w:color w:val="000000"/>
          <w:szCs w:val="24"/>
        </w:rPr>
      </w:pPr>
      <w:r w:rsidRPr="0040296D">
        <w:rPr>
          <w:rFonts w:cs="Calibri"/>
          <w:color w:val="000000"/>
          <w:szCs w:val="24"/>
        </w:rPr>
        <w:t>NKÚ</w:t>
      </w:r>
      <w:r w:rsidRPr="0040296D">
        <w:rPr>
          <w:rFonts w:cs="Calibri"/>
          <w:color w:val="000000"/>
          <w:szCs w:val="24"/>
        </w:rPr>
        <w:tab/>
        <w:t>Nejvyšší kontrolní úřad</w:t>
      </w:r>
    </w:p>
    <w:p w14:paraId="50E825E4" w14:textId="7D243725" w:rsidR="00386D41" w:rsidRPr="0040296D" w:rsidRDefault="009C0EAC" w:rsidP="00D723A6">
      <w:pPr>
        <w:keepNext/>
        <w:widowControl/>
        <w:spacing w:before="40" w:after="40"/>
        <w:ind w:left="1410" w:hanging="1410"/>
        <w:jc w:val="left"/>
        <w:rPr>
          <w:rFonts w:cs="Calibri"/>
          <w:szCs w:val="24"/>
        </w:rPr>
      </w:pPr>
      <w:r w:rsidRPr="0040296D">
        <w:rPr>
          <w:rFonts w:cs="Calibri"/>
          <w:szCs w:val="24"/>
        </w:rPr>
        <w:t>OR</w:t>
      </w:r>
      <w:r w:rsidR="00386D41" w:rsidRPr="0040296D">
        <w:rPr>
          <w:rFonts w:cs="Calibri"/>
          <w:szCs w:val="24"/>
        </w:rPr>
        <w:tab/>
      </w:r>
      <w:r w:rsidR="005B19BB">
        <w:rPr>
          <w:rFonts w:cs="Calibri"/>
          <w:szCs w:val="24"/>
        </w:rPr>
        <w:t>o</w:t>
      </w:r>
      <w:r w:rsidR="00882A82" w:rsidRPr="0040296D">
        <w:rPr>
          <w:rFonts w:cs="Calibri"/>
          <w:szCs w:val="24"/>
        </w:rPr>
        <w:t>bchodní rejstřík</w:t>
      </w:r>
    </w:p>
    <w:p w14:paraId="75026A33" w14:textId="71647A81" w:rsidR="00B06F8B" w:rsidRPr="0040296D" w:rsidRDefault="009C0EAC" w:rsidP="00D723A6">
      <w:pPr>
        <w:keepNext/>
        <w:widowControl/>
        <w:spacing w:before="40" w:after="40"/>
        <w:ind w:left="1410" w:hanging="1410"/>
        <w:jc w:val="left"/>
        <w:rPr>
          <w:rFonts w:cs="Calibri"/>
          <w:szCs w:val="24"/>
        </w:rPr>
      </w:pPr>
      <w:r w:rsidRPr="0040296D">
        <w:rPr>
          <w:rFonts w:cs="Calibri"/>
          <w:szCs w:val="24"/>
        </w:rPr>
        <w:t>O</w:t>
      </w:r>
      <w:r w:rsidR="00882A82" w:rsidRPr="0040296D">
        <w:rPr>
          <w:rFonts w:cs="Calibri"/>
          <w:szCs w:val="24"/>
        </w:rPr>
        <w:t>SVČ</w:t>
      </w:r>
      <w:r w:rsidR="00882A82" w:rsidRPr="0040296D">
        <w:rPr>
          <w:rFonts w:cs="Calibri"/>
          <w:szCs w:val="24"/>
        </w:rPr>
        <w:tab/>
      </w:r>
      <w:r w:rsidR="005B19BB">
        <w:rPr>
          <w:rFonts w:cs="Calibri"/>
          <w:szCs w:val="24"/>
        </w:rPr>
        <w:t>o</w:t>
      </w:r>
      <w:r w:rsidR="00882A82" w:rsidRPr="0040296D">
        <w:rPr>
          <w:rFonts w:cs="Calibri"/>
          <w:szCs w:val="24"/>
        </w:rPr>
        <w:t>soba samostatně výdělečně činná</w:t>
      </w:r>
    </w:p>
    <w:p w14:paraId="78B12694" w14:textId="36BC8EA4" w:rsidR="00D65D7B" w:rsidRPr="0040296D" w:rsidRDefault="00D65D7B" w:rsidP="00D723A6">
      <w:pPr>
        <w:keepNext/>
        <w:widowControl/>
        <w:spacing w:before="40" w:after="40"/>
        <w:ind w:left="1410" w:hanging="1410"/>
        <w:jc w:val="left"/>
        <w:rPr>
          <w:rFonts w:cs="Calibri"/>
          <w:szCs w:val="24"/>
        </w:rPr>
      </w:pPr>
      <w:r w:rsidRPr="0040296D">
        <w:rPr>
          <w:rFonts w:cs="Calibri"/>
          <w:szCs w:val="24"/>
        </w:rPr>
        <w:t>PF</w:t>
      </w:r>
      <w:r w:rsidRPr="0040296D">
        <w:rPr>
          <w:rFonts w:cs="Calibri"/>
          <w:szCs w:val="24"/>
        </w:rPr>
        <w:tab/>
      </w:r>
      <w:r w:rsidR="006236F3">
        <w:rPr>
          <w:rFonts w:cs="Calibri"/>
          <w:szCs w:val="24"/>
        </w:rPr>
        <w:t>p</w:t>
      </w:r>
      <w:r w:rsidRPr="0040296D">
        <w:rPr>
          <w:rFonts w:cs="Calibri"/>
          <w:szCs w:val="24"/>
        </w:rPr>
        <w:t>rovozní fond</w:t>
      </w:r>
    </w:p>
    <w:p w14:paraId="3F21E5F0" w14:textId="7AB8F314" w:rsidR="009C0EAC" w:rsidRPr="0040296D" w:rsidRDefault="009C0EAC" w:rsidP="00D723A6">
      <w:pPr>
        <w:keepNext/>
        <w:widowControl/>
        <w:spacing w:before="40" w:after="40"/>
        <w:ind w:left="1410" w:hanging="1410"/>
        <w:jc w:val="left"/>
        <w:rPr>
          <w:rFonts w:cs="Calibri"/>
          <w:szCs w:val="24"/>
        </w:rPr>
      </w:pPr>
      <w:r w:rsidRPr="0040296D">
        <w:rPr>
          <w:rFonts w:cs="Calibri"/>
          <w:szCs w:val="24"/>
        </w:rPr>
        <w:t>PIS</w:t>
      </w:r>
      <w:r w:rsidR="00882A82" w:rsidRPr="0040296D">
        <w:rPr>
          <w:rFonts w:cs="Calibri"/>
          <w:szCs w:val="24"/>
        </w:rPr>
        <w:tab/>
      </w:r>
      <w:r w:rsidR="006236F3">
        <w:rPr>
          <w:rFonts w:cs="Calibri"/>
          <w:szCs w:val="24"/>
        </w:rPr>
        <w:t>p</w:t>
      </w:r>
      <w:r w:rsidR="00882A82" w:rsidRPr="0040296D">
        <w:rPr>
          <w:rFonts w:cs="Calibri"/>
          <w:szCs w:val="24"/>
        </w:rPr>
        <w:t>ojišťovací informační systém</w:t>
      </w:r>
    </w:p>
    <w:p w14:paraId="127F10DE" w14:textId="77777777" w:rsidR="007A6806" w:rsidRPr="0040296D" w:rsidRDefault="007A6806" w:rsidP="00D723A6">
      <w:pPr>
        <w:keepNext/>
        <w:widowControl/>
        <w:spacing w:before="40" w:after="40"/>
        <w:ind w:left="1410" w:hanging="1410"/>
        <w:jc w:val="left"/>
        <w:rPr>
          <w:rFonts w:cs="Calibri"/>
          <w:szCs w:val="24"/>
        </w:rPr>
      </w:pPr>
      <w:r w:rsidRPr="0040296D">
        <w:rPr>
          <w:rFonts w:eastAsia="Times New Roman" w:cs="Calibri"/>
          <w:szCs w:val="24"/>
          <w:lang w:eastAsia="en-US"/>
        </w:rPr>
        <w:t>Program 6</w:t>
      </w:r>
      <w:r w:rsidRPr="0040296D">
        <w:rPr>
          <w:rFonts w:eastAsia="Times New Roman" w:cs="Calibri"/>
          <w:szCs w:val="24"/>
          <w:lang w:eastAsia="en-US"/>
        </w:rPr>
        <w:tab/>
      </w:r>
      <w:r w:rsidRPr="00091B04">
        <w:rPr>
          <w:rFonts w:eastAsia="Times New Roman" w:cs="Calibri"/>
          <w:i/>
          <w:szCs w:val="24"/>
          <w:lang w:eastAsia="en-US"/>
        </w:rPr>
        <w:t>Program podpory profesí s vyšším zdravotním rizikem</w:t>
      </w:r>
    </w:p>
    <w:p w14:paraId="2FB6BE9C" w14:textId="24524DBD" w:rsidR="00E864B6" w:rsidRPr="0040296D" w:rsidRDefault="00E864B6" w:rsidP="00D723A6">
      <w:pPr>
        <w:keepNext/>
        <w:widowControl/>
        <w:spacing w:before="40" w:after="40"/>
        <w:ind w:left="1410" w:hanging="1410"/>
        <w:jc w:val="left"/>
        <w:rPr>
          <w:rFonts w:cs="Calibri"/>
          <w:szCs w:val="24"/>
        </w:rPr>
      </w:pPr>
      <w:r w:rsidRPr="0040296D">
        <w:rPr>
          <w:rFonts w:cs="Calibri"/>
          <w:szCs w:val="24"/>
        </w:rPr>
        <w:t>PZS</w:t>
      </w:r>
      <w:r w:rsidRPr="0040296D">
        <w:rPr>
          <w:rFonts w:cs="Calibri"/>
          <w:szCs w:val="24"/>
        </w:rPr>
        <w:tab/>
      </w:r>
      <w:r w:rsidR="006236F3">
        <w:rPr>
          <w:rFonts w:cs="Calibri"/>
          <w:szCs w:val="24"/>
        </w:rPr>
        <w:t>p</w:t>
      </w:r>
      <w:r w:rsidRPr="0040296D">
        <w:rPr>
          <w:rFonts w:cs="Calibri"/>
          <w:szCs w:val="24"/>
        </w:rPr>
        <w:t>oskytovatel zdravotní</w:t>
      </w:r>
      <w:r w:rsidR="006B119F" w:rsidRPr="0040296D">
        <w:rPr>
          <w:rFonts w:cs="Calibri"/>
          <w:szCs w:val="24"/>
        </w:rPr>
        <w:t>ch</w:t>
      </w:r>
      <w:r w:rsidRPr="0040296D">
        <w:rPr>
          <w:rFonts w:cs="Calibri"/>
          <w:szCs w:val="24"/>
        </w:rPr>
        <w:t xml:space="preserve"> </w:t>
      </w:r>
      <w:r w:rsidR="006B119F" w:rsidRPr="0040296D">
        <w:rPr>
          <w:rFonts w:cs="Calibri"/>
          <w:szCs w:val="24"/>
        </w:rPr>
        <w:t>služeb</w:t>
      </w:r>
    </w:p>
    <w:p w14:paraId="10BB35B9" w14:textId="047D0EBA" w:rsidR="006B119F" w:rsidRPr="0040296D" w:rsidRDefault="006B119F" w:rsidP="00D723A6">
      <w:pPr>
        <w:keepNext/>
        <w:widowControl/>
        <w:spacing w:before="40" w:after="40"/>
        <w:ind w:left="1410" w:hanging="1410"/>
        <w:jc w:val="left"/>
        <w:rPr>
          <w:rFonts w:cs="Calibri"/>
          <w:szCs w:val="24"/>
        </w:rPr>
      </w:pPr>
      <w:r w:rsidRPr="0040296D">
        <w:rPr>
          <w:rFonts w:cs="Calibri"/>
          <w:szCs w:val="24"/>
        </w:rPr>
        <w:t>RLPP</w:t>
      </w:r>
      <w:r w:rsidR="00882A82" w:rsidRPr="0040296D">
        <w:rPr>
          <w:rFonts w:cs="Calibri"/>
          <w:szCs w:val="24"/>
        </w:rPr>
        <w:tab/>
      </w:r>
      <w:r w:rsidR="006236F3">
        <w:rPr>
          <w:rFonts w:cs="Calibri"/>
          <w:szCs w:val="24"/>
        </w:rPr>
        <w:t>r</w:t>
      </w:r>
      <w:r w:rsidR="00882A82" w:rsidRPr="0040296D">
        <w:rPr>
          <w:rFonts w:cs="Calibri"/>
          <w:szCs w:val="24"/>
        </w:rPr>
        <w:t>ehabilitační a léčebně preventivní pobyt</w:t>
      </w:r>
    </w:p>
    <w:p w14:paraId="4F186576" w14:textId="56AA4558" w:rsidR="00382795" w:rsidRDefault="00382795" w:rsidP="00D723A6">
      <w:pPr>
        <w:keepNext/>
        <w:widowControl/>
        <w:spacing w:before="40" w:after="40"/>
        <w:ind w:left="1410" w:hanging="1410"/>
        <w:jc w:val="left"/>
        <w:rPr>
          <w:rFonts w:cs="Calibri"/>
          <w:szCs w:val="24"/>
        </w:rPr>
      </w:pPr>
      <w:proofErr w:type="spellStart"/>
      <w:r>
        <w:rPr>
          <w:rFonts w:cs="Calibri"/>
          <w:szCs w:val="24"/>
        </w:rPr>
        <w:t>v.z.p</w:t>
      </w:r>
      <w:proofErr w:type="spellEnd"/>
      <w:r>
        <w:rPr>
          <w:rFonts w:cs="Calibri"/>
          <w:szCs w:val="24"/>
        </w:rPr>
        <w:t>.</w:t>
      </w:r>
      <w:r>
        <w:rPr>
          <w:rFonts w:cs="Calibri"/>
          <w:szCs w:val="24"/>
        </w:rPr>
        <w:tab/>
        <w:t>veřejné zdravotní pojištění</w:t>
      </w:r>
    </w:p>
    <w:p w14:paraId="7908C5E2" w14:textId="4CAA987D" w:rsidR="00802414" w:rsidRPr="0040296D" w:rsidRDefault="00802414" w:rsidP="00D723A6">
      <w:pPr>
        <w:keepNext/>
        <w:widowControl/>
        <w:spacing w:before="40" w:after="40"/>
        <w:ind w:left="1410" w:hanging="1410"/>
        <w:jc w:val="left"/>
        <w:rPr>
          <w:rFonts w:cs="Calibri"/>
          <w:szCs w:val="24"/>
        </w:rPr>
      </w:pPr>
      <w:r w:rsidRPr="0040296D">
        <w:rPr>
          <w:rFonts w:cs="Calibri"/>
          <w:szCs w:val="24"/>
        </w:rPr>
        <w:t>VZ</w:t>
      </w:r>
      <w:r w:rsidR="00882A82" w:rsidRPr="0040296D">
        <w:rPr>
          <w:rFonts w:cs="Calibri"/>
          <w:szCs w:val="24"/>
        </w:rPr>
        <w:tab/>
      </w:r>
      <w:r w:rsidR="006236F3">
        <w:rPr>
          <w:rFonts w:cs="Calibri"/>
          <w:szCs w:val="24"/>
        </w:rPr>
        <w:t>v</w:t>
      </w:r>
      <w:r w:rsidR="00882A82" w:rsidRPr="0040296D">
        <w:rPr>
          <w:rFonts w:cs="Calibri"/>
          <w:szCs w:val="24"/>
        </w:rPr>
        <w:t>eřejná zakázka</w:t>
      </w:r>
    </w:p>
    <w:p w14:paraId="609C5A79" w14:textId="47A8BF9D" w:rsidR="00E47112" w:rsidRPr="0040296D" w:rsidRDefault="00E47112" w:rsidP="00D723A6">
      <w:pPr>
        <w:keepNext/>
        <w:widowControl/>
        <w:spacing w:before="40" w:after="40"/>
        <w:ind w:left="1410" w:hanging="1410"/>
        <w:jc w:val="left"/>
        <w:rPr>
          <w:rFonts w:cs="Calibri"/>
          <w:szCs w:val="24"/>
        </w:rPr>
      </w:pPr>
      <w:r w:rsidRPr="0040296D">
        <w:rPr>
          <w:rFonts w:cs="Calibri"/>
          <w:szCs w:val="24"/>
        </w:rPr>
        <w:t>VZMR</w:t>
      </w:r>
      <w:r w:rsidRPr="0040296D">
        <w:rPr>
          <w:rFonts w:cs="Calibri"/>
          <w:szCs w:val="24"/>
        </w:rPr>
        <w:tab/>
      </w:r>
      <w:r w:rsidR="006236F3">
        <w:rPr>
          <w:rFonts w:cs="Calibri"/>
          <w:szCs w:val="24"/>
        </w:rPr>
        <w:t>v</w:t>
      </w:r>
      <w:r w:rsidRPr="0040296D">
        <w:rPr>
          <w:rFonts w:cs="Calibri"/>
          <w:szCs w:val="24"/>
        </w:rPr>
        <w:t>eřejná zakázka malého rozsahu</w:t>
      </w:r>
    </w:p>
    <w:p w14:paraId="6947B908" w14:textId="2FCBB976" w:rsidR="00747155" w:rsidRPr="0040296D" w:rsidRDefault="00747155" w:rsidP="00D723A6">
      <w:pPr>
        <w:keepNext/>
        <w:widowControl/>
        <w:spacing w:before="40" w:after="40"/>
        <w:ind w:left="1410" w:hanging="1410"/>
        <w:jc w:val="left"/>
        <w:rPr>
          <w:rFonts w:cs="Calibri"/>
          <w:szCs w:val="24"/>
        </w:rPr>
      </w:pPr>
      <w:r w:rsidRPr="0040296D">
        <w:rPr>
          <w:rFonts w:cs="Calibri"/>
          <w:szCs w:val="24"/>
        </w:rPr>
        <w:t>ZF</w:t>
      </w:r>
      <w:r w:rsidRPr="0040296D">
        <w:rPr>
          <w:rFonts w:cs="Calibri"/>
          <w:szCs w:val="24"/>
        </w:rPr>
        <w:tab/>
      </w:r>
      <w:r w:rsidR="006236F3">
        <w:rPr>
          <w:rFonts w:cs="Calibri"/>
          <w:szCs w:val="24"/>
        </w:rPr>
        <w:t>z</w:t>
      </w:r>
      <w:r w:rsidRPr="0040296D">
        <w:rPr>
          <w:rFonts w:cs="Calibri"/>
          <w:szCs w:val="24"/>
        </w:rPr>
        <w:t>ákladní fond zdravotního pojištění</w:t>
      </w:r>
    </w:p>
    <w:p w14:paraId="58C0A9F7" w14:textId="3596AC06" w:rsidR="00642014" w:rsidRDefault="00802414" w:rsidP="00D723A6">
      <w:pPr>
        <w:keepNext/>
        <w:widowControl/>
        <w:spacing w:before="40" w:after="40"/>
        <w:ind w:left="1410" w:hanging="1410"/>
        <w:jc w:val="left"/>
        <w:rPr>
          <w:rFonts w:cs="Calibri"/>
          <w:szCs w:val="24"/>
        </w:rPr>
      </w:pPr>
      <w:r w:rsidRPr="0040296D">
        <w:rPr>
          <w:rFonts w:cs="Calibri"/>
          <w:szCs w:val="24"/>
        </w:rPr>
        <w:t>Z</w:t>
      </w:r>
      <w:r w:rsidR="006B119F" w:rsidRPr="0040296D">
        <w:rPr>
          <w:rFonts w:cs="Calibri"/>
          <w:szCs w:val="24"/>
        </w:rPr>
        <w:t>Ř</w:t>
      </w:r>
      <w:r w:rsidR="00882A82" w:rsidRPr="0040296D">
        <w:rPr>
          <w:rFonts w:cs="Calibri"/>
          <w:szCs w:val="24"/>
        </w:rPr>
        <w:tab/>
      </w:r>
      <w:r w:rsidR="006236F3">
        <w:rPr>
          <w:rFonts w:cs="Calibri"/>
          <w:szCs w:val="24"/>
        </w:rPr>
        <w:t>z</w:t>
      </w:r>
      <w:r w:rsidR="00882A82" w:rsidRPr="0040296D">
        <w:rPr>
          <w:rFonts w:cs="Calibri"/>
          <w:szCs w:val="24"/>
        </w:rPr>
        <w:t>adávací řízení</w:t>
      </w:r>
    </w:p>
    <w:p w14:paraId="50225BCC" w14:textId="41FB177B" w:rsidR="00EF32C3" w:rsidRPr="0040296D" w:rsidRDefault="00EF32C3" w:rsidP="00D723A6">
      <w:pPr>
        <w:widowControl/>
        <w:spacing w:before="40" w:after="40"/>
        <w:rPr>
          <w:rFonts w:eastAsia="Times New Roman" w:cs="Calibri"/>
          <w:b/>
          <w:color w:val="000000" w:themeColor="text1"/>
          <w:szCs w:val="32"/>
        </w:rPr>
      </w:pPr>
      <w:r w:rsidRPr="0040296D">
        <w:rPr>
          <w:rFonts w:eastAsia="Times New Roman" w:cs="Calibri"/>
        </w:rPr>
        <w:br w:type="page"/>
      </w:r>
    </w:p>
    <w:p w14:paraId="36F5CEE9" w14:textId="7D9B769D" w:rsidR="00985BCC" w:rsidRDefault="00985BCC" w:rsidP="00D723A6">
      <w:pPr>
        <w:pStyle w:val="Nadpis1"/>
        <w:widowControl/>
        <w:spacing w:before="0" w:after="120"/>
        <w:jc w:val="right"/>
        <w:rPr>
          <w:rFonts w:eastAsia="Times New Roman"/>
        </w:rPr>
      </w:pPr>
      <w:r w:rsidRPr="00985BCC">
        <w:rPr>
          <w:rFonts w:eastAsia="Times New Roman"/>
        </w:rPr>
        <w:t>Příloha č. 1</w:t>
      </w:r>
    </w:p>
    <w:p w14:paraId="0F0F8B9D" w14:textId="77777777" w:rsidR="005D21C5" w:rsidRDefault="005D21C5" w:rsidP="00D723A6">
      <w:pPr>
        <w:widowControl/>
        <w:spacing w:before="120" w:after="120"/>
        <w:jc w:val="left"/>
        <w:rPr>
          <w:rFonts w:eastAsia="Times New Roman" w:cs="Calibri"/>
          <w:b/>
          <w:szCs w:val="24"/>
          <w:highlight w:val="yellow"/>
        </w:rPr>
      </w:pPr>
      <w:r w:rsidRPr="00C8687A">
        <w:rPr>
          <w:rFonts w:eastAsia="Times New Roman" w:cs="Calibri"/>
          <w:b/>
          <w:szCs w:val="24"/>
        </w:rPr>
        <w:t xml:space="preserve">Přehled </w:t>
      </w:r>
      <w:r w:rsidR="007E3643">
        <w:rPr>
          <w:rFonts w:eastAsia="Times New Roman" w:cs="Calibri"/>
          <w:b/>
          <w:szCs w:val="24"/>
        </w:rPr>
        <w:t>vybraných</w:t>
      </w:r>
      <w:r w:rsidRPr="00C8687A">
        <w:rPr>
          <w:rFonts w:eastAsia="Times New Roman" w:cs="Calibri"/>
          <w:b/>
          <w:szCs w:val="24"/>
        </w:rPr>
        <w:t xml:space="preserve"> individuálních základních sazeb </w:t>
      </w:r>
    </w:p>
    <w:p w14:paraId="626BC26D" w14:textId="77777777" w:rsidR="00E27082" w:rsidRDefault="00E27082" w:rsidP="00D723A6">
      <w:pPr>
        <w:widowControl/>
        <w:autoSpaceDE/>
        <w:autoSpaceDN/>
        <w:adjustRightInd/>
        <w:spacing w:before="120" w:after="120"/>
        <w:rPr>
          <w:rFonts w:eastAsia="Calibri"/>
          <w:szCs w:val="24"/>
          <w:lang w:eastAsia="en-US"/>
        </w:rPr>
      </w:pPr>
      <w:r w:rsidRPr="00E27082">
        <w:rPr>
          <w:rFonts w:eastAsia="Calibri"/>
          <w:szCs w:val="24"/>
          <w:lang w:eastAsia="en-US"/>
        </w:rPr>
        <w:t>NKÚ vybral pro porovnání dev</w:t>
      </w:r>
      <w:r w:rsidR="00DB30DE">
        <w:rPr>
          <w:rFonts w:eastAsia="Calibri"/>
          <w:szCs w:val="24"/>
          <w:lang w:eastAsia="en-US"/>
        </w:rPr>
        <w:t>ět</w:t>
      </w:r>
      <w:r w:rsidRPr="00E27082">
        <w:rPr>
          <w:rFonts w:eastAsia="Calibri"/>
          <w:szCs w:val="24"/>
          <w:lang w:eastAsia="en-US"/>
        </w:rPr>
        <w:t xml:space="preserve"> </w:t>
      </w:r>
      <w:r w:rsidR="00083F57">
        <w:rPr>
          <w:rFonts w:eastAsia="Calibri"/>
          <w:szCs w:val="24"/>
          <w:lang w:eastAsia="en-US"/>
        </w:rPr>
        <w:t>PZS</w:t>
      </w:r>
      <w:r w:rsidR="00DB30DE">
        <w:rPr>
          <w:rFonts w:eastAsia="Calibri"/>
          <w:szCs w:val="24"/>
          <w:lang w:eastAsia="en-US"/>
        </w:rPr>
        <w:t xml:space="preserve"> podobné velikosti</w:t>
      </w:r>
      <w:r w:rsidRPr="00E27082">
        <w:rPr>
          <w:rFonts w:eastAsia="Calibri"/>
          <w:szCs w:val="24"/>
          <w:lang w:eastAsia="en-US"/>
        </w:rPr>
        <w:t>, se kterými ZPMV uzavřela smlouv</w:t>
      </w:r>
      <w:r w:rsidR="00083F57">
        <w:rPr>
          <w:rFonts w:eastAsia="Calibri"/>
          <w:szCs w:val="24"/>
          <w:lang w:eastAsia="en-US"/>
        </w:rPr>
        <w:t>y</w:t>
      </w:r>
      <w:r w:rsidRPr="00E27082">
        <w:rPr>
          <w:rFonts w:eastAsia="Calibri"/>
          <w:szCs w:val="24"/>
          <w:lang w:eastAsia="en-US"/>
        </w:rPr>
        <w:t xml:space="preserve"> o poskytování a úhradě zdravotních služeb účinn</w:t>
      </w:r>
      <w:r w:rsidR="00083F57">
        <w:rPr>
          <w:rFonts w:eastAsia="Calibri"/>
          <w:szCs w:val="24"/>
          <w:lang w:eastAsia="en-US"/>
        </w:rPr>
        <w:t>é</w:t>
      </w:r>
      <w:r w:rsidRPr="00E27082">
        <w:rPr>
          <w:rFonts w:eastAsia="Calibri"/>
          <w:szCs w:val="24"/>
          <w:lang w:eastAsia="en-US"/>
        </w:rPr>
        <w:t xml:space="preserve"> v roce 2020 až 2022. </w:t>
      </w:r>
      <w:r w:rsidR="00DB30DE" w:rsidRPr="00E27082">
        <w:rPr>
          <w:rFonts w:eastAsia="Calibri"/>
          <w:szCs w:val="24"/>
          <w:lang w:eastAsia="en-US"/>
        </w:rPr>
        <w:t>V</w:t>
      </w:r>
      <w:r w:rsidR="00083F57">
        <w:rPr>
          <w:rFonts w:eastAsia="Calibri"/>
          <w:szCs w:val="24"/>
          <w:lang w:eastAsia="en-US"/>
        </w:rPr>
        <w:t xml:space="preserve"> </w:t>
      </w:r>
      <w:r w:rsidR="00DB30DE" w:rsidRPr="00E27082">
        <w:rPr>
          <w:rFonts w:eastAsia="Calibri"/>
          <w:szCs w:val="24"/>
          <w:lang w:eastAsia="en-US"/>
        </w:rPr>
        <w:t>kontrolovaných letech NKÚ porovnal individuální základní sazby</w:t>
      </w:r>
      <w:r w:rsidR="00083F57">
        <w:rPr>
          <w:rFonts w:eastAsia="Calibri"/>
          <w:szCs w:val="24"/>
          <w:lang w:eastAsia="en-US"/>
        </w:rPr>
        <w:t xml:space="preserve"> (dále také „</w:t>
      </w:r>
      <w:r w:rsidR="00083F57" w:rsidRPr="007E3643">
        <w:rPr>
          <w:rFonts w:eastAsia="Calibri"/>
          <w:szCs w:val="24"/>
          <w:lang w:eastAsia="en-US"/>
        </w:rPr>
        <w:t>IZS</w:t>
      </w:r>
      <w:r w:rsidR="00083F57">
        <w:rPr>
          <w:rFonts w:eastAsia="Calibri"/>
          <w:szCs w:val="24"/>
          <w:lang w:eastAsia="en-US"/>
        </w:rPr>
        <w:t>“)</w:t>
      </w:r>
      <w:r w:rsidR="00DB30DE">
        <w:rPr>
          <w:rFonts w:eastAsia="Calibri"/>
          <w:szCs w:val="24"/>
          <w:lang w:eastAsia="en-US"/>
        </w:rPr>
        <w:t xml:space="preserve"> </w:t>
      </w:r>
      <w:r w:rsidR="00DB30DE" w:rsidRPr="00DB30DE">
        <w:rPr>
          <w:rFonts w:eastAsia="Calibri"/>
          <w:szCs w:val="24"/>
          <w:lang w:eastAsia="en-US"/>
        </w:rPr>
        <w:t>případového paušálu i mimo případový paušál</w:t>
      </w:r>
      <w:r w:rsidR="00DB30DE" w:rsidRPr="00E27082">
        <w:rPr>
          <w:rFonts w:eastAsia="Calibri"/>
          <w:szCs w:val="24"/>
          <w:lang w:eastAsia="en-US"/>
        </w:rPr>
        <w:t>.</w:t>
      </w:r>
      <w:r w:rsidR="007E3643">
        <w:rPr>
          <w:rFonts w:eastAsia="Calibri"/>
          <w:szCs w:val="24"/>
          <w:lang w:eastAsia="en-US"/>
        </w:rPr>
        <w:t xml:space="preserve"> </w:t>
      </w:r>
      <w:r w:rsidR="00083F57">
        <w:rPr>
          <w:rFonts w:eastAsia="Calibri"/>
          <w:szCs w:val="24"/>
          <w:lang w:eastAsia="en-US"/>
        </w:rPr>
        <w:t>IZS</w:t>
      </w:r>
      <w:r w:rsidR="007E3643">
        <w:rPr>
          <w:rFonts w:eastAsia="Calibri"/>
          <w:szCs w:val="24"/>
          <w:lang w:eastAsia="en-US"/>
        </w:rPr>
        <w:t xml:space="preserve"> </w:t>
      </w:r>
      <w:r w:rsidR="007E3643" w:rsidRPr="007E3643">
        <w:rPr>
          <w:rFonts w:eastAsia="Calibri"/>
          <w:szCs w:val="24"/>
          <w:lang w:eastAsia="en-US"/>
        </w:rPr>
        <w:t>je hodnota, která je stanovena pro každé úhradové období</w:t>
      </w:r>
      <w:r w:rsidR="007E3643">
        <w:rPr>
          <w:rFonts w:eastAsia="Calibri"/>
          <w:szCs w:val="24"/>
          <w:lang w:eastAsia="en-US"/>
        </w:rPr>
        <w:t xml:space="preserve"> </w:t>
      </w:r>
      <w:r w:rsidR="007E3643" w:rsidRPr="00DE48B6">
        <w:rPr>
          <w:rFonts w:eastAsia="Calibri"/>
          <w:szCs w:val="24"/>
          <w:lang w:eastAsia="en-US"/>
        </w:rPr>
        <w:t>a vychází z</w:t>
      </w:r>
      <w:r w:rsidR="00B01853">
        <w:rPr>
          <w:rFonts w:eastAsia="Calibri"/>
          <w:szCs w:val="24"/>
          <w:lang w:eastAsia="en-US"/>
        </w:rPr>
        <w:t> </w:t>
      </w:r>
      <w:r w:rsidR="00DE48B6" w:rsidRPr="00DE48B6">
        <w:rPr>
          <w:rFonts w:eastAsia="Calibri"/>
          <w:szCs w:val="24"/>
          <w:lang w:eastAsia="en-US"/>
        </w:rPr>
        <w:t>produkce referenčního období jednotlivých poskytovatelů zdravotních služeb</w:t>
      </w:r>
      <w:r w:rsidR="007E3643" w:rsidRPr="00DE48B6">
        <w:rPr>
          <w:rFonts w:eastAsia="Calibri"/>
          <w:szCs w:val="24"/>
          <w:lang w:eastAsia="en-US"/>
        </w:rPr>
        <w:t>.</w:t>
      </w:r>
    </w:p>
    <w:p w14:paraId="5B0EB8DF" w14:textId="77777777" w:rsidR="00815127" w:rsidRPr="00815127" w:rsidRDefault="005C2DC5" w:rsidP="00D723A6">
      <w:pPr>
        <w:widowControl/>
        <w:autoSpaceDE/>
        <w:autoSpaceDN/>
        <w:adjustRightInd/>
        <w:spacing w:before="120" w:after="120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>IZS</w:t>
      </w:r>
      <w:r w:rsidR="00815127" w:rsidRPr="00815127">
        <w:rPr>
          <w:rFonts w:eastAsia="Calibri" w:cs="Times New Roman"/>
          <w:szCs w:val="24"/>
          <w:lang w:eastAsia="en-US"/>
        </w:rPr>
        <w:t xml:space="preserve"> případového paušálu i </w:t>
      </w:r>
      <w:r>
        <w:rPr>
          <w:rFonts w:eastAsia="Calibri" w:cs="Times New Roman"/>
          <w:szCs w:val="24"/>
          <w:lang w:eastAsia="en-US"/>
        </w:rPr>
        <w:t>IZS</w:t>
      </w:r>
      <w:r w:rsidR="00815127" w:rsidRPr="00815127">
        <w:rPr>
          <w:rFonts w:eastAsia="Calibri" w:cs="Times New Roman"/>
          <w:szCs w:val="24"/>
          <w:lang w:eastAsia="en-US"/>
        </w:rPr>
        <w:t xml:space="preserve"> mimo případový paušál se u vybraných PZS v kontrolovaném období přibližovaly</w:t>
      </w:r>
      <w:r w:rsidR="00056151">
        <w:rPr>
          <w:rFonts w:eastAsia="Calibri" w:cs="Times New Roman"/>
          <w:szCs w:val="24"/>
          <w:lang w:eastAsia="en-US"/>
        </w:rPr>
        <w:t>.</w:t>
      </w:r>
      <w:r w:rsidR="00B635A9" w:rsidRPr="00B635A9">
        <w:t xml:space="preserve"> </w:t>
      </w:r>
      <w:r w:rsidR="00B635A9" w:rsidRPr="00B635A9">
        <w:rPr>
          <w:rFonts w:eastAsia="Calibri" w:cs="Times New Roman"/>
          <w:szCs w:val="24"/>
          <w:lang w:eastAsia="en-US"/>
        </w:rPr>
        <w:t xml:space="preserve">U IZS v případovém paušálu v roce 2022 byla </w:t>
      </w:r>
      <w:r w:rsidR="00B635A9">
        <w:rPr>
          <w:rFonts w:eastAsia="Calibri" w:cs="Times New Roman"/>
          <w:szCs w:val="24"/>
          <w:lang w:eastAsia="en-US"/>
        </w:rPr>
        <w:t>IZS</w:t>
      </w:r>
      <w:r w:rsidR="00B635A9" w:rsidRPr="00B635A9">
        <w:rPr>
          <w:rFonts w:eastAsia="Calibri" w:cs="Times New Roman"/>
          <w:szCs w:val="24"/>
          <w:lang w:eastAsia="en-US"/>
        </w:rPr>
        <w:t xml:space="preserve"> poskytovatele s nejvyšším paušálem o 12,01 % vyšší než </w:t>
      </w:r>
      <w:r w:rsidR="00B635A9">
        <w:rPr>
          <w:rFonts w:eastAsia="Calibri" w:cs="Times New Roman"/>
          <w:szCs w:val="24"/>
          <w:lang w:eastAsia="en-US"/>
        </w:rPr>
        <w:t xml:space="preserve">IZS poskytovatele </w:t>
      </w:r>
      <w:r w:rsidR="00B635A9" w:rsidRPr="00B635A9">
        <w:rPr>
          <w:rFonts w:eastAsia="Calibri" w:cs="Times New Roman"/>
          <w:szCs w:val="24"/>
          <w:lang w:eastAsia="en-US"/>
        </w:rPr>
        <w:t>s nejnižším paušálem.</w:t>
      </w:r>
      <w:r w:rsidR="00B635A9">
        <w:rPr>
          <w:rFonts w:eastAsia="Calibri" w:cs="Times New Roman"/>
          <w:szCs w:val="24"/>
          <w:lang w:eastAsia="en-US"/>
        </w:rPr>
        <w:t xml:space="preserve"> </w:t>
      </w:r>
      <w:r w:rsidR="00B635A9" w:rsidRPr="00B635A9">
        <w:rPr>
          <w:rFonts w:eastAsia="Calibri" w:cs="Times New Roman"/>
          <w:szCs w:val="24"/>
          <w:lang w:eastAsia="en-US"/>
        </w:rPr>
        <w:t xml:space="preserve">U IZS mimo případový paušál v roce 2022 byla </w:t>
      </w:r>
      <w:r w:rsidR="00B635A9">
        <w:rPr>
          <w:rFonts w:eastAsia="Calibri" w:cs="Times New Roman"/>
          <w:szCs w:val="24"/>
          <w:lang w:eastAsia="en-US"/>
        </w:rPr>
        <w:t>IZS</w:t>
      </w:r>
      <w:r w:rsidR="00B635A9" w:rsidRPr="00B635A9">
        <w:rPr>
          <w:rFonts w:eastAsia="Calibri" w:cs="Times New Roman"/>
          <w:szCs w:val="24"/>
          <w:lang w:eastAsia="en-US"/>
        </w:rPr>
        <w:t xml:space="preserve"> poskytovatele s nejvyšším paušálem o 1,97 % vyšší než </w:t>
      </w:r>
      <w:r w:rsidR="00B635A9">
        <w:rPr>
          <w:rFonts w:eastAsia="Calibri" w:cs="Times New Roman"/>
          <w:szCs w:val="24"/>
          <w:lang w:eastAsia="en-US"/>
        </w:rPr>
        <w:t>IZS</w:t>
      </w:r>
      <w:r w:rsidR="00B635A9" w:rsidRPr="00B635A9">
        <w:rPr>
          <w:rFonts w:eastAsia="Calibri" w:cs="Times New Roman"/>
          <w:szCs w:val="24"/>
          <w:lang w:eastAsia="en-US"/>
        </w:rPr>
        <w:t xml:space="preserve"> poskytovatele s nejnižším paušálem.</w:t>
      </w:r>
      <w:r w:rsidR="00815127" w:rsidRPr="00815127">
        <w:rPr>
          <w:rFonts w:eastAsia="Calibri" w:cs="Times New Roman"/>
          <w:szCs w:val="24"/>
          <w:lang w:eastAsia="en-US"/>
        </w:rPr>
        <w:t xml:space="preserve"> </w:t>
      </w:r>
      <w:r w:rsidR="00B635A9">
        <w:rPr>
          <w:rFonts w:eastAsia="Calibri" w:cs="Times New Roman"/>
          <w:szCs w:val="24"/>
          <w:lang w:eastAsia="en-US"/>
        </w:rPr>
        <w:t>Rozdíl se oproti roku 2021 snížil.</w:t>
      </w:r>
      <w:r w:rsidR="00815127" w:rsidRPr="00815127">
        <w:rPr>
          <w:rFonts w:eastAsia="Calibri" w:cs="Times New Roman"/>
          <w:szCs w:val="24"/>
          <w:lang w:eastAsia="en-US"/>
        </w:rPr>
        <w:t xml:space="preserve"> </w:t>
      </w:r>
    </w:p>
    <w:p w14:paraId="7EA87B49" w14:textId="448EA2A3" w:rsidR="00E27082" w:rsidRDefault="00E27082" w:rsidP="00D723A6">
      <w:pPr>
        <w:widowControl/>
        <w:autoSpaceDE/>
        <w:autoSpaceDN/>
        <w:adjustRightInd/>
        <w:spacing w:before="120" w:after="60"/>
        <w:rPr>
          <w:rFonts w:eastAsia="Calibri"/>
          <w:szCs w:val="24"/>
          <w:lang w:eastAsia="en-US"/>
        </w:rPr>
      </w:pPr>
      <w:r w:rsidRPr="00E27082">
        <w:rPr>
          <w:rFonts w:eastAsia="Calibri"/>
          <w:szCs w:val="24"/>
          <w:lang w:eastAsia="en-US"/>
        </w:rPr>
        <w:t>V</w:t>
      </w:r>
      <w:r w:rsidR="00510B87">
        <w:rPr>
          <w:rFonts w:eastAsia="Calibri"/>
          <w:szCs w:val="24"/>
          <w:lang w:eastAsia="en-US"/>
        </w:rPr>
        <w:t> </w:t>
      </w:r>
      <w:r w:rsidR="00815127">
        <w:rPr>
          <w:rFonts w:eastAsia="Calibri"/>
          <w:szCs w:val="24"/>
          <w:lang w:eastAsia="en-US"/>
        </w:rPr>
        <w:t>následující</w:t>
      </w:r>
      <w:r w:rsidR="00510B87">
        <w:rPr>
          <w:rFonts w:eastAsia="Calibri"/>
          <w:szCs w:val="24"/>
          <w:lang w:eastAsia="en-US"/>
        </w:rPr>
        <w:t xml:space="preserve"> </w:t>
      </w:r>
      <w:r w:rsidRPr="00E27082">
        <w:rPr>
          <w:rFonts w:eastAsia="Calibri"/>
          <w:szCs w:val="24"/>
          <w:lang w:eastAsia="en-US"/>
        </w:rPr>
        <w:t>tabulce jsou uvedeny hodnoty individuálních základních sazeb případového paušálu a mimo případový paušál u vybraného vzorku PZS.</w:t>
      </w:r>
    </w:p>
    <w:p w14:paraId="18E6014D" w14:textId="705238F2" w:rsidR="00E27082" w:rsidRPr="00510B87" w:rsidRDefault="00E27082" w:rsidP="00D723A6">
      <w:pPr>
        <w:widowControl/>
        <w:autoSpaceDE/>
        <w:autoSpaceDN/>
        <w:adjustRightInd/>
        <w:spacing w:before="60" w:after="40"/>
        <w:rPr>
          <w:rFonts w:eastAsia="Calibri"/>
          <w:b/>
          <w:szCs w:val="18"/>
        </w:rPr>
      </w:pPr>
      <w:r w:rsidRPr="00510B87">
        <w:rPr>
          <w:rFonts w:eastAsia="Calibri"/>
          <w:b/>
          <w:szCs w:val="18"/>
        </w:rPr>
        <w:t>Tabulka</w:t>
      </w:r>
      <w:r w:rsidR="00B01853" w:rsidRPr="00510B87">
        <w:rPr>
          <w:rFonts w:eastAsia="Calibri"/>
          <w:b/>
          <w:szCs w:val="18"/>
        </w:rPr>
        <w:t xml:space="preserve"> č. </w:t>
      </w:r>
      <w:r w:rsidR="00F41C68">
        <w:rPr>
          <w:rFonts w:eastAsia="Calibri"/>
          <w:b/>
          <w:szCs w:val="18"/>
        </w:rPr>
        <w:t>1</w:t>
      </w:r>
      <w:r w:rsidRPr="00510B87">
        <w:rPr>
          <w:rFonts w:eastAsia="Calibri"/>
          <w:b/>
          <w:szCs w:val="18"/>
        </w:rPr>
        <w:t>: Hodnoty individuálních základních sazeb 2020 až 2022 (v Kč)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945"/>
        <w:gridCol w:w="945"/>
        <w:gridCol w:w="945"/>
        <w:gridCol w:w="850"/>
        <w:gridCol w:w="850"/>
        <w:gridCol w:w="851"/>
      </w:tblGrid>
      <w:tr w:rsidR="00815127" w:rsidRPr="00E27082" w14:paraId="312C6CF4" w14:textId="77777777" w:rsidTr="00057529">
        <w:trPr>
          <w:trHeight w:val="22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ACCA829" w14:textId="77777777" w:rsidR="00815127" w:rsidRPr="00E27082" w:rsidRDefault="00815127" w:rsidP="00D723A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PZS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285C07C9" w14:textId="1C264E99" w:rsidR="00815127" w:rsidRPr="00E27082" w:rsidRDefault="00815127" w:rsidP="00D723A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IZS případový paušál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DA36A28" w14:textId="77777777" w:rsidR="00815127" w:rsidRPr="00E27082" w:rsidRDefault="00815127" w:rsidP="00D723A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IZS mimo případový paušál</w:t>
            </w:r>
          </w:p>
        </w:tc>
      </w:tr>
      <w:tr w:rsidR="00815127" w:rsidRPr="00E27082" w14:paraId="56B60963" w14:textId="77777777" w:rsidTr="00057529">
        <w:trPr>
          <w:trHeight w:val="22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105CA030" w14:textId="77777777" w:rsidR="00815127" w:rsidRPr="00E27082" w:rsidRDefault="00815127" w:rsidP="00D723A6">
            <w:pPr>
              <w:widowControl/>
              <w:autoSpaceDE/>
              <w:autoSpaceDN/>
              <w:adjustRightInd/>
              <w:jc w:val="lef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4C7A1938" w14:textId="77777777" w:rsidR="00815127" w:rsidRPr="00E27082" w:rsidRDefault="00815127" w:rsidP="00D723A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32653A3" w14:textId="77777777" w:rsidR="00815127" w:rsidRPr="00E27082" w:rsidRDefault="00815127" w:rsidP="00D723A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06342F8" w14:textId="77777777" w:rsidR="00815127" w:rsidRPr="00E27082" w:rsidRDefault="00815127" w:rsidP="00D723A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2B0D0B20" w14:textId="77777777" w:rsidR="00815127" w:rsidRPr="00E27082" w:rsidRDefault="00815127" w:rsidP="00D723A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2E708BBD" w14:textId="77777777" w:rsidR="00815127" w:rsidRPr="00E27082" w:rsidRDefault="00815127" w:rsidP="00D723A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2EADA595" w14:textId="77777777" w:rsidR="00815127" w:rsidRPr="00E27082" w:rsidRDefault="00815127" w:rsidP="00D723A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2022</w:t>
            </w:r>
          </w:p>
        </w:tc>
      </w:tr>
      <w:tr w:rsidR="00815127" w:rsidRPr="00E27082" w14:paraId="046DD87E" w14:textId="77777777" w:rsidTr="00057529">
        <w:trPr>
          <w:trHeight w:val="2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0704" w14:textId="77777777" w:rsidR="00815127" w:rsidRPr="00E27082" w:rsidRDefault="00815127" w:rsidP="00D723A6">
            <w:pPr>
              <w:widowControl/>
              <w:autoSpaceDE/>
              <w:autoSpaceDN/>
              <w:adjustRightInd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Nemocnice 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D515" w14:textId="4E440685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46 426,50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5C0C" w14:textId="77777777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50 513,15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14E5" w14:textId="77777777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53 441,12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7B8A" w14:textId="69870632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37 460,90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61FB" w14:textId="319D96B8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56 333,68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B5F8" w14:textId="2FABCB68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55 561,21</w:t>
            </w:r>
          </w:p>
        </w:tc>
      </w:tr>
      <w:tr w:rsidR="00815127" w:rsidRPr="00E27082" w14:paraId="14104FB6" w14:textId="77777777" w:rsidTr="00057529">
        <w:trPr>
          <w:trHeight w:val="2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14BF" w14:textId="77777777" w:rsidR="00815127" w:rsidRPr="00E27082" w:rsidRDefault="00815127" w:rsidP="00D723A6">
            <w:pPr>
              <w:widowControl/>
              <w:autoSpaceDE/>
              <w:autoSpaceDN/>
              <w:adjustRightInd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Nemocnice 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94FD" w14:textId="22BB073E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41 112,25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9132" w14:textId="77777777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47 250,90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D221" w14:textId="7DAE9F11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53 456,39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00D8" w14:textId="7C0594B0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36 150,72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5BE7" w14:textId="05ABE24B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50 397,33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6317" w14:textId="6CA7161E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55 310,63</w:t>
            </w:r>
          </w:p>
        </w:tc>
      </w:tr>
      <w:tr w:rsidR="00815127" w:rsidRPr="00E27082" w14:paraId="13F31F1C" w14:textId="77777777" w:rsidTr="00057529">
        <w:trPr>
          <w:trHeight w:val="2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B13D" w14:textId="77777777" w:rsidR="00815127" w:rsidRPr="00E27082" w:rsidRDefault="00815127" w:rsidP="00D723A6">
            <w:pPr>
              <w:widowControl/>
              <w:autoSpaceDE/>
              <w:autoSpaceDN/>
              <w:adjustRightInd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Nemocnice 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4CE0" w14:textId="7C1190B7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44 760,27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ED70" w14:textId="77777777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44 793,46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C725" w14:textId="2F193B86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53 420,77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87AB" w14:textId="7D260CAF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36 194,52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91EC" w14:textId="2E151BBB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58 641,88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ECAB" w14:textId="610865B9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55 817,67</w:t>
            </w:r>
          </w:p>
        </w:tc>
      </w:tr>
      <w:tr w:rsidR="00815127" w:rsidRPr="00E27082" w14:paraId="355F7BCC" w14:textId="77777777" w:rsidTr="00057529">
        <w:trPr>
          <w:trHeight w:val="2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377B" w14:textId="77777777" w:rsidR="00815127" w:rsidRPr="00E27082" w:rsidRDefault="00815127" w:rsidP="00D723A6">
            <w:pPr>
              <w:widowControl/>
              <w:autoSpaceDE/>
              <w:autoSpaceDN/>
              <w:adjustRightInd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Nemocnice 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605F" w14:textId="48E9A95A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40 421,07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EB8F" w14:textId="77777777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44 066,99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BEFE" w14:textId="760D5054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47 796,99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DB48" w14:textId="37C19361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36 619,58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3E29" w14:textId="7AD5AF85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57 387,73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7F09" w14:textId="1A33488B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55 958,62</w:t>
            </w:r>
          </w:p>
        </w:tc>
      </w:tr>
      <w:tr w:rsidR="00815127" w:rsidRPr="00E27082" w14:paraId="380A6A30" w14:textId="77777777" w:rsidTr="00057529">
        <w:trPr>
          <w:trHeight w:val="2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20F2" w14:textId="77777777" w:rsidR="00815127" w:rsidRPr="00E27082" w:rsidRDefault="00815127" w:rsidP="00D723A6">
            <w:pPr>
              <w:widowControl/>
              <w:autoSpaceDE/>
              <w:autoSpaceDN/>
              <w:adjustRightInd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Nemocnice 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A39B" w14:textId="4712B8B0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35 710,08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33EB" w14:textId="77777777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39 686,26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AA92" w14:textId="77CF9FBF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49 083,14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619B" w14:textId="183FC92E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36 163,98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447C" w14:textId="72BB724E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57 353,27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2656" w14:textId="3C72CA46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55 655,47</w:t>
            </w:r>
          </w:p>
        </w:tc>
      </w:tr>
      <w:tr w:rsidR="00815127" w:rsidRPr="00E27082" w14:paraId="22E729AB" w14:textId="77777777" w:rsidTr="00057529">
        <w:trPr>
          <w:trHeight w:val="2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8F14" w14:textId="77777777" w:rsidR="00815127" w:rsidRPr="00E27082" w:rsidRDefault="00815127" w:rsidP="00D723A6">
            <w:pPr>
              <w:widowControl/>
              <w:autoSpaceDE/>
              <w:autoSpaceDN/>
              <w:adjustRightInd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Nemocnice 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AB5D" w14:textId="34440D5B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42 163,52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D200" w14:textId="77777777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43 372,87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11DC" w14:textId="73305EB1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47 852,49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DFD1" w14:textId="6215B47D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39 651,16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25EC" w14:textId="1C1D173E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57 099,73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B622" w14:textId="1AC6A7BD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55 986,23</w:t>
            </w:r>
          </w:p>
        </w:tc>
      </w:tr>
      <w:tr w:rsidR="00815127" w:rsidRPr="00E27082" w14:paraId="42725E60" w14:textId="77777777" w:rsidTr="00057529">
        <w:trPr>
          <w:trHeight w:val="2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4D81" w14:textId="77777777" w:rsidR="00815127" w:rsidRPr="00E27082" w:rsidRDefault="00815127" w:rsidP="00D723A6">
            <w:pPr>
              <w:widowControl/>
              <w:autoSpaceDE/>
              <w:autoSpaceDN/>
              <w:adjustRightInd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Nemocnice 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132C" w14:textId="31C13899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41 751,52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5980" w14:textId="77777777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43 705,53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472A" w14:textId="21AD9354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47 724,40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CA8E" w14:textId="75BA03E3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36 266,55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A18C" w14:textId="23117792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56 078,29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4A5B" w14:textId="521DBC00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56 045,71</w:t>
            </w:r>
          </w:p>
        </w:tc>
      </w:tr>
      <w:tr w:rsidR="00815127" w:rsidRPr="00E27082" w14:paraId="65763A7C" w14:textId="77777777" w:rsidTr="00057529">
        <w:trPr>
          <w:trHeight w:val="2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5022" w14:textId="77777777" w:rsidR="00815127" w:rsidRPr="00E27082" w:rsidRDefault="00815127" w:rsidP="00D723A6">
            <w:pPr>
              <w:widowControl/>
              <w:autoSpaceDE/>
              <w:autoSpaceDN/>
              <w:adjustRightInd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Nemocnice 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F83A" w14:textId="5CA50592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38 188,22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94AC" w14:textId="77777777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43 369,08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6EE4" w14:textId="1AF9CE11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48 427,55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E397" w14:textId="7C340B8E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36 093,60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EBA0" w14:textId="7024F1E7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53 591,80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35CF" w14:textId="59C22AA2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55 092,10</w:t>
            </w:r>
          </w:p>
        </w:tc>
      </w:tr>
      <w:tr w:rsidR="00815127" w:rsidRPr="00E27082" w14:paraId="59F03958" w14:textId="77777777" w:rsidTr="00057529">
        <w:trPr>
          <w:trHeight w:val="2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A3A8" w14:textId="77777777" w:rsidR="00815127" w:rsidRPr="00E27082" w:rsidRDefault="00815127" w:rsidP="00D723A6">
            <w:pPr>
              <w:widowControl/>
              <w:autoSpaceDE/>
              <w:autoSpaceDN/>
              <w:adjustRightInd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Nemocnice 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1A21" w14:textId="41D39086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42 350,02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4360" w14:textId="77777777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45 587,84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761F" w14:textId="7C631FC3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50 572,44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383D" w14:textId="73AC3C98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38 185,91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3FBE" w14:textId="54613143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56 011,68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5615" w14:textId="08EA7281" w:rsidR="00815127" w:rsidRPr="00E27082" w:rsidRDefault="00815127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color w:val="000000"/>
                <w:sz w:val="16"/>
                <w:szCs w:val="16"/>
              </w:rPr>
              <w:t>56 178,84</w:t>
            </w:r>
          </w:p>
        </w:tc>
      </w:tr>
      <w:tr w:rsidR="00815127" w:rsidRPr="00E27082" w14:paraId="5BD43DB7" w14:textId="77777777" w:rsidTr="00057529">
        <w:trPr>
          <w:trHeight w:val="2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DD60" w14:textId="0E72E5C2" w:rsidR="00815127" w:rsidRPr="00E27082" w:rsidRDefault="00815127" w:rsidP="00D723A6">
            <w:pPr>
              <w:widowControl/>
              <w:autoSpaceDE/>
              <w:autoSpaceDN/>
              <w:adjustRightInd/>
              <w:jc w:val="lef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 xml:space="preserve">Procentuální rozdíl mezi </w:t>
            </w:r>
            <w:r w:rsidR="00965C3C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minimální</w:t>
            </w:r>
            <w:r w:rsidRPr="00E2708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 xml:space="preserve"> a</w:t>
            </w:r>
            <w:r w:rsidR="00510B87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 </w:t>
            </w:r>
            <w:r w:rsidR="00965C3C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maximální</w:t>
            </w:r>
            <w:r w:rsidRPr="00E2708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C6A29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IZS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A81B" w14:textId="77777777" w:rsidR="00815127" w:rsidRPr="00E27082" w:rsidRDefault="00815127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30,01 %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F3F1" w14:textId="77777777" w:rsidR="00815127" w:rsidRPr="00E27082" w:rsidRDefault="00815127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27,28 %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401C" w14:textId="77777777" w:rsidR="00815127" w:rsidRPr="00E27082" w:rsidRDefault="00815127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12,01 %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7107" w14:textId="77777777" w:rsidR="00815127" w:rsidRPr="00E27082" w:rsidRDefault="00815127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9,86 %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E0F3" w14:textId="77777777" w:rsidR="00815127" w:rsidRPr="00E27082" w:rsidRDefault="00815127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16,36 %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A817" w14:textId="77777777" w:rsidR="00815127" w:rsidRPr="00E27082" w:rsidRDefault="00815127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E2708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1,97 %</w:t>
            </w:r>
          </w:p>
        </w:tc>
      </w:tr>
    </w:tbl>
    <w:p w14:paraId="78507AA1" w14:textId="1D5F82CB" w:rsidR="00E27082" w:rsidRPr="00510B87" w:rsidRDefault="00E27082" w:rsidP="00D723A6">
      <w:pPr>
        <w:widowControl/>
        <w:tabs>
          <w:tab w:val="left" w:pos="3945"/>
        </w:tabs>
        <w:autoSpaceDE/>
        <w:autoSpaceDN/>
        <w:adjustRightInd/>
        <w:spacing w:before="40" w:after="120"/>
        <w:rPr>
          <w:rFonts w:eastAsia="Calibri" w:cs="Times New Roman"/>
          <w:sz w:val="20"/>
        </w:rPr>
      </w:pPr>
      <w:r w:rsidRPr="00510B87">
        <w:rPr>
          <w:rFonts w:eastAsia="Calibri" w:cs="Times New Roman"/>
          <w:b/>
          <w:sz w:val="20"/>
        </w:rPr>
        <w:t>Zdroj:</w:t>
      </w:r>
      <w:r w:rsidRPr="00510B87">
        <w:rPr>
          <w:rFonts w:eastAsia="Calibri" w:cs="Times New Roman"/>
          <w:sz w:val="20"/>
        </w:rPr>
        <w:t xml:space="preserve"> </w:t>
      </w:r>
      <w:r w:rsidR="00D23A3C">
        <w:rPr>
          <w:rFonts w:eastAsia="Calibri" w:cs="Times New Roman"/>
          <w:sz w:val="20"/>
        </w:rPr>
        <w:t>d</w:t>
      </w:r>
      <w:r w:rsidR="00736AA9" w:rsidRPr="00510B87">
        <w:rPr>
          <w:rFonts w:eastAsia="Calibri" w:cs="Times New Roman"/>
          <w:sz w:val="20"/>
        </w:rPr>
        <w:t xml:space="preserve">ata </w:t>
      </w:r>
      <w:r w:rsidR="00815127" w:rsidRPr="00510B87">
        <w:rPr>
          <w:rFonts w:eastAsia="Calibri" w:cs="Times New Roman"/>
          <w:sz w:val="20"/>
        </w:rPr>
        <w:t>ZPMV</w:t>
      </w:r>
      <w:r w:rsidR="00884C5F" w:rsidRPr="00510B87">
        <w:rPr>
          <w:rFonts w:eastAsia="Calibri" w:cs="Times New Roman"/>
          <w:sz w:val="20"/>
        </w:rPr>
        <w:t>.</w:t>
      </w:r>
    </w:p>
    <w:p w14:paraId="62E1F3D2" w14:textId="77777777" w:rsidR="00E85691" w:rsidRPr="0069355F" w:rsidRDefault="00E85691" w:rsidP="00D723A6">
      <w:pPr>
        <w:keepNext/>
        <w:widowControl/>
        <w:autoSpaceDE/>
        <w:autoSpaceDN/>
        <w:adjustRightInd/>
        <w:spacing w:before="120" w:after="120"/>
        <w:jc w:val="left"/>
        <w:rPr>
          <w:rFonts w:cs="Calibri"/>
        </w:rPr>
      </w:pPr>
      <w:r w:rsidRPr="00C71F44">
        <w:rPr>
          <w:rFonts w:eastAsia="Times New Roman" w:cs="Calibri"/>
          <w:b/>
          <w:szCs w:val="24"/>
          <w:lang w:eastAsia="en-US"/>
        </w:rPr>
        <w:t>Přehled kontrolovaných úhrad</w:t>
      </w:r>
      <w:r>
        <w:rPr>
          <w:rFonts w:eastAsia="Times New Roman" w:cs="Calibri"/>
          <w:b/>
          <w:szCs w:val="24"/>
          <w:lang w:eastAsia="en-US"/>
        </w:rPr>
        <w:t xml:space="preserve"> zdravotních služeb</w:t>
      </w:r>
    </w:p>
    <w:p w14:paraId="1153A6B1" w14:textId="77777777" w:rsidR="00DB30DE" w:rsidRPr="000609AD" w:rsidRDefault="00DB30DE" w:rsidP="00D723A6">
      <w:pPr>
        <w:widowControl/>
        <w:autoSpaceDE/>
        <w:autoSpaceDN/>
        <w:adjustRightInd/>
        <w:rPr>
          <w:rFonts w:eastAsia="Calibri"/>
          <w:szCs w:val="24"/>
          <w:lang w:eastAsia="en-US"/>
        </w:rPr>
      </w:pPr>
      <w:r w:rsidRPr="000609AD">
        <w:rPr>
          <w:rFonts w:eastAsia="Calibri"/>
          <w:szCs w:val="24"/>
          <w:lang w:eastAsia="en-US"/>
        </w:rPr>
        <w:t>U vzorku poskytovatelů zdravotních služeb NKÚ porovnal výši úhrad za vybrané CZ-DRG kategorie v letech 2021 a 2022</w:t>
      </w:r>
      <w:r w:rsidR="00736AA9" w:rsidRPr="000609AD">
        <w:rPr>
          <w:rStyle w:val="Znakapoznpodarou"/>
          <w:rFonts w:eastAsia="Calibri"/>
          <w:szCs w:val="24"/>
          <w:lang w:eastAsia="en-US"/>
        </w:rPr>
        <w:footnoteReference w:id="33"/>
      </w:r>
      <w:r w:rsidRPr="000609AD">
        <w:rPr>
          <w:rFonts w:eastAsia="Calibri"/>
          <w:szCs w:val="24"/>
          <w:lang w:eastAsia="en-US"/>
        </w:rPr>
        <w:t>. Vybrané CZ-DRG kategorie k porovnání byly:</w:t>
      </w:r>
    </w:p>
    <w:p w14:paraId="04ED02FF" w14:textId="77777777" w:rsidR="00DB30DE" w:rsidRPr="000609AD" w:rsidRDefault="00DB30DE" w:rsidP="00D723A6">
      <w:pPr>
        <w:widowControl/>
        <w:numPr>
          <w:ilvl w:val="0"/>
          <w:numId w:val="19"/>
        </w:numPr>
        <w:autoSpaceDE/>
        <w:autoSpaceDN/>
        <w:adjustRightInd/>
        <w:ind w:left="284" w:hanging="284"/>
        <w:contextualSpacing/>
        <w:rPr>
          <w:rFonts w:eastAsia="Calibri"/>
          <w:szCs w:val="24"/>
          <w:lang w:eastAsia="en-US"/>
        </w:rPr>
      </w:pPr>
      <w:r w:rsidRPr="000609AD">
        <w:rPr>
          <w:rFonts w:eastAsia="Calibri"/>
          <w:szCs w:val="24"/>
          <w:lang w:eastAsia="en-US"/>
        </w:rPr>
        <w:t>16-K02-03 Anémie u pacientů s CC=0 (úhrada formou případového paušálu);</w:t>
      </w:r>
    </w:p>
    <w:p w14:paraId="1398B5F3" w14:textId="77777777" w:rsidR="00DB30DE" w:rsidRPr="000609AD" w:rsidRDefault="00DB30DE" w:rsidP="00D723A6">
      <w:pPr>
        <w:widowControl/>
        <w:numPr>
          <w:ilvl w:val="0"/>
          <w:numId w:val="19"/>
        </w:numPr>
        <w:autoSpaceDE/>
        <w:autoSpaceDN/>
        <w:adjustRightInd/>
        <w:ind w:left="284" w:hanging="284"/>
        <w:contextualSpacing/>
        <w:rPr>
          <w:rFonts w:eastAsia="Calibri"/>
          <w:szCs w:val="24"/>
          <w:lang w:eastAsia="en-US"/>
        </w:rPr>
      </w:pPr>
      <w:r w:rsidRPr="000609AD">
        <w:rPr>
          <w:rFonts w:eastAsia="Calibri"/>
          <w:szCs w:val="24"/>
          <w:lang w:eastAsia="en-US"/>
        </w:rPr>
        <w:t xml:space="preserve">10-K04-04 Diabetes </w:t>
      </w:r>
      <w:proofErr w:type="spellStart"/>
      <w:r w:rsidRPr="000609AD">
        <w:rPr>
          <w:rFonts w:eastAsia="Calibri"/>
          <w:szCs w:val="24"/>
          <w:lang w:eastAsia="en-US"/>
        </w:rPr>
        <w:t>mellitus</w:t>
      </w:r>
      <w:proofErr w:type="spellEnd"/>
      <w:r w:rsidRPr="000609AD">
        <w:rPr>
          <w:rFonts w:eastAsia="Calibri"/>
          <w:szCs w:val="24"/>
          <w:lang w:eastAsia="en-US"/>
        </w:rPr>
        <w:t xml:space="preserve"> u pacientů ve věku 16 a více let s CC=0-1 (úhrada formou případového paušálu);</w:t>
      </w:r>
    </w:p>
    <w:p w14:paraId="6488DF6D" w14:textId="77777777" w:rsidR="00DB30DE" w:rsidRPr="000609AD" w:rsidRDefault="00DB30DE" w:rsidP="00D723A6">
      <w:pPr>
        <w:widowControl/>
        <w:numPr>
          <w:ilvl w:val="0"/>
          <w:numId w:val="19"/>
        </w:numPr>
        <w:autoSpaceDE/>
        <w:autoSpaceDN/>
        <w:adjustRightInd/>
        <w:ind w:left="284" w:hanging="284"/>
        <w:contextualSpacing/>
        <w:rPr>
          <w:rFonts w:eastAsia="Calibri"/>
          <w:szCs w:val="24"/>
          <w:lang w:eastAsia="en-US"/>
        </w:rPr>
      </w:pPr>
      <w:r w:rsidRPr="000609AD">
        <w:rPr>
          <w:rFonts w:eastAsia="Calibri"/>
          <w:szCs w:val="24"/>
          <w:lang w:eastAsia="en-US"/>
        </w:rPr>
        <w:t>08-K08-00 Jiná onemocnění páteře a bolest zad (úhrada formou případového paušálu);</w:t>
      </w:r>
    </w:p>
    <w:p w14:paraId="71F0429E" w14:textId="77777777" w:rsidR="00DB30DE" w:rsidRPr="000609AD" w:rsidRDefault="00DB30DE" w:rsidP="00D723A6">
      <w:pPr>
        <w:widowControl/>
        <w:numPr>
          <w:ilvl w:val="0"/>
          <w:numId w:val="19"/>
        </w:numPr>
        <w:autoSpaceDE/>
        <w:autoSpaceDN/>
        <w:adjustRightInd/>
        <w:ind w:left="284" w:hanging="284"/>
        <w:contextualSpacing/>
        <w:rPr>
          <w:rFonts w:eastAsia="Calibri"/>
          <w:szCs w:val="24"/>
          <w:lang w:eastAsia="en-US"/>
        </w:rPr>
      </w:pPr>
      <w:r w:rsidRPr="000609AD">
        <w:rPr>
          <w:rFonts w:eastAsia="Calibri"/>
          <w:szCs w:val="24"/>
          <w:lang w:eastAsia="en-US"/>
        </w:rPr>
        <w:t>06-I16-03 Laparoskopický výkon pro jednostrannou tříselnou nebo stehenní kýlu u pacientů s CC=0-2 (úhrada vyčleněná z případového paušálu);</w:t>
      </w:r>
    </w:p>
    <w:p w14:paraId="2938A86D" w14:textId="77777777" w:rsidR="00DB30DE" w:rsidRPr="000609AD" w:rsidRDefault="00DB30DE" w:rsidP="00D723A6">
      <w:pPr>
        <w:widowControl/>
        <w:numPr>
          <w:ilvl w:val="0"/>
          <w:numId w:val="19"/>
        </w:numPr>
        <w:autoSpaceDE/>
        <w:autoSpaceDN/>
        <w:adjustRightInd/>
        <w:ind w:left="284" w:hanging="284"/>
        <w:contextualSpacing/>
        <w:rPr>
          <w:rFonts w:eastAsia="Calibri"/>
          <w:szCs w:val="24"/>
          <w:lang w:eastAsia="en-US"/>
        </w:rPr>
      </w:pPr>
      <w:r w:rsidRPr="000609AD">
        <w:rPr>
          <w:rFonts w:eastAsia="Calibri"/>
          <w:szCs w:val="24"/>
          <w:lang w:eastAsia="en-US"/>
        </w:rPr>
        <w:t xml:space="preserve">05-I30-03 </w:t>
      </w:r>
      <w:proofErr w:type="spellStart"/>
      <w:r w:rsidRPr="000609AD">
        <w:rPr>
          <w:rFonts w:eastAsia="Calibri"/>
          <w:szCs w:val="24"/>
          <w:lang w:eastAsia="en-US"/>
        </w:rPr>
        <w:t>Extirpace</w:t>
      </w:r>
      <w:proofErr w:type="spellEnd"/>
      <w:r w:rsidRPr="000609AD">
        <w:rPr>
          <w:rFonts w:eastAsia="Calibri"/>
          <w:szCs w:val="24"/>
          <w:lang w:eastAsia="en-US"/>
        </w:rPr>
        <w:t xml:space="preserve"> varikózních větví bez ošetření refluxu v žilních kmenech (úhrada vyčleněná z případového paušálu);</w:t>
      </w:r>
    </w:p>
    <w:p w14:paraId="7DA22F57" w14:textId="77777777" w:rsidR="00DB30DE" w:rsidRPr="000609AD" w:rsidRDefault="00DB30DE" w:rsidP="00D723A6">
      <w:pPr>
        <w:widowControl/>
        <w:numPr>
          <w:ilvl w:val="0"/>
          <w:numId w:val="19"/>
        </w:numPr>
        <w:autoSpaceDE/>
        <w:autoSpaceDN/>
        <w:adjustRightInd/>
        <w:ind w:left="284" w:hanging="284"/>
        <w:contextualSpacing/>
        <w:rPr>
          <w:rFonts w:eastAsia="Calibri"/>
          <w:szCs w:val="24"/>
          <w:lang w:eastAsia="en-US"/>
        </w:rPr>
      </w:pPr>
      <w:r w:rsidRPr="000609AD">
        <w:rPr>
          <w:rFonts w:eastAsia="Calibri"/>
          <w:szCs w:val="24"/>
          <w:lang w:eastAsia="en-US"/>
        </w:rPr>
        <w:t>13-I11-03 Odstranění dělohy pro onemocnění mimo zhoubný novotvar u pacientek s CC=0 (úhrada vyčleněná z případového paušálu);</w:t>
      </w:r>
    </w:p>
    <w:p w14:paraId="51FF2353" w14:textId="77777777" w:rsidR="00DB30DE" w:rsidRPr="000609AD" w:rsidRDefault="00DB30DE" w:rsidP="00D723A6">
      <w:pPr>
        <w:widowControl/>
        <w:numPr>
          <w:ilvl w:val="0"/>
          <w:numId w:val="19"/>
        </w:numPr>
        <w:autoSpaceDE/>
        <w:autoSpaceDN/>
        <w:adjustRightInd/>
        <w:ind w:left="284" w:hanging="284"/>
        <w:contextualSpacing/>
        <w:rPr>
          <w:rFonts w:eastAsia="Calibri"/>
          <w:szCs w:val="24"/>
          <w:lang w:eastAsia="en-US"/>
        </w:rPr>
      </w:pPr>
      <w:r w:rsidRPr="000609AD">
        <w:rPr>
          <w:rFonts w:eastAsia="Calibri"/>
          <w:szCs w:val="24"/>
          <w:lang w:eastAsia="en-US"/>
        </w:rPr>
        <w:t>08-I05-04 Implantace necementované totální endoprotézy kyčle (úhrada vyčleněná z případového paušálu);</w:t>
      </w:r>
    </w:p>
    <w:p w14:paraId="43FB17C5" w14:textId="77777777" w:rsidR="00DB30DE" w:rsidRPr="000609AD" w:rsidRDefault="00DB30DE" w:rsidP="00D723A6">
      <w:pPr>
        <w:widowControl/>
        <w:numPr>
          <w:ilvl w:val="0"/>
          <w:numId w:val="19"/>
        </w:numPr>
        <w:autoSpaceDE/>
        <w:autoSpaceDN/>
        <w:adjustRightInd/>
        <w:ind w:left="284" w:hanging="284"/>
        <w:contextualSpacing/>
        <w:rPr>
          <w:rFonts w:eastAsia="Calibri"/>
          <w:szCs w:val="24"/>
          <w:lang w:eastAsia="en-US"/>
        </w:rPr>
      </w:pPr>
      <w:r w:rsidRPr="000609AD">
        <w:rPr>
          <w:rFonts w:eastAsia="Calibri"/>
          <w:szCs w:val="24"/>
          <w:lang w:eastAsia="en-US"/>
        </w:rPr>
        <w:t>08-I05-06 Implantace cementované totální endoprotézy kyčle (úhrada vyčleněná z případového paušálu);</w:t>
      </w:r>
    </w:p>
    <w:p w14:paraId="12CBBAA2" w14:textId="77777777" w:rsidR="00DB30DE" w:rsidRPr="000609AD" w:rsidRDefault="00DB30DE" w:rsidP="00D723A6">
      <w:pPr>
        <w:widowControl/>
        <w:numPr>
          <w:ilvl w:val="0"/>
          <w:numId w:val="19"/>
        </w:numPr>
        <w:autoSpaceDE/>
        <w:autoSpaceDN/>
        <w:adjustRightInd/>
        <w:ind w:left="284" w:hanging="284"/>
        <w:contextualSpacing/>
        <w:rPr>
          <w:rFonts w:eastAsia="Calibri"/>
          <w:szCs w:val="24"/>
          <w:lang w:eastAsia="en-US"/>
        </w:rPr>
      </w:pPr>
      <w:r w:rsidRPr="000609AD">
        <w:rPr>
          <w:rFonts w:eastAsia="Calibri"/>
          <w:szCs w:val="24"/>
          <w:lang w:eastAsia="en-US"/>
        </w:rPr>
        <w:t>08-I05-05 Implantace hybridní totální endoprotézy kyčle (úhrada vyčleněná z případového paušálu);</w:t>
      </w:r>
    </w:p>
    <w:p w14:paraId="2CC39911" w14:textId="77777777" w:rsidR="00DB30DE" w:rsidRPr="000609AD" w:rsidRDefault="00DB30DE" w:rsidP="00D723A6">
      <w:pPr>
        <w:widowControl/>
        <w:numPr>
          <w:ilvl w:val="0"/>
          <w:numId w:val="19"/>
        </w:numPr>
        <w:autoSpaceDE/>
        <w:autoSpaceDN/>
        <w:adjustRightInd/>
        <w:spacing w:after="100"/>
        <w:ind w:left="284" w:hanging="284"/>
        <w:rPr>
          <w:rFonts w:eastAsia="Calibri"/>
          <w:szCs w:val="24"/>
          <w:lang w:eastAsia="en-US"/>
        </w:rPr>
      </w:pPr>
      <w:r w:rsidRPr="000609AD">
        <w:rPr>
          <w:rFonts w:eastAsia="Calibri"/>
          <w:szCs w:val="24"/>
          <w:lang w:eastAsia="en-US"/>
        </w:rPr>
        <w:t>06-I18-04 Odstranění apendixu pro méně rozsáhlý zánět nebo jiné onemocnění u dětí do 18 let nebo pacientů ve věku 65 a více let s CC=0-1 (úhrada vyčleněná z případového paušálu).</w:t>
      </w:r>
    </w:p>
    <w:p w14:paraId="6B66103D" w14:textId="77777777" w:rsidR="00541CB3" w:rsidRDefault="00541CB3" w:rsidP="00D723A6">
      <w:pPr>
        <w:widowControl/>
        <w:autoSpaceDE/>
        <w:autoSpaceDN/>
        <w:adjustRightInd/>
        <w:spacing w:before="120" w:after="100"/>
        <w:rPr>
          <w:rFonts w:eastAsia="Calibri"/>
          <w:szCs w:val="24"/>
          <w:lang w:eastAsia="en-US"/>
        </w:rPr>
      </w:pPr>
      <w:r w:rsidRPr="00E27082">
        <w:rPr>
          <w:rFonts w:eastAsia="Calibri"/>
          <w:szCs w:val="24"/>
          <w:lang w:eastAsia="en-US"/>
        </w:rPr>
        <w:t>Finanční ocenění případů hospitalizace vznik</w:t>
      </w:r>
      <w:r w:rsidR="004F6358">
        <w:rPr>
          <w:rFonts w:eastAsia="Calibri"/>
          <w:szCs w:val="24"/>
          <w:lang w:eastAsia="en-US"/>
        </w:rPr>
        <w:t>á</w:t>
      </w:r>
      <w:r w:rsidRPr="00E27082">
        <w:rPr>
          <w:rFonts w:eastAsia="Calibri"/>
          <w:szCs w:val="24"/>
          <w:lang w:eastAsia="en-US"/>
        </w:rPr>
        <w:t xml:space="preserve"> součinem </w:t>
      </w:r>
      <w:proofErr w:type="spellStart"/>
      <w:r w:rsidRPr="00E27082">
        <w:rPr>
          <w:rFonts w:eastAsia="Calibri"/>
          <w:szCs w:val="24"/>
          <w:lang w:eastAsia="en-US"/>
        </w:rPr>
        <w:t>casemixového</w:t>
      </w:r>
      <w:proofErr w:type="spellEnd"/>
      <w:r w:rsidRPr="00E27082">
        <w:rPr>
          <w:rFonts w:eastAsia="Calibri"/>
          <w:szCs w:val="24"/>
          <w:lang w:eastAsia="en-US"/>
        </w:rPr>
        <w:t xml:space="preserve"> indexu</w:t>
      </w:r>
      <w:r w:rsidRPr="00E27082">
        <w:rPr>
          <w:rFonts w:eastAsia="Calibri"/>
          <w:szCs w:val="24"/>
          <w:vertAlign w:val="superscript"/>
          <w:lang w:eastAsia="en-US"/>
        </w:rPr>
        <w:footnoteReference w:id="34"/>
      </w:r>
      <w:r w:rsidRPr="00E27082">
        <w:rPr>
          <w:rFonts w:eastAsia="Calibri"/>
          <w:szCs w:val="24"/>
          <w:lang w:eastAsia="en-US"/>
        </w:rPr>
        <w:t xml:space="preserve"> (dále také „CMI“) za vybrané kategorie CZ-DRG a individuální základní sazby. Relativní váha je určena pro každou skupinu CZ-DRG a určuje relativní náklad případu.</w:t>
      </w:r>
    </w:p>
    <w:p w14:paraId="54BEB027" w14:textId="43413D8B" w:rsidR="00DB30DE" w:rsidRDefault="00B635A9" w:rsidP="00D723A6">
      <w:pPr>
        <w:widowControl/>
        <w:autoSpaceDE/>
        <w:autoSpaceDN/>
        <w:adjustRightInd/>
        <w:spacing w:after="10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CMI</w:t>
      </w:r>
      <w:r w:rsidR="004C4713" w:rsidRPr="00E27082">
        <w:rPr>
          <w:rFonts w:eastAsia="Calibri"/>
          <w:szCs w:val="24"/>
          <w:lang w:eastAsia="en-US"/>
        </w:rPr>
        <w:t xml:space="preserve"> hospitalizačních případů u vybraných </w:t>
      </w:r>
      <w:bookmarkStart w:id="10" w:name="_Hlk154659303"/>
      <w:r w:rsidR="004C4713" w:rsidRPr="00E27082">
        <w:rPr>
          <w:rFonts w:eastAsia="Calibri"/>
          <w:szCs w:val="24"/>
          <w:lang w:eastAsia="en-US"/>
        </w:rPr>
        <w:t xml:space="preserve">CZ-DRG </w:t>
      </w:r>
      <w:bookmarkEnd w:id="10"/>
      <w:r w:rsidR="004C4713" w:rsidRPr="00E27082">
        <w:rPr>
          <w:rFonts w:eastAsia="Calibri"/>
          <w:szCs w:val="24"/>
          <w:lang w:eastAsia="en-US"/>
        </w:rPr>
        <w:t>kategorií u</w:t>
      </w:r>
      <w:r w:rsidR="00C54734">
        <w:rPr>
          <w:rFonts w:eastAsia="Calibri"/>
          <w:szCs w:val="24"/>
          <w:lang w:eastAsia="en-US"/>
        </w:rPr>
        <w:t> </w:t>
      </w:r>
      <w:r w:rsidR="004C4713" w:rsidRPr="00E27082">
        <w:rPr>
          <w:rFonts w:eastAsia="Calibri"/>
          <w:szCs w:val="24"/>
          <w:lang w:eastAsia="en-US"/>
        </w:rPr>
        <w:t xml:space="preserve">jednotlivých PZS </w:t>
      </w:r>
      <w:r w:rsidR="003A1FDE">
        <w:rPr>
          <w:rFonts w:eastAsia="Calibri"/>
          <w:szCs w:val="24"/>
          <w:lang w:eastAsia="en-US"/>
        </w:rPr>
        <w:t>byl</w:t>
      </w:r>
      <w:r w:rsidR="004C4713" w:rsidRPr="00E27082">
        <w:rPr>
          <w:rFonts w:eastAsia="Calibri"/>
          <w:szCs w:val="24"/>
          <w:lang w:eastAsia="en-US"/>
        </w:rPr>
        <w:t xml:space="preserve"> ve většině případů stejný</w:t>
      </w:r>
      <w:r w:rsidR="001B0857">
        <w:rPr>
          <w:rFonts w:eastAsia="Calibri"/>
          <w:szCs w:val="24"/>
          <w:lang w:eastAsia="en-US"/>
        </w:rPr>
        <w:t xml:space="preserve">, </w:t>
      </w:r>
      <w:r w:rsidR="004F6358">
        <w:rPr>
          <w:rFonts w:eastAsia="Calibri"/>
          <w:szCs w:val="24"/>
          <w:lang w:eastAsia="en-US"/>
        </w:rPr>
        <w:t>ale</w:t>
      </w:r>
      <w:r w:rsidR="001B0857">
        <w:rPr>
          <w:rFonts w:eastAsia="Calibri"/>
          <w:szCs w:val="24"/>
          <w:lang w:eastAsia="en-US"/>
        </w:rPr>
        <w:t xml:space="preserve"> u části PZS docház</w:t>
      </w:r>
      <w:r w:rsidR="004F6358">
        <w:rPr>
          <w:rFonts w:eastAsia="Calibri"/>
          <w:szCs w:val="24"/>
          <w:lang w:eastAsia="en-US"/>
        </w:rPr>
        <w:t>elo</w:t>
      </w:r>
      <w:r w:rsidR="001B0857">
        <w:rPr>
          <w:rFonts w:eastAsia="Calibri"/>
          <w:szCs w:val="24"/>
          <w:lang w:eastAsia="en-US"/>
        </w:rPr>
        <w:t xml:space="preserve"> k</w:t>
      </w:r>
      <w:r w:rsidR="00F26316">
        <w:rPr>
          <w:rFonts w:eastAsia="Calibri"/>
          <w:szCs w:val="24"/>
          <w:lang w:eastAsia="en-US"/>
        </w:rPr>
        <w:t xml:space="preserve"> významným </w:t>
      </w:r>
      <w:r w:rsidR="004C4713" w:rsidRPr="00E27082">
        <w:rPr>
          <w:rFonts w:eastAsia="Calibri"/>
          <w:szCs w:val="24"/>
          <w:lang w:eastAsia="en-US"/>
        </w:rPr>
        <w:t>odchylk</w:t>
      </w:r>
      <w:r w:rsidR="001B0857">
        <w:rPr>
          <w:rFonts w:eastAsia="Calibri"/>
          <w:szCs w:val="24"/>
          <w:lang w:eastAsia="en-US"/>
        </w:rPr>
        <w:t>ám</w:t>
      </w:r>
      <w:r w:rsidR="009406BB">
        <w:rPr>
          <w:rFonts w:eastAsia="Calibri"/>
          <w:szCs w:val="24"/>
          <w:lang w:eastAsia="en-US"/>
        </w:rPr>
        <w:t>,</w:t>
      </w:r>
      <w:r w:rsidR="004C4713" w:rsidRPr="00E27082">
        <w:rPr>
          <w:rFonts w:eastAsia="Calibri"/>
          <w:szCs w:val="24"/>
          <w:lang w:eastAsia="en-US"/>
        </w:rPr>
        <w:t xml:space="preserve"> </w:t>
      </w:r>
      <w:r w:rsidR="009406BB">
        <w:rPr>
          <w:rFonts w:eastAsia="Calibri"/>
          <w:szCs w:val="24"/>
          <w:lang w:eastAsia="en-US"/>
        </w:rPr>
        <w:t>n</w:t>
      </w:r>
      <w:r w:rsidR="004C4713" w:rsidRPr="00E27082">
        <w:rPr>
          <w:rFonts w:eastAsia="Calibri"/>
          <w:szCs w:val="24"/>
          <w:lang w:eastAsia="en-US"/>
        </w:rPr>
        <w:t>apř</w:t>
      </w:r>
      <w:r w:rsidR="009406BB">
        <w:rPr>
          <w:rFonts w:eastAsia="Calibri"/>
          <w:szCs w:val="24"/>
          <w:lang w:eastAsia="en-US"/>
        </w:rPr>
        <w:t>.</w:t>
      </w:r>
      <w:r w:rsidR="004C4713" w:rsidRPr="00E27082">
        <w:rPr>
          <w:rFonts w:eastAsia="Calibri"/>
          <w:szCs w:val="24"/>
          <w:lang w:eastAsia="en-US"/>
        </w:rPr>
        <w:t xml:space="preserve"> </w:t>
      </w:r>
      <w:r w:rsidR="004F6358">
        <w:rPr>
          <w:rFonts w:eastAsia="Calibri"/>
          <w:szCs w:val="24"/>
          <w:lang w:eastAsia="en-US"/>
        </w:rPr>
        <w:t xml:space="preserve">u </w:t>
      </w:r>
      <w:r w:rsidR="00D23A3C">
        <w:rPr>
          <w:rFonts w:eastAsia="Calibri"/>
          <w:szCs w:val="24"/>
          <w:lang w:eastAsia="en-US"/>
        </w:rPr>
        <w:t>n</w:t>
      </w:r>
      <w:r w:rsidR="004C4713" w:rsidRPr="00E27082">
        <w:rPr>
          <w:rFonts w:eastAsia="Calibri"/>
          <w:szCs w:val="24"/>
          <w:lang w:eastAsia="en-US"/>
        </w:rPr>
        <w:t xml:space="preserve">emocnice </w:t>
      </w:r>
      <w:r w:rsidR="004C4713">
        <w:rPr>
          <w:rFonts w:eastAsia="Calibri"/>
          <w:szCs w:val="24"/>
          <w:lang w:eastAsia="en-US"/>
        </w:rPr>
        <w:t>1</w:t>
      </w:r>
      <w:r w:rsidR="004C4713" w:rsidRPr="00E27082">
        <w:rPr>
          <w:rFonts w:eastAsia="Calibri"/>
          <w:szCs w:val="24"/>
          <w:lang w:eastAsia="en-US"/>
        </w:rPr>
        <w:t xml:space="preserve"> (DRG 08-I05-06) v roce 2021</w:t>
      </w:r>
      <w:r w:rsidR="009158C2">
        <w:rPr>
          <w:rFonts w:eastAsia="Calibri"/>
          <w:szCs w:val="24"/>
          <w:lang w:eastAsia="en-US"/>
        </w:rPr>
        <w:t xml:space="preserve"> i v roce 2022</w:t>
      </w:r>
      <w:r w:rsidR="004C4713" w:rsidRPr="00E27082">
        <w:rPr>
          <w:rFonts w:eastAsia="Calibri"/>
          <w:szCs w:val="24"/>
          <w:lang w:eastAsia="en-US"/>
        </w:rPr>
        <w:t>,</w:t>
      </w:r>
      <w:r w:rsidR="00D1312D">
        <w:rPr>
          <w:rFonts w:eastAsia="Calibri"/>
          <w:szCs w:val="24"/>
          <w:lang w:eastAsia="en-US"/>
        </w:rPr>
        <w:t xml:space="preserve"> </w:t>
      </w:r>
      <w:r w:rsidR="009406BB">
        <w:rPr>
          <w:rFonts w:eastAsia="Calibri"/>
          <w:szCs w:val="24"/>
          <w:lang w:eastAsia="en-US"/>
        </w:rPr>
        <w:t>u</w:t>
      </w:r>
      <w:r w:rsidR="004C4713" w:rsidRPr="00E27082">
        <w:rPr>
          <w:rFonts w:eastAsia="Calibri"/>
          <w:szCs w:val="24"/>
          <w:lang w:eastAsia="en-US"/>
        </w:rPr>
        <w:t xml:space="preserve"> </w:t>
      </w:r>
      <w:r w:rsidR="00D23A3C">
        <w:rPr>
          <w:rFonts w:eastAsia="Calibri"/>
          <w:szCs w:val="24"/>
          <w:lang w:eastAsia="en-US"/>
        </w:rPr>
        <w:t>n</w:t>
      </w:r>
      <w:r w:rsidR="00541CB3">
        <w:rPr>
          <w:rFonts w:eastAsia="Calibri"/>
          <w:szCs w:val="24"/>
          <w:lang w:eastAsia="en-US"/>
        </w:rPr>
        <w:t>emocnice 3</w:t>
      </w:r>
      <w:r w:rsidR="004C4713" w:rsidRPr="00E27082">
        <w:rPr>
          <w:rFonts w:eastAsia="Calibri"/>
          <w:szCs w:val="24"/>
          <w:lang w:eastAsia="en-US"/>
        </w:rPr>
        <w:t xml:space="preserve"> (DRG 10-K04-04) v roce 2022</w:t>
      </w:r>
      <w:r w:rsidR="009158C2">
        <w:rPr>
          <w:rFonts w:eastAsia="Calibri"/>
          <w:szCs w:val="24"/>
          <w:lang w:eastAsia="en-US"/>
        </w:rPr>
        <w:t xml:space="preserve"> a</w:t>
      </w:r>
      <w:r w:rsidR="00F86A73">
        <w:rPr>
          <w:rFonts w:eastAsia="Calibri"/>
          <w:szCs w:val="24"/>
          <w:lang w:eastAsia="en-US"/>
        </w:rPr>
        <w:t> </w:t>
      </w:r>
      <w:r w:rsidR="009406BB">
        <w:rPr>
          <w:rFonts w:eastAsia="Calibri"/>
          <w:szCs w:val="24"/>
          <w:lang w:eastAsia="en-US"/>
        </w:rPr>
        <w:t>u</w:t>
      </w:r>
      <w:r w:rsidR="00F86A73">
        <w:rPr>
          <w:rFonts w:eastAsia="Calibri"/>
          <w:szCs w:val="24"/>
          <w:lang w:eastAsia="en-US"/>
        </w:rPr>
        <w:t> </w:t>
      </w:r>
      <w:r w:rsidR="00D23A3C">
        <w:rPr>
          <w:rFonts w:eastAsia="Calibri"/>
          <w:szCs w:val="24"/>
          <w:lang w:eastAsia="en-US"/>
        </w:rPr>
        <w:t>n</w:t>
      </w:r>
      <w:r w:rsidR="00541CB3" w:rsidRPr="00541CB3">
        <w:rPr>
          <w:rFonts w:eastAsia="Calibri"/>
          <w:szCs w:val="24"/>
          <w:lang w:eastAsia="en-US"/>
        </w:rPr>
        <w:t>emocnice 3</w:t>
      </w:r>
      <w:r w:rsidR="004C4713" w:rsidRPr="00E27082">
        <w:rPr>
          <w:rFonts w:eastAsia="Calibri"/>
          <w:szCs w:val="24"/>
          <w:lang w:eastAsia="en-US"/>
        </w:rPr>
        <w:t xml:space="preserve"> (DRG 08-I05-04).</w:t>
      </w:r>
      <w:r w:rsidR="00541CB3">
        <w:rPr>
          <w:rFonts w:eastAsia="Calibri"/>
          <w:szCs w:val="24"/>
          <w:lang w:eastAsia="en-US"/>
        </w:rPr>
        <w:t xml:space="preserve"> </w:t>
      </w:r>
      <w:r w:rsidR="00541CB3" w:rsidRPr="00541CB3">
        <w:rPr>
          <w:rFonts w:eastAsia="Calibri"/>
          <w:szCs w:val="24"/>
          <w:lang w:eastAsia="en-US"/>
        </w:rPr>
        <w:t xml:space="preserve">ZPMV k faktorům, které ovlivnily rozdílnou výši průměrného </w:t>
      </w:r>
      <w:r>
        <w:rPr>
          <w:rFonts w:eastAsia="Calibri"/>
          <w:szCs w:val="24"/>
          <w:lang w:eastAsia="en-US"/>
        </w:rPr>
        <w:t>CMI</w:t>
      </w:r>
      <w:r w:rsidR="00541CB3" w:rsidRPr="00541CB3">
        <w:rPr>
          <w:rFonts w:eastAsia="Calibri"/>
          <w:szCs w:val="24"/>
          <w:lang w:eastAsia="en-US"/>
        </w:rPr>
        <w:t xml:space="preserve">, tj. vyšší relativní bodovou váhu oproti jiným </w:t>
      </w:r>
      <w:r w:rsidR="001B0857">
        <w:rPr>
          <w:rFonts w:eastAsia="Calibri"/>
          <w:szCs w:val="24"/>
          <w:lang w:eastAsia="en-US"/>
        </w:rPr>
        <w:t>PZS</w:t>
      </w:r>
      <w:r w:rsidR="00D23A3C">
        <w:rPr>
          <w:rFonts w:eastAsia="Calibri"/>
          <w:szCs w:val="24"/>
          <w:lang w:eastAsia="en-US"/>
        </w:rPr>
        <w:t>,</w:t>
      </w:r>
      <w:r w:rsidR="00541CB3">
        <w:rPr>
          <w:rFonts w:eastAsia="Calibri"/>
          <w:szCs w:val="24"/>
          <w:lang w:eastAsia="en-US"/>
        </w:rPr>
        <w:t xml:space="preserve"> uvedla, že k vychýlení </w:t>
      </w:r>
      <w:r w:rsidR="004435B6">
        <w:rPr>
          <w:rFonts w:eastAsia="Calibri"/>
          <w:szCs w:val="24"/>
          <w:lang w:eastAsia="en-US"/>
        </w:rPr>
        <w:t>hodnot v jednotlivých kategoriích</w:t>
      </w:r>
      <w:r w:rsidR="001B0857">
        <w:rPr>
          <w:rFonts w:eastAsia="Calibri"/>
          <w:szCs w:val="24"/>
          <w:lang w:eastAsia="en-US"/>
        </w:rPr>
        <w:t xml:space="preserve"> </w:t>
      </w:r>
      <w:r w:rsidR="001B0857" w:rsidRPr="00E27082">
        <w:rPr>
          <w:rFonts w:eastAsia="Calibri"/>
          <w:szCs w:val="24"/>
          <w:lang w:eastAsia="en-US"/>
        </w:rPr>
        <w:t>CZ-DRG</w:t>
      </w:r>
      <w:r w:rsidR="004435B6">
        <w:rPr>
          <w:rFonts w:eastAsia="Calibri"/>
          <w:szCs w:val="24"/>
          <w:lang w:eastAsia="en-US"/>
        </w:rPr>
        <w:t xml:space="preserve"> může docházet, pokud byl vykázán </w:t>
      </w:r>
      <w:r w:rsidR="004435B6" w:rsidRPr="004435B6">
        <w:rPr>
          <w:rFonts w:eastAsia="Calibri"/>
          <w:szCs w:val="24"/>
          <w:lang w:eastAsia="en-US"/>
        </w:rPr>
        <w:t>nízký počet hospitalizačních případů</w:t>
      </w:r>
      <w:r w:rsidR="004435B6">
        <w:rPr>
          <w:rFonts w:eastAsia="Calibri"/>
          <w:szCs w:val="24"/>
          <w:lang w:eastAsia="en-US"/>
        </w:rPr>
        <w:t xml:space="preserve"> a zároveň </w:t>
      </w:r>
      <w:r w:rsidR="004435B6" w:rsidRPr="004435B6">
        <w:rPr>
          <w:rFonts w:eastAsia="Calibri"/>
          <w:szCs w:val="24"/>
          <w:lang w:eastAsia="en-US"/>
        </w:rPr>
        <w:t>mimořádný případ</w:t>
      </w:r>
      <w:r w:rsidR="004435B6">
        <w:rPr>
          <w:rFonts w:eastAsia="Calibri"/>
          <w:szCs w:val="24"/>
          <w:lang w:eastAsia="en-US"/>
        </w:rPr>
        <w:t xml:space="preserve"> s vyšším bodovým ohodnocení</w:t>
      </w:r>
      <w:r w:rsidR="0047162B">
        <w:rPr>
          <w:rFonts w:eastAsia="Calibri"/>
          <w:szCs w:val="24"/>
          <w:lang w:eastAsia="en-US"/>
        </w:rPr>
        <w:t>m</w:t>
      </w:r>
      <w:r w:rsidR="004435B6">
        <w:rPr>
          <w:rFonts w:eastAsia="Calibri"/>
          <w:szCs w:val="24"/>
          <w:lang w:eastAsia="en-US"/>
        </w:rPr>
        <w:t>, který</w:t>
      </w:r>
      <w:r w:rsidR="004435B6" w:rsidRPr="004435B6">
        <w:rPr>
          <w:rFonts w:eastAsia="Calibri"/>
          <w:szCs w:val="24"/>
          <w:lang w:eastAsia="en-US"/>
        </w:rPr>
        <w:t xml:space="preserve"> významně </w:t>
      </w:r>
      <w:r w:rsidR="001B0857">
        <w:rPr>
          <w:rFonts w:eastAsia="Calibri"/>
          <w:szCs w:val="24"/>
          <w:lang w:eastAsia="en-US"/>
        </w:rPr>
        <w:t>ovlivní</w:t>
      </w:r>
      <w:r w:rsidR="004435B6" w:rsidRPr="004435B6">
        <w:rPr>
          <w:rFonts w:eastAsia="Calibri"/>
          <w:szCs w:val="24"/>
          <w:lang w:eastAsia="en-US"/>
        </w:rPr>
        <w:t xml:space="preserve"> dosahovaný průměr</w:t>
      </w:r>
      <w:r w:rsidR="004435B6">
        <w:rPr>
          <w:rFonts w:eastAsia="Calibri"/>
          <w:szCs w:val="24"/>
          <w:lang w:eastAsia="en-US"/>
        </w:rPr>
        <w:t>.</w:t>
      </w:r>
    </w:p>
    <w:p w14:paraId="3278BC9C" w14:textId="77777777" w:rsidR="00DB30DE" w:rsidRDefault="007244E1" w:rsidP="00D723A6">
      <w:pPr>
        <w:widowControl/>
        <w:autoSpaceDE/>
        <w:autoSpaceDN/>
        <w:adjustRightInd/>
        <w:spacing w:after="10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P</w:t>
      </w:r>
      <w:r w:rsidR="00DB30DE" w:rsidRPr="00E27082">
        <w:rPr>
          <w:rFonts w:eastAsia="Calibri"/>
          <w:szCs w:val="24"/>
          <w:lang w:eastAsia="en-US"/>
        </w:rPr>
        <w:t xml:space="preserve">růměrné </w:t>
      </w:r>
      <w:r w:rsidR="00B635A9">
        <w:rPr>
          <w:rFonts w:eastAsia="Calibri"/>
          <w:szCs w:val="24"/>
          <w:lang w:eastAsia="en-US"/>
        </w:rPr>
        <w:t>CMI</w:t>
      </w:r>
      <w:r w:rsidR="00DB30DE" w:rsidRPr="00E27082">
        <w:rPr>
          <w:rFonts w:eastAsia="Calibri"/>
          <w:szCs w:val="24"/>
          <w:lang w:eastAsia="en-US"/>
        </w:rPr>
        <w:t xml:space="preserve"> u vybraných CZ-DRG kategorií v letech 2021 a 2022 jsou uvedeny v</w:t>
      </w:r>
      <w:r w:rsidR="004C4713">
        <w:rPr>
          <w:rFonts w:eastAsia="Calibri"/>
          <w:szCs w:val="24"/>
          <w:lang w:eastAsia="en-US"/>
        </w:rPr>
        <w:t> následujících tabulkách</w:t>
      </w:r>
      <w:r w:rsidR="00DB30DE" w:rsidRPr="00E27082">
        <w:rPr>
          <w:rFonts w:eastAsia="Calibri"/>
          <w:szCs w:val="24"/>
          <w:lang w:eastAsia="en-US"/>
        </w:rPr>
        <w:t xml:space="preserve">. </w:t>
      </w:r>
      <w:r w:rsidR="001B0857">
        <w:rPr>
          <w:rFonts w:eastAsia="Calibri"/>
          <w:szCs w:val="24"/>
          <w:lang w:eastAsia="en-US"/>
        </w:rPr>
        <w:t xml:space="preserve"> </w:t>
      </w:r>
    </w:p>
    <w:p w14:paraId="5B4A11A1" w14:textId="38E2CABF" w:rsidR="00DB30DE" w:rsidRPr="000609AD" w:rsidRDefault="00DB30DE" w:rsidP="00D723A6">
      <w:pPr>
        <w:widowControl/>
        <w:autoSpaceDE/>
        <w:autoSpaceDN/>
        <w:adjustRightInd/>
        <w:spacing w:before="60" w:after="40"/>
        <w:rPr>
          <w:rFonts w:eastAsia="Calibri" w:cs="Calibri"/>
          <w:b/>
          <w:szCs w:val="24"/>
          <w:lang w:eastAsia="en-US"/>
        </w:rPr>
      </w:pPr>
      <w:r w:rsidRPr="000609AD">
        <w:rPr>
          <w:rFonts w:eastAsia="Calibri" w:cs="Calibri"/>
          <w:b/>
          <w:szCs w:val="24"/>
          <w:lang w:eastAsia="en-US"/>
        </w:rPr>
        <w:t>Tabulka</w:t>
      </w:r>
      <w:r w:rsidR="00B01853" w:rsidRPr="000609AD">
        <w:rPr>
          <w:rFonts w:eastAsia="Calibri" w:cs="Calibri"/>
          <w:b/>
          <w:szCs w:val="24"/>
          <w:lang w:eastAsia="en-US"/>
        </w:rPr>
        <w:t xml:space="preserve"> č. </w:t>
      </w:r>
      <w:r w:rsidR="00F70894">
        <w:rPr>
          <w:rFonts w:eastAsia="Calibri" w:cs="Calibri"/>
          <w:b/>
          <w:szCs w:val="24"/>
          <w:lang w:eastAsia="en-US"/>
        </w:rPr>
        <w:t>2</w:t>
      </w:r>
      <w:r w:rsidRPr="000609AD">
        <w:rPr>
          <w:rFonts w:eastAsia="Calibri" w:cs="Calibri"/>
          <w:b/>
          <w:szCs w:val="24"/>
          <w:lang w:eastAsia="en-US"/>
        </w:rPr>
        <w:t xml:space="preserve">: </w:t>
      </w:r>
      <w:proofErr w:type="spellStart"/>
      <w:r w:rsidR="00E83D32" w:rsidRPr="000609AD">
        <w:rPr>
          <w:rFonts w:eastAsia="Calibri" w:cs="Calibri"/>
          <w:b/>
          <w:szCs w:val="24"/>
          <w:lang w:eastAsia="en-US"/>
        </w:rPr>
        <w:t>C</w:t>
      </w:r>
      <w:r w:rsidRPr="000609AD">
        <w:rPr>
          <w:rFonts w:eastAsia="Calibri" w:cs="Calibri"/>
          <w:b/>
          <w:szCs w:val="24"/>
          <w:lang w:eastAsia="en-US"/>
        </w:rPr>
        <w:t>asemixový</w:t>
      </w:r>
      <w:proofErr w:type="spellEnd"/>
      <w:r w:rsidRPr="000609AD">
        <w:rPr>
          <w:rFonts w:eastAsia="Calibri" w:cs="Calibri"/>
          <w:b/>
          <w:szCs w:val="24"/>
          <w:lang w:eastAsia="en-US"/>
        </w:rPr>
        <w:t xml:space="preserve"> index hospitalizačních případů u jednotlivých PZS v roce 2021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"/>
        <w:gridCol w:w="815"/>
        <w:gridCol w:w="816"/>
        <w:gridCol w:w="815"/>
        <w:gridCol w:w="816"/>
        <w:gridCol w:w="815"/>
        <w:gridCol w:w="816"/>
        <w:gridCol w:w="815"/>
        <w:gridCol w:w="816"/>
        <w:gridCol w:w="815"/>
        <w:gridCol w:w="816"/>
      </w:tblGrid>
      <w:tr w:rsidR="00736AA9" w:rsidRPr="00810503" w14:paraId="1212DE62" w14:textId="77777777" w:rsidTr="00810503">
        <w:trPr>
          <w:trHeight w:val="227"/>
        </w:trPr>
        <w:tc>
          <w:tcPr>
            <w:tcW w:w="1059" w:type="dxa"/>
            <w:shd w:val="clear" w:color="auto" w:fill="E5F1FF"/>
            <w:vAlign w:val="center"/>
            <w:hideMark/>
          </w:tcPr>
          <w:p w14:paraId="43932D9F" w14:textId="77777777" w:rsidR="00736AA9" w:rsidRPr="00810503" w:rsidRDefault="00AB30FC" w:rsidP="00D723A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b/>
                <w:color w:val="000000"/>
                <w:sz w:val="16"/>
                <w:szCs w:val="16"/>
              </w:rPr>
              <w:t>PZS</w:t>
            </w:r>
          </w:p>
        </w:tc>
        <w:tc>
          <w:tcPr>
            <w:tcW w:w="815" w:type="dxa"/>
            <w:shd w:val="clear" w:color="auto" w:fill="E5F1FF"/>
            <w:noWrap/>
            <w:vAlign w:val="center"/>
            <w:hideMark/>
          </w:tcPr>
          <w:p w14:paraId="004A0854" w14:textId="77777777" w:rsidR="00736AA9" w:rsidRPr="00810503" w:rsidRDefault="00736AA9" w:rsidP="00D723A6">
            <w:pPr>
              <w:widowControl/>
              <w:autoSpaceDE/>
              <w:autoSpaceDN/>
              <w:adjustRightInd/>
              <w:ind w:right="-70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b/>
                <w:color w:val="000000"/>
                <w:sz w:val="16"/>
                <w:szCs w:val="16"/>
              </w:rPr>
              <w:t>05-I30-03</w:t>
            </w:r>
          </w:p>
        </w:tc>
        <w:tc>
          <w:tcPr>
            <w:tcW w:w="816" w:type="dxa"/>
            <w:shd w:val="clear" w:color="auto" w:fill="E5F1FF"/>
            <w:noWrap/>
            <w:vAlign w:val="center"/>
            <w:hideMark/>
          </w:tcPr>
          <w:p w14:paraId="332E30A5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b/>
                <w:color w:val="000000"/>
                <w:sz w:val="16"/>
                <w:szCs w:val="16"/>
              </w:rPr>
              <w:t>06-I16-03</w:t>
            </w:r>
          </w:p>
        </w:tc>
        <w:tc>
          <w:tcPr>
            <w:tcW w:w="815" w:type="dxa"/>
            <w:shd w:val="clear" w:color="auto" w:fill="E5F1FF"/>
            <w:noWrap/>
            <w:vAlign w:val="center"/>
            <w:hideMark/>
          </w:tcPr>
          <w:p w14:paraId="0E0CF147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b/>
                <w:color w:val="000000"/>
                <w:sz w:val="16"/>
                <w:szCs w:val="16"/>
              </w:rPr>
              <w:t>06-I18-04</w:t>
            </w:r>
          </w:p>
        </w:tc>
        <w:tc>
          <w:tcPr>
            <w:tcW w:w="816" w:type="dxa"/>
            <w:shd w:val="clear" w:color="auto" w:fill="E5F1FF"/>
            <w:noWrap/>
            <w:vAlign w:val="center"/>
            <w:hideMark/>
          </w:tcPr>
          <w:p w14:paraId="2190EFA9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b/>
                <w:color w:val="000000"/>
                <w:sz w:val="16"/>
                <w:szCs w:val="16"/>
              </w:rPr>
              <w:t>08-I05-04</w:t>
            </w:r>
          </w:p>
        </w:tc>
        <w:tc>
          <w:tcPr>
            <w:tcW w:w="815" w:type="dxa"/>
            <w:shd w:val="clear" w:color="auto" w:fill="E5F1FF"/>
            <w:noWrap/>
            <w:vAlign w:val="center"/>
            <w:hideMark/>
          </w:tcPr>
          <w:p w14:paraId="5046E914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b/>
                <w:color w:val="000000"/>
                <w:sz w:val="16"/>
                <w:szCs w:val="16"/>
              </w:rPr>
              <w:t>08-I05-05</w:t>
            </w:r>
          </w:p>
        </w:tc>
        <w:tc>
          <w:tcPr>
            <w:tcW w:w="816" w:type="dxa"/>
            <w:shd w:val="clear" w:color="auto" w:fill="E5F1FF"/>
            <w:noWrap/>
            <w:vAlign w:val="center"/>
            <w:hideMark/>
          </w:tcPr>
          <w:p w14:paraId="4B68976E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b/>
                <w:color w:val="000000"/>
                <w:sz w:val="16"/>
                <w:szCs w:val="16"/>
              </w:rPr>
              <w:t>08-I05-06</w:t>
            </w:r>
          </w:p>
        </w:tc>
        <w:tc>
          <w:tcPr>
            <w:tcW w:w="815" w:type="dxa"/>
            <w:shd w:val="clear" w:color="auto" w:fill="E5F1FF"/>
            <w:noWrap/>
            <w:vAlign w:val="center"/>
            <w:hideMark/>
          </w:tcPr>
          <w:p w14:paraId="068637C6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b/>
                <w:color w:val="000000"/>
                <w:sz w:val="16"/>
                <w:szCs w:val="16"/>
              </w:rPr>
              <w:t>13-I11-03</w:t>
            </w:r>
          </w:p>
        </w:tc>
        <w:tc>
          <w:tcPr>
            <w:tcW w:w="816" w:type="dxa"/>
            <w:shd w:val="clear" w:color="auto" w:fill="FFC000"/>
            <w:noWrap/>
            <w:vAlign w:val="center"/>
            <w:hideMark/>
          </w:tcPr>
          <w:p w14:paraId="66164E1D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b/>
                <w:color w:val="000000"/>
                <w:sz w:val="16"/>
                <w:szCs w:val="16"/>
              </w:rPr>
              <w:t>08-K08-00</w:t>
            </w:r>
          </w:p>
        </w:tc>
        <w:tc>
          <w:tcPr>
            <w:tcW w:w="815" w:type="dxa"/>
            <w:shd w:val="clear" w:color="auto" w:fill="FFC000"/>
            <w:noWrap/>
            <w:vAlign w:val="center"/>
            <w:hideMark/>
          </w:tcPr>
          <w:p w14:paraId="00BFAEAB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b/>
                <w:color w:val="000000"/>
                <w:sz w:val="16"/>
                <w:szCs w:val="16"/>
              </w:rPr>
              <w:t>10-K04-04</w:t>
            </w:r>
          </w:p>
        </w:tc>
        <w:tc>
          <w:tcPr>
            <w:tcW w:w="816" w:type="dxa"/>
            <w:shd w:val="clear" w:color="auto" w:fill="FFC000"/>
            <w:noWrap/>
            <w:vAlign w:val="center"/>
            <w:hideMark/>
          </w:tcPr>
          <w:p w14:paraId="549C7A76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b/>
                <w:color w:val="000000"/>
                <w:sz w:val="16"/>
                <w:szCs w:val="16"/>
              </w:rPr>
              <w:t>16-K02-03</w:t>
            </w:r>
          </w:p>
        </w:tc>
      </w:tr>
      <w:tr w:rsidR="00736AA9" w:rsidRPr="00810503" w14:paraId="1151C3F6" w14:textId="77777777" w:rsidTr="00810503">
        <w:trPr>
          <w:trHeight w:val="227"/>
        </w:trPr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78EA088D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Nemocnice 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556F6D8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0,5324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34488C6B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0,9106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E3FB771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1,1517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4D6D4A55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2,4581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4C98860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2,2932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7281C17C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2,3023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6E8A090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1,4354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5564B184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0,5069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2FB02E0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0,5653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42AA10C2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0,5354</w:t>
            </w:r>
          </w:p>
        </w:tc>
      </w:tr>
      <w:tr w:rsidR="00736AA9" w:rsidRPr="00810503" w14:paraId="785CC1A6" w14:textId="77777777" w:rsidTr="00810503">
        <w:trPr>
          <w:trHeight w:val="227"/>
        </w:trPr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08D773E9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Nemocnice 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C866652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0,5324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5B1025DD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0,8510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5897378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1,2051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551F7073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2,4581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229CBE9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08808536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2,0369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5831ABF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1,3809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51A5D8B8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0,5513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277E1AF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0,6165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2C19E46C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0,5302</w:t>
            </w:r>
          </w:p>
        </w:tc>
      </w:tr>
      <w:tr w:rsidR="00736AA9" w:rsidRPr="00810503" w14:paraId="71CC7982" w14:textId="77777777" w:rsidTr="00810503">
        <w:trPr>
          <w:trHeight w:val="227"/>
        </w:trPr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197DE2E9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Nemocnice 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D76C3D0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0,5324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2042BAC3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0,8510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B038728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1,2159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1164EBD7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2,9084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7B85691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2,2932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25DDF31C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2,0369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EC44B5E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1,3809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5B8C38F4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0,5167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D71C062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0,5633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7FEE3DF9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0,5302</w:t>
            </w:r>
          </w:p>
        </w:tc>
      </w:tr>
      <w:tr w:rsidR="00736AA9" w:rsidRPr="00810503" w14:paraId="6E1315E2" w14:textId="77777777" w:rsidTr="00810503">
        <w:trPr>
          <w:trHeight w:val="227"/>
        </w:trPr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4C5E5A66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Nemocnice 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ABEE3BA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0,5324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68334D41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0,9277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327AC07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1,1872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73FF5438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2,4581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54ED3B8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2,2932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5C1CF88F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E78610F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1,3809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4B3077DB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0,5392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D72EC9E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0,5312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5CEC3DFE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0,5302</w:t>
            </w:r>
          </w:p>
        </w:tc>
      </w:tr>
      <w:tr w:rsidR="00736AA9" w:rsidRPr="00810503" w14:paraId="0AE19701" w14:textId="77777777" w:rsidTr="00810503">
        <w:trPr>
          <w:trHeight w:val="227"/>
        </w:trPr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6D3B6C6B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Nemocnice 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BBB45AD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0,5364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7A6CBA9C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0,9028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83FFECA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1,1609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0A1E58A3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2,4581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93B231B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2,4533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7CBE9DFE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2,2009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7C01BA6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1,3809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5FF18B3D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0,5401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0779E7E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0,5633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180820DE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0,5302</w:t>
            </w:r>
          </w:p>
        </w:tc>
      </w:tr>
      <w:tr w:rsidR="00736AA9" w:rsidRPr="00810503" w14:paraId="644A65BB" w14:textId="77777777" w:rsidTr="00810503">
        <w:trPr>
          <w:trHeight w:val="227"/>
        </w:trPr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0B6AB73E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Nemocnice 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80469A4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0,5324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7C55812E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0,8561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749C249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1,1514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63AF5F08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2,4581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9DDA121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2,2932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267B460F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2,0519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23B6379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1,4115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1B63F160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0,5231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42FB03D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0,5633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1488EF20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0,5302</w:t>
            </w:r>
          </w:p>
        </w:tc>
      </w:tr>
      <w:tr w:rsidR="00736AA9" w:rsidRPr="00810503" w14:paraId="2879A05A" w14:textId="77777777" w:rsidTr="00810503">
        <w:trPr>
          <w:trHeight w:val="227"/>
        </w:trPr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152D9F3D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Nemocnice 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24294A5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0,5324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1F4D3B3C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0,8510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0E63699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1,1855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4AC98890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2,4581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088D541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2,2932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0C69E965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2,0520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62B85CE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1,3809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5EB91FED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0,5222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F0ABD1B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0,5686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5A05B83B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0,5542</w:t>
            </w:r>
          </w:p>
        </w:tc>
      </w:tr>
      <w:tr w:rsidR="00736AA9" w:rsidRPr="00810503" w14:paraId="1641E281" w14:textId="77777777" w:rsidTr="00810503">
        <w:trPr>
          <w:trHeight w:val="227"/>
        </w:trPr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5D096C45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Nemocnice 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D8B6929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0,5324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784E186B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0,8510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70BA87F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1,1514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454BF211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2,5499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D925F87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2,3010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4367805B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2,0369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4B3F361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1,3852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368CC5A7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0,5036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187636B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0,5633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51FDF236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0,5577</w:t>
            </w:r>
          </w:p>
        </w:tc>
      </w:tr>
      <w:tr w:rsidR="00736AA9" w:rsidRPr="00810503" w14:paraId="449133AC" w14:textId="77777777" w:rsidTr="00810503">
        <w:trPr>
          <w:trHeight w:val="227"/>
        </w:trPr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789B1D04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Nemocnice 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1B51E75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4C5E6005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0,8510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B9680D9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1,1514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37D9E74A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2,6435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D8ACF49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2,3848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113EEF5A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2,0369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670FC47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1,3809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278B0C8E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0,5024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C6D787B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0,5713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2EB3D8CE" w14:textId="77777777" w:rsidR="00736AA9" w:rsidRPr="00810503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10503">
              <w:rPr>
                <w:rFonts w:eastAsia="Times New Roman" w:cs="Calibri"/>
                <w:color w:val="000000"/>
                <w:sz w:val="16"/>
                <w:szCs w:val="16"/>
              </w:rPr>
              <w:t>0,5084</w:t>
            </w:r>
          </w:p>
        </w:tc>
      </w:tr>
    </w:tbl>
    <w:p w14:paraId="1178295A" w14:textId="6F88E5A3" w:rsidR="00DB30DE" w:rsidRPr="000609AD" w:rsidRDefault="00DB30DE" w:rsidP="00D723A6">
      <w:pPr>
        <w:widowControl/>
        <w:autoSpaceDE/>
        <w:autoSpaceDN/>
        <w:adjustRightInd/>
        <w:spacing w:before="40"/>
        <w:rPr>
          <w:rFonts w:eastAsia="Calibri" w:cs="Times New Roman"/>
          <w:sz w:val="20"/>
        </w:rPr>
      </w:pPr>
      <w:r w:rsidRPr="000609AD">
        <w:rPr>
          <w:rFonts w:eastAsia="Calibri" w:cs="Times New Roman"/>
          <w:b/>
          <w:sz w:val="20"/>
        </w:rPr>
        <w:t>Zdroj:</w:t>
      </w:r>
      <w:r w:rsidRPr="000609AD">
        <w:rPr>
          <w:rFonts w:eastAsia="Calibri" w:cs="Times New Roman"/>
          <w:sz w:val="20"/>
        </w:rPr>
        <w:t xml:space="preserve"> </w:t>
      </w:r>
      <w:r w:rsidR="00D23A3C">
        <w:rPr>
          <w:rFonts w:eastAsia="Calibri" w:cs="Times New Roman"/>
          <w:sz w:val="20"/>
        </w:rPr>
        <w:t>d</w:t>
      </w:r>
      <w:r w:rsidR="00736AA9" w:rsidRPr="000609AD">
        <w:rPr>
          <w:rFonts w:eastAsia="Calibri" w:cs="Times New Roman"/>
          <w:sz w:val="20"/>
        </w:rPr>
        <w:t>ata ZPMV</w:t>
      </w:r>
      <w:r w:rsidR="00884C5F" w:rsidRPr="000609AD">
        <w:rPr>
          <w:rFonts w:eastAsia="Calibri" w:cs="Times New Roman"/>
          <w:sz w:val="20"/>
        </w:rPr>
        <w:t>.</w:t>
      </w:r>
    </w:p>
    <w:p w14:paraId="49D70955" w14:textId="16A37696" w:rsidR="00521118" w:rsidRPr="000609AD" w:rsidRDefault="00521118" w:rsidP="00D723A6">
      <w:pPr>
        <w:widowControl/>
        <w:autoSpaceDE/>
        <w:autoSpaceDN/>
        <w:adjustRightInd/>
        <w:spacing w:after="60"/>
        <w:rPr>
          <w:rFonts w:eastAsia="Calibri" w:cs="Times New Roman"/>
          <w:sz w:val="20"/>
        </w:rPr>
      </w:pPr>
      <w:r w:rsidRPr="000609AD">
        <w:rPr>
          <w:rFonts w:eastAsia="Calibri" w:cs="Times New Roman"/>
          <w:b/>
          <w:sz w:val="20"/>
        </w:rPr>
        <w:t>Pozn.</w:t>
      </w:r>
      <w:r w:rsidR="00D23A3C">
        <w:rPr>
          <w:rFonts w:eastAsia="Calibri" w:cs="Times New Roman"/>
          <w:b/>
          <w:sz w:val="20"/>
        </w:rPr>
        <w:t>:</w:t>
      </w:r>
      <w:r w:rsidRPr="000609AD">
        <w:rPr>
          <w:rFonts w:eastAsia="Calibri" w:cs="Times New Roman"/>
          <w:sz w:val="20"/>
        </w:rPr>
        <w:t xml:space="preserve"> Pokud není hodnota uvedena, nebyl daný hospitalizační případ PZS vykazován.</w:t>
      </w:r>
    </w:p>
    <w:p w14:paraId="32B44DB2" w14:textId="71DE9FC3" w:rsidR="00DB30DE" w:rsidRPr="00E80B96" w:rsidRDefault="00DB30DE" w:rsidP="00D723A6">
      <w:pPr>
        <w:widowControl/>
        <w:autoSpaceDE/>
        <w:autoSpaceDN/>
        <w:adjustRightInd/>
        <w:spacing w:before="60" w:after="40"/>
        <w:rPr>
          <w:rFonts w:eastAsia="Calibri"/>
          <w:b/>
          <w:szCs w:val="24"/>
          <w:lang w:eastAsia="en-US"/>
        </w:rPr>
      </w:pPr>
      <w:r w:rsidRPr="00E80B96">
        <w:rPr>
          <w:rFonts w:eastAsia="Calibri"/>
          <w:b/>
          <w:szCs w:val="24"/>
          <w:lang w:eastAsia="en-US"/>
        </w:rPr>
        <w:t>Tabulka</w:t>
      </w:r>
      <w:r w:rsidR="00B01853" w:rsidRPr="00E80B96">
        <w:rPr>
          <w:rFonts w:eastAsia="Calibri"/>
          <w:b/>
          <w:szCs w:val="24"/>
          <w:lang w:eastAsia="en-US"/>
        </w:rPr>
        <w:t xml:space="preserve"> č. </w:t>
      </w:r>
      <w:r w:rsidR="00F70894">
        <w:rPr>
          <w:rFonts w:eastAsia="Calibri"/>
          <w:b/>
          <w:szCs w:val="24"/>
          <w:lang w:eastAsia="en-US"/>
        </w:rPr>
        <w:t>3</w:t>
      </w:r>
      <w:r w:rsidRPr="00E80B96">
        <w:rPr>
          <w:rFonts w:eastAsia="Calibri"/>
          <w:b/>
          <w:szCs w:val="24"/>
          <w:lang w:eastAsia="en-US"/>
        </w:rPr>
        <w:t xml:space="preserve">: </w:t>
      </w:r>
      <w:bookmarkStart w:id="11" w:name="_Hlk154660546"/>
      <w:proofErr w:type="spellStart"/>
      <w:r w:rsidR="00E83D32" w:rsidRPr="00E80B96">
        <w:rPr>
          <w:rFonts w:eastAsia="Calibri"/>
          <w:b/>
          <w:szCs w:val="24"/>
          <w:lang w:eastAsia="en-US"/>
        </w:rPr>
        <w:t>C</w:t>
      </w:r>
      <w:r w:rsidRPr="00E80B96">
        <w:rPr>
          <w:rFonts w:eastAsia="Calibri"/>
          <w:b/>
          <w:szCs w:val="24"/>
          <w:lang w:eastAsia="en-US"/>
        </w:rPr>
        <w:t>asemixový</w:t>
      </w:r>
      <w:proofErr w:type="spellEnd"/>
      <w:r w:rsidRPr="00E80B96">
        <w:rPr>
          <w:rFonts w:eastAsia="Calibri"/>
          <w:b/>
          <w:szCs w:val="24"/>
          <w:lang w:eastAsia="en-US"/>
        </w:rPr>
        <w:t xml:space="preserve"> index hospitalizačních případů </w:t>
      </w:r>
      <w:bookmarkEnd w:id="11"/>
      <w:r w:rsidRPr="00E80B96">
        <w:rPr>
          <w:rFonts w:eastAsia="Calibri"/>
          <w:b/>
          <w:szCs w:val="24"/>
          <w:lang w:eastAsia="en-US"/>
        </w:rPr>
        <w:t>u jednotlivých PZS v roce 2022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"/>
        <w:gridCol w:w="815"/>
        <w:gridCol w:w="816"/>
        <w:gridCol w:w="815"/>
        <w:gridCol w:w="816"/>
        <w:gridCol w:w="815"/>
        <w:gridCol w:w="816"/>
        <w:gridCol w:w="815"/>
        <w:gridCol w:w="816"/>
        <w:gridCol w:w="815"/>
        <w:gridCol w:w="816"/>
      </w:tblGrid>
      <w:tr w:rsidR="00736AA9" w:rsidRPr="00C634AD" w14:paraId="2B269C10" w14:textId="77777777" w:rsidTr="00C634AD">
        <w:trPr>
          <w:trHeight w:val="227"/>
        </w:trPr>
        <w:tc>
          <w:tcPr>
            <w:tcW w:w="1059" w:type="dxa"/>
            <w:shd w:val="clear" w:color="auto" w:fill="E5F1FF"/>
            <w:vAlign w:val="center"/>
            <w:hideMark/>
          </w:tcPr>
          <w:p w14:paraId="4A15856C" w14:textId="77777777" w:rsidR="00736AA9" w:rsidRPr="00C634AD" w:rsidRDefault="00AB30FC" w:rsidP="00D723A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b/>
                <w:color w:val="000000"/>
                <w:sz w:val="16"/>
                <w:szCs w:val="16"/>
              </w:rPr>
              <w:t>PZS</w:t>
            </w:r>
          </w:p>
        </w:tc>
        <w:tc>
          <w:tcPr>
            <w:tcW w:w="815" w:type="dxa"/>
            <w:shd w:val="clear" w:color="auto" w:fill="E5F1FF"/>
            <w:noWrap/>
            <w:vAlign w:val="center"/>
            <w:hideMark/>
          </w:tcPr>
          <w:p w14:paraId="36AC5F52" w14:textId="77777777" w:rsidR="00736AA9" w:rsidRPr="00C634AD" w:rsidRDefault="00736AA9" w:rsidP="00D723A6">
            <w:pPr>
              <w:widowControl/>
              <w:autoSpaceDE/>
              <w:autoSpaceDN/>
              <w:adjustRightInd/>
              <w:ind w:right="-70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b/>
                <w:color w:val="000000"/>
                <w:sz w:val="16"/>
                <w:szCs w:val="16"/>
              </w:rPr>
              <w:t>05-I30-03</w:t>
            </w:r>
          </w:p>
        </w:tc>
        <w:tc>
          <w:tcPr>
            <w:tcW w:w="816" w:type="dxa"/>
            <w:shd w:val="clear" w:color="auto" w:fill="E5F1FF"/>
            <w:noWrap/>
            <w:vAlign w:val="center"/>
            <w:hideMark/>
          </w:tcPr>
          <w:p w14:paraId="0DD19386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b/>
                <w:color w:val="000000"/>
                <w:sz w:val="16"/>
                <w:szCs w:val="16"/>
              </w:rPr>
              <w:t>06-I16-03</w:t>
            </w:r>
          </w:p>
        </w:tc>
        <w:tc>
          <w:tcPr>
            <w:tcW w:w="815" w:type="dxa"/>
            <w:shd w:val="clear" w:color="auto" w:fill="E5F1FF"/>
            <w:noWrap/>
            <w:vAlign w:val="center"/>
            <w:hideMark/>
          </w:tcPr>
          <w:p w14:paraId="3C154124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b/>
                <w:color w:val="000000"/>
                <w:sz w:val="16"/>
                <w:szCs w:val="16"/>
              </w:rPr>
              <w:t>06-I18-04</w:t>
            </w:r>
          </w:p>
        </w:tc>
        <w:tc>
          <w:tcPr>
            <w:tcW w:w="816" w:type="dxa"/>
            <w:shd w:val="clear" w:color="auto" w:fill="E5F1FF"/>
            <w:noWrap/>
            <w:vAlign w:val="center"/>
            <w:hideMark/>
          </w:tcPr>
          <w:p w14:paraId="1670C42B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b/>
                <w:color w:val="000000"/>
                <w:sz w:val="16"/>
                <w:szCs w:val="16"/>
              </w:rPr>
              <w:t>08-I05-04</w:t>
            </w:r>
          </w:p>
        </w:tc>
        <w:tc>
          <w:tcPr>
            <w:tcW w:w="815" w:type="dxa"/>
            <w:shd w:val="clear" w:color="auto" w:fill="E5F1FF"/>
            <w:noWrap/>
            <w:vAlign w:val="center"/>
            <w:hideMark/>
          </w:tcPr>
          <w:p w14:paraId="7F226109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b/>
                <w:color w:val="000000"/>
                <w:sz w:val="16"/>
                <w:szCs w:val="16"/>
              </w:rPr>
              <w:t>08-I05-05</w:t>
            </w:r>
          </w:p>
        </w:tc>
        <w:tc>
          <w:tcPr>
            <w:tcW w:w="816" w:type="dxa"/>
            <w:shd w:val="clear" w:color="auto" w:fill="E5F1FF"/>
            <w:noWrap/>
            <w:vAlign w:val="center"/>
            <w:hideMark/>
          </w:tcPr>
          <w:p w14:paraId="64F1980B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b/>
                <w:color w:val="000000"/>
                <w:sz w:val="16"/>
                <w:szCs w:val="16"/>
              </w:rPr>
              <w:t>08-I05-06</w:t>
            </w:r>
          </w:p>
        </w:tc>
        <w:tc>
          <w:tcPr>
            <w:tcW w:w="815" w:type="dxa"/>
            <w:shd w:val="clear" w:color="auto" w:fill="E5F1FF"/>
            <w:noWrap/>
            <w:vAlign w:val="center"/>
            <w:hideMark/>
          </w:tcPr>
          <w:p w14:paraId="2362CEEA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b/>
                <w:color w:val="000000"/>
                <w:sz w:val="16"/>
                <w:szCs w:val="16"/>
              </w:rPr>
              <w:t>13-I11-03</w:t>
            </w:r>
          </w:p>
        </w:tc>
        <w:tc>
          <w:tcPr>
            <w:tcW w:w="816" w:type="dxa"/>
            <w:shd w:val="clear" w:color="auto" w:fill="FFC000"/>
            <w:noWrap/>
            <w:vAlign w:val="center"/>
            <w:hideMark/>
          </w:tcPr>
          <w:p w14:paraId="20A8B695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b/>
                <w:color w:val="000000"/>
                <w:sz w:val="16"/>
                <w:szCs w:val="16"/>
              </w:rPr>
              <w:t>08-K08-00</w:t>
            </w:r>
          </w:p>
        </w:tc>
        <w:tc>
          <w:tcPr>
            <w:tcW w:w="815" w:type="dxa"/>
            <w:shd w:val="clear" w:color="auto" w:fill="FFC000"/>
            <w:noWrap/>
            <w:vAlign w:val="center"/>
            <w:hideMark/>
          </w:tcPr>
          <w:p w14:paraId="0371483A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b/>
                <w:color w:val="000000"/>
                <w:sz w:val="16"/>
                <w:szCs w:val="16"/>
              </w:rPr>
              <w:t>10-K04-04</w:t>
            </w:r>
          </w:p>
        </w:tc>
        <w:tc>
          <w:tcPr>
            <w:tcW w:w="816" w:type="dxa"/>
            <w:shd w:val="clear" w:color="auto" w:fill="FFC000"/>
            <w:noWrap/>
            <w:vAlign w:val="center"/>
            <w:hideMark/>
          </w:tcPr>
          <w:p w14:paraId="2BEC813C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b/>
                <w:color w:val="000000"/>
                <w:sz w:val="16"/>
                <w:szCs w:val="16"/>
              </w:rPr>
              <w:t>16-K02-03</w:t>
            </w:r>
          </w:p>
        </w:tc>
      </w:tr>
      <w:tr w:rsidR="00736AA9" w:rsidRPr="00C634AD" w14:paraId="7A8F4BAB" w14:textId="77777777" w:rsidTr="00C634AD">
        <w:trPr>
          <w:trHeight w:val="227"/>
        </w:trPr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033DCD4F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color w:val="000000"/>
                <w:sz w:val="16"/>
                <w:szCs w:val="16"/>
              </w:rPr>
              <w:t>Nemocnice 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4FA0BB7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0,5301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37A05848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0,8430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D6782D2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1,1030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271282C4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2,3859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C2F4FD4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2,2266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0E163B74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3,0876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5F396E7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1,4811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6CF0D383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0,5374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DEF403F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0,5428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0E80B43D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0,5239</w:t>
            </w:r>
          </w:p>
        </w:tc>
      </w:tr>
      <w:tr w:rsidR="00736AA9" w:rsidRPr="00C634AD" w14:paraId="754CFFBA" w14:textId="77777777" w:rsidTr="00C634AD">
        <w:trPr>
          <w:trHeight w:val="227"/>
        </w:trPr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6656D235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color w:val="000000"/>
                <w:sz w:val="16"/>
                <w:szCs w:val="16"/>
              </w:rPr>
              <w:t>Nemocnice 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BCB3B75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0,5301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2EB4C92D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0,8304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8969CBC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1,0746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7507CCE2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2,3859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74BEC38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2,2266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46B1EC65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2,1402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2C6C68B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1,4469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0EBB92E6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0,5563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CFF3135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0,5433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750FAC2C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0,5589</w:t>
            </w:r>
          </w:p>
        </w:tc>
      </w:tr>
      <w:tr w:rsidR="00736AA9" w:rsidRPr="00C634AD" w14:paraId="223F6DF9" w14:textId="77777777" w:rsidTr="00C634AD">
        <w:trPr>
          <w:trHeight w:val="227"/>
        </w:trPr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25FB8A91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color w:val="000000"/>
                <w:sz w:val="16"/>
                <w:szCs w:val="16"/>
              </w:rPr>
              <w:t>Nemocnice 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DFFAA3A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0,5301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14324CD6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0,8473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8BA7872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1,1144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54AB8AEC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2,3859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3FD73F2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2,3214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3D56008D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2,1000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76001CF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1,4475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29321AD9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0,5365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23CB69A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0,7108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6E35D529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0,5065</w:t>
            </w:r>
          </w:p>
        </w:tc>
      </w:tr>
      <w:tr w:rsidR="00736AA9" w:rsidRPr="00C634AD" w14:paraId="67B7E3AB" w14:textId="77777777" w:rsidTr="00C634AD">
        <w:trPr>
          <w:trHeight w:val="227"/>
        </w:trPr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766ABF66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color w:val="000000"/>
                <w:sz w:val="16"/>
                <w:szCs w:val="16"/>
              </w:rPr>
              <w:t>Nemocnice 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83D9301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0,5301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6D3D7D61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0,8304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AFFE15B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1,1144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75754848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2,3859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F62E579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2,2266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000A1B6B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2,0270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ECA7DCA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1,4469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59485E69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0,5558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85ADA2E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0,5040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6070F019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-</w:t>
            </w:r>
          </w:p>
        </w:tc>
      </w:tr>
      <w:tr w:rsidR="00736AA9" w:rsidRPr="00C634AD" w14:paraId="43327022" w14:textId="77777777" w:rsidTr="00C634AD">
        <w:trPr>
          <w:trHeight w:val="227"/>
        </w:trPr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14A6093D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color w:val="000000"/>
                <w:sz w:val="16"/>
                <w:szCs w:val="16"/>
              </w:rPr>
              <w:t>Nemocnice 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0BD3523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0,5466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35AC6099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0,8705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102A21A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1,1218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4D119516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2,4049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6915E6F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2,2266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01E0A251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2,0641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1BFB6AC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1,4429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52CFB5A2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0,5824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577EDD5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0,5428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64EBC005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0,5776</w:t>
            </w:r>
          </w:p>
        </w:tc>
      </w:tr>
      <w:tr w:rsidR="00736AA9" w:rsidRPr="00C634AD" w14:paraId="31097E87" w14:textId="77777777" w:rsidTr="00C634AD">
        <w:trPr>
          <w:trHeight w:val="227"/>
        </w:trPr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0104ACE9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color w:val="000000"/>
                <w:sz w:val="16"/>
                <w:szCs w:val="16"/>
              </w:rPr>
              <w:t>Nemocnice 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B6A10FB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0,5301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1F1A38B7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0,8326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BFE870E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1,1144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7E8FF99D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2,3859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467F62A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2,2266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535BAC75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2,0364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EF3E070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1,4774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6CF62404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0,5725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9D0AD0F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0,5439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158BD8D1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0,5239</w:t>
            </w:r>
          </w:p>
        </w:tc>
      </w:tr>
      <w:tr w:rsidR="00736AA9" w:rsidRPr="00C634AD" w14:paraId="123232B3" w14:textId="77777777" w:rsidTr="00C634AD">
        <w:trPr>
          <w:trHeight w:val="227"/>
        </w:trPr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5447C826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color w:val="000000"/>
                <w:sz w:val="16"/>
                <w:szCs w:val="16"/>
              </w:rPr>
              <w:t>Nemocnice 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0D6421A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0,5301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16B2D9A8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0,8304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654BF52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1,1668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5C3C9CF5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2,3859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C5E39A0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2,2266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65D561B3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2,0653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612012B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1,4762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3BC3B31A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0,5597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DBAB62C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0,5702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5EEBABFF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0,5809</w:t>
            </w:r>
          </w:p>
        </w:tc>
      </w:tr>
      <w:tr w:rsidR="00736AA9" w:rsidRPr="00C634AD" w14:paraId="1174DDB9" w14:textId="77777777" w:rsidTr="00C634AD">
        <w:trPr>
          <w:trHeight w:val="227"/>
        </w:trPr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2ACFC76F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color w:val="000000"/>
                <w:sz w:val="16"/>
                <w:szCs w:val="16"/>
              </w:rPr>
              <w:t>Nemocnice 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022AEF7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0,5301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4D9EF1B4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0,8304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5AB542A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1,0731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78C8CC4F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2,3789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A52F8F8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2,2266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6C262F1D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2,0270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FEA5064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1,4469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2B1AD2B0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0,5401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F1172EB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0,5433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1B727811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0,5614</w:t>
            </w:r>
          </w:p>
        </w:tc>
      </w:tr>
      <w:tr w:rsidR="00736AA9" w:rsidRPr="00C634AD" w14:paraId="0C5C3406" w14:textId="77777777" w:rsidTr="00C634AD">
        <w:trPr>
          <w:trHeight w:val="227"/>
        </w:trPr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4B6AC8DD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color w:val="000000"/>
                <w:sz w:val="16"/>
                <w:szCs w:val="16"/>
              </w:rPr>
              <w:t>Nemocnice 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AA8AB23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13BA4A4A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0,8304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CC0B3ED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1,1144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37C36A08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2,4946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EC79423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2,2266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298AFDC0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2,0270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4356BF7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1,4667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207BCBEF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0,5393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84B4433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0,5428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0A843119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0,5455</w:t>
            </w:r>
          </w:p>
        </w:tc>
      </w:tr>
    </w:tbl>
    <w:p w14:paraId="48447689" w14:textId="04A3FE4B" w:rsidR="00DB30DE" w:rsidRPr="00E80B96" w:rsidRDefault="00DB30DE" w:rsidP="00D723A6">
      <w:pPr>
        <w:widowControl/>
        <w:autoSpaceDE/>
        <w:autoSpaceDN/>
        <w:adjustRightInd/>
        <w:spacing w:before="40"/>
        <w:rPr>
          <w:rFonts w:eastAsia="Calibri" w:cs="Times New Roman"/>
          <w:sz w:val="20"/>
        </w:rPr>
      </w:pPr>
      <w:r w:rsidRPr="00E80B96">
        <w:rPr>
          <w:rFonts w:eastAsia="Calibri" w:cs="Times New Roman"/>
          <w:b/>
          <w:sz w:val="20"/>
        </w:rPr>
        <w:t>Zdroj:</w:t>
      </w:r>
      <w:r w:rsidRPr="00E80B96">
        <w:rPr>
          <w:rFonts w:eastAsia="Calibri" w:cs="Times New Roman"/>
          <w:sz w:val="20"/>
        </w:rPr>
        <w:t xml:space="preserve"> </w:t>
      </w:r>
      <w:r w:rsidR="00D23A3C">
        <w:rPr>
          <w:rFonts w:eastAsia="Calibri" w:cs="Times New Roman"/>
          <w:sz w:val="20"/>
        </w:rPr>
        <w:t>d</w:t>
      </w:r>
      <w:r w:rsidR="00736AA9" w:rsidRPr="00E80B96">
        <w:rPr>
          <w:rFonts w:eastAsia="Calibri" w:cs="Times New Roman"/>
          <w:sz w:val="20"/>
        </w:rPr>
        <w:t>ata ZPMV</w:t>
      </w:r>
      <w:r w:rsidR="00884C5F" w:rsidRPr="00E80B96">
        <w:rPr>
          <w:rFonts w:eastAsia="Calibri" w:cs="Times New Roman"/>
          <w:sz w:val="20"/>
        </w:rPr>
        <w:t>.</w:t>
      </w:r>
    </w:p>
    <w:p w14:paraId="058453FE" w14:textId="70FEB58F" w:rsidR="00521118" w:rsidRPr="00E80B96" w:rsidRDefault="00521118" w:rsidP="00D723A6">
      <w:pPr>
        <w:widowControl/>
        <w:autoSpaceDE/>
        <w:autoSpaceDN/>
        <w:adjustRightInd/>
        <w:spacing w:after="120"/>
        <w:rPr>
          <w:rFonts w:eastAsia="Calibri" w:cs="Times New Roman"/>
          <w:sz w:val="20"/>
        </w:rPr>
      </w:pPr>
      <w:r w:rsidRPr="00E80B96">
        <w:rPr>
          <w:rFonts w:eastAsia="Calibri" w:cs="Times New Roman"/>
          <w:b/>
          <w:sz w:val="20"/>
        </w:rPr>
        <w:t>Pozn.</w:t>
      </w:r>
      <w:r w:rsidR="00D23A3C">
        <w:rPr>
          <w:rFonts w:eastAsia="Calibri" w:cs="Times New Roman"/>
          <w:b/>
          <w:sz w:val="20"/>
        </w:rPr>
        <w:t>:</w:t>
      </w:r>
      <w:r w:rsidRPr="00E80B96">
        <w:rPr>
          <w:rFonts w:eastAsia="Calibri" w:cs="Times New Roman"/>
          <w:sz w:val="20"/>
        </w:rPr>
        <w:t xml:space="preserve"> Pokud není hodnota uvedena, nebyl daný hospitalizační případ PZS vykazován.</w:t>
      </w:r>
    </w:p>
    <w:p w14:paraId="4096F22B" w14:textId="335B0DC0" w:rsidR="004C4713" w:rsidRDefault="004C4713" w:rsidP="00D723A6">
      <w:pPr>
        <w:widowControl/>
        <w:autoSpaceDE/>
        <w:autoSpaceDN/>
        <w:adjustRightInd/>
        <w:spacing w:after="160"/>
        <w:rPr>
          <w:rFonts w:eastAsia="Calibri"/>
          <w:szCs w:val="24"/>
          <w:lang w:eastAsia="en-US"/>
        </w:rPr>
      </w:pPr>
      <w:r w:rsidRPr="004C4713">
        <w:rPr>
          <w:rFonts w:eastAsia="Calibri"/>
          <w:szCs w:val="24"/>
          <w:lang w:eastAsia="en-US"/>
        </w:rPr>
        <w:t>NKÚ u kontrolovaného vzorku poskytovatelů zdravotních služeb provedl výpočet úhrady za</w:t>
      </w:r>
      <w:r w:rsidR="00C54734">
        <w:rPr>
          <w:rFonts w:eastAsia="Calibri"/>
          <w:szCs w:val="24"/>
          <w:lang w:eastAsia="en-US"/>
        </w:rPr>
        <w:t> </w:t>
      </w:r>
      <w:r w:rsidRPr="004C4713">
        <w:rPr>
          <w:rFonts w:eastAsia="Calibri"/>
          <w:szCs w:val="24"/>
          <w:lang w:eastAsia="en-US"/>
        </w:rPr>
        <w:t>vybrané kategorie CZ-DRG</w:t>
      </w:r>
      <w:r>
        <w:rPr>
          <w:rFonts w:eastAsia="Calibri"/>
          <w:szCs w:val="24"/>
          <w:lang w:eastAsia="en-US"/>
        </w:rPr>
        <w:t>.</w:t>
      </w:r>
      <w:r w:rsidR="007E3643">
        <w:rPr>
          <w:rFonts w:eastAsia="Calibri"/>
          <w:szCs w:val="24"/>
          <w:lang w:eastAsia="en-US"/>
        </w:rPr>
        <w:t xml:space="preserve"> </w:t>
      </w:r>
      <w:r w:rsidR="003462B5">
        <w:rPr>
          <w:rFonts w:eastAsia="Calibri"/>
          <w:szCs w:val="24"/>
          <w:lang w:eastAsia="en-US"/>
        </w:rPr>
        <w:t>Ú</w:t>
      </w:r>
      <w:r w:rsidR="003462B5" w:rsidRPr="00E27082">
        <w:rPr>
          <w:rFonts w:eastAsia="Calibri"/>
          <w:szCs w:val="24"/>
          <w:lang w:eastAsia="en-US"/>
        </w:rPr>
        <w:t>hrady jednotlivým poskytovatelům za hospitalizační případ</w:t>
      </w:r>
      <w:r w:rsidR="00480E13">
        <w:rPr>
          <w:rFonts w:eastAsia="Calibri"/>
          <w:szCs w:val="24"/>
          <w:lang w:eastAsia="en-US"/>
        </w:rPr>
        <w:t xml:space="preserve"> </w:t>
      </w:r>
      <w:r w:rsidR="002C6A39">
        <w:rPr>
          <w:rFonts w:eastAsia="Calibri"/>
          <w:szCs w:val="24"/>
          <w:lang w:eastAsia="en-US"/>
        </w:rPr>
        <w:t xml:space="preserve">se lišily </w:t>
      </w:r>
      <w:r w:rsidR="00480E13">
        <w:rPr>
          <w:rFonts w:eastAsia="Calibri"/>
          <w:szCs w:val="24"/>
          <w:lang w:eastAsia="en-US"/>
        </w:rPr>
        <w:t>mezi nejnižší a nejvyšší úhradou</w:t>
      </w:r>
      <w:r w:rsidR="003462B5" w:rsidRPr="00E27082">
        <w:rPr>
          <w:rFonts w:eastAsia="Calibri"/>
          <w:szCs w:val="24"/>
          <w:lang w:eastAsia="en-US"/>
        </w:rPr>
        <w:t xml:space="preserve"> i</w:t>
      </w:r>
      <w:r w:rsidR="00480E13">
        <w:rPr>
          <w:rFonts w:eastAsia="Calibri"/>
          <w:szCs w:val="24"/>
          <w:lang w:eastAsia="en-US"/>
        </w:rPr>
        <w:t xml:space="preserve"> o</w:t>
      </w:r>
      <w:r w:rsidR="003462B5" w:rsidRPr="00E27082">
        <w:rPr>
          <w:rFonts w:eastAsia="Calibri"/>
          <w:szCs w:val="24"/>
          <w:lang w:eastAsia="en-US"/>
        </w:rPr>
        <w:t xml:space="preserve"> více než 25 %, což </w:t>
      </w:r>
      <w:r w:rsidR="008847C3">
        <w:rPr>
          <w:rFonts w:eastAsia="Calibri"/>
          <w:szCs w:val="24"/>
          <w:lang w:eastAsia="en-US"/>
        </w:rPr>
        <w:t>bylo</w:t>
      </w:r>
      <w:r w:rsidR="003462B5" w:rsidRPr="00E27082">
        <w:rPr>
          <w:rFonts w:eastAsia="Calibri"/>
          <w:szCs w:val="24"/>
          <w:lang w:eastAsia="en-US"/>
        </w:rPr>
        <w:t xml:space="preserve"> způsobeno kombinací rozdílných</w:t>
      </w:r>
      <w:r w:rsidR="00DE48B6">
        <w:rPr>
          <w:rFonts w:eastAsia="Calibri"/>
          <w:szCs w:val="24"/>
          <w:lang w:eastAsia="en-US"/>
        </w:rPr>
        <w:t xml:space="preserve"> výší</w:t>
      </w:r>
      <w:r w:rsidR="003462B5" w:rsidRPr="00E27082">
        <w:rPr>
          <w:rFonts w:eastAsia="Calibri"/>
          <w:szCs w:val="24"/>
          <w:lang w:eastAsia="en-US"/>
        </w:rPr>
        <w:t xml:space="preserve"> IZS, které se ale v</w:t>
      </w:r>
      <w:r w:rsidR="00E83B87">
        <w:rPr>
          <w:rFonts w:eastAsia="Calibri"/>
          <w:szCs w:val="24"/>
          <w:lang w:eastAsia="en-US"/>
        </w:rPr>
        <w:t> </w:t>
      </w:r>
      <w:r w:rsidR="003462B5" w:rsidRPr="00E27082">
        <w:rPr>
          <w:rFonts w:eastAsia="Calibri"/>
          <w:szCs w:val="24"/>
          <w:lang w:eastAsia="en-US"/>
        </w:rPr>
        <w:t xml:space="preserve">kontrolovaném období přibližovaly, a průměrným </w:t>
      </w:r>
      <w:r w:rsidR="00B635A9">
        <w:rPr>
          <w:rFonts w:eastAsia="Calibri"/>
          <w:szCs w:val="24"/>
          <w:lang w:eastAsia="en-US"/>
        </w:rPr>
        <w:t>CMI</w:t>
      </w:r>
      <w:r w:rsidR="003462B5" w:rsidRPr="00E27082">
        <w:rPr>
          <w:rFonts w:eastAsia="Calibri"/>
          <w:szCs w:val="24"/>
          <w:lang w:eastAsia="en-US"/>
        </w:rPr>
        <w:t xml:space="preserve"> hospitalizačních případů, který m</w:t>
      </w:r>
      <w:r w:rsidR="0052190D">
        <w:rPr>
          <w:rFonts w:eastAsia="Calibri"/>
          <w:szCs w:val="24"/>
          <w:lang w:eastAsia="en-US"/>
        </w:rPr>
        <w:t>ohl</w:t>
      </w:r>
      <w:r w:rsidR="003462B5" w:rsidRPr="00E27082">
        <w:rPr>
          <w:rFonts w:eastAsia="Calibri"/>
          <w:szCs w:val="24"/>
          <w:lang w:eastAsia="en-US"/>
        </w:rPr>
        <w:t xml:space="preserve"> být u jednotlivých PZS ovlivněn různými faktory</w:t>
      </w:r>
      <w:r w:rsidR="00F26316">
        <w:rPr>
          <w:rFonts w:eastAsia="Calibri"/>
          <w:szCs w:val="24"/>
          <w:lang w:eastAsia="en-US"/>
        </w:rPr>
        <w:t>.</w:t>
      </w:r>
      <w:r w:rsidR="003462B5">
        <w:rPr>
          <w:rStyle w:val="Znakapoznpodarou"/>
          <w:rFonts w:eastAsia="Calibri"/>
          <w:szCs w:val="24"/>
          <w:lang w:eastAsia="en-US"/>
        </w:rPr>
        <w:footnoteReference w:id="35"/>
      </w:r>
      <w:r w:rsidR="007E3643">
        <w:rPr>
          <w:rFonts w:eastAsia="Calibri"/>
          <w:szCs w:val="24"/>
          <w:lang w:eastAsia="en-US"/>
        </w:rPr>
        <w:t xml:space="preserve"> </w:t>
      </w:r>
      <w:r w:rsidRPr="00736AA9">
        <w:rPr>
          <w:rFonts w:eastAsia="Calibri"/>
          <w:szCs w:val="24"/>
          <w:lang w:eastAsia="en-US"/>
        </w:rPr>
        <w:t>Na kontrolním vzorku zjistil</w:t>
      </w:r>
      <w:r w:rsidR="002C6A39" w:rsidRPr="002C6A39">
        <w:rPr>
          <w:rFonts w:eastAsia="Calibri"/>
          <w:szCs w:val="24"/>
          <w:lang w:eastAsia="en-US"/>
        </w:rPr>
        <w:t xml:space="preserve"> </w:t>
      </w:r>
      <w:r w:rsidR="002C6A39" w:rsidRPr="00736AA9">
        <w:rPr>
          <w:rFonts w:eastAsia="Calibri"/>
          <w:szCs w:val="24"/>
          <w:lang w:eastAsia="en-US"/>
        </w:rPr>
        <w:t>NKÚ</w:t>
      </w:r>
      <w:r w:rsidRPr="00736AA9">
        <w:rPr>
          <w:rFonts w:eastAsia="Calibri"/>
          <w:szCs w:val="24"/>
          <w:lang w:eastAsia="en-US"/>
        </w:rPr>
        <w:t xml:space="preserve"> největší relativní rozdíl</w:t>
      </w:r>
      <w:r w:rsidR="00480E13">
        <w:rPr>
          <w:rFonts w:eastAsia="Calibri"/>
          <w:szCs w:val="24"/>
          <w:lang w:eastAsia="en-US"/>
        </w:rPr>
        <w:t xml:space="preserve"> mezi nejnižší a nejvyšší úhradou</w:t>
      </w:r>
      <w:r w:rsidRPr="00736AA9">
        <w:rPr>
          <w:rFonts w:eastAsia="Calibri"/>
          <w:szCs w:val="24"/>
          <w:lang w:eastAsia="en-US"/>
        </w:rPr>
        <w:t xml:space="preserve"> 57,62 % u jednotkové úhrady v kategorii 10-K04-04 Diabetes </w:t>
      </w:r>
      <w:proofErr w:type="spellStart"/>
      <w:r w:rsidRPr="00736AA9">
        <w:rPr>
          <w:rFonts w:eastAsia="Calibri"/>
          <w:szCs w:val="24"/>
          <w:lang w:eastAsia="en-US"/>
        </w:rPr>
        <w:t>mellitus</w:t>
      </w:r>
      <w:proofErr w:type="spellEnd"/>
      <w:r w:rsidRPr="00736AA9">
        <w:rPr>
          <w:rFonts w:eastAsia="Calibri"/>
          <w:szCs w:val="24"/>
          <w:lang w:eastAsia="en-US"/>
        </w:rPr>
        <w:t xml:space="preserve"> u pacientů ve věku 16 a</w:t>
      </w:r>
      <w:r w:rsidR="002C6A39">
        <w:rPr>
          <w:rFonts w:eastAsia="Calibri"/>
          <w:szCs w:val="24"/>
          <w:lang w:eastAsia="en-US"/>
        </w:rPr>
        <w:t> </w:t>
      </w:r>
      <w:r w:rsidRPr="00736AA9">
        <w:rPr>
          <w:rFonts w:eastAsia="Calibri"/>
          <w:szCs w:val="24"/>
          <w:lang w:eastAsia="en-US"/>
        </w:rPr>
        <w:t>více let s CC=0-1</w:t>
      </w:r>
      <w:r>
        <w:rPr>
          <w:rFonts w:eastAsia="Calibri"/>
          <w:szCs w:val="24"/>
          <w:lang w:eastAsia="en-US"/>
        </w:rPr>
        <w:t xml:space="preserve">. </w:t>
      </w:r>
      <w:r w:rsidRPr="00736AA9">
        <w:rPr>
          <w:rFonts w:eastAsia="Calibri"/>
          <w:szCs w:val="24"/>
          <w:lang w:eastAsia="en-US"/>
        </w:rPr>
        <w:t xml:space="preserve">Průměrný </w:t>
      </w:r>
      <w:r w:rsidR="00B635A9">
        <w:rPr>
          <w:rFonts w:eastAsia="Calibri"/>
          <w:szCs w:val="24"/>
          <w:lang w:eastAsia="en-US"/>
        </w:rPr>
        <w:t>CMI</w:t>
      </w:r>
      <w:r w:rsidRPr="00736AA9">
        <w:rPr>
          <w:rFonts w:eastAsia="Calibri"/>
          <w:szCs w:val="24"/>
          <w:lang w:eastAsia="en-US"/>
        </w:rPr>
        <w:t xml:space="preserve"> hospitalizačních případů m</w:t>
      </w:r>
      <w:r w:rsidR="008847C3">
        <w:rPr>
          <w:rFonts w:eastAsia="Calibri"/>
          <w:szCs w:val="24"/>
          <w:lang w:eastAsia="en-US"/>
        </w:rPr>
        <w:t>ěl</w:t>
      </w:r>
      <w:r w:rsidRPr="00736AA9">
        <w:rPr>
          <w:rFonts w:eastAsia="Calibri"/>
          <w:szCs w:val="24"/>
          <w:lang w:eastAsia="en-US"/>
        </w:rPr>
        <w:t xml:space="preserve"> na skutečnou úhradu postupně významnější vliv, zatímco vliv rozdílných IZS u</w:t>
      </w:r>
      <w:r w:rsidR="00E83B87">
        <w:rPr>
          <w:rFonts w:eastAsia="Calibri"/>
          <w:szCs w:val="24"/>
          <w:lang w:eastAsia="en-US"/>
        </w:rPr>
        <w:t> </w:t>
      </w:r>
      <w:r w:rsidRPr="00736AA9">
        <w:rPr>
          <w:rFonts w:eastAsia="Calibri"/>
          <w:szCs w:val="24"/>
          <w:lang w:eastAsia="en-US"/>
        </w:rPr>
        <w:t>jednotlivých PZS na výši úhrady kles</w:t>
      </w:r>
      <w:r w:rsidR="008847C3">
        <w:rPr>
          <w:rFonts w:eastAsia="Calibri"/>
          <w:szCs w:val="24"/>
          <w:lang w:eastAsia="en-US"/>
        </w:rPr>
        <w:t>al</w:t>
      </w:r>
      <w:r w:rsidRPr="00736AA9">
        <w:rPr>
          <w:rFonts w:eastAsia="Calibri"/>
          <w:szCs w:val="24"/>
          <w:lang w:eastAsia="en-US"/>
        </w:rPr>
        <w:t>.</w:t>
      </w:r>
    </w:p>
    <w:p w14:paraId="79D52C9E" w14:textId="06A18CD1" w:rsidR="00DB30DE" w:rsidRPr="00E27082" w:rsidRDefault="00DB30DE" w:rsidP="00D723A6">
      <w:pPr>
        <w:widowControl/>
        <w:autoSpaceDE/>
        <w:autoSpaceDN/>
        <w:adjustRightInd/>
        <w:spacing w:after="160"/>
        <w:rPr>
          <w:rFonts w:eastAsia="Calibri"/>
          <w:szCs w:val="24"/>
          <w:lang w:eastAsia="en-US"/>
        </w:rPr>
      </w:pPr>
      <w:r w:rsidRPr="00E27082">
        <w:rPr>
          <w:rFonts w:eastAsia="Calibri"/>
          <w:szCs w:val="24"/>
          <w:lang w:eastAsia="en-US"/>
        </w:rPr>
        <w:t>V</w:t>
      </w:r>
      <w:r w:rsidR="00C634AD">
        <w:rPr>
          <w:rFonts w:eastAsia="Calibri"/>
          <w:szCs w:val="24"/>
          <w:lang w:eastAsia="en-US"/>
        </w:rPr>
        <w:t> </w:t>
      </w:r>
      <w:r w:rsidR="003462B5">
        <w:rPr>
          <w:rFonts w:eastAsia="Calibri"/>
          <w:szCs w:val="24"/>
          <w:lang w:eastAsia="en-US"/>
        </w:rPr>
        <w:t>následujících</w:t>
      </w:r>
      <w:r w:rsidR="00C634AD">
        <w:rPr>
          <w:rFonts w:eastAsia="Calibri"/>
          <w:szCs w:val="24"/>
          <w:lang w:eastAsia="en-US"/>
        </w:rPr>
        <w:t xml:space="preserve"> </w:t>
      </w:r>
      <w:r w:rsidRPr="00E27082">
        <w:rPr>
          <w:rFonts w:eastAsia="Calibri"/>
          <w:szCs w:val="24"/>
          <w:lang w:eastAsia="en-US"/>
        </w:rPr>
        <w:t>tabul</w:t>
      </w:r>
      <w:r w:rsidR="003462B5">
        <w:rPr>
          <w:rFonts w:eastAsia="Calibri"/>
          <w:szCs w:val="24"/>
          <w:lang w:eastAsia="en-US"/>
        </w:rPr>
        <w:t>kách</w:t>
      </w:r>
      <w:r w:rsidRPr="00E27082">
        <w:rPr>
          <w:rFonts w:eastAsia="Calibri"/>
          <w:szCs w:val="24"/>
          <w:lang w:eastAsia="en-US"/>
        </w:rPr>
        <w:t xml:space="preserve"> jsou uvedeny vypočtené úhrady za vybrané kategorie CZ-DRG, které ZPMV uhradila v roce 2021 a 2022 poskytovatelům zdravotních služeb za jeden hospitalizační případ.</w:t>
      </w:r>
    </w:p>
    <w:p w14:paraId="021D90CE" w14:textId="472B5CDC" w:rsidR="00DB30DE" w:rsidRPr="0015152E" w:rsidRDefault="00DB30DE" w:rsidP="00D723A6">
      <w:pPr>
        <w:keepNext/>
        <w:widowControl/>
        <w:autoSpaceDE/>
        <w:autoSpaceDN/>
        <w:adjustRightInd/>
        <w:spacing w:before="120" w:after="40"/>
        <w:rPr>
          <w:rFonts w:eastAsia="Calibri"/>
          <w:b/>
          <w:szCs w:val="18"/>
          <w:lang w:eastAsia="en-US"/>
        </w:rPr>
      </w:pPr>
      <w:r w:rsidRPr="0015152E">
        <w:rPr>
          <w:rFonts w:eastAsia="Calibri"/>
          <w:b/>
          <w:szCs w:val="18"/>
          <w:lang w:eastAsia="en-US"/>
        </w:rPr>
        <w:t>Tabulka</w:t>
      </w:r>
      <w:r w:rsidR="00B01853" w:rsidRPr="0015152E">
        <w:rPr>
          <w:rFonts w:eastAsia="Calibri"/>
          <w:b/>
          <w:szCs w:val="18"/>
          <w:lang w:eastAsia="en-US"/>
        </w:rPr>
        <w:t xml:space="preserve"> č. </w:t>
      </w:r>
      <w:r w:rsidR="00F70894">
        <w:rPr>
          <w:rFonts w:eastAsia="Calibri"/>
          <w:b/>
          <w:szCs w:val="18"/>
          <w:lang w:eastAsia="en-US"/>
        </w:rPr>
        <w:t>4</w:t>
      </w:r>
      <w:r w:rsidRPr="0015152E">
        <w:rPr>
          <w:rFonts w:eastAsia="Calibri"/>
          <w:b/>
          <w:szCs w:val="18"/>
          <w:lang w:eastAsia="en-US"/>
        </w:rPr>
        <w:t>: Úhrady za vybrané kategorie CZ-DRG v roce 2021 (v Kč)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"/>
        <w:gridCol w:w="815"/>
        <w:gridCol w:w="816"/>
        <w:gridCol w:w="815"/>
        <w:gridCol w:w="816"/>
        <w:gridCol w:w="815"/>
        <w:gridCol w:w="816"/>
        <w:gridCol w:w="815"/>
        <w:gridCol w:w="816"/>
        <w:gridCol w:w="815"/>
        <w:gridCol w:w="816"/>
      </w:tblGrid>
      <w:tr w:rsidR="00DB30DE" w:rsidRPr="00C634AD" w14:paraId="6B030C4B" w14:textId="77777777" w:rsidTr="00C634AD">
        <w:trPr>
          <w:trHeight w:val="227"/>
        </w:trPr>
        <w:tc>
          <w:tcPr>
            <w:tcW w:w="1059" w:type="dxa"/>
            <w:shd w:val="clear" w:color="auto" w:fill="E5F1FF"/>
            <w:vAlign w:val="center"/>
            <w:hideMark/>
          </w:tcPr>
          <w:p w14:paraId="4348D56D" w14:textId="77777777" w:rsidR="00DB30DE" w:rsidRPr="00C634AD" w:rsidRDefault="00AB30FC" w:rsidP="00D723A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b/>
                <w:color w:val="000000"/>
                <w:sz w:val="16"/>
                <w:szCs w:val="16"/>
              </w:rPr>
              <w:t>PZS</w:t>
            </w:r>
          </w:p>
        </w:tc>
        <w:tc>
          <w:tcPr>
            <w:tcW w:w="815" w:type="dxa"/>
            <w:shd w:val="clear" w:color="auto" w:fill="E5F1FF"/>
            <w:noWrap/>
            <w:vAlign w:val="center"/>
            <w:hideMark/>
          </w:tcPr>
          <w:p w14:paraId="5C307EFB" w14:textId="77777777" w:rsidR="00DB30DE" w:rsidRPr="00C634AD" w:rsidRDefault="00DB30DE" w:rsidP="00D723A6">
            <w:pPr>
              <w:widowControl/>
              <w:autoSpaceDE/>
              <w:autoSpaceDN/>
              <w:adjustRightInd/>
              <w:ind w:right="-70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b/>
                <w:color w:val="000000"/>
                <w:sz w:val="16"/>
                <w:szCs w:val="16"/>
              </w:rPr>
              <w:t>05-I30-03</w:t>
            </w:r>
          </w:p>
        </w:tc>
        <w:tc>
          <w:tcPr>
            <w:tcW w:w="816" w:type="dxa"/>
            <w:shd w:val="clear" w:color="auto" w:fill="E5F1FF"/>
            <w:noWrap/>
            <w:vAlign w:val="center"/>
            <w:hideMark/>
          </w:tcPr>
          <w:p w14:paraId="4B843F7F" w14:textId="77777777" w:rsidR="00DB30DE" w:rsidRPr="00C634AD" w:rsidRDefault="00DB30DE" w:rsidP="00D723A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b/>
                <w:color w:val="000000"/>
                <w:sz w:val="16"/>
                <w:szCs w:val="16"/>
              </w:rPr>
              <w:t>06-I16-03</w:t>
            </w:r>
          </w:p>
        </w:tc>
        <w:tc>
          <w:tcPr>
            <w:tcW w:w="815" w:type="dxa"/>
            <w:shd w:val="clear" w:color="auto" w:fill="E5F1FF"/>
            <w:noWrap/>
            <w:vAlign w:val="center"/>
            <w:hideMark/>
          </w:tcPr>
          <w:p w14:paraId="2B84BC96" w14:textId="77777777" w:rsidR="00DB30DE" w:rsidRPr="00C634AD" w:rsidRDefault="00DB30DE" w:rsidP="00D723A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b/>
                <w:color w:val="000000"/>
                <w:sz w:val="16"/>
                <w:szCs w:val="16"/>
              </w:rPr>
              <w:t>06-I18-04</w:t>
            </w:r>
          </w:p>
        </w:tc>
        <w:tc>
          <w:tcPr>
            <w:tcW w:w="816" w:type="dxa"/>
            <w:shd w:val="clear" w:color="auto" w:fill="E5F1FF"/>
            <w:noWrap/>
            <w:vAlign w:val="center"/>
            <w:hideMark/>
          </w:tcPr>
          <w:p w14:paraId="1E438AFB" w14:textId="77777777" w:rsidR="00DB30DE" w:rsidRPr="00C634AD" w:rsidRDefault="00DB30DE" w:rsidP="00D723A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b/>
                <w:color w:val="000000"/>
                <w:sz w:val="16"/>
                <w:szCs w:val="16"/>
              </w:rPr>
              <w:t>08-I05-04</w:t>
            </w:r>
          </w:p>
        </w:tc>
        <w:tc>
          <w:tcPr>
            <w:tcW w:w="815" w:type="dxa"/>
            <w:shd w:val="clear" w:color="auto" w:fill="E5F1FF"/>
            <w:noWrap/>
            <w:vAlign w:val="center"/>
            <w:hideMark/>
          </w:tcPr>
          <w:p w14:paraId="20377369" w14:textId="77777777" w:rsidR="00DB30DE" w:rsidRPr="00C634AD" w:rsidRDefault="00DB30DE" w:rsidP="00D723A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b/>
                <w:color w:val="000000"/>
                <w:sz w:val="16"/>
                <w:szCs w:val="16"/>
              </w:rPr>
              <w:t>08-I05-05</w:t>
            </w:r>
          </w:p>
        </w:tc>
        <w:tc>
          <w:tcPr>
            <w:tcW w:w="816" w:type="dxa"/>
            <w:shd w:val="clear" w:color="auto" w:fill="E5F1FF"/>
            <w:noWrap/>
            <w:vAlign w:val="center"/>
            <w:hideMark/>
          </w:tcPr>
          <w:p w14:paraId="0A534DC7" w14:textId="77777777" w:rsidR="00DB30DE" w:rsidRPr="00C634AD" w:rsidRDefault="00DB30DE" w:rsidP="00D723A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b/>
                <w:color w:val="000000"/>
                <w:sz w:val="16"/>
                <w:szCs w:val="16"/>
              </w:rPr>
              <w:t>08-I05-06</w:t>
            </w:r>
          </w:p>
        </w:tc>
        <w:tc>
          <w:tcPr>
            <w:tcW w:w="815" w:type="dxa"/>
            <w:shd w:val="clear" w:color="auto" w:fill="E5F1FF"/>
            <w:noWrap/>
            <w:vAlign w:val="center"/>
            <w:hideMark/>
          </w:tcPr>
          <w:p w14:paraId="38DB7B79" w14:textId="77777777" w:rsidR="00DB30DE" w:rsidRPr="00C634AD" w:rsidRDefault="00DB30DE" w:rsidP="00D723A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b/>
                <w:color w:val="000000"/>
                <w:sz w:val="16"/>
                <w:szCs w:val="16"/>
              </w:rPr>
              <w:t>13-I11-03</w:t>
            </w:r>
          </w:p>
        </w:tc>
        <w:tc>
          <w:tcPr>
            <w:tcW w:w="816" w:type="dxa"/>
            <w:shd w:val="clear" w:color="auto" w:fill="FFC000"/>
            <w:noWrap/>
            <w:vAlign w:val="center"/>
            <w:hideMark/>
          </w:tcPr>
          <w:p w14:paraId="571CA2ED" w14:textId="77777777" w:rsidR="00DB30DE" w:rsidRPr="00C634AD" w:rsidRDefault="00DB30DE" w:rsidP="00D723A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b/>
                <w:color w:val="000000"/>
                <w:sz w:val="16"/>
                <w:szCs w:val="16"/>
              </w:rPr>
              <w:t>08-K08-00</w:t>
            </w:r>
          </w:p>
        </w:tc>
        <w:tc>
          <w:tcPr>
            <w:tcW w:w="815" w:type="dxa"/>
            <w:shd w:val="clear" w:color="auto" w:fill="FFC000"/>
            <w:noWrap/>
            <w:vAlign w:val="center"/>
            <w:hideMark/>
          </w:tcPr>
          <w:p w14:paraId="00A3535D" w14:textId="77777777" w:rsidR="00DB30DE" w:rsidRPr="00C634AD" w:rsidRDefault="00DB30DE" w:rsidP="00D723A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b/>
                <w:color w:val="000000"/>
                <w:sz w:val="16"/>
                <w:szCs w:val="16"/>
              </w:rPr>
              <w:t>10-K04-04</w:t>
            </w:r>
          </w:p>
        </w:tc>
        <w:tc>
          <w:tcPr>
            <w:tcW w:w="816" w:type="dxa"/>
            <w:shd w:val="clear" w:color="auto" w:fill="FFC000"/>
            <w:noWrap/>
            <w:vAlign w:val="center"/>
            <w:hideMark/>
          </w:tcPr>
          <w:p w14:paraId="14C1D487" w14:textId="77777777" w:rsidR="00DB30DE" w:rsidRPr="00C634AD" w:rsidRDefault="00DB30DE" w:rsidP="00D723A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b/>
                <w:color w:val="000000"/>
                <w:sz w:val="16"/>
                <w:szCs w:val="16"/>
              </w:rPr>
              <w:t>16-K02-03</w:t>
            </w:r>
          </w:p>
        </w:tc>
      </w:tr>
      <w:tr w:rsidR="00736AA9" w:rsidRPr="00C634AD" w14:paraId="5815B9CF" w14:textId="77777777" w:rsidTr="00C634AD">
        <w:trPr>
          <w:trHeight w:val="227"/>
        </w:trPr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6EFB8900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color w:val="000000"/>
                <w:sz w:val="16"/>
                <w:szCs w:val="16"/>
              </w:rPr>
              <w:t>Nemocnice 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2C3AEE0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26 893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6818942D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51 295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1F96328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64 878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275DC315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138 474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311D664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129 184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6E5AAB64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129 697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76E1F34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80 859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46AFDBBE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25 603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38DD74C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28 557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53895F31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27 042</w:t>
            </w:r>
          </w:p>
        </w:tc>
      </w:tr>
      <w:tr w:rsidR="00736AA9" w:rsidRPr="00C634AD" w14:paraId="31FCFD37" w14:textId="77777777" w:rsidTr="00C634AD">
        <w:trPr>
          <w:trHeight w:val="227"/>
        </w:trPr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54862053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color w:val="000000"/>
                <w:sz w:val="16"/>
                <w:szCs w:val="16"/>
              </w:rPr>
              <w:t>Nemocnice 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8930019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25 156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7A7780CA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42 888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594D10C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60 733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4924A960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123 882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E82B6EC" w14:textId="77777777" w:rsidR="00736AA9" w:rsidRPr="00C634AD" w:rsidRDefault="00965C3C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17B0368E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102 654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E29AF9D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69 594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00430590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26 050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6390B87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29 130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757C05F2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25 052</w:t>
            </w:r>
          </w:p>
        </w:tc>
      </w:tr>
      <w:tr w:rsidR="00736AA9" w:rsidRPr="00C634AD" w14:paraId="225AFE53" w14:textId="77777777" w:rsidTr="00C634AD">
        <w:trPr>
          <w:trHeight w:val="227"/>
        </w:trPr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518AFAD3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color w:val="000000"/>
                <w:sz w:val="16"/>
                <w:szCs w:val="16"/>
              </w:rPr>
              <w:t>Nemocnice 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BC5544E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23 848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3C402481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49 904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3C53F7C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71 301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41212AA0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170 554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06D06E8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134 478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61AEB065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119 448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5B202CA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80 979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1921A8AC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23 145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B50852F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25 232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1B12267B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23 749</w:t>
            </w:r>
          </w:p>
        </w:tc>
      </w:tr>
      <w:tr w:rsidR="00736AA9" w:rsidRPr="00C634AD" w14:paraId="6053C965" w14:textId="77777777" w:rsidTr="00C634AD">
        <w:trPr>
          <w:trHeight w:val="227"/>
        </w:trPr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17DB6E20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color w:val="000000"/>
                <w:sz w:val="16"/>
                <w:szCs w:val="16"/>
              </w:rPr>
              <w:t>Nemocnice 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81C8F66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23 461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5AB62AB9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53 238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991DFEA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68 130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0C47CC48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141 065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974A971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131 602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4B95323C" w14:textId="77777777" w:rsidR="00736AA9" w:rsidRPr="00C634AD" w:rsidRDefault="00965C3C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5B50E00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79 247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7DE6E68B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23 759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E276CD1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23 410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69864D63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23 364</w:t>
            </w:r>
          </w:p>
        </w:tc>
      </w:tr>
      <w:tr w:rsidR="00736AA9" w:rsidRPr="00C634AD" w14:paraId="39DEAFF9" w14:textId="77777777" w:rsidTr="00C634AD">
        <w:trPr>
          <w:trHeight w:val="227"/>
        </w:trPr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09622041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color w:val="000000"/>
                <w:sz w:val="16"/>
                <w:szCs w:val="16"/>
              </w:rPr>
              <w:t>Nemocnice 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47C1B0F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21 289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7826BFD3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51 778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199F665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66 581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0A8E342C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140 980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C74274C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140 705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5F144D23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126 227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8E01497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79 199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3782B0FC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21 433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BCC7C01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22 355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5EBDFEA4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21 042</w:t>
            </w:r>
          </w:p>
        </w:tc>
      </w:tr>
      <w:tr w:rsidR="00736AA9" w:rsidRPr="00C634AD" w14:paraId="593EE429" w14:textId="77777777" w:rsidTr="00C634AD">
        <w:trPr>
          <w:trHeight w:val="227"/>
        </w:trPr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2F11A77E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color w:val="000000"/>
                <w:sz w:val="16"/>
                <w:szCs w:val="16"/>
              </w:rPr>
              <w:t>Nemocnice 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35363EA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23 092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412CEB5D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48 886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34E2314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65 745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17A49D5F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140 357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135F698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130 941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2E41D7B9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117 162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EFD9805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80 598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51BDBA0D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22 688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6977470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24 432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2B5AE639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22 996</w:t>
            </w:r>
          </w:p>
        </w:tc>
      </w:tr>
      <w:tr w:rsidR="00736AA9" w:rsidRPr="00C634AD" w14:paraId="52524173" w14:textId="77777777" w:rsidTr="00C634AD">
        <w:trPr>
          <w:trHeight w:val="227"/>
        </w:trPr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5CC3CF5C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color w:val="000000"/>
                <w:sz w:val="16"/>
                <w:szCs w:val="16"/>
              </w:rPr>
              <w:t>Nemocnice 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EF6EDC9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23 269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420D3167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47 723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F2D2027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66 478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51372294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137 846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B365A43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128 599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7F3195A7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115 073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C47154A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77 439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3E0887D5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22 823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84FC8F3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24 850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57DCF28F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24 224</w:t>
            </w:r>
          </w:p>
        </w:tc>
      </w:tr>
      <w:tr w:rsidR="00736AA9" w:rsidRPr="00C634AD" w14:paraId="5798D593" w14:textId="77777777" w:rsidTr="00C634AD">
        <w:trPr>
          <w:trHeight w:val="227"/>
        </w:trPr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38A5A907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color w:val="000000"/>
                <w:sz w:val="16"/>
                <w:szCs w:val="16"/>
              </w:rPr>
              <w:t>Nemocnice 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65239A0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23 090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5B797EEC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45 607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F070EBB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61 706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2CCD0476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136 653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030E541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123 316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7ED7C5E7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109 161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6D02036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74 237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697083AB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21 839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C781EF9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24 430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474906DB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24 186</w:t>
            </w:r>
          </w:p>
        </w:tc>
      </w:tr>
      <w:tr w:rsidR="00736AA9" w:rsidRPr="00C634AD" w14:paraId="1945C728" w14:textId="77777777" w:rsidTr="00C634AD">
        <w:trPr>
          <w:trHeight w:val="227"/>
        </w:trPr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1D465653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color w:val="000000"/>
                <w:sz w:val="16"/>
                <w:szCs w:val="16"/>
              </w:rPr>
              <w:t>Nemocnice 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E6A738A" w14:textId="77777777" w:rsidR="00736AA9" w:rsidRPr="00C634AD" w:rsidRDefault="00965C3C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44DF3040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47 666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14AED27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64 492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7278CC34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148 067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F3EDB55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133 579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497109D8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114 090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09385A1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77 347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067A2305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22 904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69E2CC5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26 046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4D282CA6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23 178</w:t>
            </w:r>
          </w:p>
        </w:tc>
      </w:tr>
      <w:tr w:rsidR="00DB30DE" w:rsidRPr="00C634AD" w14:paraId="7DB2920F" w14:textId="77777777" w:rsidTr="00C634AD">
        <w:trPr>
          <w:trHeight w:val="227"/>
        </w:trPr>
        <w:tc>
          <w:tcPr>
            <w:tcW w:w="1059" w:type="dxa"/>
            <w:shd w:val="clear" w:color="auto" w:fill="auto"/>
            <w:noWrap/>
            <w:vAlign w:val="center"/>
          </w:tcPr>
          <w:p w14:paraId="24F5FDC2" w14:textId="65964327" w:rsidR="00DB30DE" w:rsidRPr="00C634AD" w:rsidRDefault="002C6A39" w:rsidP="00D723A6">
            <w:pPr>
              <w:widowControl/>
              <w:autoSpaceDE/>
              <w:autoSpaceDN/>
              <w:adjustRightInd/>
              <w:jc w:val="left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R</w:t>
            </w:r>
            <w:r w:rsidR="00DB30DE" w:rsidRPr="00C634AD">
              <w:rPr>
                <w:rFonts w:eastAsia="Times New Roman" w:cs="Calibri"/>
                <w:b/>
                <w:color w:val="000000"/>
                <w:sz w:val="16"/>
                <w:szCs w:val="16"/>
              </w:rPr>
              <w:t>ozdíl*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 xml:space="preserve"> (v %)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C14C61C" w14:textId="77777777" w:rsidR="00DB30DE" w:rsidRPr="00C634AD" w:rsidRDefault="00DB30DE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 w:rsidRPr="00C634AD">
              <w:rPr>
                <w:rFonts w:eastAsia="Calibri" w:cs="Calibri"/>
                <w:b/>
                <w:sz w:val="16"/>
                <w:szCs w:val="16"/>
                <w:lang w:eastAsia="en-US"/>
              </w:rPr>
              <w:t>26,32 %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1400D05B" w14:textId="77777777" w:rsidR="00DB30DE" w:rsidRPr="00C634AD" w:rsidRDefault="00DB30DE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 w:rsidRPr="00C634AD">
              <w:rPr>
                <w:rFonts w:eastAsia="Calibri" w:cs="Calibri"/>
                <w:b/>
                <w:sz w:val="16"/>
                <w:szCs w:val="16"/>
                <w:lang w:eastAsia="en-US"/>
              </w:rPr>
              <w:t>24,13 %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E45DEAA" w14:textId="77777777" w:rsidR="00DB30DE" w:rsidRPr="00C634AD" w:rsidRDefault="00DB30DE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 w:rsidRPr="00C634AD">
              <w:rPr>
                <w:rFonts w:eastAsia="Calibri" w:cs="Calibri"/>
                <w:b/>
                <w:sz w:val="16"/>
                <w:szCs w:val="16"/>
                <w:lang w:eastAsia="en-US"/>
              </w:rPr>
              <w:t>17,40 %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97C1505" w14:textId="77777777" w:rsidR="00DB30DE" w:rsidRPr="00C634AD" w:rsidRDefault="00DB30DE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 w:rsidRPr="00C634AD">
              <w:rPr>
                <w:rFonts w:eastAsia="Calibri" w:cs="Calibri"/>
                <w:b/>
                <w:sz w:val="16"/>
                <w:szCs w:val="16"/>
                <w:lang w:eastAsia="en-US"/>
              </w:rPr>
              <w:t>37,67 %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83F4500" w14:textId="77777777" w:rsidR="00DB30DE" w:rsidRPr="00C634AD" w:rsidRDefault="00DB30DE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 w:rsidRPr="00C634AD">
              <w:rPr>
                <w:rFonts w:eastAsia="Calibri" w:cs="Calibri"/>
                <w:b/>
                <w:sz w:val="16"/>
                <w:szCs w:val="16"/>
                <w:lang w:eastAsia="en-US"/>
              </w:rPr>
              <w:t>14,10 %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7E46BEDA" w14:textId="77777777" w:rsidR="00DB30DE" w:rsidRPr="00C634AD" w:rsidRDefault="00DB30DE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 w:rsidRPr="00C634AD">
              <w:rPr>
                <w:rFonts w:eastAsia="Calibri" w:cs="Calibri"/>
                <w:b/>
                <w:sz w:val="16"/>
                <w:szCs w:val="16"/>
                <w:lang w:eastAsia="en-US"/>
              </w:rPr>
              <w:t>26,34 %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B14B7B0" w14:textId="77777777" w:rsidR="00DB30DE" w:rsidRPr="00C634AD" w:rsidRDefault="00DB30DE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 w:rsidRPr="00C634AD">
              <w:rPr>
                <w:rFonts w:eastAsia="Calibri" w:cs="Calibri"/>
                <w:b/>
                <w:sz w:val="16"/>
                <w:szCs w:val="16"/>
                <w:lang w:eastAsia="en-US"/>
              </w:rPr>
              <w:t>16,36 %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4D7DCF0" w14:textId="77777777" w:rsidR="00DB30DE" w:rsidRPr="00C634AD" w:rsidRDefault="00DB30DE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 w:rsidRPr="00C634AD">
              <w:rPr>
                <w:rFonts w:eastAsia="Calibri" w:cs="Calibri"/>
                <w:b/>
                <w:sz w:val="16"/>
                <w:szCs w:val="16"/>
                <w:lang w:eastAsia="en-US"/>
              </w:rPr>
              <w:t>21,54 %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843C2B9" w14:textId="77777777" w:rsidR="00DB30DE" w:rsidRPr="00C634AD" w:rsidRDefault="00DB30DE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 w:rsidRPr="00C634AD">
              <w:rPr>
                <w:rFonts w:eastAsia="Calibri" w:cs="Calibri"/>
                <w:b/>
                <w:sz w:val="16"/>
                <w:szCs w:val="16"/>
                <w:lang w:eastAsia="en-US"/>
              </w:rPr>
              <w:t>30,30 %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A91FD62" w14:textId="77777777" w:rsidR="00DB30DE" w:rsidRPr="00C634AD" w:rsidRDefault="00DB30DE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 w:rsidRPr="00C634AD">
              <w:rPr>
                <w:rFonts w:eastAsia="Calibri" w:cs="Calibri"/>
                <w:b/>
                <w:sz w:val="16"/>
                <w:szCs w:val="16"/>
                <w:lang w:eastAsia="en-US"/>
              </w:rPr>
              <w:t>28,52 %</w:t>
            </w:r>
          </w:p>
        </w:tc>
      </w:tr>
    </w:tbl>
    <w:p w14:paraId="469A3426" w14:textId="509B2A33" w:rsidR="00DB30DE" w:rsidRPr="0015152E" w:rsidRDefault="00DB30DE" w:rsidP="00D723A6">
      <w:pPr>
        <w:widowControl/>
        <w:autoSpaceDE/>
        <w:autoSpaceDN/>
        <w:adjustRightInd/>
        <w:spacing w:before="40"/>
        <w:rPr>
          <w:rFonts w:eastAsia="Calibri" w:cs="Times New Roman"/>
          <w:sz w:val="20"/>
        </w:rPr>
      </w:pPr>
      <w:r w:rsidRPr="0015152E">
        <w:rPr>
          <w:rFonts w:eastAsia="Calibri" w:cs="Times New Roman"/>
          <w:b/>
          <w:sz w:val="20"/>
        </w:rPr>
        <w:t>Zdroj:</w:t>
      </w:r>
      <w:r w:rsidRPr="0015152E">
        <w:rPr>
          <w:rFonts w:eastAsia="Calibri" w:cs="Times New Roman"/>
          <w:sz w:val="20"/>
        </w:rPr>
        <w:t xml:space="preserve"> </w:t>
      </w:r>
      <w:r w:rsidR="002C6A39">
        <w:rPr>
          <w:rFonts w:eastAsia="Calibri" w:cs="Times New Roman"/>
          <w:sz w:val="20"/>
        </w:rPr>
        <w:t>vy</w:t>
      </w:r>
      <w:r w:rsidRPr="0015152E">
        <w:rPr>
          <w:rFonts w:eastAsia="Calibri" w:cs="Times New Roman"/>
          <w:sz w:val="20"/>
        </w:rPr>
        <w:t>praco</w:t>
      </w:r>
      <w:r w:rsidR="00736AA9" w:rsidRPr="0015152E">
        <w:rPr>
          <w:rFonts w:eastAsia="Calibri" w:cs="Times New Roman"/>
          <w:sz w:val="20"/>
        </w:rPr>
        <w:t xml:space="preserve">val NKÚ </w:t>
      </w:r>
      <w:r w:rsidRPr="0015152E">
        <w:rPr>
          <w:rFonts w:eastAsia="Calibri" w:cs="Times New Roman"/>
          <w:sz w:val="20"/>
        </w:rPr>
        <w:t xml:space="preserve">na základě </w:t>
      </w:r>
      <w:r w:rsidR="00736AA9" w:rsidRPr="0015152E">
        <w:rPr>
          <w:rFonts w:eastAsia="Calibri" w:cs="Times New Roman"/>
          <w:sz w:val="20"/>
        </w:rPr>
        <w:t>dat ZPMV</w:t>
      </w:r>
      <w:r w:rsidR="001A2913" w:rsidRPr="0015152E">
        <w:rPr>
          <w:rFonts w:eastAsia="Calibri" w:cs="Times New Roman"/>
          <w:sz w:val="20"/>
        </w:rPr>
        <w:t>.</w:t>
      </w:r>
    </w:p>
    <w:p w14:paraId="24CF6275" w14:textId="77777777" w:rsidR="00DB30DE" w:rsidRPr="0015152E" w:rsidRDefault="00DB30DE" w:rsidP="00D723A6">
      <w:pPr>
        <w:widowControl/>
        <w:autoSpaceDE/>
        <w:autoSpaceDN/>
        <w:adjustRightInd/>
        <w:spacing w:after="120"/>
        <w:rPr>
          <w:rFonts w:eastAsia="Calibri" w:cs="Times New Roman"/>
          <w:sz w:val="20"/>
        </w:rPr>
      </w:pPr>
      <w:r w:rsidRPr="0015152E">
        <w:rPr>
          <w:rFonts w:eastAsia="Calibri" w:cs="Times New Roman"/>
          <w:b/>
          <w:sz w:val="20"/>
        </w:rPr>
        <w:t>Pozn.:</w:t>
      </w:r>
      <w:r w:rsidRPr="0015152E">
        <w:rPr>
          <w:rFonts w:eastAsia="Calibri" w:cs="Times New Roman"/>
          <w:sz w:val="20"/>
        </w:rPr>
        <w:t xml:space="preserve"> * % rozdíl mezi</w:t>
      </w:r>
      <w:r w:rsidR="00480E13" w:rsidRPr="0015152E">
        <w:rPr>
          <w:rFonts w:eastAsia="Calibri" w:cs="Times New Roman"/>
          <w:sz w:val="20"/>
        </w:rPr>
        <w:t xml:space="preserve"> minimální</w:t>
      </w:r>
      <w:r w:rsidRPr="0015152E">
        <w:rPr>
          <w:rFonts w:eastAsia="Calibri" w:cs="Times New Roman"/>
          <w:sz w:val="20"/>
        </w:rPr>
        <w:t xml:space="preserve"> a </w:t>
      </w:r>
      <w:r w:rsidR="00480E13" w:rsidRPr="0015152E">
        <w:rPr>
          <w:rFonts w:eastAsia="Calibri" w:cs="Times New Roman"/>
          <w:sz w:val="20"/>
        </w:rPr>
        <w:t>maxi</w:t>
      </w:r>
      <w:r w:rsidRPr="0015152E">
        <w:rPr>
          <w:rFonts w:eastAsia="Calibri" w:cs="Times New Roman"/>
          <w:sz w:val="20"/>
        </w:rPr>
        <w:t>mální úhradou za jeden hospitalizační případ stejné CZ-DRG kategorie</w:t>
      </w:r>
      <w:r w:rsidR="001A2913" w:rsidRPr="0015152E">
        <w:rPr>
          <w:rFonts w:eastAsia="Calibri" w:cs="Times New Roman"/>
          <w:sz w:val="20"/>
        </w:rPr>
        <w:t>.</w:t>
      </w:r>
    </w:p>
    <w:p w14:paraId="16D239AC" w14:textId="6BAECA1B" w:rsidR="00DB30DE" w:rsidRPr="00C634AD" w:rsidRDefault="00DB30DE" w:rsidP="00D723A6">
      <w:pPr>
        <w:keepNext/>
        <w:widowControl/>
        <w:autoSpaceDE/>
        <w:autoSpaceDN/>
        <w:adjustRightInd/>
        <w:spacing w:before="120" w:after="40"/>
        <w:rPr>
          <w:rFonts w:eastAsia="Calibri"/>
          <w:b/>
          <w:szCs w:val="18"/>
          <w:lang w:eastAsia="en-US"/>
        </w:rPr>
      </w:pPr>
      <w:r w:rsidRPr="00C634AD">
        <w:rPr>
          <w:rFonts w:eastAsia="Calibri"/>
          <w:b/>
          <w:szCs w:val="18"/>
          <w:lang w:eastAsia="en-US"/>
        </w:rPr>
        <w:t>Tabulka</w:t>
      </w:r>
      <w:r w:rsidR="00B01853" w:rsidRPr="00C634AD">
        <w:rPr>
          <w:rFonts w:eastAsia="Calibri"/>
          <w:b/>
          <w:szCs w:val="18"/>
          <w:lang w:eastAsia="en-US"/>
        </w:rPr>
        <w:t xml:space="preserve"> č. </w:t>
      </w:r>
      <w:r w:rsidR="00F70894">
        <w:rPr>
          <w:rFonts w:eastAsia="Calibri"/>
          <w:b/>
          <w:szCs w:val="18"/>
          <w:lang w:eastAsia="en-US"/>
        </w:rPr>
        <w:t>5</w:t>
      </w:r>
      <w:r w:rsidRPr="00C634AD">
        <w:rPr>
          <w:rFonts w:eastAsia="Calibri"/>
          <w:b/>
          <w:szCs w:val="18"/>
          <w:lang w:eastAsia="en-US"/>
        </w:rPr>
        <w:t>: Úhrady za vybrané kategorie CZ-DRG v roce 2022 (v Kč)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"/>
        <w:gridCol w:w="815"/>
        <w:gridCol w:w="816"/>
        <w:gridCol w:w="815"/>
        <w:gridCol w:w="816"/>
        <w:gridCol w:w="815"/>
        <w:gridCol w:w="816"/>
        <w:gridCol w:w="815"/>
        <w:gridCol w:w="816"/>
        <w:gridCol w:w="815"/>
        <w:gridCol w:w="816"/>
      </w:tblGrid>
      <w:tr w:rsidR="00DB30DE" w:rsidRPr="00C634AD" w14:paraId="632890B1" w14:textId="77777777" w:rsidTr="00C634AD">
        <w:trPr>
          <w:trHeight w:val="227"/>
        </w:trPr>
        <w:tc>
          <w:tcPr>
            <w:tcW w:w="1059" w:type="dxa"/>
            <w:shd w:val="clear" w:color="auto" w:fill="E5F1FF"/>
            <w:vAlign w:val="center"/>
            <w:hideMark/>
          </w:tcPr>
          <w:p w14:paraId="19FB2E23" w14:textId="77777777" w:rsidR="00DB30DE" w:rsidRPr="00C634AD" w:rsidRDefault="00AB30FC" w:rsidP="00D723A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b/>
                <w:color w:val="000000"/>
                <w:sz w:val="16"/>
                <w:szCs w:val="16"/>
              </w:rPr>
              <w:t>PZS</w:t>
            </w:r>
          </w:p>
        </w:tc>
        <w:tc>
          <w:tcPr>
            <w:tcW w:w="815" w:type="dxa"/>
            <w:shd w:val="clear" w:color="auto" w:fill="E5F1FF"/>
            <w:noWrap/>
            <w:vAlign w:val="center"/>
            <w:hideMark/>
          </w:tcPr>
          <w:p w14:paraId="5425C676" w14:textId="77777777" w:rsidR="00DB30DE" w:rsidRPr="00C634AD" w:rsidRDefault="00DB30DE" w:rsidP="00D723A6">
            <w:pPr>
              <w:widowControl/>
              <w:autoSpaceDE/>
              <w:autoSpaceDN/>
              <w:adjustRightInd/>
              <w:ind w:right="-70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b/>
                <w:color w:val="000000"/>
                <w:sz w:val="16"/>
                <w:szCs w:val="16"/>
              </w:rPr>
              <w:t>05-I30-03</w:t>
            </w:r>
          </w:p>
        </w:tc>
        <w:tc>
          <w:tcPr>
            <w:tcW w:w="816" w:type="dxa"/>
            <w:shd w:val="clear" w:color="auto" w:fill="E5F1FF"/>
            <w:noWrap/>
            <w:vAlign w:val="center"/>
            <w:hideMark/>
          </w:tcPr>
          <w:p w14:paraId="483B7D3A" w14:textId="77777777" w:rsidR="00DB30DE" w:rsidRPr="00C634AD" w:rsidRDefault="00DB30DE" w:rsidP="00D723A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b/>
                <w:color w:val="000000"/>
                <w:sz w:val="16"/>
                <w:szCs w:val="16"/>
              </w:rPr>
              <w:t>06-I16-03</w:t>
            </w:r>
          </w:p>
        </w:tc>
        <w:tc>
          <w:tcPr>
            <w:tcW w:w="815" w:type="dxa"/>
            <w:shd w:val="clear" w:color="auto" w:fill="E5F1FF"/>
            <w:noWrap/>
            <w:vAlign w:val="center"/>
            <w:hideMark/>
          </w:tcPr>
          <w:p w14:paraId="2D3FE42D" w14:textId="77777777" w:rsidR="00DB30DE" w:rsidRPr="00C634AD" w:rsidRDefault="00DB30DE" w:rsidP="00D723A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b/>
                <w:color w:val="000000"/>
                <w:sz w:val="16"/>
                <w:szCs w:val="16"/>
              </w:rPr>
              <w:t>06-I18-04</w:t>
            </w:r>
          </w:p>
        </w:tc>
        <w:tc>
          <w:tcPr>
            <w:tcW w:w="816" w:type="dxa"/>
            <w:shd w:val="clear" w:color="auto" w:fill="E5F1FF"/>
            <w:noWrap/>
            <w:vAlign w:val="center"/>
            <w:hideMark/>
          </w:tcPr>
          <w:p w14:paraId="07215E7B" w14:textId="77777777" w:rsidR="00DB30DE" w:rsidRPr="00C634AD" w:rsidRDefault="00DB30DE" w:rsidP="00D723A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b/>
                <w:color w:val="000000"/>
                <w:sz w:val="16"/>
                <w:szCs w:val="16"/>
              </w:rPr>
              <w:t>08-I05-04</w:t>
            </w:r>
          </w:p>
        </w:tc>
        <w:tc>
          <w:tcPr>
            <w:tcW w:w="815" w:type="dxa"/>
            <w:shd w:val="clear" w:color="auto" w:fill="E5F1FF"/>
            <w:noWrap/>
            <w:vAlign w:val="center"/>
            <w:hideMark/>
          </w:tcPr>
          <w:p w14:paraId="263236C7" w14:textId="77777777" w:rsidR="00DB30DE" w:rsidRPr="00C634AD" w:rsidRDefault="00DB30DE" w:rsidP="00D723A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b/>
                <w:color w:val="000000"/>
                <w:sz w:val="16"/>
                <w:szCs w:val="16"/>
              </w:rPr>
              <w:t>08-I05-05</w:t>
            </w:r>
          </w:p>
        </w:tc>
        <w:tc>
          <w:tcPr>
            <w:tcW w:w="816" w:type="dxa"/>
            <w:shd w:val="clear" w:color="auto" w:fill="E5F1FF"/>
            <w:noWrap/>
            <w:vAlign w:val="center"/>
            <w:hideMark/>
          </w:tcPr>
          <w:p w14:paraId="6F6C3C91" w14:textId="77777777" w:rsidR="00DB30DE" w:rsidRPr="00C634AD" w:rsidRDefault="00DB30DE" w:rsidP="00D723A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b/>
                <w:color w:val="000000"/>
                <w:sz w:val="16"/>
                <w:szCs w:val="16"/>
              </w:rPr>
              <w:t>08-I05-06</w:t>
            </w:r>
          </w:p>
        </w:tc>
        <w:tc>
          <w:tcPr>
            <w:tcW w:w="815" w:type="dxa"/>
            <w:shd w:val="clear" w:color="auto" w:fill="E5F1FF"/>
            <w:noWrap/>
            <w:vAlign w:val="center"/>
            <w:hideMark/>
          </w:tcPr>
          <w:p w14:paraId="265C836F" w14:textId="77777777" w:rsidR="00DB30DE" w:rsidRPr="00C634AD" w:rsidRDefault="00DB30DE" w:rsidP="00D723A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b/>
                <w:color w:val="000000"/>
                <w:sz w:val="16"/>
                <w:szCs w:val="16"/>
              </w:rPr>
              <w:t>13-I11-03</w:t>
            </w:r>
          </w:p>
        </w:tc>
        <w:tc>
          <w:tcPr>
            <w:tcW w:w="816" w:type="dxa"/>
            <w:shd w:val="clear" w:color="auto" w:fill="FFC000"/>
            <w:noWrap/>
            <w:vAlign w:val="center"/>
            <w:hideMark/>
          </w:tcPr>
          <w:p w14:paraId="462AFD6F" w14:textId="77777777" w:rsidR="00DB30DE" w:rsidRPr="00C634AD" w:rsidRDefault="00DB30DE" w:rsidP="00D723A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b/>
                <w:color w:val="000000"/>
                <w:sz w:val="16"/>
                <w:szCs w:val="16"/>
              </w:rPr>
              <w:t>08-K08-00</w:t>
            </w:r>
          </w:p>
        </w:tc>
        <w:tc>
          <w:tcPr>
            <w:tcW w:w="815" w:type="dxa"/>
            <w:shd w:val="clear" w:color="auto" w:fill="FFC000"/>
            <w:noWrap/>
            <w:vAlign w:val="center"/>
            <w:hideMark/>
          </w:tcPr>
          <w:p w14:paraId="7A49696E" w14:textId="77777777" w:rsidR="00DB30DE" w:rsidRPr="00C634AD" w:rsidRDefault="00DB30DE" w:rsidP="00D723A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b/>
                <w:color w:val="000000"/>
                <w:sz w:val="16"/>
                <w:szCs w:val="16"/>
              </w:rPr>
              <w:t>10-K04-04</w:t>
            </w:r>
          </w:p>
        </w:tc>
        <w:tc>
          <w:tcPr>
            <w:tcW w:w="816" w:type="dxa"/>
            <w:shd w:val="clear" w:color="auto" w:fill="FFC000"/>
            <w:noWrap/>
            <w:vAlign w:val="center"/>
            <w:hideMark/>
          </w:tcPr>
          <w:p w14:paraId="6D5EA68E" w14:textId="77777777" w:rsidR="00DB30DE" w:rsidRPr="00C634AD" w:rsidRDefault="00DB30DE" w:rsidP="00D723A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b/>
                <w:color w:val="000000"/>
                <w:sz w:val="16"/>
                <w:szCs w:val="16"/>
              </w:rPr>
              <w:t>16-K02-03</w:t>
            </w:r>
          </w:p>
        </w:tc>
      </w:tr>
      <w:tr w:rsidR="00736AA9" w:rsidRPr="00C634AD" w14:paraId="653ADB9F" w14:textId="77777777" w:rsidTr="00C634AD">
        <w:trPr>
          <w:trHeight w:val="227"/>
        </w:trPr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2643C0ED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color w:val="000000"/>
                <w:sz w:val="16"/>
                <w:szCs w:val="16"/>
              </w:rPr>
              <w:t>Nemocnice 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04D09C9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28 329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767D14A5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46 840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78DF9B9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61 285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5CB20ABE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132 563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5530160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123 713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4C689E5C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171 550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4900B22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82 289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0507FDC8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28 722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E9FA0C0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29 008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6CE696FA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28 000</w:t>
            </w:r>
          </w:p>
        </w:tc>
      </w:tr>
      <w:tr w:rsidR="00736AA9" w:rsidRPr="00C634AD" w14:paraId="08962C20" w14:textId="77777777" w:rsidTr="00C634AD">
        <w:trPr>
          <w:trHeight w:val="227"/>
        </w:trPr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1E0844B2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color w:val="000000"/>
                <w:sz w:val="16"/>
                <w:szCs w:val="16"/>
              </w:rPr>
              <w:t>Nemocnice 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E4023A6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28 337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3DA47FFB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45 930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ACE9081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59 434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118A9A47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131 966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D4D618D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123 155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6CA403D6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118 373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B34099F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80 029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466213B8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29 739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B9B5688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29 041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51536D55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29 877</w:t>
            </w:r>
          </w:p>
        </w:tc>
      </w:tr>
      <w:tr w:rsidR="00736AA9" w:rsidRPr="00C634AD" w14:paraId="35FFCA37" w14:textId="77777777" w:rsidTr="00C634AD">
        <w:trPr>
          <w:trHeight w:val="227"/>
        </w:trPr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04277DBA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color w:val="000000"/>
                <w:sz w:val="16"/>
                <w:szCs w:val="16"/>
              </w:rPr>
              <w:t>Nemocnice 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A0F0196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28 318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2CBCE076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47 292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4FBEA34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62 203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2F54B6D7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133 175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FF729CC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129 578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280B7331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117 219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A4EF0D9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80 795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217A8AB4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28 658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527D502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37 971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1423A1B8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27 055</w:t>
            </w:r>
          </w:p>
        </w:tc>
      </w:tr>
      <w:tr w:rsidR="00736AA9" w:rsidRPr="00C634AD" w14:paraId="3572122F" w14:textId="77777777" w:rsidTr="00C634AD">
        <w:trPr>
          <w:trHeight w:val="227"/>
        </w:trPr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30FD6690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color w:val="000000"/>
                <w:sz w:val="16"/>
                <w:szCs w:val="16"/>
              </w:rPr>
              <w:t>Nemocnice 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4548034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25 337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38C6EEDB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46 468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2C62897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62 360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47100B50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133 512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D8EC977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124 597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79D3A60E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113 428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7966065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80 967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6EFCDF86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26 567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61819E7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24 091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15A6A76F" w14:textId="77777777" w:rsidR="00736AA9" w:rsidRPr="00C634AD" w:rsidRDefault="00965C3C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-</w:t>
            </w:r>
          </w:p>
        </w:tc>
      </w:tr>
      <w:tr w:rsidR="00736AA9" w:rsidRPr="00C634AD" w14:paraId="6DC7B46C" w14:textId="77777777" w:rsidTr="00C634AD">
        <w:trPr>
          <w:trHeight w:val="227"/>
        </w:trPr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74306C23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color w:val="000000"/>
                <w:sz w:val="16"/>
                <w:szCs w:val="16"/>
              </w:rPr>
              <w:t>Nemocnice 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0B17D78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26 828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342716B9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48 447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A9F7E8A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62 434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33C6567A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133 847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AF05C7D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123 922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5218FCE7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114 880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3AB0D6D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80 308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742ECA76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28 588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21A1617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26 642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7DCE48B1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28 352</w:t>
            </w:r>
          </w:p>
        </w:tc>
      </w:tr>
      <w:tr w:rsidR="00736AA9" w:rsidRPr="00C634AD" w14:paraId="2593E7D2" w14:textId="77777777" w:rsidTr="00C634AD">
        <w:trPr>
          <w:trHeight w:val="227"/>
        </w:trPr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21617278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color w:val="000000"/>
                <w:sz w:val="16"/>
                <w:szCs w:val="16"/>
              </w:rPr>
              <w:t>Nemocnice 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2713A57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25 367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3CD7DFCA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46 614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0B12D76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62 391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6829E2FA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133 578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9F58C3B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124 659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4C116D21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114 010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3945F95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82 715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7E23B3BD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27 397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AB346FB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26 025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0AB6E5A0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25 072</w:t>
            </w:r>
          </w:p>
        </w:tc>
      </w:tr>
      <w:tr w:rsidR="00736AA9" w:rsidRPr="00C634AD" w14:paraId="4BDFB7FD" w14:textId="77777777" w:rsidTr="00C634AD">
        <w:trPr>
          <w:trHeight w:val="227"/>
        </w:trPr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36311BB6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color w:val="000000"/>
                <w:sz w:val="16"/>
                <w:szCs w:val="16"/>
              </w:rPr>
              <w:t>Nemocnice 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500E658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25 299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5E916D8C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46 540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C247AD0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65 392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6E884711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133 719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D1B3848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124 791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184B0B95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115 752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2081C7D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82 733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5C399437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26 711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7F7F3A6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27 212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6E4AEFD5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27 724</w:t>
            </w:r>
          </w:p>
        </w:tc>
      </w:tr>
      <w:tr w:rsidR="00736AA9" w:rsidRPr="00C634AD" w14:paraId="50029E98" w14:textId="77777777" w:rsidTr="00C634AD">
        <w:trPr>
          <w:trHeight w:val="227"/>
        </w:trPr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60A23741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color w:val="000000"/>
                <w:sz w:val="16"/>
                <w:szCs w:val="16"/>
              </w:rPr>
              <w:t>Nemocnice 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A2EAA5B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25 671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7B4A348E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45 748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8CF2112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59 117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6D34A88C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131 060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832EA1D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122 668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744C19B2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111 672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682C697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79 713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02094B54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26 156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99B7908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26 310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1C7F057F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27 188</w:t>
            </w:r>
          </w:p>
        </w:tc>
      </w:tr>
      <w:tr w:rsidR="00736AA9" w:rsidRPr="00C634AD" w14:paraId="7EDBB662" w14:textId="77777777" w:rsidTr="00C634AD">
        <w:trPr>
          <w:trHeight w:val="227"/>
        </w:trPr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0F8B15AC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Times New Roman" w:cs="Calibri"/>
                <w:color w:val="000000"/>
                <w:sz w:val="16"/>
                <w:szCs w:val="16"/>
              </w:rPr>
              <w:t>Nemocnice 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5CB22E7" w14:textId="77777777" w:rsidR="00736AA9" w:rsidRPr="00C634AD" w:rsidRDefault="00965C3C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3D06D355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46 651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9E62E6F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62 606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1E9027E7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140 146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B5778A6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125 088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05BC46D5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113 875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2F61AA5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82 399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5668E76F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27 275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1836FB5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27 451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7A61392F" w14:textId="77777777" w:rsidR="00736AA9" w:rsidRPr="00C634AD" w:rsidRDefault="00736AA9" w:rsidP="00D723A6">
            <w:pPr>
              <w:widowControl/>
              <w:autoSpaceDE/>
              <w:autoSpaceDN/>
              <w:adjustRightInd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634AD">
              <w:rPr>
                <w:rFonts w:eastAsia="Calibri" w:cs="Calibri"/>
                <w:sz w:val="16"/>
                <w:szCs w:val="16"/>
                <w:lang w:eastAsia="en-US"/>
              </w:rPr>
              <w:t>27 586</w:t>
            </w:r>
          </w:p>
        </w:tc>
      </w:tr>
      <w:tr w:rsidR="00DB30DE" w:rsidRPr="00C634AD" w14:paraId="244C856A" w14:textId="77777777" w:rsidTr="00C634AD">
        <w:trPr>
          <w:trHeight w:val="227"/>
        </w:trPr>
        <w:tc>
          <w:tcPr>
            <w:tcW w:w="1059" w:type="dxa"/>
            <w:shd w:val="clear" w:color="auto" w:fill="auto"/>
            <w:noWrap/>
            <w:vAlign w:val="center"/>
          </w:tcPr>
          <w:p w14:paraId="4DF0C69C" w14:textId="2B8C5702" w:rsidR="00DB30DE" w:rsidRPr="00C634AD" w:rsidRDefault="002C6A39" w:rsidP="00D723A6">
            <w:pPr>
              <w:widowControl/>
              <w:autoSpaceDE/>
              <w:autoSpaceDN/>
              <w:adjustRightInd/>
              <w:jc w:val="left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R</w:t>
            </w:r>
            <w:r w:rsidR="00DB30DE" w:rsidRPr="00C634AD">
              <w:rPr>
                <w:rFonts w:eastAsia="Times New Roman" w:cs="Calibri"/>
                <w:b/>
                <w:color w:val="000000"/>
                <w:sz w:val="16"/>
                <w:szCs w:val="16"/>
              </w:rPr>
              <w:t>ozdíl*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 xml:space="preserve"> (v %)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9003600" w14:textId="77777777" w:rsidR="00DB30DE" w:rsidRPr="00C634AD" w:rsidRDefault="00DB30DE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 w:rsidRPr="00C634AD">
              <w:rPr>
                <w:rFonts w:eastAsia="Calibri" w:cs="Calibri"/>
                <w:b/>
                <w:sz w:val="16"/>
                <w:szCs w:val="16"/>
                <w:lang w:eastAsia="en-US"/>
              </w:rPr>
              <w:t>12,01 %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82463FD" w14:textId="77777777" w:rsidR="00DB30DE" w:rsidRPr="00C634AD" w:rsidRDefault="00DB30DE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 w:rsidRPr="00C634AD">
              <w:rPr>
                <w:rFonts w:eastAsia="Calibri" w:cs="Calibri"/>
                <w:b/>
                <w:sz w:val="16"/>
                <w:szCs w:val="16"/>
                <w:lang w:eastAsia="en-US"/>
              </w:rPr>
              <w:t>4,10 %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71C870C" w14:textId="77777777" w:rsidR="00DB30DE" w:rsidRPr="00C634AD" w:rsidRDefault="00DB30DE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 w:rsidRPr="00C634AD">
              <w:rPr>
                <w:rFonts w:eastAsia="Calibri" w:cs="Calibri"/>
                <w:b/>
                <w:sz w:val="16"/>
                <w:szCs w:val="16"/>
                <w:lang w:eastAsia="en-US"/>
              </w:rPr>
              <w:t>10,61 %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1C75C2A9" w14:textId="77777777" w:rsidR="00DB30DE" w:rsidRPr="00C634AD" w:rsidRDefault="00DB30DE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 w:rsidRPr="00C634AD">
              <w:rPr>
                <w:rFonts w:eastAsia="Calibri" w:cs="Calibri"/>
                <w:b/>
                <w:sz w:val="16"/>
                <w:szCs w:val="16"/>
                <w:lang w:eastAsia="en-US"/>
              </w:rPr>
              <w:t>6,93 %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CB98510" w14:textId="77777777" w:rsidR="00DB30DE" w:rsidRPr="00C634AD" w:rsidRDefault="00DB30DE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 w:rsidRPr="00C634AD">
              <w:rPr>
                <w:rFonts w:eastAsia="Calibri" w:cs="Calibri"/>
                <w:b/>
                <w:sz w:val="16"/>
                <w:szCs w:val="16"/>
                <w:lang w:eastAsia="en-US"/>
              </w:rPr>
              <w:t>5,63 %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432B571" w14:textId="77777777" w:rsidR="00DB30DE" w:rsidRPr="00C634AD" w:rsidRDefault="00DB30DE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 w:rsidRPr="00C634AD">
              <w:rPr>
                <w:rFonts w:eastAsia="Calibri" w:cs="Calibri"/>
                <w:b/>
                <w:sz w:val="16"/>
                <w:szCs w:val="16"/>
                <w:lang w:eastAsia="en-US"/>
              </w:rPr>
              <w:t>53,62 %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86788FE" w14:textId="77777777" w:rsidR="00DB30DE" w:rsidRPr="00C634AD" w:rsidRDefault="00DB30DE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 w:rsidRPr="00C634AD">
              <w:rPr>
                <w:rFonts w:eastAsia="Calibri" w:cs="Calibri"/>
                <w:b/>
                <w:sz w:val="16"/>
                <w:szCs w:val="16"/>
                <w:lang w:eastAsia="en-US"/>
              </w:rPr>
              <w:t>3,79 %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46FF430D" w14:textId="77777777" w:rsidR="00DB30DE" w:rsidRPr="00C634AD" w:rsidRDefault="00DB30DE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 w:rsidRPr="00C634AD">
              <w:rPr>
                <w:rFonts w:eastAsia="Calibri" w:cs="Calibri"/>
                <w:b/>
                <w:sz w:val="16"/>
                <w:szCs w:val="16"/>
                <w:lang w:eastAsia="en-US"/>
              </w:rPr>
              <w:t>13,70 %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9BC2E34" w14:textId="77777777" w:rsidR="00DB30DE" w:rsidRPr="00C634AD" w:rsidRDefault="00DB30DE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 w:rsidRPr="00C634AD">
              <w:rPr>
                <w:rFonts w:eastAsia="Calibri" w:cs="Calibri"/>
                <w:b/>
                <w:sz w:val="16"/>
                <w:szCs w:val="16"/>
                <w:lang w:eastAsia="en-US"/>
              </w:rPr>
              <w:t>57,62 %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3454A9F" w14:textId="77777777" w:rsidR="00DB30DE" w:rsidRPr="00C634AD" w:rsidRDefault="00DB30DE" w:rsidP="00D723A6">
            <w:pPr>
              <w:widowControl/>
              <w:autoSpaceDE/>
              <w:autoSpaceDN/>
              <w:adjustRightInd/>
              <w:ind w:right="57"/>
              <w:jc w:val="right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 w:rsidRPr="00C634AD">
              <w:rPr>
                <w:rFonts w:eastAsia="Calibri" w:cs="Calibri"/>
                <w:b/>
                <w:sz w:val="16"/>
                <w:szCs w:val="16"/>
                <w:lang w:eastAsia="en-US"/>
              </w:rPr>
              <w:t>19,17 %</w:t>
            </w:r>
          </w:p>
        </w:tc>
      </w:tr>
    </w:tbl>
    <w:p w14:paraId="26A6EA35" w14:textId="41F2C277" w:rsidR="00736AA9" w:rsidRPr="00C634AD" w:rsidRDefault="00736AA9" w:rsidP="00D723A6">
      <w:pPr>
        <w:widowControl/>
        <w:autoSpaceDE/>
        <w:autoSpaceDN/>
        <w:adjustRightInd/>
        <w:spacing w:before="40"/>
        <w:rPr>
          <w:rFonts w:eastAsia="Calibri" w:cs="Times New Roman"/>
          <w:sz w:val="20"/>
        </w:rPr>
      </w:pPr>
      <w:r w:rsidRPr="00C634AD">
        <w:rPr>
          <w:rFonts w:eastAsia="Calibri" w:cs="Times New Roman"/>
          <w:b/>
          <w:sz w:val="20"/>
        </w:rPr>
        <w:t>Zdroj:</w:t>
      </w:r>
      <w:r w:rsidRPr="00C634AD">
        <w:rPr>
          <w:rFonts w:eastAsia="Calibri" w:cs="Times New Roman"/>
          <w:sz w:val="20"/>
        </w:rPr>
        <w:t xml:space="preserve"> </w:t>
      </w:r>
      <w:r w:rsidR="002C6A39">
        <w:rPr>
          <w:rFonts w:eastAsia="Calibri" w:cs="Times New Roman"/>
          <w:sz w:val="20"/>
        </w:rPr>
        <w:t>vy</w:t>
      </w:r>
      <w:r w:rsidRPr="00C634AD">
        <w:rPr>
          <w:rFonts w:eastAsia="Calibri" w:cs="Times New Roman"/>
          <w:sz w:val="20"/>
        </w:rPr>
        <w:t>pracoval NKÚ na základě dat ZPMV</w:t>
      </w:r>
      <w:r w:rsidR="001A2913" w:rsidRPr="00C634AD">
        <w:rPr>
          <w:rFonts w:eastAsia="Calibri" w:cs="Times New Roman"/>
          <w:sz w:val="20"/>
        </w:rPr>
        <w:t>.</w:t>
      </w:r>
    </w:p>
    <w:p w14:paraId="6C73BDA8" w14:textId="191B27CC" w:rsidR="00736AA9" w:rsidRPr="00C634AD" w:rsidRDefault="00736AA9" w:rsidP="002C6A39">
      <w:pPr>
        <w:widowControl/>
        <w:autoSpaceDE/>
        <w:autoSpaceDN/>
        <w:adjustRightInd/>
        <w:ind w:left="567" w:hanging="567"/>
        <w:rPr>
          <w:rFonts w:eastAsia="Calibri" w:cs="Times New Roman"/>
          <w:sz w:val="20"/>
        </w:rPr>
      </w:pPr>
      <w:r w:rsidRPr="00C634AD">
        <w:rPr>
          <w:rFonts w:eastAsia="Calibri" w:cs="Times New Roman"/>
          <w:b/>
          <w:sz w:val="20"/>
        </w:rPr>
        <w:t>Pozn.:</w:t>
      </w:r>
      <w:r w:rsidRPr="00C634AD">
        <w:rPr>
          <w:rFonts w:eastAsia="Calibri" w:cs="Times New Roman"/>
          <w:sz w:val="20"/>
        </w:rPr>
        <w:t xml:space="preserve"> * </w:t>
      </w:r>
      <w:r w:rsidR="002C6A39">
        <w:rPr>
          <w:rFonts w:eastAsia="Calibri" w:cs="Times New Roman"/>
          <w:sz w:val="20"/>
        </w:rPr>
        <w:t>Procentuální</w:t>
      </w:r>
      <w:r w:rsidRPr="00C634AD">
        <w:rPr>
          <w:rFonts w:eastAsia="Calibri" w:cs="Times New Roman"/>
          <w:sz w:val="20"/>
        </w:rPr>
        <w:t xml:space="preserve"> </w:t>
      </w:r>
      <w:r w:rsidR="00480E13" w:rsidRPr="00C634AD">
        <w:rPr>
          <w:rFonts w:eastAsia="Calibri" w:cs="Times New Roman"/>
          <w:sz w:val="20"/>
        </w:rPr>
        <w:t>rozdíl mezi minimální a maximální úhradou za jeden hospitalizační případ stejné CZ-DRG kategorie.</w:t>
      </w:r>
    </w:p>
    <w:sectPr w:rsidR="00736AA9" w:rsidRPr="00C634AD" w:rsidSect="00EF32C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C938B" w14:textId="77777777" w:rsidR="002101A6" w:rsidRDefault="002101A6" w:rsidP="00246D13">
      <w:r>
        <w:separator/>
      </w:r>
    </w:p>
  </w:endnote>
  <w:endnote w:type="continuationSeparator" w:id="0">
    <w:p w14:paraId="535C6254" w14:textId="77777777" w:rsidR="002101A6" w:rsidRDefault="002101A6" w:rsidP="0024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3547624"/>
      <w:docPartObj>
        <w:docPartGallery w:val="Page Numbers (Bottom of Page)"/>
        <w:docPartUnique/>
      </w:docPartObj>
    </w:sdtPr>
    <w:sdtEndPr/>
    <w:sdtContent>
      <w:p w14:paraId="5A6DFA47" w14:textId="6239AF63" w:rsidR="002101A6" w:rsidRDefault="002101A6" w:rsidP="00EF32C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A6902" w14:textId="77777777" w:rsidR="002101A6" w:rsidRDefault="002101A6" w:rsidP="00EF32C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F0B7F" w14:textId="77777777" w:rsidR="002101A6" w:rsidRDefault="002101A6" w:rsidP="00246D13">
      <w:r>
        <w:separator/>
      </w:r>
    </w:p>
  </w:footnote>
  <w:footnote w:type="continuationSeparator" w:id="0">
    <w:p w14:paraId="5CD06512" w14:textId="77777777" w:rsidR="002101A6" w:rsidRDefault="002101A6" w:rsidP="00246D13">
      <w:r>
        <w:continuationSeparator/>
      </w:r>
    </w:p>
  </w:footnote>
  <w:footnote w:id="1">
    <w:p w14:paraId="7A25ED8C" w14:textId="0E27932D" w:rsidR="002101A6" w:rsidRPr="000D648F" w:rsidRDefault="002101A6" w:rsidP="000D648F">
      <w:pPr>
        <w:pStyle w:val="Textpoznpodarou"/>
        <w:ind w:left="284" w:hanging="284"/>
      </w:pPr>
      <w:r w:rsidRPr="000D648F">
        <w:rPr>
          <w:rStyle w:val="Znakapoznpodarou"/>
          <w:rFonts w:eastAsia="Times New Roman"/>
          <w:sz w:val="20"/>
        </w:rPr>
        <w:footnoteRef/>
      </w:r>
      <w:r w:rsidRPr="000D648F">
        <w:t xml:space="preserve"> </w:t>
      </w:r>
      <w:r>
        <w:tab/>
      </w:r>
      <w:r w:rsidRPr="000D648F">
        <w:rPr>
          <w:rStyle w:val="ZdrojChar"/>
          <w:rFonts w:eastAsiaTheme="minorEastAsia"/>
          <w:i w:val="0"/>
        </w:rPr>
        <w:t>Prostředky vybírané na základě zákona ve prospěch Zdravotní pojišťovny ministerstva vnitra České republiky.</w:t>
      </w:r>
    </w:p>
  </w:footnote>
  <w:footnote w:id="2">
    <w:p w14:paraId="1C171351" w14:textId="1F45E8A3" w:rsidR="002101A6" w:rsidRPr="000D648F" w:rsidRDefault="002101A6" w:rsidP="000D648F">
      <w:pPr>
        <w:pStyle w:val="Zdroj"/>
        <w:ind w:left="284" w:hanging="284"/>
        <w:rPr>
          <w:i w:val="0"/>
        </w:rPr>
      </w:pPr>
      <w:r w:rsidRPr="000D648F">
        <w:rPr>
          <w:rStyle w:val="Znakapoznpodarou"/>
          <w:i w:val="0"/>
        </w:rPr>
        <w:footnoteRef/>
      </w:r>
      <w:r w:rsidRPr="000D648F">
        <w:rPr>
          <w:i w:val="0"/>
        </w:rPr>
        <w:t xml:space="preserve"> </w:t>
      </w:r>
      <w:r>
        <w:rPr>
          <w:i w:val="0"/>
        </w:rPr>
        <w:tab/>
      </w:r>
      <w:r w:rsidRPr="000D648F">
        <w:rPr>
          <w:i w:val="0"/>
        </w:rPr>
        <w:t>Zákon č. 134/2016 Sb., o zadávání veřejných zakázek.</w:t>
      </w:r>
    </w:p>
  </w:footnote>
  <w:footnote w:id="3">
    <w:p w14:paraId="66F5DA66" w14:textId="57FA6D09" w:rsidR="002101A6" w:rsidRPr="000D648F" w:rsidRDefault="002101A6" w:rsidP="000D648F">
      <w:pPr>
        <w:pStyle w:val="Zdroj"/>
        <w:ind w:left="284" w:hanging="284"/>
        <w:rPr>
          <w:i w:val="0"/>
        </w:rPr>
      </w:pPr>
      <w:r w:rsidRPr="000D648F">
        <w:rPr>
          <w:rStyle w:val="Znakapoznpodarou"/>
          <w:i w:val="0"/>
        </w:rPr>
        <w:footnoteRef/>
      </w:r>
      <w:r w:rsidRPr="000D648F">
        <w:rPr>
          <w:i w:val="0"/>
        </w:rPr>
        <w:t xml:space="preserve"> </w:t>
      </w:r>
      <w:r>
        <w:rPr>
          <w:i w:val="0"/>
        </w:rPr>
        <w:tab/>
      </w:r>
      <w:r w:rsidRPr="000D648F">
        <w:rPr>
          <w:i w:val="0"/>
        </w:rPr>
        <w:t>Zákon č. 563/1991 Sb., o účetnictví.</w:t>
      </w:r>
    </w:p>
  </w:footnote>
  <w:footnote w:id="4">
    <w:p w14:paraId="00C867C8" w14:textId="3D35D879" w:rsidR="002101A6" w:rsidRPr="000D648F" w:rsidRDefault="002101A6" w:rsidP="000D648F">
      <w:pPr>
        <w:pStyle w:val="Zdroj"/>
        <w:ind w:left="284" w:hanging="284"/>
        <w:rPr>
          <w:i w:val="0"/>
        </w:rPr>
      </w:pPr>
      <w:r w:rsidRPr="000D648F">
        <w:rPr>
          <w:rStyle w:val="Znakapoznpodarou"/>
          <w:i w:val="0"/>
        </w:rPr>
        <w:footnoteRef/>
      </w:r>
      <w:r w:rsidRPr="000D648F">
        <w:rPr>
          <w:i w:val="0"/>
        </w:rPr>
        <w:t xml:space="preserve"> </w:t>
      </w:r>
      <w:r>
        <w:rPr>
          <w:i w:val="0"/>
        </w:rPr>
        <w:tab/>
      </w:r>
      <w:r w:rsidRPr="000D648F">
        <w:rPr>
          <w:i w:val="0"/>
        </w:rPr>
        <w:t xml:space="preserve">Ustanovení § 18 odst. 2 a ustanovení § 26 odst. 1 zákona č. 134/2016 Sb., o zadávání veřejných zakázek. </w:t>
      </w:r>
    </w:p>
  </w:footnote>
  <w:footnote w:id="5">
    <w:p w14:paraId="23420646" w14:textId="55BE6A81" w:rsidR="002101A6" w:rsidRPr="000D648F" w:rsidRDefault="002101A6" w:rsidP="000D648F">
      <w:pPr>
        <w:pStyle w:val="Zdroj"/>
        <w:ind w:left="284" w:hanging="284"/>
        <w:rPr>
          <w:i w:val="0"/>
        </w:rPr>
      </w:pPr>
      <w:r w:rsidRPr="000D648F">
        <w:rPr>
          <w:rStyle w:val="Znakapoznpodarou"/>
          <w:i w:val="0"/>
        </w:rPr>
        <w:footnoteRef/>
      </w:r>
      <w:r w:rsidRPr="000D648F">
        <w:rPr>
          <w:i w:val="0"/>
        </w:rPr>
        <w:t xml:space="preserve"> </w:t>
      </w:r>
      <w:r>
        <w:rPr>
          <w:i w:val="0"/>
        </w:rPr>
        <w:tab/>
      </w:r>
      <w:r w:rsidRPr="000D648F">
        <w:rPr>
          <w:i w:val="0"/>
        </w:rPr>
        <w:t>Ustanovení § 6 odst. 1 a 2 zákona č. 134/2016 Sb.</w:t>
      </w:r>
    </w:p>
  </w:footnote>
  <w:footnote w:id="6">
    <w:p w14:paraId="36F78220" w14:textId="674DD80F" w:rsidR="002101A6" w:rsidRPr="006F282F" w:rsidRDefault="002101A6" w:rsidP="006F282F">
      <w:pPr>
        <w:pStyle w:val="Textpoznpodarou"/>
        <w:ind w:left="284" w:hanging="284"/>
      </w:pPr>
      <w:r w:rsidRPr="006F282F">
        <w:rPr>
          <w:rFonts w:eastAsia="Times New Roman"/>
          <w:sz w:val="20"/>
          <w:vertAlign w:val="superscript"/>
        </w:rPr>
        <w:footnoteRef/>
      </w:r>
      <w:r w:rsidRPr="006F282F">
        <w:rPr>
          <w:rFonts w:eastAsia="Times New Roman"/>
          <w:sz w:val="20"/>
          <w:vertAlign w:val="superscript"/>
        </w:rPr>
        <w:t xml:space="preserve"> </w:t>
      </w:r>
      <w:r>
        <w:rPr>
          <w:rFonts w:eastAsia="Times New Roman"/>
          <w:sz w:val="20"/>
          <w:vertAlign w:val="superscript"/>
        </w:rPr>
        <w:tab/>
      </w:r>
      <w:r w:rsidRPr="006F282F">
        <w:rPr>
          <w:rFonts w:eastAsia="Times New Roman"/>
          <w:sz w:val="20"/>
        </w:rPr>
        <w:t>Ustanovení § 4 odst. 1 písm. b) zákona</w:t>
      </w:r>
      <w:r w:rsidRPr="006F282F">
        <w:t xml:space="preserve"> </w:t>
      </w:r>
      <w:r w:rsidRPr="006F282F">
        <w:rPr>
          <w:rFonts w:eastAsia="Times New Roman"/>
          <w:sz w:val="20"/>
        </w:rPr>
        <w:t>č. 320/2001 Sb., o finanční kontrole ve veřejné správě a o změně některých zákonů (zákon o finanční kontrole).</w:t>
      </w:r>
    </w:p>
  </w:footnote>
  <w:footnote w:id="7">
    <w:p w14:paraId="515E33AC" w14:textId="4A77D2DE" w:rsidR="002101A6" w:rsidRPr="000D648F" w:rsidRDefault="002101A6" w:rsidP="000D648F">
      <w:pPr>
        <w:pStyle w:val="Textpoznpodarou"/>
        <w:ind w:left="284" w:hanging="284"/>
      </w:pPr>
      <w:r w:rsidRPr="000D648F">
        <w:rPr>
          <w:rStyle w:val="Znakapoznpodarou"/>
          <w:rFonts w:eastAsia="Times New Roman"/>
          <w:sz w:val="20"/>
        </w:rPr>
        <w:footnoteRef/>
      </w:r>
      <w:r w:rsidRPr="000D648F">
        <w:rPr>
          <w:rStyle w:val="Znakapoznpodarou"/>
          <w:rFonts w:eastAsia="Times New Roman"/>
          <w:sz w:val="20"/>
        </w:rPr>
        <w:t xml:space="preserve"> </w:t>
      </w:r>
      <w:r>
        <w:rPr>
          <w:rFonts w:eastAsia="Times New Roman"/>
          <w:sz w:val="20"/>
        </w:rPr>
        <w:tab/>
      </w:r>
      <w:r w:rsidRPr="000D648F">
        <w:rPr>
          <w:rFonts w:eastAsia="Times New Roman"/>
          <w:sz w:val="20"/>
        </w:rPr>
        <w:t>Program podpory profesí s vyšším zdravotním rizikem.</w:t>
      </w:r>
    </w:p>
  </w:footnote>
  <w:footnote w:id="8">
    <w:p w14:paraId="71B1A3B6" w14:textId="71E1589A" w:rsidR="002101A6" w:rsidRPr="000D648F" w:rsidRDefault="002101A6" w:rsidP="000D648F">
      <w:pPr>
        <w:pStyle w:val="Zdroj"/>
        <w:ind w:left="284" w:hanging="284"/>
        <w:rPr>
          <w:i w:val="0"/>
        </w:rPr>
      </w:pPr>
      <w:r w:rsidRPr="000D648F">
        <w:rPr>
          <w:rStyle w:val="Znakapoznpodarou"/>
          <w:i w:val="0"/>
        </w:rPr>
        <w:footnoteRef/>
      </w:r>
      <w:r w:rsidRPr="000D648F">
        <w:rPr>
          <w:i w:val="0"/>
        </w:rPr>
        <w:t xml:space="preserve"> </w:t>
      </w:r>
      <w:r>
        <w:rPr>
          <w:i w:val="0"/>
        </w:rPr>
        <w:tab/>
      </w:r>
      <w:r w:rsidRPr="000D648F">
        <w:rPr>
          <w:i w:val="0"/>
        </w:rPr>
        <w:t>Ustanovení § 8 odst. 5 zákona č. 48/1997 Sb., o veřejném zdravotním pojištění a o změně a doplnění některých souvisejících zákonů.</w:t>
      </w:r>
    </w:p>
  </w:footnote>
  <w:footnote w:id="9">
    <w:p w14:paraId="46E26BC9" w14:textId="6D10F07F" w:rsidR="002101A6" w:rsidRPr="000D648F" w:rsidRDefault="002101A6" w:rsidP="000D648F">
      <w:pPr>
        <w:pStyle w:val="Zdroj"/>
        <w:ind w:left="284" w:hanging="284"/>
        <w:rPr>
          <w:i w:val="0"/>
        </w:rPr>
      </w:pPr>
      <w:r w:rsidRPr="000D648F">
        <w:rPr>
          <w:rStyle w:val="Znakapoznpodarou"/>
          <w:i w:val="0"/>
        </w:rPr>
        <w:footnoteRef/>
      </w:r>
      <w:r w:rsidRPr="000D648F">
        <w:rPr>
          <w:i w:val="0"/>
        </w:rPr>
        <w:t xml:space="preserve"> </w:t>
      </w:r>
      <w:r>
        <w:rPr>
          <w:i w:val="0"/>
        </w:rPr>
        <w:tab/>
      </w:r>
      <w:r w:rsidRPr="000D648F">
        <w:rPr>
          <w:i w:val="0"/>
        </w:rPr>
        <w:t>Zákon č. 340/2015 Sb., o zvláštních podmínkách účinnosti některých smluv, uveřejňování těchto smluv a o registru smluv (zákon o registru smluv).</w:t>
      </w:r>
    </w:p>
  </w:footnote>
  <w:footnote w:id="10">
    <w:p w14:paraId="774DE2CC" w14:textId="33A9A270" w:rsidR="002101A6" w:rsidRPr="006F282F" w:rsidRDefault="002101A6" w:rsidP="006F282F">
      <w:pPr>
        <w:pStyle w:val="Textpoznpodarou"/>
        <w:ind w:left="284" w:hanging="284"/>
        <w:rPr>
          <w:rFonts w:cs="Calibri"/>
        </w:rPr>
      </w:pPr>
      <w:r w:rsidRPr="006F282F">
        <w:rPr>
          <w:rFonts w:eastAsia="Times New Roman" w:cs="Calibri"/>
          <w:sz w:val="20"/>
          <w:vertAlign w:val="superscript"/>
        </w:rPr>
        <w:footnoteRef/>
      </w:r>
      <w:r w:rsidRPr="006F282F">
        <w:rPr>
          <w:rFonts w:eastAsia="Times New Roman" w:cs="Calibri"/>
          <w:sz w:val="20"/>
          <w:vertAlign w:val="superscript"/>
        </w:rPr>
        <w:t xml:space="preserve"> </w:t>
      </w:r>
      <w:r>
        <w:rPr>
          <w:rFonts w:eastAsia="Times New Roman" w:cs="Calibri"/>
          <w:sz w:val="20"/>
          <w:vertAlign w:val="superscript"/>
        </w:rPr>
        <w:tab/>
      </w:r>
      <w:r w:rsidRPr="006F282F">
        <w:rPr>
          <w:rFonts w:eastAsia="Times New Roman" w:cs="Calibri"/>
          <w:sz w:val="20"/>
        </w:rPr>
        <w:t>Ustanovení § 1 odst. 3 věta třetí zákona č. 563/1991 Sb.</w:t>
      </w:r>
    </w:p>
  </w:footnote>
  <w:footnote w:id="11">
    <w:p w14:paraId="020291B7" w14:textId="0DC970D7" w:rsidR="002101A6" w:rsidRPr="006F282F" w:rsidRDefault="002101A6" w:rsidP="006F282F">
      <w:pPr>
        <w:pStyle w:val="Textpoznpodarou"/>
        <w:ind w:left="284" w:hanging="284"/>
        <w:rPr>
          <w:rFonts w:cs="Calibri"/>
        </w:rPr>
      </w:pPr>
      <w:r w:rsidRPr="006F282F">
        <w:rPr>
          <w:rFonts w:eastAsia="Times New Roman" w:cs="Calibri"/>
          <w:sz w:val="20"/>
          <w:vertAlign w:val="superscript"/>
        </w:rPr>
        <w:footnoteRef/>
      </w:r>
      <w:r w:rsidRPr="006F282F">
        <w:rPr>
          <w:rFonts w:eastAsia="Times New Roman" w:cs="Calibri"/>
          <w:sz w:val="20"/>
          <w:vertAlign w:val="superscript"/>
        </w:rPr>
        <w:t xml:space="preserve"> </w:t>
      </w:r>
      <w:r>
        <w:rPr>
          <w:rFonts w:eastAsia="Times New Roman" w:cs="Calibri"/>
          <w:sz w:val="20"/>
          <w:vertAlign w:val="superscript"/>
        </w:rPr>
        <w:tab/>
      </w:r>
      <w:r w:rsidRPr="006F282F">
        <w:rPr>
          <w:rFonts w:eastAsia="Times New Roman" w:cs="Calibri"/>
          <w:sz w:val="20"/>
        </w:rPr>
        <w:t>Ustanovení § 16 odst. 1 zákona České národní rady č. 280/1992 Sb.</w:t>
      </w:r>
    </w:p>
  </w:footnote>
  <w:footnote w:id="12">
    <w:p w14:paraId="1C54727C" w14:textId="03FAACE5" w:rsidR="002101A6" w:rsidRPr="006F282F" w:rsidRDefault="002101A6" w:rsidP="006F282F">
      <w:pPr>
        <w:pStyle w:val="Zdroj"/>
        <w:ind w:left="284" w:hanging="284"/>
        <w:rPr>
          <w:rFonts w:cs="Calibri"/>
          <w:i w:val="0"/>
        </w:rPr>
      </w:pPr>
      <w:r w:rsidRPr="006F282F">
        <w:rPr>
          <w:rFonts w:cs="Calibri"/>
          <w:i w:val="0"/>
          <w:vertAlign w:val="superscript"/>
        </w:rPr>
        <w:footnoteRef/>
      </w:r>
      <w:r w:rsidRPr="006F282F">
        <w:rPr>
          <w:rFonts w:cs="Calibri"/>
          <w:i w:val="0"/>
        </w:rPr>
        <w:t xml:space="preserve"> </w:t>
      </w:r>
      <w:r>
        <w:rPr>
          <w:rFonts w:cs="Calibri"/>
          <w:i w:val="0"/>
        </w:rPr>
        <w:tab/>
      </w:r>
      <w:r w:rsidRPr="006F282F">
        <w:rPr>
          <w:rFonts w:cs="Calibri"/>
          <w:i w:val="0"/>
        </w:rPr>
        <w:t>Ustanovení § 16 odst. 4 zákona České národní rady č. 280/1992 Sb.</w:t>
      </w:r>
    </w:p>
  </w:footnote>
  <w:footnote w:id="13">
    <w:p w14:paraId="17301082" w14:textId="6C7F5B72" w:rsidR="002101A6" w:rsidRPr="00F70894" w:rsidRDefault="002101A6" w:rsidP="00F70894">
      <w:pPr>
        <w:pStyle w:val="Zdroj"/>
        <w:ind w:left="284" w:hanging="284"/>
        <w:rPr>
          <w:i w:val="0"/>
        </w:rPr>
      </w:pPr>
      <w:r w:rsidRPr="00F70894">
        <w:rPr>
          <w:i w:val="0"/>
          <w:vertAlign w:val="superscript"/>
        </w:rPr>
        <w:footnoteRef/>
      </w:r>
      <w:r w:rsidRPr="00F70894">
        <w:rPr>
          <w:i w:val="0"/>
        </w:rPr>
        <w:t xml:space="preserve"> </w:t>
      </w:r>
      <w:r>
        <w:rPr>
          <w:i w:val="0"/>
        </w:rPr>
        <w:tab/>
      </w:r>
      <w:r w:rsidRPr="00F70894">
        <w:rPr>
          <w:i w:val="0"/>
        </w:rPr>
        <w:t>Ustanovení § 16 odst. 5 zákona České národní rady č. 280/1992 Sb.</w:t>
      </w:r>
    </w:p>
  </w:footnote>
  <w:footnote w:id="14">
    <w:p w14:paraId="29F5F82F" w14:textId="4D91C6AB" w:rsidR="002101A6" w:rsidRPr="00F70894" w:rsidRDefault="002101A6" w:rsidP="00F70894">
      <w:pPr>
        <w:pStyle w:val="Zdroj"/>
        <w:ind w:left="284" w:hanging="284"/>
        <w:rPr>
          <w:i w:val="0"/>
        </w:rPr>
      </w:pPr>
      <w:r w:rsidRPr="00F70894">
        <w:rPr>
          <w:rStyle w:val="Znakapoznpodarou"/>
          <w:i w:val="0"/>
        </w:rPr>
        <w:footnoteRef/>
      </w:r>
      <w:r w:rsidRPr="00F70894">
        <w:rPr>
          <w:i w:val="0"/>
        </w:rPr>
        <w:t xml:space="preserve"> </w:t>
      </w:r>
      <w:r>
        <w:rPr>
          <w:i w:val="0"/>
        </w:rPr>
        <w:tab/>
      </w:r>
      <w:r w:rsidRPr="00F70894">
        <w:rPr>
          <w:i w:val="0"/>
        </w:rPr>
        <w:t>Vyhláška č. 416/2004 Sb., kterou se provádí zákon č. 320/2001 Sb., o finanční kontrole ve veřejné správě a o změně některých zákonů (zákon o finanční kontrole), ve znění zákona č. 309/2002 Sb., zákona č. 320/2002 Sb. a zákona č. 123/2003 Sb.</w:t>
      </w:r>
    </w:p>
  </w:footnote>
  <w:footnote w:id="15">
    <w:p w14:paraId="5C3EFC50" w14:textId="0AA1C58D" w:rsidR="002101A6" w:rsidRPr="007A5E00" w:rsidRDefault="002101A6" w:rsidP="007A5E00">
      <w:pPr>
        <w:pStyle w:val="Zdroj"/>
        <w:ind w:left="284" w:hanging="284"/>
        <w:rPr>
          <w:i w:val="0"/>
        </w:rPr>
      </w:pPr>
      <w:r w:rsidRPr="007A5E00">
        <w:rPr>
          <w:rStyle w:val="Znakapoznpodarou"/>
          <w:i w:val="0"/>
        </w:rPr>
        <w:footnoteRef/>
      </w:r>
      <w:r w:rsidRPr="007A5E00">
        <w:rPr>
          <w:i w:val="0"/>
        </w:rPr>
        <w:t xml:space="preserve"> </w:t>
      </w:r>
      <w:r>
        <w:rPr>
          <w:i w:val="0"/>
        </w:rPr>
        <w:tab/>
      </w:r>
      <w:r w:rsidRPr="007A5E00">
        <w:rPr>
          <w:i w:val="0"/>
        </w:rPr>
        <w:t>Ustanovení § 18 odst. 2 a ustanovení § 26 odst. 1 zákona č. 134/2016 Sb.</w:t>
      </w:r>
    </w:p>
  </w:footnote>
  <w:footnote w:id="16">
    <w:p w14:paraId="77626FB6" w14:textId="3A72CBAE" w:rsidR="002101A6" w:rsidRPr="007A5E00" w:rsidRDefault="002101A6" w:rsidP="007A5E00">
      <w:pPr>
        <w:pStyle w:val="Zdroj"/>
        <w:ind w:left="284" w:hanging="284"/>
        <w:rPr>
          <w:i w:val="0"/>
        </w:rPr>
      </w:pPr>
      <w:r w:rsidRPr="007A5E00">
        <w:rPr>
          <w:rStyle w:val="Znakapoznpodarou"/>
          <w:i w:val="0"/>
        </w:rPr>
        <w:footnoteRef/>
      </w:r>
      <w:r w:rsidRPr="007A5E00">
        <w:rPr>
          <w:i w:val="0"/>
        </w:rPr>
        <w:t xml:space="preserve"> </w:t>
      </w:r>
      <w:r>
        <w:rPr>
          <w:i w:val="0"/>
        </w:rPr>
        <w:tab/>
      </w:r>
      <w:r w:rsidRPr="007A5E00">
        <w:rPr>
          <w:i w:val="0"/>
        </w:rPr>
        <w:t>Ustanovení § 6 odst. 1 a 2 zákona č. 134/2016 Sb.</w:t>
      </w:r>
    </w:p>
  </w:footnote>
  <w:footnote w:id="17">
    <w:p w14:paraId="1664937A" w14:textId="058FC582" w:rsidR="002101A6" w:rsidRPr="00DE2E69" w:rsidRDefault="002101A6" w:rsidP="00DE2E69">
      <w:pPr>
        <w:pStyle w:val="Textpoznpodarou"/>
        <w:ind w:left="284" w:hanging="284"/>
      </w:pPr>
      <w:r w:rsidRPr="00DE2E69">
        <w:rPr>
          <w:rStyle w:val="Znakapoznpodarou"/>
          <w:rFonts w:eastAsia="Times New Roman"/>
          <w:sz w:val="20"/>
        </w:rPr>
        <w:footnoteRef/>
      </w:r>
      <w:r>
        <w:rPr>
          <w:rFonts w:eastAsia="Calibri"/>
          <w:sz w:val="20"/>
        </w:rPr>
        <w:t xml:space="preserve"> </w:t>
      </w:r>
      <w:r>
        <w:rPr>
          <w:rFonts w:eastAsia="Calibri"/>
          <w:sz w:val="20"/>
        </w:rPr>
        <w:tab/>
      </w:r>
      <w:r w:rsidRPr="00091B04">
        <w:rPr>
          <w:rFonts w:eastAsia="Calibri"/>
          <w:i/>
          <w:sz w:val="20"/>
        </w:rPr>
        <w:t>Cost-benefit analysis</w:t>
      </w:r>
      <w:r w:rsidRPr="00DE2E69">
        <w:rPr>
          <w:rFonts w:eastAsia="Calibri"/>
          <w:sz w:val="20"/>
        </w:rPr>
        <w:t xml:space="preserve"> je anglický výraz, který se do češtiny překládá jako </w:t>
      </w:r>
      <w:r>
        <w:rPr>
          <w:rFonts w:eastAsia="Calibri"/>
          <w:sz w:val="20"/>
        </w:rPr>
        <w:t>a</w:t>
      </w:r>
      <w:r w:rsidRPr="00DE2E69">
        <w:rPr>
          <w:rFonts w:eastAsia="Calibri"/>
          <w:sz w:val="20"/>
        </w:rPr>
        <w:t>nalýza nákladů a přínosů. Jedná se o metodický nástroj, který slouží k hodnocení projektů veřejné sféry a obsahuje postup řešení problémů. Nejedná se o náklady v účetním slova smyslu, ale spíše o jakési „újmy“, resp. negativní dopady.</w:t>
      </w:r>
    </w:p>
  </w:footnote>
  <w:footnote w:id="18">
    <w:p w14:paraId="2B7A7AA0" w14:textId="41CEABC0" w:rsidR="002101A6" w:rsidRPr="00A67063" w:rsidRDefault="002101A6" w:rsidP="00A67063">
      <w:pPr>
        <w:pStyle w:val="Textpoznpodarou"/>
        <w:ind w:left="284" w:hanging="284"/>
        <w:rPr>
          <w:i/>
          <w:sz w:val="20"/>
        </w:rPr>
      </w:pPr>
      <w:r w:rsidRPr="00A67063">
        <w:rPr>
          <w:rStyle w:val="Znakapoznpodarou"/>
          <w:sz w:val="20"/>
        </w:rPr>
        <w:footnoteRef/>
      </w:r>
      <w:r w:rsidRPr="00A67063">
        <w:rPr>
          <w:sz w:val="20"/>
        </w:rPr>
        <w:t xml:space="preserve"> </w:t>
      </w:r>
      <w:r>
        <w:rPr>
          <w:rStyle w:val="ZdrojChar"/>
          <w:rFonts w:eastAsiaTheme="minorEastAsia"/>
          <w:i w:val="0"/>
        </w:rPr>
        <w:tab/>
      </w:r>
      <w:r w:rsidRPr="00A67063">
        <w:rPr>
          <w:rStyle w:val="ZdrojChar"/>
          <w:rFonts w:eastAsiaTheme="minorEastAsia"/>
          <w:i w:val="0"/>
        </w:rPr>
        <w:t>Ustanovení § 4 odst. 1 písm. b) zákona č. 320/2001 Sb.</w:t>
      </w:r>
    </w:p>
  </w:footnote>
  <w:footnote w:id="19">
    <w:p w14:paraId="14BF14A9" w14:textId="06528F8F" w:rsidR="002101A6" w:rsidRPr="00A67063" w:rsidRDefault="002101A6" w:rsidP="00A67063">
      <w:pPr>
        <w:pStyle w:val="Zdroj"/>
        <w:ind w:left="284" w:hanging="284"/>
        <w:rPr>
          <w:i w:val="0"/>
        </w:rPr>
      </w:pPr>
      <w:r w:rsidRPr="00A67063">
        <w:rPr>
          <w:rStyle w:val="Znakapoznpodarou"/>
          <w:i w:val="0"/>
        </w:rPr>
        <w:footnoteRef/>
      </w:r>
      <w:r w:rsidRPr="00A67063">
        <w:rPr>
          <w:i w:val="0"/>
        </w:rPr>
        <w:t xml:space="preserve"> </w:t>
      </w:r>
      <w:r>
        <w:rPr>
          <w:i w:val="0"/>
        </w:rPr>
        <w:tab/>
      </w:r>
      <w:r w:rsidRPr="00A67063">
        <w:rPr>
          <w:b/>
          <w:i w:val="0"/>
        </w:rPr>
        <w:t>Kategorie I</w:t>
      </w:r>
      <w:r>
        <w:rPr>
          <w:b/>
          <w:i w:val="0"/>
        </w:rPr>
        <w:t>:</w:t>
      </w:r>
      <w:r w:rsidRPr="00A67063">
        <w:rPr>
          <w:i w:val="0"/>
        </w:rPr>
        <w:t xml:space="preserve"> Prevence infekčních onemocnění – očkování, </w:t>
      </w:r>
      <w:r>
        <w:rPr>
          <w:i w:val="0"/>
        </w:rPr>
        <w:t>p</w:t>
      </w:r>
      <w:r w:rsidRPr="00A67063">
        <w:rPr>
          <w:i w:val="0"/>
        </w:rPr>
        <w:t xml:space="preserve">revence civilizačních nemocí – preventivní prohlídky nad rámec v.z.p., </w:t>
      </w:r>
      <w:r>
        <w:rPr>
          <w:i w:val="0"/>
        </w:rPr>
        <w:t>p</w:t>
      </w:r>
      <w:r w:rsidRPr="00A67063">
        <w:rPr>
          <w:i w:val="0"/>
        </w:rPr>
        <w:t xml:space="preserve">revence civilizačních nemocí – rehabilitace nad rámec v.z.p., </w:t>
      </w:r>
      <w:r>
        <w:rPr>
          <w:i w:val="0"/>
        </w:rPr>
        <w:t>p</w:t>
      </w:r>
      <w:r w:rsidRPr="00A67063">
        <w:rPr>
          <w:i w:val="0"/>
        </w:rPr>
        <w:t>revence civilizačních nemocí</w:t>
      </w:r>
      <w:r>
        <w:rPr>
          <w:i w:val="0"/>
        </w:rPr>
        <w:t> </w:t>
      </w:r>
      <w:r w:rsidRPr="00A67063">
        <w:rPr>
          <w:i w:val="0"/>
        </w:rPr>
        <w:t xml:space="preserve">– léčebné procedury nad rámec v.z.p., </w:t>
      </w:r>
      <w:r>
        <w:rPr>
          <w:i w:val="0"/>
        </w:rPr>
        <w:t>p</w:t>
      </w:r>
      <w:r w:rsidRPr="00A67063">
        <w:rPr>
          <w:i w:val="0"/>
        </w:rPr>
        <w:t>revence civilizačních nemocí – rehabilitační a</w:t>
      </w:r>
      <w:r>
        <w:rPr>
          <w:i w:val="0"/>
        </w:rPr>
        <w:t> </w:t>
      </w:r>
      <w:r w:rsidRPr="00A67063">
        <w:rPr>
          <w:i w:val="0"/>
        </w:rPr>
        <w:t xml:space="preserve">léčebně preventivní pobyt, </w:t>
      </w:r>
      <w:r>
        <w:rPr>
          <w:i w:val="0"/>
        </w:rPr>
        <w:t>v</w:t>
      </w:r>
      <w:r w:rsidRPr="00A67063">
        <w:rPr>
          <w:i w:val="0"/>
        </w:rPr>
        <w:t>itamíny, iontové nápoje, doplňky stravy, prostředky „první pomoci“.</w:t>
      </w:r>
    </w:p>
    <w:p w14:paraId="01884448" w14:textId="779B1E1C" w:rsidR="002101A6" w:rsidRPr="00A67063" w:rsidRDefault="002101A6" w:rsidP="00A67063">
      <w:pPr>
        <w:pStyle w:val="Zdroj"/>
        <w:ind w:left="284"/>
        <w:rPr>
          <w:i w:val="0"/>
        </w:rPr>
      </w:pPr>
      <w:r w:rsidRPr="00A67063">
        <w:rPr>
          <w:b/>
          <w:i w:val="0"/>
        </w:rPr>
        <w:t>Kategorie II</w:t>
      </w:r>
      <w:r>
        <w:rPr>
          <w:b/>
          <w:i w:val="0"/>
        </w:rPr>
        <w:t>:</w:t>
      </w:r>
      <w:r w:rsidRPr="00A67063">
        <w:rPr>
          <w:i w:val="0"/>
        </w:rPr>
        <w:t xml:space="preserve"> Prevence infekčních onemocnění – očkování, </w:t>
      </w:r>
      <w:r>
        <w:rPr>
          <w:i w:val="0"/>
        </w:rPr>
        <w:t>p</w:t>
      </w:r>
      <w:r w:rsidRPr="00A67063">
        <w:rPr>
          <w:i w:val="0"/>
        </w:rPr>
        <w:t xml:space="preserve">revence civilizačních nemocí – preventivní prohlídky nad rámec v.z.p., </w:t>
      </w:r>
      <w:r>
        <w:rPr>
          <w:i w:val="0"/>
        </w:rPr>
        <w:t>p</w:t>
      </w:r>
      <w:r w:rsidRPr="00A67063">
        <w:rPr>
          <w:i w:val="0"/>
        </w:rPr>
        <w:t xml:space="preserve">revence civilizačních nemocí – rehabilitace nad rámec v.z.p., </w:t>
      </w:r>
      <w:r>
        <w:rPr>
          <w:i w:val="0"/>
        </w:rPr>
        <w:t>v</w:t>
      </w:r>
      <w:r w:rsidRPr="00A67063">
        <w:rPr>
          <w:i w:val="0"/>
        </w:rPr>
        <w:t>itamíny.</w:t>
      </w:r>
    </w:p>
    <w:p w14:paraId="63B02A10" w14:textId="786D0120" w:rsidR="002101A6" w:rsidRPr="00A67063" w:rsidRDefault="002101A6" w:rsidP="00F70894">
      <w:pPr>
        <w:pStyle w:val="Zdroj"/>
        <w:ind w:left="284"/>
        <w:rPr>
          <w:i w:val="0"/>
        </w:rPr>
      </w:pPr>
      <w:r w:rsidRPr="00A67063">
        <w:rPr>
          <w:b/>
          <w:i w:val="0"/>
        </w:rPr>
        <w:t>Kategorie III</w:t>
      </w:r>
      <w:r>
        <w:rPr>
          <w:b/>
          <w:i w:val="0"/>
        </w:rPr>
        <w:t>:</w:t>
      </w:r>
      <w:r w:rsidRPr="00A67063">
        <w:rPr>
          <w:i w:val="0"/>
        </w:rPr>
        <w:t xml:space="preserve"> Prevence civilizačních nemocí – preventivní prohlídky nad rámec v.z.p., </w:t>
      </w:r>
      <w:r>
        <w:rPr>
          <w:i w:val="0"/>
        </w:rPr>
        <w:t>p</w:t>
      </w:r>
      <w:r w:rsidRPr="00A67063">
        <w:rPr>
          <w:i w:val="0"/>
        </w:rPr>
        <w:t xml:space="preserve">revence civilizačních nemocí – rehabilitace nad rámec v.z.p., </w:t>
      </w:r>
      <w:r>
        <w:rPr>
          <w:i w:val="0"/>
        </w:rPr>
        <w:t>v</w:t>
      </w:r>
      <w:r w:rsidRPr="00A67063">
        <w:rPr>
          <w:i w:val="0"/>
        </w:rPr>
        <w:t>itamíny.</w:t>
      </w:r>
    </w:p>
  </w:footnote>
  <w:footnote w:id="20">
    <w:p w14:paraId="69342C35" w14:textId="4B2EC753" w:rsidR="002101A6" w:rsidRPr="00856FCB" w:rsidRDefault="002101A6" w:rsidP="00856FCB">
      <w:pPr>
        <w:pStyle w:val="Zdroj"/>
        <w:ind w:left="284" w:hanging="284"/>
        <w:rPr>
          <w:i w:val="0"/>
        </w:rPr>
      </w:pPr>
      <w:r w:rsidRPr="00856FCB">
        <w:rPr>
          <w:rStyle w:val="Znakapoznpodarou"/>
          <w:i w:val="0"/>
        </w:rPr>
        <w:footnoteRef/>
      </w:r>
      <w:r w:rsidRPr="00856FCB">
        <w:rPr>
          <w:i w:val="0"/>
        </w:rPr>
        <w:t xml:space="preserve"> </w:t>
      </w:r>
      <w:r>
        <w:rPr>
          <w:i w:val="0"/>
        </w:rPr>
        <w:tab/>
      </w:r>
      <w:r w:rsidRPr="00856FCB">
        <w:rPr>
          <w:i w:val="0"/>
        </w:rPr>
        <w:t xml:space="preserve">Jednalo se o příspěvky z programu prevence ostatních onemocnění, programu podpory specifických diet, programu podpory dlouhodobých pohybových aktivit, programu podpory zdravého životního stylu a také o sezónní akci </w:t>
      </w:r>
      <w:r>
        <w:rPr>
          <w:i w:val="0"/>
        </w:rPr>
        <w:t>„</w:t>
      </w:r>
      <w:r w:rsidRPr="00856FCB">
        <w:rPr>
          <w:i w:val="0"/>
        </w:rPr>
        <w:t>silná imunita</w:t>
      </w:r>
      <w:r>
        <w:rPr>
          <w:i w:val="0"/>
        </w:rPr>
        <w:t>“</w:t>
      </w:r>
      <w:r w:rsidRPr="00856FCB">
        <w:rPr>
          <w:i w:val="0"/>
        </w:rPr>
        <w:t xml:space="preserve">, sezónní akci </w:t>
      </w:r>
      <w:r>
        <w:rPr>
          <w:i w:val="0"/>
        </w:rPr>
        <w:t>„</w:t>
      </w:r>
      <w:r w:rsidRPr="00856FCB">
        <w:rPr>
          <w:i w:val="0"/>
        </w:rPr>
        <w:t>dentální zdraví pro děti i dospělé</w:t>
      </w:r>
      <w:r>
        <w:rPr>
          <w:i w:val="0"/>
        </w:rPr>
        <w:t>“</w:t>
      </w:r>
      <w:r w:rsidRPr="00856FCB">
        <w:rPr>
          <w:i w:val="0"/>
        </w:rPr>
        <w:t xml:space="preserve"> a sezónní akci </w:t>
      </w:r>
      <w:r>
        <w:rPr>
          <w:i w:val="0"/>
        </w:rPr>
        <w:t>„</w:t>
      </w:r>
      <w:r w:rsidRPr="00856FCB">
        <w:rPr>
          <w:i w:val="0"/>
        </w:rPr>
        <w:t>dětské sportovní léto</w:t>
      </w:r>
      <w:r>
        <w:rPr>
          <w:i w:val="0"/>
        </w:rPr>
        <w:t>“</w:t>
      </w:r>
      <w:r w:rsidRPr="00856FCB">
        <w:rPr>
          <w:i w:val="0"/>
        </w:rPr>
        <w:t>.</w:t>
      </w:r>
    </w:p>
  </w:footnote>
  <w:footnote w:id="21">
    <w:p w14:paraId="670832D4" w14:textId="62C386FB" w:rsidR="002101A6" w:rsidRPr="00856FCB" w:rsidRDefault="002101A6" w:rsidP="00856FCB">
      <w:pPr>
        <w:pStyle w:val="Zdroj"/>
        <w:ind w:left="284" w:hanging="284"/>
        <w:rPr>
          <w:i w:val="0"/>
        </w:rPr>
      </w:pPr>
      <w:r w:rsidRPr="00856FCB">
        <w:rPr>
          <w:rStyle w:val="Znakapoznpodarou"/>
          <w:i w:val="0"/>
        </w:rPr>
        <w:footnoteRef/>
      </w:r>
      <w:r w:rsidRPr="00856FCB">
        <w:rPr>
          <w:i w:val="0"/>
        </w:rPr>
        <w:t xml:space="preserve"> </w:t>
      </w:r>
      <w:r>
        <w:rPr>
          <w:i w:val="0"/>
        </w:rPr>
        <w:tab/>
      </w:r>
      <w:r w:rsidRPr="00856FCB">
        <w:rPr>
          <w:i w:val="0"/>
        </w:rPr>
        <w:t>Ustanovení § 30 odst. 7 písm. c) zákona č. 563/1991 Sb.</w:t>
      </w:r>
    </w:p>
  </w:footnote>
  <w:footnote w:id="22">
    <w:p w14:paraId="4092D358" w14:textId="07ED6987" w:rsidR="002101A6" w:rsidRPr="00856FCB" w:rsidRDefault="002101A6" w:rsidP="00856FCB">
      <w:pPr>
        <w:pStyle w:val="Zdroj"/>
        <w:ind w:left="284" w:hanging="284"/>
        <w:rPr>
          <w:i w:val="0"/>
        </w:rPr>
      </w:pPr>
      <w:r w:rsidRPr="00856FCB">
        <w:rPr>
          <w:rStyle w:val="Znakapoznpodarou"/>
          <w:i w:val="0"/>
        </w:rPr>
        <w:footnoteRef/>
      </w:r>
      <w:r w:rsidRPr="00856FCB">
        <w:rPr>
          <w:i w:val="0"/>
        </w:rPr>
        <w:t xml:space="preserve"> </w:t>
      </w:r>
      <w:r>
        <w:rPr>
          <w:i w:val="0"/>
        </w:rPr>
        <w:tab/>
      </w:r>
      <w:r w:rsidRPr="00856FCB">
        <w:rPr>
          <w:i w:val="0"/>
        </w:rPr>
        <w:t>Ustanovení § 29 odst. 1 ve spojení s ustanovením § 30 odst. 1 písm. b) a odst. 7 písm. a) zákona č.</w:t>
      </w:r>
      <w:r>
        <w:rPr>
          <w:i w:val="0"/>
        </w:rPr>
        <w:t> </w:t>
      </w:r>
      <w:r w:rsidRPr="00856FCB">
        <w:rPr>
          <w:i w:val="0"/>
        </w:rPr>
        <w:t>563/1991 Sb.</w:t>
      </w:r>
    </w:p>
  </w:footnote>
  <w:footnote w:id="23">
    <w:p w14:paraId="5BC2B920" w14:textId="59D844D7" w:rsidR="002101A6" w:rsidRPr="00856FCB" w:rsidRDefault="002101A6" w:rsidP="00856FCB">
      <w:pPr>
        <w:pStyle w:val="Zdroj"/>
        <w:ind w:left="284" w:hanging="284"/>
        <w:rPr>
          <w:i w:val="0"/>
        </w:rPr>
      </w:pPr>
      <w:r w:rsidRPr="00856FCB">
        <w:rPr>
          <w:rStyle w:val="Znakapoznpodarou"/>
          <w:i w:val="0"/>
        </w:rPr>
        <w:footnoteRef/>
      </w:r>
      <w:r w:rsidRPr="00856FCB">
        <w:rPr>
          <w:i w:val="0"/>
        </w:rPr>
        <w:t xml:space="preserve"> </w:t>
      </w:r>
      <w:r>
        <w:rPr>
          <w:i w:val="0"/>
        </w:rPr>
        <w:tab/>
      </w:r>
      <w:r w:rsidRPr="00856FCB">
        <w:rPr>
          <w:i w:val="0"/>
        </w:rPr>
        <w:t>Ustanovení § 7 odst. 2 vyhlášky č. 270/2010 Sb., o inventarizaci majetku a závazků.</w:t>
      </w:r>
    </w:p>
  </w:footnote>
  <w:footnote w:id="24">
    <w:p w14:paraId="5844D884" w14:textId="58D5DF32" w:rsidR="002101A6" w:rsidRPr="00856FCB" w:rsidRDefault="002101A6" w:rsidP="00856FCB">
      <w:pPr>
        <w:pStyle w:val="Zdroj"/>
        <w:ind w:left="284" w:hanging="284"/>
        <w:rPr>
          <w:i w:val="0"/>
        </w:rPr>
      </w:pPr>
      <w:r w:rsidRPr="00856FCB">
        <w:rPr>
          <w:rStyle w:val="Znakapoznpodarou"/>
          <w:i w:val="0"/>
        </w:rPr>
        <w:footnoteRef/>
      </w:r>
      <w:r w:rsidRPr="00856FCB">
        <w:rPr>
          <w:i w:val="0"/>
        </w:rPr>
        <w:t xml:space="preserve"> </w:t>
      </w:r>
      <w:r>
        <w:rPr>
          <w:i w:val="0"/>
        </w:rPr>
        <w:tab/>
      </w:r>
      <w:r w:rsidRPr="00856FCB">
        <w:rPr>
          <w:i w:val="0"/>
        </w:rPr>
        <w:t>Ustanovení § 3 odst. 1 zákona č. 563/1991 Sb.</w:t>
      </w:r>
    </w:p>
  </w:footnote>
  <w:footnote w:id="25">
    <w:p w14:paraId="64331C43" w14:textId="5C949BED" w:rsidR="002101A6" w:rsidRPr="00856FCB" w:rsidRDefault="002101A6" w:rsidP="00856FCB">
      <w:pPr>
        <w:pStyle w:val="Zdroj"/>
        <w:ind w:left="284" w:hanging="284"/>
        <w:rPr>
          <w:i w:val="0"/>
        </w:rPr>
      </w:pPr>
      <w:r w:rsidRPr="00856FCB">
        <w:rPr>
          <w:rStyle w:val="Znakapoznpodarou"/>
          <w:i w:val="0"/>
        </w:rPr>
        <w:footnoteRef/>
      </w:r>
      <w:r w:rsidRPr="00856FCB">
        <w:rPr>
          <w:i w:val="0"/>
        </w:rPr>
        <w:t xml:space="preserve"> </w:t>
      </w:r>
      <w:r>
        <w:rPr>
          <w:i w:val="0"/>
        </w:rPr>
        <w:tab/>
      </w:r>
      <w:r w:rsidRPr="00856FCB">
        <w:rPr>
          <w:i w:val="0"/>
        </w:rPr>
        <w:t>Ustanovení § 8 odst. 2 a odst. 3 zákona č. 563/1991 Sb.</w:t>
      </w:r>
    </w:p>
  </w:footnote>
  <w:footnote w:id="26">
    <w:p w14:paraId="17D02E27" w14:textId="499A6EF0" w:rsidR="002101A6" w:rsidRPr="00AD75F9" w:rsidRDefault="002101A6" w:rsidP="00AD75F9">
      <w:pPr>
        <w:pStyle w:val="Zdroj"/>
        <w:ind w:left="284" w:hanging="284"/>
        <w:rPr>
          <w:i w:val="0"/>
        </w:rPr>
      </w:pPr>
      <w:r w:rsidRPr="00AD75F9">
        <w:rPr>
          <w:rStyle w:val="Znakapoznpodarou"/>
          <w:i w:val="0"/>
        </w:rPr>
        <w:footnoteRef/>
      </w:r>
      <w:r w:rsidRPr="00AD75F9">
        <w:rPr>
          <w:i w:val="0"/>
        </w:rPr>
        <w:t xml:space="preserve"> </w:t>
      </w:r>
      <w:r>
        <w:rPr>
          <w:i w:val="0"/>
        </w:rPr>
        <w:tab/>
      </w:r>
      <w:r w:rsidRPr="00AD75F9">
        <w:rPr>
          <w:i w:val="0"/>
        </w:rPr>
        <w:t>Ustanovení § 8 odst. 5 zákona č. 48/1997 Sb.</w:t>
      </w:r>
    </w:p>
  </w:footnote>
  <w:footnote w:id="27">
    <w:p w14:paraId="288752A7" w14:textId="5C90128A" w:rsidR="002101A6" w:rsidRPr="00AD75F9" w:rsidRDefault="002101A6" w:rsidP="00AD75F9">
      <w:pPr>
        <w:pStyle w:val="Zdroj"/>
        <w:ind w:left="284" w:hanging="284"/>
        <w:rPr>
          <w:i w:val="0"/>
        </w:rPr>
      </w:pPr>
      <w:r w:rsidRPr="00AD75F9">
        <w:rPr>
          <w:rStyle w:val="Znakapoznpodarou"/>
          <w:i w:val="0"/>
        </w:rPr>
        <w:footnoteRef/>
      </w:r>
      <w:r w:rsidRPr="00AD75F9">
        <w:rPr>
          <w:i w:val="0"/>
        </w:rPr>
        <w:t xml:space="preserve"> </w:t>
      </w:r>
      <w:r>
        <w:rPr>
          <w:i w:val="0"/>
        </w:rPr>
        <w:tab/>
      </w:r>
      <w:r w:rsidRPr="00AD75F9">
        <w:rPr>
          <w:i w:val="0"/>
        </w:rPr>
        <w:t>Ustanovení § 17 odst. 9 zákona č. 48/1997 Sb.</w:t>
      </w:r>
    </w:p>
  </w:footnote>
  <w:footnote w:id="28">
    <w:p w14:paraId="6A7AAB41" w14:textId="70A0D6D9" w:rsidR="002101A6" w:rsidRPr="00642014" w:rsidRDefault="002101A6" w:rsidP="00642014">
      <w:pPr>
        <w:pStyle w:val="Zdroj"/>
        <w:ind w:left="284" w:hanging="284"/>
        <w:rPr>
          <w:i w:val="0"/>
        </w:rPr>
      </w:pPr>
      <w:r w:rsidRPr="00642014">
        <w:rPr>
          <w:rStyle w:val="Znakapoznpodarou"/>
          <w:i w:val="0"/>
        </w:rPr>
        <w:footnoteRef/>
      </w:r>
      <w:r w:rsidRPr="00642014">
        <w:rPr>
          <w:i w:val="0"/>
        </w:rPr>
        <w:t> </w:t>
      </w:r>
      <w:r>
        <w:rPr>
          <w:i w:val="0"/>
        </w:rPr>
        <w:tab/>
      </w:r>
      <w:r w:rsidRPr="00642014">
        <w:rPr>
          <w:i w:val="0"/>
        </w:rPr>
        <w:t>Ustanovení § 5 odst. 1 zákona č. 340/2015 Sb., o zvláštních podmínkách účinnosti některých smluv, uveřejňování těchto smluv a o registru smluv (zákon o registru smluv).</w:t>
      </w:r>
    </w:p>
  </w:footnote>
  <w:footnote w:id="29">
    <w:p w14:paraId="7F08CD9A" w14:textId="655F3997" w:rsidR="002101A6" w:rsidRPr="00642014" w:rsidRDefault="002101A6" w:rsidP="00642014">
      <w:pPr>
        <w:pStyle w:val="Zdroj"/>
        <w:ind w:left="284" w:hanging="284"/>
        <w:rPr>
          <w:i w:val="0"/>
        </w:rPr>
      </w:pPr>
      <w:r w:rsidRPr="00642014">
        <w:rPr>
          <w:rStyle w:val="Znakapoznpodarou"/>
          <w:i w:val="0"/>
        </w:rPr>
        <w:footnoteRef/>
      </w:r>
      <w:r w:rsidRPr="00642014">
        <w:rPr>
          <w:i w:val="0"/>
        </w:rPr>
        <w:t xml:space="preserve"> </w:t>
      </w:r>
      <w:r>
        <w:rPr>
          <w:i w:val="0"/>
        </w:rPr>
        <w:tab/>
      </w:r>
      <w:r w:rsidRPr="00642014">
        <w:rPr>
          <w:i w:val="0"/>
        </w:rPr>
        <w:t>Ustanovení § 5 odst. 2 zákona č. 340/2015 Sb.</w:t>
      </w:r>
    </w:p>
  </w:footnote>
  <w:footnote w:id="30">
    <w:p w14:paraId="0FC489DB" w14:textId="11315251" w:rsidR="002101A6" w:rsidRPr="00642014" w:rsidRDefault="002101A6" w:rsidP="00642014">
      <w:pPr>
        <w:pStyle w:val="Zdroj"/>
        <w:ind w:left="284" w:hanging="284"/>
        <w:rPr>
          <w:i w:val="0"/>
        </w:rPr>
      </w:pPr>
      <w:r w:rsidRPr="00642014">
        <w:rPr>
          <w:rStyle w:val="Znakapoznpodarou"/>
          <w:i w:val="0"/>
        </w:rPr>
        <w:footnoteRef/>
      </w:r>
      <w:r w:rsidRPr="00642014">
        <w:rPr>
          <w:i w:val="0"/>
        </w:rPr>
        <w:t xml:space="preserve"> </w:t>
      </w:r>
      <w:r>
        <w:rPr>
          <w:i w:val="0"/>
        </w:rPr>
        <w:tab/>
      </w:r>
      <w:r w:rsidRPr="00642014">
        <w:rPr>
          <w:i w:val="0"/>
        </w:rPr>
        <w:t>Ustanovení § 6 odst. 1 a ustanovení § 7 odst. 1 zákona č. 340/2015 Sb.</w:t>
      </w:r>
    </w:p>
  </w:footnote>
  <w:footnote w:id="31">
    <w:p w14:paraId="01E9423F" w14:textId="2C2F9597" w:rsidR="002101A6" w:rsidRPr="00642014" w:rsidRDefault="002101A6" w:rsidP="00642014">
      <w:pPr>
        <w:pStyle w:val="Zdroj"/>
        <w:ind w:left="284" w:hanging="284"/>
        <w:rPr>
          <w:i w:val="0"/>
        </w:rPr>
      </w:pPr>
      <w:r w:rsidRPr="00642014">
        <w:rPr>
          <w:rStyle w:val="Znakapoznpodarou"/>
          <w:i w:val="0"/>
        </w:rPr>
        <w:footnoteRef/>
      </w:r>
      <w:r w:rsidRPr="00642014">
        <w:rPr>
          <w:i w:val="0"/>
        </w:rPr>
        <w:t xml:space="preserve"> </w:t>
      </w:r>
      <w:r>
        <w:rPr>
          <w:i w:val="0"/>
        </w:rPr>
        <w:tab/>
      </w:r>
      <w:r w:rsidRPr="00642014">
        <w:rPr>
          <w:i w:val="0"/>
        </w:rPr>
        <w:t>Ustanovení § 2991 odst. 1 a 2 zákona č. 89/2012 Sb., občanský zákoník.</w:t>
      </w:r>
    </w:p>
  </w:footnote>
  <w:footnote w:id="32">
    <w:p w14:paraId="6C9F1A64" w14:textId="388A831E" w:rsidR="002101A6" w:rsidRPr="00642014" w:rsidRDefault="002101A6" w:rsidP="00642014">
      <w:pPr>
        <w:pStyle w:val="Zdroj"/>
        <w:ind w:left="284" w:hanging="284"/>
        <w:rPr>
          <w:i w:val="0"/>
        </w:rPr>
      </w:pPr>
      <w:r w:rsidRPr="00642014">
        <w:rPr>
          <w:rStyle w:val="Znakapoznpodarou"/>
          <w:i w:val="0"/>
        </w:rPr>
        <w:footnoteRef/>
      </w:r>
      <w:r w:rsidRPr="00642014">
        <w:rPr>
          <w:i w:val="0"/>
        </w:rPr>
        <w:t xml:space="preserve"> </w:t>
      </w:r>
      <w:r>
        <w:rPr>
          <w:i w:val="0"/>
        </w:rPr>
        <w:tab/>
      </w:r>
      <w:r w:rsidRPr="00642014">
        <w:rPr>
          <w:i w:val="0"/>
        </w:rPr>
        <w:t>Ustanovení § 6 odst. 1 a 2, § 18 a § 26 zákona č. 134/2016 Sb.</w:t>
      </w:r>
    </w:p>
  </w:footnote>
  <w:footnote w:id="33">
    <w:p w14:paraId="2EC44E51" w14:textId="5CA1A03B" w:rsidR="002101A6" w:rsidRPr="000609AD" w:rsidRDefault="002101A6" w:rsidP="000609AD">
      <w:pPr>
        <w:pStyle w:val="Zdroj"/>
        <w:ind w:left="284" w:hanging="284"/>
        <w:rPr>
          <w:i w:val="0"/>
        </w:rPr>
      </w:pPr>
      <w:r w:rsidRPr="000609AD">
        <w:rPr>
          <w:rStyle w:val="Znakapoznpodarou"/>
          <w:i w:val="0"/>
        </w:rPr>
        <w:footnoteRef/>
      </w:r>
      <w:r w:rsidRPr="000609AD">
        <w:rPr>
          <w:i w:val="0"/>
        </w:rPr>
        <w:t xml:space="preserve"> </w:t>
      </w:r>
      <w:r>
        <w:rPr>
          <w:i w:val="0"/>
        </w:rPr>
        <w:tab/>
      </w:r>
      <w:r w:rsidRPr="000609AD">
        <w:rPr>
          <w:i w:val="0"/>
        </w:rPr>
        <w:t>Vzhledem k přechodu z klasifikace IR DRG na klasifikaci CZ-DRG nebyl do porovnání úhrad zahrnut rok 2020, neboť výkony</w:t>
      </w:r>
      <w:r w:rsidRPr="00D23A3C">
        <w:rPr>
          <w:i w:val="0"/>
        </w:rPr>
        <w:t xml:space="preserve"> </w:t>
      </w:r>
      <w:r w:rsidRPr="000609AD">
        <w:rPr>
          <w:i w:val="0"/>
        </w:rPr>
        <w:t>byly vykazovány v jiném klasifikačním systému.</w:t>
      </w:r>
    </w:p>
  </w:footnote>
  <w:footnote w:id="34">
    <w:p w14:paraId="3BFD37B1" w14:textId="60C34CD3" w:rsidR="002101A6" w:rsidRPr="00D23A3C" w:rsidRDefault="002101A6" w:rsidP="00E80B96">
      <w:pPr>
        <w:pStyle w:val="Zdroj"/>
        <w:ind w:left="284" w:hanging="284"/>
        <w:rPr>
          <w:i w:val="0"/>
        </w:rPr>
      </w:pPr>
      <w:r w:rsidRPr="00E80B96">
        <w:rPr>
          <w:rStyle w:val="Znakapoznpodarou"/>
          <w:i w:val="0"/>
        </w:rPr>
        <w:footnoteRef/>
      </w:r>
      <w:r w:rsidRPr="00E80B96">
        <w:rPr>
          <w:i w:val="0"/>
        </w:rPr>
        <w:t xml:space="preserve"> </w:t>
      </w:r>
      <w:r>
        <w:rPr>
          <w:i w:val="0"/>
        </w:rPr>
        <w:tab/>
      </w:r>
      <w:r w:rsidRPr="00D23A3C">
        <w:rPr>
          <w:i w:val="0"/>
        </w:rPr>
        <w:t>Jedná se o průměrnou složitost všech případů v dané kategorii CZ-DRG řešených při hospitalizaci v nemocnici. Představuje poměr mezi sumou relativních vah jednotlivých případů v dané kategorii CZ-DRG a počtem případů v dané kategorie CZ-DRG. Relativní váhu případu lze zjednodušeně definovat jako bodové ohodnocení nákladovosti daného případu.</w:t>
      </w:r>
    </w:p>
  </w:footnote>
  <w:footnote w:id="35">
    <w:p w14:paraId="64B7E980" w14:textId="3F8CD28C" w:rsidR="002101A6" w:rsidRPr="00C634AD" w:rsidRDefault="002101A6" w:rsidP="00C634AD">
      <w:pPr>
        <w:pStyle w:val="Zdroj"/>
        <w:ind w:left="284" w:hanging="284"/>
        <w:rPr>
          <w:i w:val="0"/>
        </w:rPr>
      </w:pPr>
      <w:r w:rsidRPr="00C634AD">
        <w:rPr>
          <w:rStyle w:val="Znakapoznpodarou"/>
          <w:i w:val="0"/>
        </w:rPr>
        <w:footnoteRef/>
      </w:r>
      <w:r w:rsidRPr="00C634AD">
        <w:rPr>
          <w:i w:val="0"/>
        </w:rPr>
        <w:t xml:space="preserve"> </w:t>
      </w:r>
      <w:r>
        <w:rPr>
          <w:i w:val="0"/>
        </w:rPr>
        <w:tab/>
      </w:r>
      <w:r w:rsidRPr="00C634AD">
        <w:rPr>
          <w:i w:val="0"/>
        </w:rPr>
        <w:t xml:space="preserve">ZPMV uvedla, že jde o situace tzv. outlierů (případ velmi se odlišující od ostatních případů či údajů z daného vzorku) </w:t>
      </w:r>
      <w:r>
        <w:rPr>
          <w:i w:val="0"/>
        </w:rPr>
        <w:t>–</w:t>
      </w:r>
      <w:r w:rsidRPr="00C634AD">
        <w:rPr>
          <w:i w:val="0"/>
        </w:rPr>
        <w:t xml:space="preserve"> časových a materiálových. Např. v případě časového hlediska jde o cíl zamezit nežádoucí motivaci PZS soustředit se pouze na nekomplikované případy na straně jedné či neúměrně zkracovat hospitalizace na straně druhé. Z uvedeného tedy plyne, že relativní váha je determinovaná složitostí případu, pokud nedojde k odlišné klasifikaci, a to jak v podobě délky hospitalizace, tak v podobě podaných zvlášť účtovaných léčivých přípravků a zvlášť účtovaného materiálu.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5C2D2" w14:textId="31CE3C7A" w:rsidR="002101A6" w:rsidRPr="00EF32C3" w:rsidRDefault="002101A6" w:rsidP="00EF16B2">
    <w:pPr>
      <w:pStyle w:val="Zhlav"/>
      <w:jc w:val="right"/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2DC31" w14:textId="0954982F" w:rsidR="002101A6" w:rsidRPr="002101A6" w:rsidRDefault="002101A6" w:rsidP="008B2AF4">
    <w:pPr>
      <w:pStyle w:val="Zhlav"/>
      <w:jc w:val="right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14D0CBD"/>
    <w:multiLevelType w:val="hybridMultilevel"/>
    <w:tmpl w:val="E63A02B4"/>
    <w:lvl w:ilvl="0" w:tplc="0405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" w15:restartNumberingAfterBreak="0">
    <w:nsid w:val="082C3E6A"/>
    <w:multiLevelType w:val="hybridMultilevel"/>
    <w:tmpl w:val="4A3E9D2C"/>
    <w:lvl w:ilvl="0" w:tplc="D666A7DE">
      <w:start w:val="1"/>
      <w:numFmt w:val="decimal"/>
      <w:lvlText w:val="%1"/>
      <w:lvlJc w:val="left"/>
      <w:pPr>
        <w:ind w:left="780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404DE"/>
    <w:multiLevelType w:val="multilevel"/>
    <w:tmpl w:val="7ACEC774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96822C8"/>
    <w:multiLevelType w:val="hybridMultilevel"/>
    <w:tmpl w:val="3442462C"/>
    <w:lvl w:ilvl="0" w:tplc="D666A7DE">
      <w:start w:val="1"/>
      <w:numFmt w:val="decimal"/>
      <w:lvlText w:val="%1"/>
      <w:lvlJc w:val="left"/>
      <w:pPr>
        <w:ind w:left="780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21483"/>
    <w:multiLevelType w:val="hybridMultilevel"/>
    <w:tmpl w:val="CE5ADDCC"/>
    <w:lvl w:ilvl="0" w:tplc="35D4709C">
      <w:start w:val="1"/>
      <w:numFmt w:val="decimal"/>
      <w:lvlText w:val="Tabulka č. %1: X"/>
      <w:lvlJc w:val="left"/>
      <w:pPr>
        <w:ind w:left="720" w:hanging="360"/>
      </w:pPr>
      <w:rPr>
        <w:rFonts w:cs="Times New Roman" w:hint="default"/>
      </w:rPr>
    </w:lvl>
    <w:lvl w:ilvl="1" w:tplc="70CCC108">
      <w:start w:val="1"/>
      <w:numFmt w:val="decimal"/>
      <w:pStyle w:val="Nzevtabulky"/>
      <w:suff w:val="space"/>
      <w:lvlText w:val="Tabulka č. %2:"/>
      <w:lvlJc w:val="left"/>
      <w:pPr>
        <w:ind w:left="0" w:firstLine="0"/>
      </w:pPr>
      <w:rPr>
        <w:rFonts w:asciiTheme="minorHAnsi" w:hAnsiTheme="minorHAnsi" w:cstheme="minorHAnsi" w:hint="default"/>
        <w:b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66590C"/>
    <w:multiLevelType w:val="hybridMultilevel"/>
    <w:tmpl w:val="F7B6B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23059"/>
    <w:multiLevelType w:val="hybridMultilevel"/>
    <w:tmpl w:val="ED3CC434"/>
    <w:lvl w:ilvl="0" w:tplc="7DAE0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F0E40"/>
    <w:multiLevelType w:val="hybridMultilevel"/>
    <w:tmpl w:val="AF724664"/>
    <w:lvl w:ilvl="0" w:tplc="08BA2DF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2635E"/>
    <w:multiLevelType w:val="hybridMultilevel"/>
    <w:tmpl w:val="9EBAECDC"/>
    <w:lvl w:ilvl="0" w:tplc="A4721A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A5C19"/>
    <w:multiLevelType w:val="hybridMultilevel"/>
    <w:tmpl w:val="00784DC4"/>
    <w:lvl w:ilvl="0" w:tplc="7DAE0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20B55"/>
    <w:multiLevelType w:val="hybridMultilevel"/>
    <w:tmpl w:val="E31C45B0"/>
    <w:lvl w:ilvl="0" w:tplc="7DAE0F74">
      <w:start w:val="1"/>
      <w:numFmt w:val="bullet"/>
      <w:lvlText w:val=""/>
      <w:lvlJc w:val="left"/>
      <w:pPr>
        <w:ind w:left="8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2" w15:restartNumberingAfterBreak="0">
    <w:nsid w:val="4F787E95"/>
    <w:multiLevelType w:val="hybridMultilevel"/>
    <w:tmpl w:val="F95A7AD8"/>
    <w:lvl w:ilvl="0" w:tplc="7DAE0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D1378"/>
    <w:multiLevelType w:val="hybridMultilevel"/>
    <w:tmpl w:val="0D364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C5BD6"/>
    <w:multiLevelType w:val="hybridMultilevel"/>
    <w:tmpl w:val="90464752"/>
    <w:lvl w:ilvl="0" w:tplc="2B9C4FB2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83FD0"/>
    <w:multiLevelType w:val="hybridMultilevel"/>
    <w:tmpl w:val="9EACD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82D17"/>
    <w:multiLevelType w:val="hybridMultilevel"/>
    <w:tmpl w:val="6B4E0318"/>
    <w:lvl w:ilvl="0" w:tplc="D666A7DE">
      <w:start w:val="1"/>
      <w:numFmt w:val="decimal"/>
      <w:lvlText w:val="%1"/>
      <w:lvlJc w:val="left"/>
      <w:pPr>
        <w:ind w:left="780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117B4"/>
    <w:multiLevelType w:val="hybridMultilevel"/>
    <w:tmpl w:val="F768F482"/>
    <w:lvl w:ilvl="0" w:tplc="7DAE0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15DD9"/>
    <w:multiLevelType w:val="hybridMultilevel"/>
    <w:tmpl w:val="9154D8DE"/>
    <w:lvl w:ilvl="0" w:tplc="7A30F1A0">
      <w:start w:val="1"/>
      <w:numFmt w:val="decimal"/>
      <w:pStyle w:val="tabulkaKP"/>
      <w:suff w:val="space"/>
      <w:lvlText w:val="Tabulka č. %1:"/>
      <w:lvlJc w:val="left"/>
      <w:pPr>
        <w:ind w:left="5953" w:firstLine="71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2516AF"/>
    <w:multiLevelType w:val="hybridMultilevel"/>
    <w:tmpl w:val="D2A2263E"/>
    <w:lvl w:ilvl="0" w:tplc="C3B0A7F8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13"/>
  </w:num>
  <w:num w:numId="6">
    <w:abstractNumId w:val="18"/>
  </w:num>
  <w:num w:numId="7">
    <w:abstractNumId w:val="9"/>
  </w:num>
  <w:num w:numId="8">
    <w:abstractNumId w:val="6"/>
  </w:num>
  <w:num w:numId="9">
    <w:abstractNumId w:val="14"/>
  </w:num>
  <w:num w:numId="10">
    <w:abstractNumId w:val="19"/>
  </w:num>
  <w:num w:numId="11">
    <w:abstractNumId w:val="7"/>
  </w:num>
  <w:num w:numId="12">
    <w:abstractNumId w:val="12"/>
  </w:num>
  <w:num w:numId="13">
    <w:abstractNumId w:val="17"/>
  </w:num>
  <w:num w:numId="14">
    <w:abstractNumId w:val="11"/>
  </w:num>
  <w:num w:numId="15">
    <w:abstractNumId w:val="15"/>
  </w:num>
  <w:num w:numId="16">
    <w:abstractNumId w:val="16"/>
  </w:num>
  <w:num w:numId="17">
    <w:abstractNumId w:val="2"/>
  </w:num>
  <w:num w:numId="18">
    <w:abstractNumId w:val="4"/>
  </w:num>
  <w:num w:numId="1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F08"/>
    <w:rsid w:val="000031EE"/>
    <w:rsid w:val="00003CEB"/>
    <w:rsid w:val="0000481E"/>
    <w:rsid w:val="00010147"/>
    <w:rsid w:val="0001091C"/>
    <w:rsid w:val="00010963"/>
    <w:rsid w:val="000111B5"/>
    <w:rsid w:val="00011538"/>
    <w:rsid w:val="00011658"/>
    <w:rsid w:val="00012219"/>
    <w:rsid w:val="00013997"/>
    <w:rsid w:val="00013DE6"/>
    <w:rsid w:val="00015E06"/>
    <w:rsid w:val="00017274"/>
    <w:rsid w:val="00017A9B"/>
    <w:rsid w:val="00021027"/>
    <w:rsid w:val="00021626"/>
    <w:rsid w:val="00021881"/>
    <w:rsid w:val="00026FAF"/>
    <w:rsid w:val="00027D28"/>
    <w:rsid w:val="00030434"/>
    <w:rsid w:val="000304AC"/>
    <w:rsid w:val="000316FC"/>
    <w:rsid w:val="0003208D"/>
    <w:rsid w:val="00033E89"/>
    <w:rsid w:val="00034F46"/>
    <w:rsid w:val="00035DA6"/>
    <w:rsid w:val="000415E0"/>
    <w:rsid w:val="00043835"/>
    <w:rsid w:val="0004503A"/>
    <w:rsid w:val="00046310"/>
    <w:rsid w:val="00047522"/>
    <w:rsid w:val="00051AF4"/>
    <w:rsid w:val="0005260B"/>
    <w:rsid w:val="00052815"/>
    <w:rsid w:val="00052B78"/>
    <w:rsid w:val="000536FC"/>
    <w:rsid w:val="0005394C"/>
    <w:rsid w:val="00053F92"/>
    <w:rsid w:val="00055C32"/>
    <w:rsid w:val="00056151"/>
    <w:rsid w:val="00056B22"/>
    <w:rsid w:val="00057529"/>
    <w:rsid w:val="00057ED5"/>
    <w:rsid w:val="00057EEC"/>
    <w:rsid w:val="000609AD"/>
    <w:rsid w:val="00061BE0"/>
    <w:rsid w:val="000622AB"/>
    <w:rsid w:val="000649F3"/>
    <w:rsid w:val="00064B07"/>
    <w:rsid w:val="000652DD"/>
    <w:rsid w:val="0006614A"/>
    <w:rsid w:val="00067186"/>
    <w:rsid w:val="00072A89"/>
    <w:rsid w:val="00072BAE"/>
    <w:rsid w:val="0007397A"/>
    <w:rsid w:val="00074A9A"/>
    <w:rsid w:val="00075FC8"/>
    <w:rsid w:val="00077785"/>
    <w:rsid w:val="00083720"/>
    <w:rsid w:val="00083F57"/>
    <w:rsid w:val="00091B04"/>
    <w:rsid w:val="00091F77"/>
    <w:rsid w:val="0009223C"/>
    <w:rsid w:val="000927EB"/>
    <w:rsid w:val="00093356"/>
    <w:rsid w:val="00097118"/>
    <w:rsid w:val="000A1C78"/>
    <w:rsid w:val="000A2392"/>
    <w:rsid w:val="000A2ADA"/>
    <w:rsid w:val="000A35C9"/>
    <w:rsid w:val="000A376C"/>
    <w:rsid w:val="000A39F4"/>
    <w:rsid w:val="000A4147"/>
    <w:rsid w:val="000A5981"/>
    <w:rsid w:val="000B1646"/>
    <w:rsid w:val="000B23E9"/>
    <w:rsid w:val="000B3833"/>
    <w:rsid w:val="000B7460"/>
    <w:rsid w:val="000C09A7"/>
    <w:rsid w:val="000C0E43"/>
    <w:rsid w:val="000C16EC"/>
    <w:rsid w:val="000C218A"/>
    <w:rsid w:val="000C46A3"/>
    <w:rsid w:val="000C516A"/>
    <w:rsid w:val="000C524D"/>
    <w:rsid w:val="000C5CE6"/>
    <w:rsid w:val="000C6B94"/>
    <w:rsid w:val="000D0E33"/>
    <w:rsid w:val="000D1776"/>
    <w:rsid w:val="000D1A14"/>
    <w:rsid w:val="000D2A50"/>
    <w:rsid w:val="000D2BA8"/>
    <w:rsid w:val="000D4E23"/>
    <w:rsid w:val="000D54BF"/>
    <w:rsid w:val="000D648F"/>
    <w:rsid w:val="000E09BA"/>
    <w:rsid w:val="000E1849"/>
    <w:rsid w:val="000E373D"/>
    <w:rsid w:val="000E3963"/>
    <w:rsid w:val="000E41DD"/>
    <w:rsid w:val="000E4561"/>
    <w:rsid w:val="000E489D"/>
    <w:rsid w:val="000E513C"/>
    <w:rsid w:val="000E675F"/>
    <w:rsid w:val="000E6F43"/>
    <w:rsid w:val="000E7F9C"/>
    <w:rsid w:val="000F3239"/>
    <w:rsid w:val="000F447F"/>
    <w:rsid w:val="000F580C"/>
    <w:rsid w:val="000F59C1"/>
    <w:rsid w:val="000F6AA7"/>
    <w:rsid w:val="00100F07"/>
    <w:rsid w:val="00103E2D"/>
    <w:rsid w:val="00103E6D"/>
    <w:rsid w:val="00103EA2"/>
    <w:rsid w:val="001061C3"/>
    <w:rsid w:val="00106B95"/>
    <w:rsid w:val="00114256"/>
    <w:rsid w:val="00114B9D"/>
    <w:rsid w:val="001157AE"/>
    <w:rsid w:val="001160E4"/>
    <w:rsid w:val="00116148"/>
    <w:rsid w:val="00120B13"/>
    <w:rsid w:val="0012122E"/>
    <w:rsid w:val="00121A69"/>
    <w:rsid w:val="00123FBF"/>
    <w:rsid w:val="00125BCD"/>
    <w:rsid w:val="00126A44"/>
    <w:rsid w:val="00126F3D"/>
    <w:rsid w:val="00127D60"/>
    <w:rsid w:val="00130106"/>
    <w:rsid w:val="00130521"/>
    <w:rsid w:val="001321CB"/>
    <w:rsid w:val="00134100"/>
    <w:rsid w:val="00136EC5"/>
    <w:rsid w:val="001374D0"/>
    <w:rsid w:val="00137683"/>
    <w:rsid w:val="00142524"/>
    <w:rsid w:val="00142D79"/>
    <w:rsid w:val="00144554"/>
    <w:rsid w:val="0015100B"/>
    <w:rsid w:val="0015152E"/>
    <w:rsid w:val="00152B0E"/>
    <w:rsid w:val="0015365D"/>
    <w:rsid w:val="001635AE"/>
    <w:rsid w:val="001676FC"/>
    <w:rsid w:val="001709A2"/>
    <w:rsid w:val="00175521"/>
    <w:rsid w:val="00175FA8"/>
    <w:rsid w:val="001805C5"/>
    <w:rsid w:val="00182D3D"/>
    <w:rsid w:val="00185680"/>
    <w:rsid w:val="00186779"/>
    <w:rsid w:val="00186960"/>
    <w:rsid w:val="00186E45"/>
    <w:rsid w:val="00187727"/>
    <w:rsid w:val="00187B6A"/>
    <w:rsid w:val="00190C85"/>
    <w:rsid w:val="00192A65"/>
    <w:rsid w:val="00193A85"/>
    <w:rsid w:val="001961EB"/>
    <w:rsid w:val="001969B5"/>
    <w:rsid w:val="001A1477"/>
    <w:rsid w:val="001A2913"/>
    <w:rsid w:val="001A3C6C"/>
    <w:rsid w:val="001A4F33"/>
    <w:rsid w:val="001A6917"/>
    <w:rsid w:val="001B0131"/>
    <w:rsid w:val="001B0857"/>
    <w:rsid w:val="001B16B9"/>
    <w:rsid w:val="001B324B"/>
    <w:rsid w:val="001B430F"/>
    <w:rsid w:val="001B4570"/>
    <w:rsid w:val="001B4E51"/>
    <w:rsid w:val="001B52BA"/>
    <w:rsid w:val="001B5E71"/>
    <w:rsid w:val="001C2403"/>
    <w:rsid w:val="001C6E60"/>
    <w:rsid w:val="001D2C6E"/>
    <w:rsid w:val="001D486A"/>
    <w:rsid w:val="001D58DD"/>
    <w:rsid w:val="001E0036"/>
    <w:rsid w:val="001E04EE"/>
    <w:rsid w:val="001E093D"/>
    <w:rsid w:val="001E0E7B"/>
    <w:rsid w:val="001E26B7"/>
    <w:rsid w:val="001E3141"/>
    <w:rsid w:val="001E3236"/>
    <w:rsid w:val="001E4C04"/>
    <w:rsid w:val="001E65F0"/>
    <w:rsid w:val="001E6745"/>
    <w:rsid w:val="001E6FCC"/>
    <w:rsid w:val="001E75DF"/>
    <w:rsid w:val="001F66AF"/>
    <w:rsid w:val="001F6EAA"/>
    <w:rsid w:val="001F6F8A"/>
    <w:rsid w:val="00200C26"/>
    <w:rsid w:val="00203572"/>
    <w:rsid w:val="00206284"/>
    <w:rsid w:val="002062FF"/>
    <w:rsid w:val="00206A7E"/>
    <w:rsid w:val="002070D8"/>
    <w:rsid w:val="002101A6"/>
    <w:rsid w:val="00210463"/>
    <w:rsid w:val="00211129"/>
    <w:rsid w:val="002111EB"/>
    <w:rsid w:val="00212386"/>
    <w:rsid w:val="00212B50"/>
    <w:rsid w:val="00213A37"/>
    <w:rsid w:val="0021625D"/>
    <w:rsid w:val="00216C02"/>
    <w:rsid w:val="0021775D"/>
    <w:rsid w:val="00220FCB"/>
    <w:rsid w:val="002218C8"/>
    <w:rsid w:val="00224590"/>
    <w:rsid w:val="002263CD"/>
    <w:rsid w:val="00226E7A"/>
    <w:rsid w:val="002300C5"/>
    <w:rsid w:val="00230815"/>
    <w:rsid w:val="00231E46"/>
    <w:rsid w:val="00232531"/>
    <w:rsid w:val="00233ECC"/>
    <w:rsid w:val="002353CB"/>
    <w:rsid w:val="0023743D"/>
    <w:rsid w:val="0024175D"/>
    <w:rsid w:val="002454A8"/>
    <w:rsid w:val="00246D13"/>
    <w:rsid w:val="00250324"/>
    <w:rsid w:val="002527CA"/>
    <w:rsid w:val="002529F7"/>
    <w:rsid w:val="00252DC8"/>
    <w:rsid w:val="00252F7A"/>
    <w:rsid w:val="002536CF"/>
    <w:rsid w:val="0025421C"/>
    <w:rsid w:val="00257617"/>
    <w:rsid w:val="0025782F"/>
    <w:rsid w:val="0026137C"/>
    <w:rsid w:val="00267691"/>
    <w:rsid w:val="00267B5E"/>
    <w:rsid w:val="0027025C"/>
    <w:rsid w:val="00270A1E"/>
    <w:rsid w:val="00273DE7"/>
    <w:rsid w:val="002742E9"/>
    <w:rsid w:val="00277208"/>
    <w:rsid w:val="0027772C"/>
    <w:rsid w:val="00277BC3"/>
    <w:rsid w:val="00285B86"/>
    <w:rsid w:val="00286E1F"/>
    <w:rsid w:val="00290188"/>
    <w:rsid w:val="00294CEE"/>
    <w:rsid w:val="00296E4A"/>
    <w:rsid w:val="002977BA"/>
    <w:rsid w:val="00297914"/>
    <w:rsid w:val="002A165D"/>
    <w:rsid w:val="002A1BB8"/>
    <w:rsid w:val="002A2999"/>
    <w:rsid w:val="002A58A2"/>
    <w:rsid w:val="002B1F50"/>
    <w:rsid w:val="002B27FB"/>
    <w:rsid w:val="002B2F42"/>
    <w:rsid w:val="002B46DF"/>
    <w:rsid w:val="002B6888"/>
    <w:rsid w:val="002C115F"/>
    <w:rsid w:val="002C14C4"/>
    <w:rsid w:val="002C489F"/>
    <w:rsid w:val="002C5079"/>
    <w:rsid w:val="002C50FD"/>
    <w:rsid w:val="002C6A39"/>
    <w:rsid w:val="002D037E"/>
    <w:rsid w:val="002D3635"/>
    <w:rsid w:val="002D58F7"/>
    <w:rsid w:val="002D6176"/>
    <w:rsid w:val="002D6ED3"/>
    <w:rsid w:val="002E3CDA"/>
    <w:rsid w:val="002E674F"/>
    <w:rsid w:val="002E726B"/>
    <w:rsid w:val="002E7D45"/>
    <w:rsid w:val="002F08A9"/>
    <w:rsid w:val="002F3380"/>
    <w:rsid w:val="002F3859"/>
    <w:rsid w:val="002F4BF5"/>
    <w:rsid w:val="002F5260"/>
    <w:rsid w:val="002F5A31"/>
    <w:rsid w:val="002F6077"/>
    <w:rsid w:val="002F7FCB"/>
    <w:rsid w:val="0030084F"/>
    <w:rsid w:val="00300A78"/>
    <w:rsid w:val="00301146"/>
    <w:rsid w:val="00303958"/>
    <w:rsid w:val="003042FC"/>
    <w:rsid w:val="00307226"/>
    <w:rsid w:val="003106AE"/>
    <w:rsid w:val="00310842"/>
    <w:rsid w:val="003111BB"/>
    <w:rsid w:val="00312C12"/>
    <w:rsid w:val="00315BA5"/>
    <w:rsid w:val="0032072E"/>
    <w:rsid w:val="00321E03"/>
    <w:rsid w:val="003221E7"/>
    <w:rsid w:val="003223EB"/>
    <w:rsid w:val="00322DC8"/>
    <w:rsid w:val="003230D4"/>
    <w:rsid w:val="003232AA"/>
    <w:rsid w:val="00323383"/>
    <w:rsid w:val="003248B9"/>
    <w:rsid w:val="0032668F"/>
    <w:rsid w:val="003304B2"/>
    <w:rsid w:val="00330A2E"/>
    <w:rsid w:val="00330D07"/>
    <w:rsid w:val="0033156B"/>
    <w:rsid w:val="00336169"/>
    <w:rsid w:val="00337548"/>
    <w:rsid w:val="003462B5"/>
    <w:rsid w:val="0034646C"/>
    <w:rsid w:val="003511FF"/>
    <w:rsid w:val="00351911"/>
    <w:rsid w:val="003530F8"/>
    <w:rsid w:val="0035609A"/>
    <w:rsid w:val="00357609"/>
    <w:rsid w:val="00357C65"/>
    <w:rsid w:val="00360437"/>
    <w:rsid w:val="00360788"/>
    <w:rsid w:val="00360A2A"/>
    <w:rsid w:val="00362615"/>
    <w:rsid w:val="003626C9"/>
    <w:rsid w:val="00363136"/>
    <w:rsid w:val="003644A9"/>
    <w:rsid w:val="00365C77"/>
    <w:rsid w:val="003665DC"/>
    <w:rsid w:val="00366B2A"/>
    <w:rsid w:val="00367037"/>
    <w:rsid w:val="0037044B"/>
    <w:rsid w:val="00371794"/>
    <w:rsid w:val="00371AF7"/>
    <w:rsid w:val="00372D02"/>
    <w:rsid w:val="00373FC5"/>
    <w:rsid w:val="00375078"/>
    <w:rsid w:val="00375A84"/>
    <w:rsid w:val="0037624A"/>
    <w:rsid w:val="00376F6E"/>
    <w:rsid w:val="00377276"/>
    <w:rsid w:val="003775E8"/>
    <w:rsid w:val="00377F82"/>
    <w:rsid w:val="0038127E"/>
    <w:rsid w:val="00382795"/>
    <w:rsid w:val="00383122"/>
    <w:rsid w:val="00383A0E"/>
    <w:rsid w:val="0038611E"/>
    <w:rsid w:val="00386D41"/>
    <w:rsid w:val="00387EE5"/>
    <w:rsid w:val="00390D98"/>
    <w:rsid w:val="00392143"/>
    <w:rsid w:val="003936C3"/>
    <w:rsid w:val="00393BB0"/>
    <w:rsid w:val="003960A5"/>
    <w:rsid w:val="00396589"/>
    <w:rsid w:val="00397202"/>
    <w:rsid w:val="003A1FDE"/>
    <w:rsid w:val="003A33ED"/>
    <w:rsid w:val="003A7F3A"/>
    <w:rsid w:val="003B0F0D"/>
    <w:rsid w:val="003B20C9"/>
    <w:rsid w:val="003B2345"/>
    <w:rsid w:val="003B2EEE"/>
    <w:rsid w:val="003B2F99"/>
    <w:rsid w:val="003B3DD7"/>
    <w:rsid w:val="003B3F4C"/>
    <w:rsid w:val="003B62E8"/>
    <w:rsid w:val="003B67E8"/>
    <w:rsid w:val="003B7609"/>
    <w:rsid w:val="003D2A63"/>
    <w:rsid w:val="003D63BD"/>
    <w:rsid w:val="003E1078"/>
    <w:rsid w:val="003F018D"/>
    <w:rsid w:val="003F0A5C"/>
    <w:rsid w:val="003F1138"/>
    <w:rsid w:val="003F1F8E"/>
    <w:rsid w:val="003F31AF"/>
    <w:rsid w:val="003F3783"/>
    <w:rsid w:val="003F3C41"/>
    <w:rsid w:val="003F50DD"/>
    <w:rsid w:val="003F7D64"/>
    <w:rsid w:val="004000E9"/>
    <w:rsid w:val="0040296D"/>
    <w:rsid w:val="004038C9"/>
    <w:rsid w:val="00403D44"/>
    <w:rsid w:val="004048F1"/>
    <w:rsid w:val="00405302"/>
    <w:rsid w:val="00411F98"/>
    <w:rsid w:val="004120B0"/>
    <w:rsid w:val="004122A7"/>
    <w:rsid w:val="004133C4"/>
    <w:rsid w:val="00415B30"/>
    <w:rsid w:val="00415E39"/>
    <w:rsid w:val="00420188"/>
    <w:rsid w:val="004224F1"/>
    <w:rsid w:val="004225A8"/>
    <w:rsid w:val="00423138"/>
    <w:rsid w:val="00424F3A"/>
    <w:rsid w:val="004311E5"/>
    <w:rsid w:val="00432B24"/>
    <w:rsid w:val="00433C2A"/>
    <w:rsid w:val="00434300"/>
    <w:rsid w:val="004415DD"/>
    <w:rsid w:val="00441B5B"/>
    <w:rsid w:val="004435B6"/>
    <w:rsid w:val="00443749"/>
    <w:rsid w:val="00443848"/>
    <w:rsid w:val="004444EE"/>
    <w:rsid w:val="004458CE"/>
    <w:rsid w:val="004500A5"/>
    <w:rsid w:val="00450397"/>
    <w:rsid w:val="0045080D"/>
    <w:rsid w:val="00450AC6"/>
    <w:rsid w:val="00452B23"/>
    <w:rsid w:val="00454036"/>
    <w:rsid w:val="00455853"/>
    <w:rsid w:val="0045706B"/>
    <w:rsid w:val="004608B4"/>
    <w:rsid w:val="00461FCA"/>
    <w:rsid w:val="004625D0"/>
    <w:rsid w:val="00464DFA"/>
    <w:rsid w:val="004660F5"/>
    <w:rsid w:val="00467A25"/>
    <w:rsid w:val="00467AE1"/>
    <w:rsid w:val="0047098A"/>
    <w:rsid w:val="0047162B"/>
    <w:rsid w:val="0047441C"/>
    <w:rsid w:val="00475827"/>
    <w:rsid w:val="004766C9"/>
    <w:rsid w:val="00476773"/>
    <w:rsid w:val="0047793E"/>
    <w:rsid w:val="00480BC1"/>
    <w:rsid w:val="00480E13"/>
    <w:rsid w:val="00481C94"/>
    <w:rsid w:val="00482741"/>
    <w:rsid w:val="0048299E"/>
    <w:rsid w:val="00483029"/>
    <w:rsid w:val="00484EC5"/>
    <w:rsid w:val="00485904"/>
    <w:rsid w:val="00486813"/>
    <w:rsid w:val="00490B64"/>
    <w:rsid w:val="00490CB3"/>
    <w:rsid w:val="00495713"/>
    <w:rsid w:val="00497591"/>
    <w:rsid w:val="004979EA"/>
    <w:rsid w:val="004A607F"/>
    <w:rsid w:val="004A617C"/>
    <w:rsid w:val="004A77EB"/>
    <w:rsid w:val="004B220C"/>
    <w:rsid w:val="004B3978"/>
    <w:rsid w:val="004B50C5"/>
    <w:rsid w:val="004B59E5"/>
    <w:rsid w:val="004C1564"/>
    <w:rsid w:val="004C244D"/>
    <w:rsid w:val="004C2845"/>
    <w:rsid w:val="004C2A7C"/>
    <w:rsid w:val="004C3195"/>
    <w:rsid w:val="004C4713"/>
    <w:rsid w:val="004C4757"/>
    <w:rsid w:val="004C560B"/>
    <w:rsid w:val="004C66DC"/>
    <w:rsid w:val="004D0D18"/>
    <w:rsid w:val="004D4C04"/>
    <w:rsid w:val="004D52C9"/>
    <w:rsid w:val="004D577E"/>
    <w:rsid w:val="004D76EF"/>
    <w:rsid w:val="004E0D8B"/>
    <w:rsid w:val="004E0E35"/>
    <w:rsid w:val="004E166F"/>
    <w:rsid w:val="004E29E4"/>
    <w:rsid w:val="004E2B43"/>
    <w:rsid w:val="004E30FE"/>
    <w:rsid w:val="004E3409"/>
    <w:rsid w:val="004E6F3F"/>
    <w:rsid w:val="004F0639"/>
    <w:rsid w:val="004F0E47"/>
    <w:rsid w:val="004F0FB0"/>
    <w:rsid w:val="004F18A7"/>
    <w:rsid w:val="004F35AE"/>
    <w:rsid w:val="004F4DF7"/>
    <w:rsid w:val="004F6358"/>
    <w:rsid w:val="004F7FA7"/>
    <w:rsid w:val="00501D68"/>
    <w:rsid w:val="005027FB"/>
    <w:rsid w:val="00504818"/>
    <w:rsid w:val="0050573A"/>
    <w:rsid w:val="005060E7"/>
    <w:rsid w:val="00506835"/>
    <w:rsid w:val="00510B87"/>
    <w:rsid w:val="00511171"/>
    <w:rsid w:val="0051215A"/>
    <w:rsid w:val="00513C94"/>
    <w:rsid w:val="00514397"/>
    <w:rsid w:val="005157AE"/>
    <w:rsid w:val="005172B8"/>
    <w:rsid w:val="00520175"/>
    <w:rsid w:val="00521118"/>
    <w:rsid w:val="0052190D"/>
    <w:rsid w:val="00523D0C"/>
    <w:rsid w:val="0052576D"/>
    <w:rsid w:val="0052634C"/>
    <w:rsid w:val="00530FE9"/>
    <w:rsid w:val="00531EBC"/>
    <w:rsid w:val="00532378"/>
    <w:rsid w:val="00532F0A"/>
    <w:rsid w:val="00533ADC"/>
    <w:rsid w:val="00534C78"/>
    <w:rsid w:val="00535289"/>
    <w:rsid w:val="0053594F"/>
    <w:rsid w:val="00537DE1"/>
    <w:rsid w:val="005400E6"/>
    <w:rsid w:val="00541CB3"/>
    <w:rsid w:val="00541DFF"/>
    <w:rsid w:val="00542A88"/>
    <w:rsid w:val="00542F56"/>
    <w:rsid w:val="00544009"/>
    <w:rsid w:val="00544B26"/>
    <w:rsid w:val="005451E2"/>
    <w:rsid w:val="005465C4"/>
    <w:rsid w:val="00547529"/>
    <w:rsid w:val="005479DA"/>
    <w:rsid w:val="0055282E"/>
    <w:rsid w:val="0055397D"/>
    <w:rsid w:val="0055416C"/>
    <w:rsid w:val="005543FF"/>
    <w:rsid w:val="0055514D"/>
    <w:rsid w:val="00555357"/>
    <w:rsid w:val="005567E1"/>
    <w:rsid w:val="00557C0A"/>
    <w:rsid w:val="00563E4D"/>
    <w:rsid w:val="0056763E"/>
    <w:rsid w:val="005677D7"/>
    <w:rsid w:val="00567930"/>
    <w:rsid w:val="00574A99"/>
    <w:rsid w:val="00576E07"/>
    <w:rsid w:val="00580E8D"/>
    <w:rsid w:val="00582CD7"/>
    <w:rsid w:val="0058529C"/>
    <w:rsid w:val="00585E85"/>
    <w:rsid w:val="00586F1E"/>
    <w:rsid w:val="005902DB"/>
    <w:rsid w:val="005946BB"/>
    <w:rsid w:val="00595E87"/>
    <w:rsid w:val="005A0D1C"/>
    <w:rsid w:val="005A4F08"/>
    <w:rsid w:val="005A50CB"/>
    <w:rsid w:val="005A6955"/>
    <w:rsid w:val="005A771A"/>
    <w:rsid w:val="005B025E"/>
    <w:rsid w:val="005B19BB"/>
    <w:rsid w:val="005B2B43"/>
    <w:rsid w:val="005B375C"/>
    <w:rsid w:val="005B5E85"/>
    <w:rsid w:val="005C2DC5"/>
    <w:rsid w:val="005C363A"/>
    <w:rsid w:val="005C5D4A"/>
    <w:rsid w:val="005C767B"/>
    <w:rsid w:val="005D0297"/>
    <w:rsid w:val="005D21C5"/>
    <w:rsid w:val="005D23D8"/>
    <w:rsid w:val="005D3E89"/>
    <w:rsid w:val="005D5B90"/>
    <w:rsid w:val="005D6777"/>
    <w:rsid w:val="005E1D5A"/>
    <w:rsid w:val="005E2788"/>
    <w:rsid w:val="005E5366"/>
    <w:rsid w:val="005E620E"/>
    <w:rsid w:val="005F09EC"/>
    <w:rsid w:val="005F27F1"/>
    <w:rsid w:val="005F3277"/>
    <w:rsid w:val="005F3984"/>
    <w:rsid w:val="005F5A86"/>
    <w:rsid w:val="00600206"/>
    <w:rsid w:val="0060149D"/>
    <w:rsid w:val="00601931"/>
    <w:rsid w:val="00602AEA"/>
    <w:rsid w:val="00602DDE"/>
    <w:rsid w:val="0060534B"/>
    <w:rsid w:val="00610A91"/>
    <w:rsid w:val="00612B93"/>
    <w:rsid w:val="00613084"/>
    <w:rsid w:val="00613550"/>
    <w:rsid w:val="00614C82"/>
    <w:rsid w:val="00615694"/>
    <w:rsid w:val="00617F56"/>
    <w:rsid w:val="006209D0"/>
    <w:rsid w:val="00620D20"/>
    <w:rsid w:val="006236F3"/>
    <w:rsid w:val="006246B2"/>
    <w:rsid w:val="00624860"/>
    <w:rsid w:val="00626393"/>
    <w:rsid w:val="006302A2"/>
    <w:rsid w:val="00630787"/>
    <w:rsid w:val="006308D2"/>
    <w:rsid w:val="00630E04"/>
    <w:rsid w:val="0063397B"/>
    <w:rsid w:val="006347F4"/>
    <w:rsid w:val="0063499D"/>
    <w:rsid w:val="006370A0"/>
    <w:rsid w:val="00637510"/>
    <w:rsid w:val="00642014"/>
    <w:rsid w:val="0064476B"/>
    <w:rsid w:val="00645EE4"/>
    <w:rsid w:val="0064624C"/>
    <w:rsid w:val="0064760E"/>
    <w:rsid w:val="00647F9A"/>
    <w:rsid w:val="00653862"/>
    <w:rsid w:val="00655354"/>
    <w:rsid w:val="006564E0"/>
    <w:rsid w:val="00656DEE"/>
    <w:rsid w:val="006571EA"/>
    <w:rsid w:val="00657AEA"/>
    <w:rsid w:val="00660008"/>
    <w:rsid w:val="00660EB7"/>
    <w:rsid w:val="006612DB"/>
    <w:rsid w:val="006618FC"/>
    <w:rsid w:val="00662F2A"/>
    <w:rsid w:val="006639F9"/>
    <w:rsid w:val="006643F9"/>
    <w:rsid w:val="00667C76"/>
    <w:rsid w:val="00680A8F"/>
    <w:rsid w:val="00682EF9"/>
    <w:rsid w:val="0068309D"/>
    <w:rsid w:val="00685498"/>
    <w:rsid w:val="006868C2"/>
    <w:rsid w:val="00686FE1"/>
    <w:rsid w:val="0068736A"/>
    <w:rsid w:val="00687CBE"/>
    <w:rsid w:val="00690A5E"/>
    <w:rsid w:val="00692242"/>
    <w:rsid w:val="0069641D"/>
    <w:rsid w:val="00697897"/>
    <w:rsid w:val="006A2BDC"/>
    <w:rsid w:val="006A3939"/>
    <w:rsid w:val="006A3E38"/>
    <w:rsid w:val="006A5AE4"/>
    <w:rsid w:val="006B0B70"/>
    <w:rsid w:val="006B119F"/>
    <w:rsid w:val="006B204A"/>
    <w:rsid w:val="006B2D45"/>
    <w:rsid w:val="006B2EDF"/>
    <w:rsid w:val="006B4B42"/>
    <w:rsid w:val="006B6A03"/>
    <w:rsid w:val="006B71DE"/>
    <w:rsid w:val="006B77A0"/>
    <w:rsid w:val="006B7B65"/>
    <w:rsid w:val="006C37AE"/>
    <w:rsid w:val="006C6246"/>
    <w:rsid w:val="006D095B"/>
    <w:rsid w:val="006D4CE3"/>
    <w:rsid w:val="006D4FF7"/>
    <w:rsid w:val="006D684D"/>
    <w:rsid w:val="006D6A20"/>
    <w:rsid w:val="006D709A"/>
    <w:rsid w:val="006E00C2"/>
    <w:rsid w:val="006E1654"/>
    <w:rsid w:val="006E2705"/>
    <w:rsid w:val="006E4664"/>
    <w:rsid w:val="006E4C21"/>
    <w:rsid w:val="006E6442"/>
    <w:rsid w:val="006E6B20"/>
    <w:rsid w:val="006E74A7"/>
    <w:rsid w:val="006E7B1B"/>
    <w:rsid w:val="006F1DC1"/>
    <w:rsid w:val="006F236D"/>
    <w:rsid w:val="006F269F"/>
    <w:rsid w:val="006F282F"/>
    <w:rsid w:val="006F29BF"/>
    <w:rsid w:val="006F6B8B"/>
    <w:rsid w:val="006F7219"/>
    <w:rsid w:val="0070070D"/>
    <w:rsid w:val="0070322C"/>
    <w:rsid w:val="00704C5F"/>
    <w:rsid w:val="0070532E"/>
    <w:rsid w:val="007106DE"/>
    <w:rsid w:val="00711F80"/>
    <w:rsid w:val="007161C2"/>
    <w:rsid w:val="00717E89"/>
    <w:rsid w:val="00720CE7"/>
    <w:rsid w:val="00723DFD"/>
    <w:rsid w:val="007244E1"/>
    <w:rsid w:val="00724915"/>
    <w:rsid w:val="00724DB7"/>
    <w:rsid w:val="00724EA6"/>
    <w:rsid w:val="00727D7C"/>
    <w:rsid w:val="0073157F"/>
    <w:rsid w:val="00731D31"/>
    <w:rsid w:val="0073380A"/>
    <w:rsid w:val="00734389"/>
    <w:rsid w:val="0073612A"/>
    <w:rsid w:val="00736AA9"/>
    <w:rsid w:val="00740817"/>
    <w:rsid w:val="0074304D"/>
    <w:rsid w:val="00743930"/>
    <w:rsid w:val="007447FD"/>
    <w:rsid w:val="00745F90"/>
    <w:rsid w:val="007462FA"/>
    <w:rsid w:val="00747155"/>
    <w:rsid w:val="007478F5"/>
    <w:rsid w:val="00753953"/>
    <w:rsid w:val="00756B64"/>
    <w:rsid w:val="00757D64"/>
    <w:rsid w:val="00760C70"/>
    <w:rsid w:val="00760EFC"/>
    <w:rsid w:val="007635E4"/>
    <w:rsid w:val="007644D2"/>
    <w:rsid w:val="00765249"/>
    <w:rsid w:val="00765359"/>
    <w:rsid w:val="00773ABE"/>
    <w:rsid w:val="0077493E"/>
    <w:rsid w:val="00774EEC"/>
    <w:rsid w:val="0077606F"/>
    <w:rsid w:val="00776D27"/>
    <w:rsid w:val="00777FCA"/>
    <w:rsid w:val="007800CC"/>
    <w:rsid w:val="00780393"/>
    <w:rsid w:val="00780B0E"/>
    <w:rsid w:val="00780E40"/>
    <w:rsid w:val="00780F08"/>
    <w:rsid w:val="007813D5"/>
    <w:rsid w:val="00782726"/>
    <w:rsid w:val="00782A3A"/>
    <w:rsid w:val="00783959"/>
    <w:rsid w:val="007842A7"/>
    <w:rsid w:val="00784771"/>
    <w:rsid w:val="00784E7F"/>
    <w:rsid w:val="0078522A"/>
    <w:rsid w:val="0078536E"/>
    <w:rsid w:val="00785A2B"/>
    <w:rsid w:val="0078653C"/>
    <w:rsid w:val="00787922"/>
    <w:rsid w:val="00787F44"/>
    <w:rsid w:val="007934B2"/>
    <w:rsid w:val="00794054"/>
    <w:rsid w:val="0079633A"/>
    <w:rsid w:val="00797050"/>
    <w:rsid w:val="00797713"/>
    <w:rsid w:val="007A143D"/>
    <w:rsid w:val="007A1FE8"/>
    <w:rsid w:val="007A218A"/>
    <w:rsid w:val="007A375E"/>
    <w:rsid w:val="007A3A2B"/>
    <w:rsid w:val="007A437A"/>
    <w:rsid w:val="007A471D"/>
    <w:rsid w:val="007A5A09"/>
    <w:rsid w:val="007A5CD3"/>
    <w:rsid w:val="007A5E00"/>
    <w:rsid w:val="007A63CB"/>
    <w:rsid w:val="007A6806"/>
    <w:rsid w:val="007A6AD7"/>
    <w:rsid w:val="007A6B55"/>
    <w:rsid w:val="007B010D"/>
    <w:rsid w:val="007B4883"/>
    <w:rsid w:val="007B5F4F"/>
    <w:rsid w:val="007B640D"/>
    <w:rsid w:val="007C13FA"/>
    <w:rsid w:val="007C1D2D"/>
    <w:rsid w:val="007C2F8D"/>
    <w:rsid w:val="007C4D79"/>
    <w:rsid w:val="007C736F"/>
    <w:rsid w:val="007D186D"/>
    <w:rsid w:val="007D47D0"/>
    <w:rsid w:val="007D5C2E"/>
    <w:rsid w:val="007D7989"/>
    <w:rsid w:val="007E0484"/>
    <w:rsid w:val="007E053B"/>
    <w:rsid w:val="007E0989"/>
    <w:rsid w:val="007E12FE"/>
    <w:rsid w:val="007E3643"/>
    <w:rsid w:val="007E3765"/>
    <w:rsid w:val="007E43A0"/>
    <w:rsid w:val="007F580F"/>
    <w:rsid w:val="00802414"/>
    <w:rsid w:val="00802BB7"/>
    <w:rsid w:val="00802E94"/>
    <w:rsid w:val="00802FC6"/>
    <w:rsid w:val="00805312"/>
    <w:rsid w:val="00805380"/>
    <w:rsid w:val="00810053"/>
    <w:rsid w:val="00810503"/>
    <w:rsid w:val="00810BBC"/>
    <w:rsid w:val="00810D86"/>
    <w:rsid w:val="00812DF0"/>
    <w:rsid w:val="008135FD"/>
    <w:rsid w:val="0081399A"/>
    <w:rsid w:val="00814EFF"/>
    <w:rsid w:val="00815127"/>
    <w:rsid w:val="00815CB8"/>
    <w:rsid w:val="00816CE5"/>
    <w:rsid w:val="0082213F"/>
    <w:rsid w:val="00823931"/>
    <w:rsid w:val="008250F8"/>
    <w:rsid w:val="008252C2"/>
    <w:rsid w:val="0082609B"/>
    <w:rsid w:val="00826FE1"/>
    <w:rsid w:val="00834955"/>
    <w:rsid w:val="008358A5"/>
    <w:rsid w:val="008403F4"/>
    <w:rsid w:val="0084278E"/>
    <w:rsid w:val="008446FC"/>
    <w:rsid w:val="00846670"/>
    <w:rsid w:val="00850406"/>
    <w:rsid w:val="00851B8D"/>
    <w:rsid w:val="0085499F"/>
    <w:rsid w:val="00854E51"/>
    <w:rsid w:val="00856FCB"/>
    <w:rsid w:val="00861E2C"/>
    <w:rsid w:val="008642DD"/>
    <w:rsid w:val="00865970"/>
    <w:rsid w:val="00865E03"/>
    <w:rsid w:val="008713E8"/>
    <w:rsid w:val="00872E48"/>
    <w:rsid w:val="008751CD"/>
    <w:rsid w:val="00876BD4"/>
    <w:rsid w:val="00877427"/>
    <w:rsid w:val="00882A82"/>
    <w:rsid w:val="008845A1"/>
    <w:rsid w:val="008847C3"/>
    <w:rsid w:val="00884C5F"/>
    <w:rsid w:val="00886E96"/>
    <w:rsid w:val="00897019"/>
    <w:rsid w:val="008A0D60"/>
    <w:rsid w:val="008A2736"/>
    <w:rsid w:val="008A27DC"/>
    <w:rsid w:val="008A6879"/>
    <w:rsid w:val="008A7A32"/>
    <w:rsid w:val="008A7BC1"/>
    <w:rsid w:val="008B0328"/>
    <w:rsid w:val="008B09B3"/>
    <w:rsid w:val="008B0E3F"/>
    <w:rsid w:val="008B2336"/>
    <w:rsid w:val="008B2AF4"/>
    <w:rsid w:val="008B375D"/>
    <w:rsid w:val="008B495B"/>
    <w:rsid w:val="008B5C34"/>
    <w:rsid w:val="008B67AD"/>
    <w:rsid w:val="008B779B"/>
    <w:rsid w:val="008C1A96"/>
    <w:rsid w:val="008C1E8C"/>
    <w:rsid w:val="008C2766"/>
    <w:rsid w:val="008C2B14"/>
    <w:rsid w:val="008C2F15"/>
    <w:rsid w:val="008C3F58"/>
    <w:rsid w:val="008C4CD2"/>
    <w:rsid w:val="008C571D"/>
    <w:rsid w:val="008C58D6"/>
    <w:rsid w:val="008C6A29"/>
    <w:rsid w:val="008C6D52"/>
    <w:rsid w:val="008D08F2"/>
    <w:rsid w:val="008D1E7F"/>
    <w:rsid w:val="008D25C7"/>
    <w:rsid w:val="008D2C07"/>
    <w:rsid w:val="008D4176"/>
    <w:rsid w:val="008D4A2E"/>
    <w:rsid w:val="008D4F6E"/>
    <w:rsid w:val="008D5152"/>
    <w:rsid w:val="008D5BBE"/>
    <w:rsid w:val="008D5FC1"/>
    <w:rsid w:val="008D6BD9"/>
    <w:rsid w:val="008D703E"/>
    <w:rsid w:val="008D72EC"/>
    <w:rsid w:val="008D7544"/>
    <w:rsid w:val="008E0953"/>
    <w:rsid w:val="008E32C8"/>
    <w:rsid w:val="008E37DC"/>
    <w:rsid w:val="008E3C2A"/>
    <w:rsid w:val="008E5589"/>
    <w:rsid w:val="008E5C26"/>
    <w:rsid w:val="008E74F0"/>
    <w:rsid w:val="008F1036"/>
    <w:rsid w:val="008F1FBE"/>
    <w:rsid w:val="008F21E1"/>
    <w:rsid w:val="008F26E6"/>
    <w:rsid w:val="008F28CB"/>
    <w:rsid w:val="008F2A9E"/>
    <w:rsid w:val="008F509E"/>
    <w:rsid w:val="00900DF1"/>
    <w:rsid w:val="00900EE8"/>
    <w:rsid w:val="00903020"/>
    <w:rsid w:val="009049B7"/>
    <w:rsid w:val="00906CBF"/>
    <w:rsid w:val="009127E5"/>
    <w:rsid w:val="00912B74"/>
    <w:rsid w:val="00914E48"/>
    <w:rsid w:val="009158C2"/>
    <w:rsid w:val="00916317"/>
    <w:rsid w:val="009177BD"/>
    <w:rsid w:val="0091794E"/>
    <w:rsid w:val="00920D21"/>
    <w:rsid w:val="00923CE8"/>
    <w:rsid w:val="009241FA"/>
    <w:rsid w:val="009260EE"/>
    <w:rsid w:val="009261A5"/>
    <w:rsid w:val="009276F7"/>
    <w:rsid w:val="009315EB"/>
    <w:rsid w:val="00931A63"/>
    <w:rsid w:val="00932149"/>
    <w:rsid w:val="00932240"/>
    <w:rsid w:val="00934830"/>
    <w:rsid w:val="00936572"/>
    <w:rsid w:val="00936B75"/>
    <w:rsid w:val="00936D89"/>
    <w:rsid w:val="009406BB"/>
    <w:rsid w:val="00940DF1"/>
    <w:rsid w:val="00942C4D"/>
    <w:rsid w:val="009431C7"/>
    <w:rsid w:val="00943B76"/>
    <w:rsid w:val="0094517D"/>
    <w:rsid w:val="009474BF"/>
    <w:rsid w:val="00947825"/>
    <w:rsid w:val="00950FAC"/>
    <w:rsid w:val="00951DA1"/>
    <w:rsid w:val="00953071"/>
    <w:rsid w:val="00953BD8"/>
    <w:rsid w:val="009558FF"/>
    <w:rsid w:val="00955A5A"/>
    <w:rsid w:val="009601C1"/>
    <w:rsid w:val="00961084"/>
    <w:rsid w:val="00962BC7"/>
    <w:rsid w:val="00965372"/>
    <w:rsid w:val="00965C3C"/>
    <w:rsid w:val="00967CBA"/>
    <w:rsid w:val="00970BF2"/>
    <w:rsid w:val="00971A3F"/>
    <w:rsid w:val="00971D7C"/>
    <w:rsid w:val="00974A8C"/>
    <w:rsid w:val="00975327"/>
    <w:rsid w:val="00977EF8"/>
    <w:rsid w:val="009816FE"/>
    <w:rsid w:val="0098373D"/>
    <w:rsid w:val="00984753"/>
    <w:rsid w:val="009848C2"/>
    <w:rsid w:val="00985849"/>
    <w:rsid w:val="00985BCC"/>
    <w:rsid w:val="00986CCB"/>
    <w:rsid w:val="00990C55"/>
    <w:rsid w:val="00992998"/>
    <w:rsid w:val="0099478F"/>
    <w:rsid w:val="00994DE2"/>
    <w:rsid w:val="009A54B9"/>
    <w:rsid w:val="009A72AD"/>
    <w:rsid w:val="009B09BC"/>
    <w:rsid w:val="009B4DA4"/>
    <w:rsid w:val="009B5573"/>
    <w:rsid w:val="009B60DD"/>
    <w:rsid w:val="009B630B"/>
    <w:rsid w:val="009B6832"/>
    <w:rsid w:val="009B70F9"/>
    <w:rsid w:val="009C0EAC"/>
    <w:rsid w:val="009C1DE8"/>
    <w:rsid w:val="009C321B"/>
    <w:rsid w:val="009C3636"/>
    <w:rsid w:val="009C3F78"/>
    <w:rsid w:val="009C6096"/>
    <w:rsid w:val="009C6808"/>
    <w:rsid w:val="009C73CE"/>
    <w:rsid w:val="009D046D"/>
    <w:rsid w:val="009D0A99"/>
    <w:rsid w:val="009D0C0A"/>
    <w:rsid w:val="009D139C"/>
    <w:rsid w:val="009D29E1"/>
    <w:rsid w:val="009D3070"/>
    <w:rsid w:val="009D3D4E"/>
    <w:rsid w:val="009D3D95"/>
    <w:rsid w:val="009D4D8D"/>
    <w:rsid w:val="009D5DB0"/>
    <w:rsid w:val="009D6121"/>
    <w:rsid w:val="009D687C"/>
    <w:rsid w:val="009D705B"/>
    <w:rsid w:val="009D7D6F"/>
    <w:rsid w:val="009E02F7"/>
    <w:rsid w:val="009E57BB"/>
    <w:rsid w:val="009E5969"/>
    <w:rsid w:val="009F21B9"/>
    <w:rsid w:val="009F3C2A"/>
    <w:rsid w:val="009F44A1"/>
    <w:rsid w:val="009F458B"/>
    <w:rsid w:val="00A05048"/>
    <w:rsid w:val="00A05984"/>
    <w:rsid w:val="00A120C5"/>
    <w:rsid w:val="00A12750"/>
    <w:rsid w:val="00A15069"/>
    <w:rsid w:val="00A151D8"/>
    <w:rsid w:val="00A17076"/>
    <w:rsid w:val="00A27942"/>
    <w:rsid w:val="00A30377"/>
    <w:rsid w:val="00A31916"/>
    <w:rsid w:val="00A36348"/>
    <w:rsid w:val="00A411B6"/>
    <w:rsid w:val="00A427DD"/>
    <w:rsid w:val="00A44EF9"/>
    <w:rsid w:val="00A450BB"/>
    <w:rsid w:val="00A5041A"/>
    <w:rsid w:val="00A51BFC"/>
    <w:rsid w:val="00A5316D"/>
    <w:rsid w:val="00A53696"/>
    <w:rsid w:val="00A554DC"/>
    <w:rsid w:val="00A60984"/>
    <w:rsid w:val="00A60CF6"/>
    <w:rsid w:val="00A62BBA"/>
    <w:rsid w:val="00A63A2D"/>
    <w:rsid w:val="00A64E36"/>
    <w:rsid w:val="00A65C97"/>
    <w:rsid w:val="00A67063"/>
    <w:rsid w:val="00A71154"/>
    <w:rsid w:val="00A71304"/>
    <w:rsid w:val="00A7427E"/>
    <w:rsid w:val="00A76CE1"/>
    <w:rsid w:val="00A80D50"/>
    <w:rsid w:val="00A81BB2"/>
    <w:rsid w:val="00A82992"/>
    <w:rsid w:val="00A836D6"/>
    <w:rsid w:val="00A83F09"/>
    <w:rsid w:val="00A84C5F"/>
    <w:rsid w:val="00A86200"/>
    <w:rsid w:val="00A8734E"/>
    <w:rsid w:val="00A87704"/>
    <w:rsid w:val="00A87B03"/>
    <w:rsid w:val="00A90993"/>
    <w:rsid w:val="00A910CE"/>
    <w:rsid w:val="00A927A9"/>
    <w:rsid w:val="00A927E8"/>
    <w:rsid w:val="00A92AE5"/>
    <w:rsid w:val="00A9358F"/>
    <w:rsid w:val="00A9411C"/>
    <w:rsid w:val="00A95ACA"/>
    <w:rsid w:val="00A963C8"/>
    <w:rsid w:val="00AA0B6B"/>
    <w:rsid w:val="00AA1E34"/>
    <w:rsid w:val="00AA219A"/>
    <w:rsid w:val="00AA2FAE"/>
    <w:rsid w:val="00AA33BE"/>
    <w:rsid w:val="00AA3EAF"/>
    <w:rsid w:val="00AA4228"/>
    <w:rsid w:val="00AA4895"/>
    <w:rsid w:val="00AA68B7"/>
    <w:rsid w:val="00AA6EFF"/>
    <w:rsid w:val="00AB1A93"/>
    <w:rsid w:val="00AB27DE"/>
    <w:rsid w:val="00AB30FC"/>
    <w:rsid w:val="00AB3B07"/>
    <w:rsid w:val="00AB5D07"/>
    <w:rsid w:val="00AB7AD3"/>
    <w:rsid w:val="00AC36C0"/>
    <w:rsid w:val="00AC3C20"/>
    <w:rsid w:val="00AC4D66"/>
    <w:rsid w:val="00AC5082"/>
    <w:rsid w:val="00AC5680"/>
    <w:rsid w:val="00AC668F"/>
    <w:rsid w:val="00AC6C2A"/>
    <w:rsid w:val="00AC7F3C"/>
    <w:rsid w:val="00AD07CB"/>
    <w:rsid w:val="00AD0E1E"/>
    <w:rsid w:val="00AD65C0"/>
    <w:rsid w:val="00AD6604"/>
    <w:rsid w:val="00AD72C4"/>
    <w:rsid w:val="00AD75F9"/>
    <w:rsid w:val="00AD7985"/>
    <w:rsid w:val="00AE0355"/>
    <w:rsid w:val="00AE1431"/>
    <w:rsid w:val="00AE164E"/>
    <w:rsid w:val="00AE2A6D"/>
    <w:rsid w:val="00AE3199"/>
    <w:rsid w:val="00AE40D2"/>
    <w:rsid w:val="00AE7E85"/>
    <w:rsid w:val="00AF232F"/>
    <w:rsid w:val="00AF2863"/>
    <w:rsid w:val="00AF46B2"/>
    <w:rsid w:val="00AF4B1B"/>
    <w:rsid w:val="00AF527D"/>
    <w:rsid w:val="00AF542A"/>
    <w:rsid w:val="00AF5DCE"/>
    <w:rsid w:val="00AF6457"/>
    <w:rsid w:val="00AF709C"/>
    <w:rsid w:val="00B01853"/>
    <w:rsid w:val="00B02170"/>
    <w:rsid w:val="00B0241D"/>
    <w:rsid w:val="00B02633"/>
    <w:rsid w:val="00B033AC"/>
    <w:rsid w:val="00B04A5E"/>
    <w:rsid w:val="00B068AE"/>
    <w:rsid w:val="00B06C63"/>
    <w:rsid w:val="00B06F8B"/>
    <w:rsid w:val="00B11A5D"/>
    <w:rsid w:val="00B12386"/>
    <w:rsid w:val="00B13521"/>
    <w:rsid w:val="00B15B14"/>
    <w:rsid w:val="00B15F64"/>
    <w:rsid w:val="00B207E8"/>
    <w:rsid w:val="00B21936"/>
    <w:rsid w:val="00B22717"/>
    <w:rsid w:val="00B238B6"/>
    <w:rsid w:val="00B245FD"/>
    <w:rsid w:val="00B25ABD"/>
    <w:rsid w:val="00B33564"/>
    <w:rsid w:val="00B34397"/>
    <w:rsid w:val="00B35E75"/>
    <w:rsid w:val="00B36822"/>
    <w:rsid w:val="00B4082C"/>
    <w:rsid w:val="00B410D6"/>
    <w:rsid w:val="00B4176A"/>
    <w:rsid w:val="00B41BA4"/>
    <w:rsid w:val="00B41FDB"/>
    <w:rsid w:val="00B42117"/>
    <w:rsid w:val="00B42496"/>
    <w:rsid w:val="00B4275D"/>
    <w:rsid w:val="00B44C07"/>
    <w:rsid w:val="00B452B7"/>
    <w:rsid w:val="00B47065"/>
    <w:rsid w:val="00B51F0A"/>
    <w:rsid w:val="00B532D8"/>
    <w:rsid w:val="00B541EA"/>
    <w:rsid w:val="00B5488E"/>
    <w:rsid w:val="00B554D0"/>
    <w:rsid w:val="00B56FB9"/>
    <w:rsid w:val="00B571C3"/>
    <w:rsid w:val="00B57263"/>
    <w:rsid w:val="00B61F26"/>
    <w:rsid w:val="00B635A9"/>
    <w:rsid w:val="00B63850"/>
    <w:rsid w:val="00B63C9C"/>
    <w:rsid w:val="00B641EA"/>
    <w:rsid w:val="00B6471D"/>
    <w:rsid w:val="00B65701"/>
    <w:rsid w:val="00B7090B"/>
    <w:rsid w:val="00B743EA"/>
    <w:rsid w:val="00B76533"/>
    <w:rsid w:val="00B76DBA"/>
    <w:rsid w:val="00B77263"/>
    <w:rsid w:val="00B802FB"/>
    <w:rsid w:val="00B80A74"/>
    <w:rsid w:val="00B826F4"/>
    <w:rsid w:val="00B83A0E"/>
    <w:rsid w:val="00B8404E"/>
    <w:rsid w:val="00B86823"/>
    <w:rsid w:val="00B87567"/>
    <w:rsid w:val="00B91466"/>
    <w:rsid w:val="00B9309C"/>
    <w:rsid w:val="00B93EBA"/>
    <w:rsid w:val="00B94AD6"/>
    <w:rsid w:val="00B954C5"/>
    <w:rsid w:val="00B95E2B"/>
    <w:rsid w:val="00B96580"/>
    <w:rsid w:val="00B974A7"/>
    <w:rsid w:val="00BA0344"/>
    <w:rsid w:val="00BA1585"/>
    <w:rsid w:val="00BA22F4"/>
    <w:rsid w:val="00BA5BC8"/>
    <w:rsid w:val="00BB111D"/>
    <w:rsid w:val="00BB1725"/>
    <w:rsid w:val="00BB2058"/>
    <w:rsid w:val="00BB495F"/>
    <w:rsid w:val="00BB5646"/>
    <w:rsid w:val="00BC23F9"/>
    <w:rsid w:val="00BC281C"/>
    <w:rsid w:val="00BC4973"/>
    <w:rsid w:val="00BC4EB3"/>
    <w:rsid w:val="00BC52A8"/>
    <w:rsid w:val="00BC56A9"/>
    <w:rsid w:val="00BD25C8"/>
    <w:rsid w:val="00BE00BF"/>
    <w:rsid w:val="00BE2ED0"/>
    <w:rsid w:val="00BE4934"/>
    <w:rsid w:val="00BE69CB"/>
    <w:rsid w:val="00BF1245"/>
    <w:rsid w:val="00BF1862"/>
    <w:rsid w:val="00BF221F"/>
    <w:rsid w:val="00BF234D"/>
    <w:rsid w:val="00BF2808"/>
    <w:rsid w:val="00BF4A02"/>
    <w:rsid w:val="00BF55EC"/>
    <w:rsid w:val="00BF58BF"/>
    <w:rsid w:val="00BF729A"/>
    <w:rsid w:val="00BF7DEA"/>
    <w:rsid w:val="00C004E2"/>
    <w:rsid w:val="00C00D2F"/>
    <w:rsid w:val="00C00EE7"/>
    <w:rsid w:val="00C04484"/>
    <w:rsid w:val="00C0576C"/>
    <w:rsid w:val="00C07BB8"/>
    <w:rsid w:val="00C1066A"/>
    <w:rsid w:val="00C10A6B"/>
    <w:rsid w:val="00C11AD2"/>
    <w:rsid w:val="00C11D77"/>
    <w:rsid w:val="00C1212C"/>
    <w:rsid w:val="00C129CC"/>
    <w:rsid w:val="00C1400D"/>
    <w:rsid w:val="00C145CA"/>
    <w:rsid w:val="00C146AF"/>
    <w:rsid w:val="00C153CC"/>
    <w:rsid w:val="00C15919"/>
    <w:rsid w:val="00C15F3A"/>
    <w:rsid w:val="00C162C2"/>
    <w:rsid w:val="00C21D24"/>
    <w:rsid w:val="00C22D48"/>
    <w:rsid w:val="00C24A7B"/>
    <w:rsid w:val="00C25950"/>
    <w:rsid w:val="00C26357"/>
    <w:rsid w:val="00C26C88"/>
    <w:rsid w:val="00C274DA"/>
    <w:rsid w:val="00C41060"/>
    <w:rsid w:val="00C41C87"/>
    <w:rsid w:val="00C43A30"/>
    <w:rsid w:val="00C43ABF"/>
    <w:rsid w:val="00C43D95"/>
    <w:rsid w:val="00C456DF"/>
    <w:rsid w:val="00C45B2A"/>
    <w:rsid w:val="00C46CA0"/>
    <w:rsid w:val="00C525E0"/>
    <w:rsid w:val="00C52D73"/>
    <w:rsid w:val="00C5439F"/>
    <w:rsid w:val="00C54734"/>
    <w:rsid w:val="00C55D7E"/>
    <w:rsid w:val="00C56165"/>
    <w:rsid w:val="00C56965"/>
    <w:rsid w:val="00C56D1A"/>
    <w:rsid w:val="00C577C1"/>
    <w:rsid w:val="00C5782D"/>
    <w:rsid w:val="00C602CF"/>
    <w:rsid w:val="00C62489"/>
    <w:rsid w:val="00C62555"/>
    <w:rsid w:val="00C628AC"/>
    <w:rsid w:val="00C634AD"/>
    <w:rsid w:val="00C64A92"/>
    <w:rsid w:val="00C65B2D"/>
    <w:rsid w:val="00C66310"/>
    <w:rsid w:val="00C71956"/>
    <w:rsid w:val="00C812A6"/>
    <w:rsid w:val="00C82A0C"/>
    <w:rsid w:val="00C8356D"/>
    <w:rsid w:val="00C84DE5"/>
    <w:rsid w:val="00C85043"/>
    <w:rsid w:val="00C85A25"/>
    <w:rsid w:val="00C866EC"/>
    <w:rsid w:val="00C86C15"/>
    <w:rsid w:val="00C8736C"/>
    <w:rsid w:val="00C87DA7"/>
    <w:rsid w:val="00C919A5"/>
    <w:rsid w:val="00C91F60"/>
    <w:rsid w:val="00C92278"/>
    <w:rsid w:val="00C93A44"/>
    <w:rsid w:val="00CA306F"/>
    <w:rsid w:val="00CA49C7"/>
    <w:rsid w:val="00CB16BA"/>
    <w:rsid w:val="00CB1B00"/>
    <w:rsid w:val="00CB27DD"/>
    <w:rsid w:val="00CB2D8C"/>
    <w:rsid w:val="00CB4E58"/>
    <w:rsid w:val="00CB716C"/>
    <w:rsid w:val="00CB74B5"/>
    <w:rsid w:val="00CB765B"/>
    <w:rsid w:val="00CB79A3"/>
    <w:rsid w:val="00CC0613"/>
    <w:rsid w:val="00CC0AB1"/>
    <w:rsid w:val="00CC1C5A"/>
    <w:rsid w:val="00CC20DD"/>
    <w:rsid w:val="00CC2797"/>
    <w:rsid w:val="00CC7D26"/>
    <w:rsid w:val="00CD0C21"/>
    <w:rsid w:val="00CD1F06"/>
    <w:rsid w:val="00CD237F"/>
    <w:rsid w:val="00CD4117"/>
    <w:rsid w:val="00CD50AB"/>
    <w:rsid w:val="00CD5989"/>
    <w:rsid w:val="00CD66B8"/>
    <w:rsid w:val="00CD71D3"/>
    <w:rsid w:val="00CD74F2"/>
    <w:rsid w:val="00CD7F62"/>
    <w:rsid w:val="00CE279C"/>
    <w:rsid w:val="00CE4528"/>
    <w:rsid w:val="00CE5D5B"/>
    <w:rsid w:val="00CF00AA"/>
    <w:rsid w:val="00CF09E1"/>
    <w:rsid w:val="00CF1A20"/>
    <w:rsid w:val="00CF1B67"/>
    <w:rsid w:val="00CF2FF8"/>
    <w:rsid w:val="00CF31AE"/>
    <w:rsid w:val="00CF5973"/>
    <w:rsid w:val="00CF5A81"/>
    <w:rsid w:val="00CF7601"/>
    <w:rsid w:val="00D00289"/>
    <w:rsid w:val="00D0204E"/>
    <w:rsid w:val="00D026E6"/>
    <w:rsid w:val="00D03205"/>
    <w:rsid w:val="00D046EF"/>
    <w:rsid w:val="00D05E3A"/>
    <w:rsid w:val="00D11EB3"/>
    <w:rsid w:val="00D1312D"/>
    <w:rsid w:val="00D21F93"/>
    <w:rsid w:val="00D23A3C"/>
    <w:rsid w:val="00D2599B"/>
    <w:rsid w:val="00D26771"/>
    <w:rsid w:val="00D27E20"/>
    <w:rsid w:val="00D302A1"/>
    <w:rsid w:val="00D304B2"/>
    <w:rsid w:val="00D30AC3"/>
    <w:rsid w:val="00D31EAC"/>
    <w:rsid w:val="00D35231"/>
    <w:rsid w:val="00D37484"/>
    <w:rsid w:val="00D374A6"/>
    <w:rsid w:val="00D40174"/>
    <w:rsid w:val="00D410E6"/>
    <w:rsid w:val="00D42D44"/>
    <w:rsid w:val="00D444D6"/>
    <w:rsid w:val="00D4559F"/>
    <w:rsid w:val="00D46A68"/>
    <w:rsid w:val="00D47EB4"/>
    <w:rsid w:val="00D51078"/>
    <w:rsid w:val="00D514F7"/>
    <w:rsid w:val="00D51785"/>
    <w:rsid w:val="00D53316"/>
    <w:rsid w:val="00D54323"/>
    <w:rsid w:val="00D54640"/>
    <w:rsid w:val="00D56DBB"/>
    <w:rsid w:val="00D60950"/>
    <w:rsid w:val="00D617EA"/>
    <w:rsid w:val="00D63EF5"/>
    <w:rsid w:val="00D6474F"/>
    <w:rsid w:val="00D65D7B"/>
    <w:rsid w:val="00D66BB9"/>
    <w:rsid w:val="00D70391"/>
    <w:rsid w:val="00D723A6"/>
    <w:rsid w:val="00D726FB"/>
    <w:rsid w:val="00D72818"/>
    <w:rsid w:val="00D728EB"/>
    <w:rsid w:val="00D73B44"/>
    <w:rsid w:val="00D76BD5"/>
    <w:rsid w:val="00D76D65"/>
    <w:rsid w:val="00D775C8"/>
    <w:rsid w:val="00D77DA8"/>
    <w:rsid w:val="00D83D0F"/>
    <w:rsid w:val="00D85A23"/>
    <w:rsid w:val="00D8617C"/>
    <w:rsid w:val="00D87898"/>
    <w:rsid w:val="00D87A4E"/>
    <w:rsid w:val="00D87B62"/>
    <w:rsid w:val="00D90786"/>
    <w:rsid w:val="00D915BC"/>
    <w:rsid w:val="00D92959"/>
    <w:rsid w:val="00D92C49"/>
    <w:rsid w:val="00D93F5C"/>
    <w:rsid w:val="00D950FF"/>
    <w:rsid w:val="00D9512C"/>
    <w:rsid w:val="00D97E6A"/>
    <w:rsid w:val="00DA02BC"/>
    <w:rsid w:val="00DA2C41"/>
    <w:rsid w:val="00DA508C"/>
    <w:rsid w:val="00DA5D49"/>
    <w:rsid w:val="00DA6645"/>
    <w:rsid w:val="00DB0E99"/>
    <w:rsid w:val="00DB16E4"/>
    <w:rsid w:val="00DB1F9D"/>
    <w:rsid w:val="00DB30DE"/>
    <w:rsid w:val="00DB4284"/>
    <w:rsid w:val="00DC1665"/>
    <w:rsid w:val="00DC1C58"/>
    <w:rsid w:val="00DC2233"/>
    <w:rsid w:val="00DC3435"/>
    <w:rsid w:val="00DC479F"/>
    <w:rsid w:val="00DC69F1"/>
    <w:rsid w:val="00DC6D1B"/>
    <w:rsid w:val="00DD1616"/>
    <w:rsid w:val="00DD3BA3"/>
    <w:rsid w:val="00DD515A"/>
    <w:rsid w:val="00DE2E69"/>
    <w:rsid w:val="00DE37A9"/>
    <w:rsid w:val="00DE3CFB"/>
    <w:rsid w:val="00DE48B6"/>
    <w:rsid w:val="00DE51C8"/>
    <w:rsid w:val="00DE5D44"/>
    <w:rsid w:val="00DE6C52"/>
    <w:rsid w:val="00DF0758"/>
    <w:rsid w:val="00DF1445"/>
    <w:rsid w:val="00DF377F"/>
    <w:rsid w:val="00DF6285"/>
    <w:rsid w:val="00DF6A25"/>
    <w:rsid w:val="00E003EE"/>
    <w:rsid w:val="00E02B72"/>
    <w:rsid w:val="00E033E1"/>
    <w:rsid w:val="00E04518"/>
    <w:rsid w:val="00E05DEA"/>
    <w:rsid w:val="00E06D09"/>
    <w:rsid w:val="00E07A7C"/>
    <w:rsid w:val="00E11386"/>
    <w:rsid w:val="00E12D57"/>
    <w:rsid w:val="00E12E8E"/>
    <w:rsid w:val="00E14A68"/>
    <w:rsid w:val="00E1630E"/>
    <w:rsid w:val="00E17255"/>
    <w:rsid w:val="00E17288"/>
    <w:rsid w:val="00E20803"/>
    <w:rsid w:val="00E22ACD"/>
    <w:rsid w:val="00E22EFE"/>
    <w:rsid w:val="00E2492A"/>
    <w:rsid w:val="00E257B4"/>
    <w:rsid w:val="00E26541"/>
    <w:rsid w:val="00E27082"/>
    <w:rsid w:val="00E3039C"/>
    <w:rsid w:val="00E308D4"/>
    <w:rsid w:val="00E310E7"/>
    <w:rsid w:val="00E33D0D"/>
    <w:rsid w:val="00E347B5"/>
    <w:rsid w:val="00E35302"/>
    <w:rsid w:val="00E3589C"/>
    <w:rsid w:val="00E35E1A"/>
    <w:rsid w:val="00E36B89"/>
    <w:rsid w:val="00E376C8"/>
    <w:rsid w:val="00E40072"/>
    <w:rsid w:val="00E400F1"/>
    <w:rsid w:val="00E411F5"/>
    <w:rsid w:val="00E4231A"/>
    <w:rsid w:val="00E43FA4"/>
    <w:rsid w:val="00E47112"/>
    <w:rsid w:val="00E471A8"/>
    <w:rsid w:val="00E5190F"/>
    <w:rsid w:val="00E54584"/>
    <w:rsid w:val="00E548D9"/>
    <w:rsid w:val="00E551CE"/>
    <w:rsid w:val="00E55BE9"/>
    <w:rsid w:val="00E577CF"/>
    <w:rsid w:val="00E621D2"/>
    <w:rsid w:val="00E64725"/>
    <w:rsid w:val="00E64DD1"/>
    <w:rsid w:val="00E65634"/>
    <w:rsid w:val="00E70CD5"/>
    <w:rsid w:val="00E732DE"/>
    <w:rsid w:val="00E74D07"/>
    <w:rsid w:val="00E77C7D"/>
    <w:rsid w:val="00E77D86"/>
    <w:rsid w:val="00E80480"/>
    <w:rsid w:val="00E80B96"/>
    <w:rsid w:val="00E814E8"/>
    <w:rsid w:val="00E83B87"/>
    <w:rsid w:val="00E83D32"/>
    <w:rsid w:val="00E855E5"/>
    <w:rsid w:val="00E85691"/>
    <w:rsid w:val="00E864B6"/>
    <w:rsid w:val="00E8692E"/>
    <w:rsid w:val="00E87415"/>
    <w:rsid w:val="00E876D1"/>
    <w:rsid w:val="00E876DE"/>
    <w:rsid w:val="00E91F56"/>
    <w:rsid w:val="00E92D72"/>
    <w:rsid w:val="00E93CFB"/>
    <w:rsid w:val="00E95F25"/>
    <w:rsid w:val="00E96932"/>
    <w:rsid w:val="00E96DB4"/>
    <w:rsid w:val="00E97CCD"/>
    <w:rsid w:val="00EA0A65"/>
    <w:rsid w:val="00EA158C"/>
    <w:rsid w:val="00EA1702"/>
    <w:rsid w:val="00EA1D6C"/>
    <w:rsid w:val="00EA48E4"/>
    <w:rsid w:val="00EA4FB1"/>
    <w:rsid w:val="00EA5E7A"/>
    <w:rsid w:val="00EA6A55"/>
    <w:rsid w:val="00EB02F4"/>
    <w:rsid w:val="00EB0876"/>
    <w:rsid w:val="00EB1675"/>
    <w:rsid w:val="00EB1B82"/>
    <w:rsid w:val="00EB1F36"/>
    <w:rsid w:val="00EB3996"/>
    <w:rsid w:val="00EB47E5"/>
    <w:rsid w:val="00EB6471"/>
    <w:rsid w:val="00EB6EE7"/>
    <w:rsid w:val="00EB7492"/>
    <w:rsid w:val="00EB7D87"/>
    <w:rsid w:val="00EC2C15"/>
    <w:rsid w:val="00EC3AD8"/>
    <w:rsid w:val="00EC3F78"/>
    <w:rsid w:val="00EC48A4"/>
    <w:rsid w:val="00EC6757"/>
    <w:rsid w:val="00EC7365"/>
    <w:rsid w:val="00EC7E1D"/>
    <w:rsid w:val="00ED1672"/>
    <w:rsid w:val="00ED292F"/>
    <w:rsid w:val="00ED38B0"/>
    <w:rsid w:val="00ED62FE"/>
    <w:rsid w:val="00ED78EB"/>
    <w:rsid w:val="00EE1E8D"/>
    <w:rsid w:val="00EE3C8D"/>
    <w:rsid w:val="00EE4546"/>
    <w:rsid w:val="00EE5E44"/>
    <w:rsid w:val="00EE7C0D"/>
    <w:rsid w:val="00EE7F77"/>
    <w:rsid w:val="00EF016F"/>
    <w:rsid w:val="00EF16B2"/>
    <w:rsid w:val="00EF24B0"/>
    <w:rsid w:val="00EF314D"/>
    <w:rsid w:val="00EF32C3"/>
    <w:rsid w:val="00EF32EF"/>
    <w:rsid w:val="00EF4B72"/>
    <w:rsid w:val="00EF62C3"/>
    <w:rsid w:val="00EF7422"/>
    <w:rsid w:val="00F03981"/>
    <w:rsid w:val="00F04278"/>
    <w:rsid w:val="00F0536E"/>
    <w:rsid w:val="00F06109"/>
    <w:rsid w:val="00F06E1C"/>
    <w:rsid w:val="00F10985"/>
    <w:rsid w:val="00F134E3"/>
    <w:rsid w:val="00F13A33"/>
    <w:rsid w:val="00F14CD3"/>
    <w:rsid w:val="00F14EA5"/>
    <w:rsid w:val="00F1645F"/>
    <w:rsid w:val="00F175AB"/>
    <w:rsid w:val="00F24CB0"/>
    <w:rsid w:val="00F257BA"/>
    <w:rsid w:val="00F25C86"/>
    <w:rsid w:val="00F25CCF"/>
    <w:rsid w:val="00F26316"/>
    <w:rsid w:val="00F26879"/>
    <w:rsid w:val="00F3055C"/>
    <w:rsid w:val="00F32DB4"/>
    <w:rsid w:val="00F33159"/>
    <w:rsid w:val="00F34EF1"/>
    <w:rsid w:val="00F3537B"/>
    <w:rsid w:val="00F355B5"/>
    <w:rsid w:val="00F3607A"/>
    <w:rsid w:val="00F40551"/>
    <w:rsid w:val="00F41790"/>
    <w:rsid w:val="00F41C68"/>
    <w:rsid w:val="00F4553C"/>
    <w:rsid w:val="00F4797C"/>
    <w:rsid w:val="00F50617"/>
    <w:rsid w:val="00F522E8"/>
    <w:rsid w:val="00F529ED"/>
    <w:rsid w:val="00F538BB"/>
    <w:rsid w:val="00F5462D"/>
    <w:rsid w:val="00F55254"/>
    <w:rsid w:val="00F5773A"/>
    <w:rsid w:val="00F6007A"/>
    <w:rsid w:val="00F60A7D"/>
    <w:rsid w:val="00F634F5"/>
    <w:rsid w:val="00F67DB9"/>
    <w:rsid w:val="00F70894"/>
    <w:rsid w:val="00F71A78"/>
    <w:rsid w:val="00F72159"/>
    <w:rsid w:val="00F73944"/>
    <w:rsid w:val="00F77AED"/>
    <w:rsid w:val="00F77D8E"/>
    <w:rsid w:val="00F77FA3"/>
    <w:rsid w:val="00F8190D"/>
    <w:rsid w:val="00F8417B"/>
    <w:rsid w:val="00F843B0"/>
    <w:rsid w:val="00F8446A"/>
    <w:rsid w:val="00F85E47"/>
    <w:rsid w:val="00F86A73"/>
    <w:rsid w:val="00F8766A"/>
    <w:rsid w:val="00F90228"/>
    <w:rsid w:val="00F908B3"/>
    <w:rsid w:val="00F92E6D"/>
    <w:rsid w:val="00F93DE0"/>
    <w:rsid w:val="00F94195"/>
    <w:rsid w:val="00FA1801"/>
    <w:rsid w:val="00FA2978"/>
    <w:rsid w:val="00FA6EC9"/>
    <w:rsid w:val="00FA701D"/>
    <w:rsid w:val="00FA7146"/>
    <w:rsid w:val="00FA7A1C"/>
    <w:rsid w:val="00FB065C"/>
    <w:rsid w:val="00FB11AD"/>
    <w:rsid w:val="00FB2DD9"/>
    <w:rsid w:val="00FB3472"/>
    <w:rsid w:val="00FB3E77"/>
    <w:rsid w:val="00FB6CCE"/>
    <w:rsid w:val="00FB7B40"/>
    <w:rsid w:val="00FC6430"/>
    <w:rsid w:val="00FD00D2"/>
    <w:rsid w:val="00FD1255"/>
    <w:rsid w:val="00FD1E89"/>
    <w:rsid w:val="00FD26A8"/>
    <w:rsid w:val="00FD5999"/>
    <w:rsid w:val="00FD677D"/>
    <w:rsid w:val="00FD7EF0"/>
    <w:rsid w:val="00FE056A"/>
    <w:rsid w:val="00FE118D"/>
    <w:rsid w:val="00FE2591"/>
    <w:rsid w:val="00FE351F"/>
    <w:rsid w:val="00FE4331"/>
    <w:rsid w:val="00FE4A8C"/>
    <w:rsid w:val="00FE4C36"/>
    <w:rsid w:val="00FE53EC"/>
    <w:rsid w:val="00FE5499"/>
    <w:rsid w:val="00FF0C6D"/>
    <w:rsid w:val="00FF25DD"/>
    <w:rsid w:val="00FF2779"/>
    <w:rsid w:val="00FF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5154B"/>
  <w15:chartTrackingRefBased/>
  <w15:docId w15:val="{20AD0E28-22D9-4EFA-858F-716AB838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1F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 w:cs="Arial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D186D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Nadpis2">
    <w:name w:val="heading 2"/>
    <w:basedOn w:val="Odstavecseseznamem"/>
    <w:next w:val="Normln"/>
    <w:link w:val="Nadpis2Char"/>
    <w:autoRedefine/>
    <w:unhideWhenUsed/>
    <w:qFormat/>
    <w:rsid w:val="00951DA1"/>
    <w:pPr>
      <w:keepNext/>
      <w:spacing w:before="240" w:after="120"/>
      <w:ind w:left="425" w:hanging="425"/>
      <w:contextualSpacing w:val="0"/>
      <w:jc w:val="left"/>
      <w:outlineLvl w:val="1"/>
    </w:pPr>
    <w:rPr>
      <w:rFonts w:cs="Calibri"/>
      <w:b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465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7082"/>
    <w:pPr>
      <w:keepNext/>
      <w:keepLines/>
      <w:spacing w:before="40"/>
      <w:outlineLvl w:val="3"/>
    </w:pPr>
    <w:rPr>
      <w:rFonts w:ascii="Cambria" w:eastAsia="Times New Roman" w:hAnsi="Cambria" w:cs="Times New Roman"/>
      <w:i/>
      <w:iCs/>
      <w:color w:val="365F91"/>
      <w:szCs w:val="24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7082"/>
    <w:pPr>
      <w:keepNext/>
      <w:keepLines/>
      <w:spacing w:before="40"/>
      <w:outlineLvl w:val="4"/>
    </w:pPr>
    <w:rPr>
      <w:rFonts w:ascii="Cambria" w:eastAsia="Times New Roman" w:hAnsi="Cambria" w:cs="Times New Roman"/>
      <w:color w:val="365F91"/>
      <w:szCs w:val="24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246D13"/>
    <w:pPr>
      <w:keepNext/>
      <w:widowControl/>
      <w:autoSpaceDE/>
      <w:autoSpaceDN/>
      <w:adjustRightInd/>
      <w:jc w:val="center"/>
      <w:outlineLvl w:val="7"/>
    </w:pPr>
    <w:rPr>
      <w:rFonts w:cs="Times New Roman"/>
      <w:b/>
      <w:bCs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uiPriority w:val="9"/>
    <w:rsid w:val="00246D13"/>
    <w:rPr>
      <w:rFonts w:ascii="Calibri" w:eastAsiaTheme="minorEastAsia" w:hAnsi="Calibri" w:cs="Times New Roman"/>
      <w:b/>
      <w:bCs/>
      <w:noProof/>
      <w:sz w:val="24"/>
      <w:szCs w:val="20"/>
      <w:lang w:eastAsia="cs-CZ"/>
    </w:rPr>
  </w:style>
  <w:style w:type="paragraph" w:styleId="Zkladntext">
    <w:name w:val="Body Text"/>
    <w:aliases w:val="?????1,Body ...,Body Text Char,Body Text Char Char,Body Text Char Char Char,Body Text Char1 Char Char,Body Text Char2 Char,Corps de texte INTSUM,Nornální,Základní text - D,b,Číslovaný seznam (i),Текст1"/>
    <w:basedOn w:val="Normln"/>
    <w:link w:val="ZkladntextChar"/>
    <w:rsid w:val="00246D13"/>
    <w:pPr>
      <w:widowControl/>
      <w:autoSpaceDE/>
      <w:autoSpaceDN/>
      <w:adjustRightInd/>
    </w:pPr>
    <w:rPr>
      <w:rFonts w:cs="Times New Roman"/>
      <w:b/>
      <w:bCs/>
      <w:sz w:val="28"/>
      <w:szCs w:val="28"/>
    </w:rPr>
  </w:style>
  <w:style w:type="character" w:customStyle="1" w:styleId="ZkladntextChar">
    <w:name w:val="Základní text Char"/>
    <w:aliases w:val="?????1 Char,Body ... Char,Body Text Char Char1,Body Text Char Char Char1,Body Text Char Char Char Char,Body Text Char1 Char Char Char,Body Text Char2 Char Char,Corps de texte INTSUM Char,Nornální Char,Základní text - D Char,b Char"/>
    <w:basedOn w:val="Standardnpsmoodstavce"/>
    <w:link w:val="Zkladntext"/>
    <w:rsid w:val="00246D13"/>
    <w:rPr>
      <w:rFonts w:ascii="Calibri" w:eastAsiaTheme="minorEastAsia" w:hAnsi="Calibri" w:cs="Times New Roman"/>
      <w:b/>
      <w:bCs/>
      <w:sz w:val="28"/>
      <w:szCs w:val="28"/>
      <w:lang w:eastAsia="cs-CZ"/>
    </w:rPr>
  </w:style>
  <w:style w:type="paragraph" w:customStyle="1" w:styleId="Zkladn">
    <w:name w:val="Základní"/>
    <w:basedOn w:val="Normln"/>
    <w:rsid w:val="00246D13"/>
    <w:pPr>
      <w:widowControl/>
      <w:autoSpaceDE/>
      <w:autoSpaceDN/>
      <w:adjustRightInd/>
      <w:spacing w:before="120"/>
    </w:pPr>
    <w:rPr>
      <w:rFonts w:cs="Times New Roman"/>
      <w:szCs w:val="24"/>
      <w:lang w:eastAsia="en-US"/>
    </w:rPr>
  </w:style>
  <w:style w:type="paragraph" w:styleId="Textpoznpodarou">
    <w:name w:val="footnote text"/>
    <w:aliases w:val="fn,Char,Char Char Char1,Char Char1,FSR footnote,Footnote,Footnote Text Char1,Fußnote,Geneva 9,Plonk,Schriftart: 10 pt,Schriftart: 8 pt,Schriftart: 9 pt,Text pozn. pod čarou1,Text pozn. pod čarou_martin_ang,f,lábléc,pozn. pod čarou"/>
    <w:basedOn w:val="Normln"/>
    <w:link w:val="TextpoznpodarouChar"/>
    <w:uiPriority w:val="99"/>
    <w:unhideWhenUsed/>
    <w:rsid w:val="00246D13"/>
    <w:pPr>
      <w:widowControl/>
      <w:autoSpaceDE/>
      <w:autoSpaceDN/>
      <w:adjustRightInd/>
    </w:pPr>
    <w:rPr>
      <w:rFonts w:cs="Times New Roman"/>
    </w:rPr>
  </w:style>
  <w:style w:type="character" w:customStyle="1" w:styleId="TextpoznpodarouChar">
    <w:name w:val="Text pozn. pod čarou Char"/>
    <w:aliases w:val="fn Char,Char Char,Char Char Char1 Char,Char Char1 Char,FSR footnote Char,Footnote Char,Footnote Text Char1 Char,Fußnote Char,Geneva 9 Char,Plonk Char,Schriftart: 10 pt Char,Schriftart: 8 pt Char,Schriftart: 9 pt Char,f Char"/>
    <w:basedOn w:val="Standardnpsmoodstavce"/>
    <w:link w:val="Textpoznpodarou"/>
    <w:uiPriority w:val="99"/>
    <w:rsid w:val="00246D13"/>
    <w:rPr>
      <w:rFonts w:ascii="Calibri" w:eastAsiaTheme="minorEastAsia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246D13"/>
    <w:rPr>
      <w:rFonts w:cs="Times New Roman"/>
      <w:vertAlign w:val="superscript"/>
    </w:rPr>
  </w:style>
  <w:style w:type="character" w:customStyle="1" w:styleId="Titulektabulky">
    <w:name w:val="Titulek tabulky_"/>
    <w:link w:val="Titulektabulky0"/>
    <w:locked/>
    <w:rsid w:val="00246D13"/>
    <w:rPr>
      <w:rFonts w:ascii="Calibri" w:hAnsi="Calibri"/>
      <w:shd w:val="clear" w:color="auto" w:fill="FFFFFF"/>
    </w:rPr>
  </w:style>
  <w:style w:type="paragraph" w:customStyle="1" w:styleId="Titulektabulky0">
    <w:name w:val="Titulek tabulky"/>
    <w:basedOn w:val="Normln"/>
    <w:link w:val="Titulektabulky"/>
    <w:rsid w:val="00246D13"/>
    <w:pPr>
      <w:shd w:val="clear" w:color="auto" w:fill="FFFFFF"/>
      <w:autoSpaceDE/>
      <w:autoSpaceDN/>
      <w:adjustRightInd/>
    </w:pPr>
    <w:rPr>
      <w:rFonts w:eastAsiaTheme="minorHAnsi" w:cstheme="minorBidi"/>
      <w:sz w:val="22"/>
      <w:szCs w:val="22"/>
      <w:lang w:eastAsia="en-US"/>
    </w:rPr>
  </w:style>
  <w:style w:type="paragraph" w:styleId="Odstavecseseznamem">
    <w:name w:val="List Paragraph"/>
    <w:aliases w:val="odrážky,Nadpis pro KZ,1 úroveň Odstavec se seznamem,List Paragraph1,List Paragraph2,List Paragraph_0,Nad,Nad1,Nad2,Odstavec se seznamem a odrážkou,Odstavec_muj,Odstavec_muj1,Odstavec_muj10,Odstavec_muj11,Styl 3,můj Nadpis 2,nad 1"/>
    <w:basedOn w:val="Normln"/>
    <w:link w:val="OdstavecseseznamemChar"/>
    <w:uiPriority w:val="34"/>
    <w:qFormat/>
    <w:rsid w:val="00246D13"/>
    <w:pPr>
      <w:ind w:left="720"/>
      <w:contextualSpacing/>
    </w:pPr>
  </w:style>
  <w:style w:type="character" w:customStyle="1" w:styleId="OdstavecseseznamemChar">
    <w:name w:val="Odstavec se seznamem Char"/>
    <w:aliases w:val="odrážky Char,Nadpis pro KZ Char,1 úroveň Odstavec se seznamem Char,List Paragraph1 Char,List Paragraph2 Char,List Paragraph_0 Char,Nad Char,Nad1 Char,Nad2 Char,Odstavec se seznamem a odrážkou Char,Odstavec_muj Char,Styl 3 Char"/>
    <w:link w:val="Odstavecseseznamem"/>
    <w:uiPriority w:val="34"/>
    <w:qFormat/>
    <w:locked/>
    <w:rsid w:val="00246D13"/>
    <w:rPr>
      <w:rFonts w:ascii="Arial" w:eastAsiaTheme="minorEastAsia" w:hAnsi="Arial" w:cs="Arial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E1D5A"/>
    <w:rPr>
      <w:b/>
      <w:bCs/>
    </w:rPr>
  </w:style>
  <w:style w:type="character" w:customStyle="1" w:styleId="Nadpis1Char">
    <w:name w:val="Nadpis 1 Char"/>
    <w:basedOn w:val="Standardnpsmoodstavce"/>
    <w:link w:val="Nadpis1"/>
    <w:rsid w:val="007D186D"/>
    <w:rPr>
      <w:rFonts w:ascii="Calibri" w:eastAsiaTheme="majorEastAsia" w:hAnsi="Calibri" w:cstheme="majorBidi"/>
      <w:b/>
      <w:color w:val="000000" w:themeColor="text1"/>
      <w:sz w:val="24"/>
      <w:szCs w:val="32"/>
      <w:lang w:eastAsia="cs-CZ"/>
    </w:rPr>
  </w:style>
  <w:style w:type="paragraph" w:customStyle="1" w:styleId="Nzevtabulky">
    <w:name w:val="Název tabulky"/>
    <w:basedOn w:val="Normln"/>
    <w:uiPriority w:val="99"/>
    <w:qFormat/>
    <w:rsid w:val="0023743D"/>
    <w:pPr>
      <w:widowControl/>
      <w:numPr>
        <w:ilvl w:val="1"/>
        <w:numId w:val="2"/>
      </w:numPr>
      <w:autoSpaceDE/>
      <w:autoSpaceDN/>
      <w:adjustRightInd/>
    </w:pPr>
    <w:rPr>
      <w:rFonts w:asciiTheme="minorHAnsi" w:eastAsia="Times New Roman" w:hAnsiTheme="minorHAnsi" w:cs="Times New Roman"/>
      <w:szCs w:val="24"/>
      <w:lang w:eastAsia="en-US"/>
    </w:rPr>
  </w:style>
  <w:style w:type="table" w:styleId="Mkatabulky">
    <w:name w:val="Table Grid"/>
    <w:basedOn w:val="Normlntabulka"/>
    <w:uiPriority w:val="39"/>
    <w:rsid w:val="00CC0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843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3B0"/>
    <w:rPr>
      <w:rFonts w:ascii="Segoe UI" w:eastAsiaTheme="minorEastAsia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15F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5F64"/>
    <w:rPr>
      <w:rFonts w:ascii="Arial" w:eastAsiaTheme="minorEastAsia"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15F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5F64"/>
    <w:rPr>
      <w:rFonts w:ascii="Arial" w:eastAsiaTheme="minorEastAsia" w:hAnsi="Arial" w:cs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527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27C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27CA"/>
    <w:rPr>
      <w:rFonts w:ascii="Arial" w:eastAsiaTheme="minorEastAsia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27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27CA"/>
    <w:rPr>
      <w:rFonts w:ascii="Arial" w:eastAsiaTheme="minorEastAsia" w:hAnsi="Arial" w:cs="Arial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EF7422"/>
    <w:rPr>
      <w:color w:val="0000FF"/>
      <w:u w:val="single"/>
    </w:rPr>
  </w:style>
  <w:style w:type="paragraph" w:customStyle="1" w:styleId="tabulka">
    <w:name w:val="tabulka"/>
    <w:basedOn w:val="Normln"/>
    <w:link w:val="tabulkaChar"/>
    <w:qFormat/>
    <w:rsid w:val="000A2ADA"/>
    <w:pPr>
      <w:widowControl/>
      <w:autoSpaceDE/>
      <w:autoSpaceDN/>
      <w:adjustRightInd/>
    </w:pPr>
    <w:rPr>
      <w:rFonts w:asciiTheme="minorHAnsi" w:eastAsia="Times New Roman" w:hAnsiTheme="minorHAnsi"/>
      <w:sz w:val="20"/>
      <w:szCs w:val="18"/>
      <w:lang w:eastAsia="en-US"/>
    </w:rPr>
  </w:style>
  <w:style w:type="character" w:customStyle="1" w:styleId="tabulkaChar">
    <w:name w:val="tabulka Char"/>
    <w:link w:val="tabulka"/>
    <w:rsid w:val="000A2ADA"/>
    <w:rPr>
      <w:rFonts w:eastAsia="Times New Roman" w:cs="Arial"/>
      <w:sz w:val="20"/>
      <w:szCs w:val="18"/>
    </w:rPr>
  </w:style>
  <w:style w:type="paragraph" w:customStyle="1" w:styleId="Zdroj">
    <w:name w:val="Zdroj"/>
    <w:basedOn w:val="Normln"/>
    <w:link w:val="ZdrojChar"/>
    <w:qFormat/>
    <w:rsid w:val="00DE48B6"/>
    <w:pPr>
      <w:widowControl/>
      <w:autoSpaceDE/>
      <w:autoSpaceDN/>
      <w:adjustRightInd/>
    </w:pPr>
    <w:rPr>
      <w:rFonts w:eastAsia="Times New Roman" w:cs="Times New Roman"/>
      <w:i/>
      <w:sz w:val="20"/>
    </w:rPr>
  </w:style>
  <w:style w:type="character" w:customStyle="1" w:styleId="ZdrojChar">
    <w:name w:val="Zdroj Char"/>
    <w:basedOn w:val="Standardnpsmoodstavce"/>
    <w:link w:val="Zdroj"/>
    <w:rsid w:val="00DE48B6"/>
    <w:rPr>
      <w:rFonts w:ascii="Calibri" w:eastAsia="Times New Roman" w:hAnsi="Calibri" w:cs="Times New Roman"/>
      <w:i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51DA1"/>
    <w:rPr>
      <w:rFonts w:ascii="Calibri" w:eastAsiaTheme="minorEastAsia" w:hAnsi="Calibri" w:cs="Calibri"/>
      <w:b/>
      <w:sz w:val="24"/>
      <w:szCs w:val="24"/>
      <w:lang w:eastAsia="cs-CZ"/>
    </w:rPr>
  </w:style>
  <w:style w:type="paragraph" w:customStyle="1" w:styleId="Poznmkapodarou">
    <w:name w:val="Poznámka pod čarou"/>
    <w:basedOn w:val="Normln"/>
    <w:next w:val="Titulek"/>
    <w:qFormat/>
    <w:rsid w:val="00A427DD"/>
    <w:pPr>
      <w:widowControl/>
      <w:autoSpaceDE/>
      <w:autoSpaceDN/>
      <w:adjustRightInd/>
    </w:pPr>
    <w:rPr>
      <w:rFonts w:eastAsia="Times New Roman" w:cs="Times New Roman"/>
      <w:color w:val="000000" w:themeColor="text1"/>
      <w:szCs w:val="24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427DD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5465C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546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900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39"/>
    <w:rsid w:val="00900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41">
    <w:name w:val="Nadpis 41"/>
    <w:basedOn w:val="Normln"/>
    <w:next w:val="Normln"/>
    <w:uiPriority w:val="9"/>
    <w:semiHidden/>
    <w:unhideWhenUsed/>
    <w:qFormat/>
    <w:rsid w:val="00E27082"/>
    <w:pPr>
      <w:keepNext/>
      <w:keepLines/>
      <w:widowControl/>
      <w:autoSpaceDE/>
      <w:autoSpaceDN/>
      <w:adjustRightInd/>
      <w:spacing w:before="40"/>
      <w:jc w:val="left"/>
      <w:outlineLvl w:val="3"/>
    </w:pPr>
    <w:rPr>
      <w:rFonts w:ascii="Cambria" w:eastAsia="Times New Roman" w:hAnsi="Cambria" w:cs="Times New Roman"/>
      <w:i/>
      <w:iCs/>
      <w:color w:val="365F91"/>
      <w:szCs w:val="24"/>
      <w:lang w:eastAsia="en-US"/>
    </w:rPr>
  </w:style>
  <w:style w:type="paragraph" w:customStyle="1" w:styleId="Nadpis51">
    <w:name w:val="Nadpis 51"/>
    <w:basedOn w:val="Normln"/>
    <w:next w:val="Normln"/>
    <w:uiPriority w:val="9"/>
    <w:semiHidden/>
    <w:unhideWhenUsed/>
    <w:qFormat/>
    <w:rsid w:val="00E27082"/>
    <w:pPr>
      <w:keepNext/>
      <w:keepLines/>
      <w:widowControl/>
      <w:autoSpaceDE/>
      <w:autoSpaceDN/>
      <w:adjustRightInd/>
      <w:spacing w:before="40"/>
      <w:jc w:val="left"/>
      <w:outlineLvl w:val="4"/>
    </w:pPr>
    <w:rPr>
      <w:rFonts w:ascii="Cambria" w:eastAsia="Times New Roman" w:hAnsi="Cambria" w:cs="Times New Roman"/>
      <w:color w:val="365F91"/>
      <w:szCs w:val="24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E27082"/>
  </w:style>
  <w:style w:type="paragraph" w:styleId="Normlnweb">
    <w:name w:val="Normal (Web)"/>
    <w:basedOn w:val="Normln"/>
    <w:semiHidden/>
    <w:rsid w:val="00E27082"/>
    <w:pPr>
      <w:widowControl/>
      <w:autoSpaceDE/>
      <w:autoSpaceDN/>
      <w:adjustRightInd/>
      <w:jc w:val="left"/>
    </w:pPr>
    <w:rPr>
      <w:rFonts w:eastAsia="Times New Roman" w:cs="Times New Roman"/>
      <w:szCs w:val="24"/>
      <w:lang w:eastAsia="en-US"/>
    </w:rPr>
  </w:style>
  <w:style w:type="character" w:styleId="slostrnky">
    <w:name w:val="page number"/>
    <w:basedOn w:val="Standardnpsmoodstavce"/>
    <w:semiHidden/>
    <w:rsid w:val="00E27082"/>
  </w:style>
  <w:style w:type="character" w:styleId="Sledovanodkaz">
    <w:name w:val="FollowedHyperlink"/>
    <w:basedOn w:val="Standardnpsmoodstavce"/>
    <w:semiHidden/>
    <w:rsid w:val="00E27082"/>
    <w:rPr>
      <w:color w:val="800080"/>
      <w:u w:val="single"/>
    </w:rPr>
  </w:style>
  <w:style w:type="paragraph" w:customStyle="1" w:styleId="Nadpisobsahu1">
    <w:name w:val="Nadpis obsahu1"/>
    <w:basedOn w:val="Nadpis1"/>
    <w:next w:val="Normln"/>
    <w:uiPriority w:val="39"/>
    <w:unhideWhenUsed/>
    <w:qFormat/>
    <w:rsid w:val="00E27082"/>
    <w:pPr>
      <w:widowControl/>
      <w:autoSpaceDE/>
      <w:autoSpaceDN/>
      <w:adjustRightInd/>
      <w:spacing w:line="259" w:lineRule="auto"/>
      <w:jc w:val="left"/>
      <w:outlineLvl w:val="9"/>
    </w:pPr>
    <w:rPr>
      <w:rFonts w:ascii="Cambria" w:hAnsi="Cambria"/>
      <w:b w:val="0"/>
      <w:color w:val="365F91"/>
      <w:sz w:val="32"/>
    </w:rPr>
  </w:style>
  <w:style w:type="paragraph" w:styleId="Obsah1">
    <w:name w:val="toc 1"/>
    <w:basedOn w:val="Normln"/>
    <w:next w:val="Normln"/>
    <w:autoRedefine/>
    <w:uiPriority w:val="39"/>
    <w:unhideWhenUsed/>
    <w:rsid w:val="00E27082"/>
    <w:pPr>
      <w:widowControl/>
      <w:autoSpaceDE/>
      <w:autoSpaceDN/>
      <w:adjustRightInd/>
      <w:spacing w:after="100"/>
      <w:jc w:val="left"/>
    </w:pPr>
    <w:rPr>
      <w:rFonts w:eastAsia="Times New Roman" w:cs="Times New Roman"/>
      <w:szCs w:val="24"/>
      <w:lang w:eastAsia="en-US"/>
    </w:rPr>
  </w:style>
  <w:style w:type="table" w:customStyle="1" w:styleId="Mkatabulky4">
    <w:name w:val="Mřížka tabulky4"/>
    <w:basedOn w:val="Normlntabulka"/>
    <w:next w:val="Mkatabulky"/>
    <w:uiPriority w:val="39"/>
    <w:rsid w:val="00E27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uiPriority w:val="39"/>
    <w:unhideWhenUsed/>
    <w:rsid w:val="00E27082"/>
    <w:pPr>
      <w:widowControl/>
      <w:autoSpaceDE/>
      <w:autoSpaceDN/>
      <w:adjustRightInd/>
      <w:spacing w:after="100"/>
      <w:ind w:left="240"/>
      <w:jc w:val="left"/>
    </w:pPr>
    <w:rPr>
      <w:rFonts w:eastAsia="Times New Roman" w:cs="Times New Roman"/>
      <w:szCs w:val="24"/>
      <w:lang w:eastAsia="en-US"/>
    </w:rPr>
  </w:style>
  <w:style w:type="paragraph" w:customStyle="1" w:styleId="Default">
    <w:name w:val="Default"/>
    <w:rsid w:val="00E270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E27082"/>
    <w:pPr>
      <w:widowControl/>
      <w:autoSpaceDE/>
      <w:autoSpaceDN/>
      <w:adjustRightInd/>
      <w:spacing w:after="100"/>
      <w:ind w:left="480"/>
      <w:jc w:val="left"/>
    </w:pPr>
    <w:rPr>
      <w:rFonts w:eastAsia="Times New Roman" w:cs="Times New Roman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E27082"/>
    <w:rPr>
      <w:color w:val="605E5C"/>
      <w:shd w:val="clear" w:color="auto" w:fill="E1DFDD"/>
    </w:rPr>
  </w:style>
  <w:style w:type="table" w:customStyle="1" w:styleId="Mkatabulky11">
    <w:name w:val="Mřížka tabulky11"/>
    <w:basedOn w:val="Normlntabulka"/>
    <w:next w:val="Mkatabulky"/>
    <w:uiPriority w:val="39"/>
    <w:rsid w:val="00E2708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semiHidden/>
    <w:unhideWhenUsed/>
    <w:rsid w:val="00E27082"/>
    <w:pPr>
      <w:widowControl/>
      <w:autoSpaceDE/>
      <w:autoSpaceDN/>
      <w:adjustRightInd/>
      <w:spacing w:after="120" w:line="480" w:lineRule="auto"/>
      <w:jc w:val="left"/>
    </w:pPr>
    <w:rPr>
      <w:rFonts w:eastAsia="Times New Roman" w:cs="Times New Roman"/>
      <w:szCs w:val="24"/>
      <w:lang w:eastAsia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E27082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27082"/>
    <w:pPr>
      <w:widowControl/>
      <w:autoSpaceDE/>
      <w:autoSpaceDN/>
      <w:adjustRightInd/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27082"/>
    <w:rPr>
      <w:rFonts w:ascii="Times New Roman" w:eastAsia="Times New Roman" w:hAnsi="Times New Roman" w:cs="Times New Roman"/>
      <w:sz w:val="16"/>
      <w:szCs w:val="16"/>
    </w:rPr>
  </w:style>
  <w:style w:type="table" w:customStyle="1" w:styleId="Prosttabulka11">
    <w:name w:val="Prostá tabulka 11"/>
    <w:basedOn w:val="Normlntabulka"/>
    <w:next w:val="Prosttabulka1"/>
    <w:uiPriority w:val="41"/>
    <w:rsid w:val="00E27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Svtlmkatabulky1">
    <w:name w:val="Světlá mřížka tabulky1"/>
    <w:basedOn w:val="Normlntabulka"/>
    <w:next w:val="Svtlmkatabulky"/>
    <w:uiPriority w:val="40"/>
    <w:rsid w:val="00E27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Revize">
    <w:name w:val="Revision"/>
    <w:hidden/>
    <w:uiPriority w:val="99"/>
    <w:semiHidden/>
    <w:rsid w:val="00E27082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table" w:customStyle="1" w:styleId="Mkatabulky21">
    <w:name w:val="Mřížka tabulky21"/>
    <w:basedOn w:val="Normlntabulka"/>
    <w:next w:val="Mkatabulky"/>
    <w:uiPriority w:val="39"/>
    <w:rsid w:val="00E270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E27082"/>
    <w:rPr>
      <w:rFonts w:ascii="Cambria" w:eastAsia="Times New Roman" w:hAnsi="Cambria" w:cs="Times New Roman"/>
      <w:color w:val="365F91"/>
      <w:sz w:val="24"/>
      <w:szCs w:val="24"/>
      <w:lang w:eastAsia="en-US"/>
    </w:rPr>
  </w:style>
  <w:style w:type="character" w:customStyle="1" w:styleId="Zkladntext0">
    <w:name w:val="Základní text_"/>
    <w:basedOn w:val="Standardnpsmoodstavce"/>
    <w:link w:val="Zkladntext1"/>
    <w:rsid w:val="00E27082"/>
    <w:rPr>
      <w:rFonts w:ascii="Calibri" w:eastAsia="Calibri" w:hAnsi="Calibri" w:cs="Calibri"/>
      <w:i/>
      <w:iCs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E27082"/>
    <w:pPr>
      <w:shd w:val="clear" w:color="auto" w:fill="FFFFFF"/>
      <w:autoSpaceDE/>
      <w:autoSpaceDN/>
      <w:adjustRightInd/>
    </w:pPr>
    <w:rPr>
      <w:rFonts w:eastAsia="Calibri" w:cs="Calibri"/>
      <w:i/>
      <w:iCs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7082"/>
    <w:rPr>
      <w:rFonts w:ascii="Cambria" w:eastAsia="Times New Roman" w:hAnsi="Cambria" w:cs="Times New Roman"/>
      <w:i/>
      <w:iCs/>
      <w:color w:val="365F91"/>
      <w:sz w:val="24"/>
      <w:szCs w:val="24"/>
      <w:lang w:eastAsia="en-US"/>
    </w:rPr>
  </w:style>
  <w:style w:type="table" w:customStyle="1" w:styleId="Mkatabulky31">
    <w:name w:val="Mřížka tabulky31"/>
    <w:basedOn w:val="Normlntabulka"/>
    <w:next w:val="Mkatabulky"/>
    <w:uiPriority w:val="59"/>
    <w:rsid w:val="00E27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1">
    <w:name w:val="Mřížka tabulky41"/>
    <w:basedOn w:val="Normlntabulka"/>
    <w:next w:val="Mkatabulky"/>
    <w:uiPriority w:val="39"/>
    <w:rsid w:val="00E270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1">
    <w:name w:val="Bez seznamu11"/>
    <w:next w:val="Bezseznamu"/>
    <w:uiPriority w:val="99"/>
    <w:semiHidden/>
    <w:unhideWhenUsed/>
    <w:rsid w:val="00E27082"/>
  </w:style>
  <w:style w:type="paragraph" w:customStyle="1" w:styleId="tabulkaKP">
    <w:name w:val="tabulka KP"/>
    <w:qFormat/>
    <w:rsid w:val="00E27082"/>
    <w:pPr>
      <w:numPr>
        <w:numId w:val="6"/>
      </w:num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  <w:lang w:eastAsia="cs-CZ"/>
    </w:rPr>
  </w:style>
  <w:style w:type="table" w:styleId="Prosttabulka1">
    <w:name w:val="Plain Table 1"/>
    <w:basedOn w:val="Normlntabulka"/>
    <w:uiPriority w:val="41"/>
    <w:rsid w:val="00E2708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E270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dpis5Char1">
    <w:name w:val="Nadpis 5 Char1"/>
    <w:basedOn w:val="Standardnpsmoodstavce"/>
    <w:uiPriority w:val="9"/>
    <w:semiHidden/>
    <w:rsid w:val="00E27082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cs-CZ"/>
    </w:rPr>
  </w:style>
  <w:style w:type="character" w:customStyle="1" w:styleId="Nadpis4Char1">
    <w:name w:val="Nadpis 4 Char1"/>
    <w:basedOn w:val="Standardnpsmoodstavce"/>
    <w:uiPriority w:val="9"/>
    <w:semiHidden/>
    <w:rsid w:val="00E2708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2021F-65FF-42E6-A68D-3E6FB05D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6484</Words>
  <Characters>38257</Characters>
  <Application>Microsoft Office Word</Application>
  <DocSecurity>0</DocSecurity>
  <Lines>318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23/12 - Prostředky vybírané na základě zákona ve prospěch Zdravotní pojišťovny ministerstva vnitra České republiky</vt:lpstr>
    </vt:vector>
  </TitlesOfParts>
  <Company>NKU</Company>
  <LinksUpToDate>false</LinksUpToDate>
  <CharactersWithSpaces>44652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23/12 - Prostředky vybírané na základě zákona ve prospěch Zdravotní pojišťovny ministerstva vnitra České republiky</dc:title>
  <dc:subject>Kontrolní závěr z kontrolní akce NKÚ č. 23/12 - Prostředky vybírané na základě zákona ve prospěch Zdravotní pojišťovny ministerstva vnitra České republiky</dc:subject>
  <dc:creator>nku@NKU.cz</dc:creator>
  <cp:keywords>kontrolní závěr; zdravotní pojišťovny; zdravotní pojišťovna MV ČR; ZP MV ČR; zdravotní pojštění</cp:keywords>
  <dc:description/>
  <cp:lastModifiedBy>KOKRDA Daniel</cp:lastModifiedBy>
  <cp:revision>3</cp:revision>
  <cp:lastPrinted>2024-05-13T06:03:00Z</cp:lastPrinted>
  <dcterms:created xsi:type="dcterms:W3CDTF">2024-06-06T05:55:00Z</dcterms:created>
  <dcterms:modified xsi:type="dcterms:W3CDTF">2024-06-06T06:03:00Z</dcterms:modified>
</cp:coreProperties>
</file>