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8D9B1F" w14:textId="77777777" w:rsidR="00F31597" w:rsidRPr="002E0619" w:rsidRDefault="002E0619" w:rsidP="002E0619">
      <w:pPr>
        <w:spacing w:after="0" w:line="240" w:lineRule="auto"/>
        <w:jc w:val="center"/>
        <w:rPr>
          <w:rFonts w:cstheme="minorHAnsi"/>
          <w:sz w:val="24"/>
          <w:szCs w:val="24"/>
        </w:rPr>
      </w:pPr>
      <w:bookmarkStart w:id="0" w:name="_GoBack"/>
      <w:bookmarkEnd w:id="0"/>
      <w:r w:rsidRPr="002E0619">
        <w:rPr>
          <w:rFonts w:cstheme="minorHAnsi"/>
          <w:noProof/>
          <w:sz w:val="24"/>
          <w:szCs w:val="24"/>
          <w:lang w:eastAsia="cs-CZ"/>
        </w:rPr>
        <w:drawing>
          <wp:anchor distT="0" distB="0" distL="114300" distR="114300" simplePos="0" relativeHeight="251658240" behindDoc="1" locked="0" layoutInCell="1" allowOverlap="1" wp14:anchorId="1F887C66" wp14:editId="5219133F">
            <wp:simplePos x="0" y="0"/>
            <wp:positionH relativeFrom="margin">
              <wp:posOffset>2524125</wp:posOffset>
            </wp:positionH>
            <wp:positionV relativeFrom="page">
              <wp:posOffset>892649</wp:posOffset>
            </wp:positionV>
            <wp:extent cx="712470" cy="503555"/>
            <wp:effectExtent l="0" t="0" r="0" b="0"/>
            <wp:wrapTopAndBottom/>
            <wp:docPr id="1" name="Obrázek 1" descr="NKU_logo-transp-rgb3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NKU_logo-transp-rgb300dpi"/>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712470" cy="503555"/>
                    </a:xfrm>
                    <a:prstGeom prst="rect">
                      <a:avLst/>
                    </a:prstGeom>
                    <a:noFill/>
                  </pic:spPr>
                </pic:pic>
              </a:graphicData>
            </a:graphic>
            <wp14:sizeRelH relativeFrom="page">
              <wp14:pctWidth>0</wp14:pctWidth>
            </wp14:sizeRelH>
            <wp14:sizeRelV relativeFrom="page">
              <wp14:pctHeight>0</wp14:pctHeight>
            </wp14:sizeRelV>
          </wp:anchor>
        </w:drawing>
      </w:r>
    </w:p>
    <w:p w14:paraId="4A84D4B2" w14:textId="77777777" w:rsidR="00CF6FED" w:rsidRPr="002E0619" w:rsidRDefault="00CF6FED" w:rsidP="002E0619">
      <w:pPr>
        <w:spacing w:after="0" w:line="240" w:lineRule="auto"/>
        <w:jc w:val="center"/>
        <w:rPr>
          <w:rFonts w:cstheme="minorHAnsi"/>
          <w:sz w:val="24"/>
          <w:szCs w:val="24"/>
        </w:rPr>
      </w:pPr>
    </w:p>
    <w:p w14:paraId="64E081BC" w14:textId="77777777" w:rsidR="00CF6FED" w:rsidRPr="002E0619" w:rsidRDefault="00CF6FED" w:rsidP="002E0619">
      <w:pPr>
        <w:spacing w:after="0" w:line="240" w:lineRule="auto"/>
        <w:jc w:val="center"/>
        <w:rPr>
          <w:rFonts w:cstheme="minorHAnsi"/>
          <w:sz w:val="24"/>
          <w:szCs w:val="24"/>
        </w:rPr>
      </w:pPr>
    </w:p>
    <w:p w14:paraId="13DDF7AB" w14:textId="77777777" w:rsidR="00CF6FED" w:rsidRDefault="00FA3A52" w:rsidP="002E0619">
      <w:pPr>
        <w:spacing w:after="0" w:line="240" w:lineRule="auto"/>
        <w:jc w:val="center"/>
        <w:rPr>
          <w:rFonts w:cstheme="minorHAnsi"/>
          <w:b/>
          <w:sz w:val="28"/>
          <w:szCs w:val="28"/>
        </w:rPr>
      </w:pPr>
      <w:r w:rsidRPr="00DC4AB1">
        <w:rPr>
          <w:rFonts w:cstheme="minorHAnsi"/>
          <w:b/>
          <w:sz w:val="28"/>
          <w:szCs w:val="28"/>
        </w:rPr>
        <w:t>Kontrolní závěr z kontrolní akce</w:t>
      </w:r>
    </w:p>
    <w:p w14:paraId="457323F4" w14:textId="77777777" w:rsidR="002E0619" w:rsidRPr="00DC4AB1" w:rsidRDefault="002E0619" w:rsidP="002E0619">
      <w:pPr>
        <w:spacing w:after="0" w:line="240" w:lineRule="auto"/>
        <w:jc w:val="center"/>
        <w:rPr>
          <w:rFonts w:cstheme="minorHAnsi"/>
          <w:b/>
          <w:sz w:val="28"/>
          <w:szCs w:val="28"/>
        </w:rPr>
      </w:pPr>
    </w:p>
    <w:p w14:paraId="6D371065" w14:textId="77777777" w:rsidR="00CF6FED" w:rsidRPr="00DC4AB1" w:rsidRDefault="00FA3A52" w:rsidP="002E0619">
      <w:pPr>
        <w:spacing w:after="0" w:line="240" w:lineRule="auto"/>
        <w:jc w:val="center"/>
        <w:rPr>
          <w:rFonts w:cstheme="minorHAnsi"/>
          <w:b/>
          <w:sz w:val="28"/>
          <w:szCs w:val="28"/>
        </w:rPr>
      </w:pPr>
      <w:r w:rsidRPr="00DC4AB1">
        <w:rPr>
          <w:rFonts w:cstheme="minorHAnsi"/>
          <w:b/>
          <w:sz w:val="28"/>
          <w:szCs w:val="28"/>
        </w:rPr>
        <w:t>2</w:t>
      </w:r>
      <w:r w:rsidR="00D2373D">
        <w:rPr>
          <w:rFonts w:cstheme="minorHAnsi"/>
          <w:b/>
          <w:sz w:val="28"/>
          <w:szCs w:val="28"/>
        </w:rPr>
        <w:t>2</w:t>
      </w:r>
      <w:r w:rsidR="00867AB5" w:rsidRPr="00DC4AB1">
        <w:rPr>
          <w:rFonts w:cstheme="minorHAnsi"/>
          <w:b/>
          <w:sz w:val="28"/>
          <w:szCs w:val="28"/>
        </w:rPr>
        <w:t>/</w:t>
      </w:r>
      <w:r w:rsidR="00FF65E0">
        <w:rPr>
          <w:rFonts w:cstheme="minorHAnsi"/>
          <w:b/>
          <w:sz w:val="28"/>
          <w:szCs w:val="28"/>
        </w:rPr>
        <w:t>3</w:t>
      </w:r>
      <w:r w:rsidRPr="00DC4AB1">
        <w:rPr>
          <w:rFonts w:cstheme="minorHAnsi"/>
          <w:b/>
          <w:sz w:val="28"/>
          <w:szCs w:val="28"/>
        </w:rPr>
        <w:t>2</w:t>
      </w:r>
    </w:p>
    <w:p w14:paraId="747CDAD7" w14:textId="77777777" w:rsidR="00FF65E0" w:rsidRDefault="00FF65E0" w:rsidP="002E0619">
      <w:pPr>
        <w:spacing w:after="0" w:line="240" w:lineRule="auto"/>
        <w:jc w:val="center"/>
        <w:rPr>
          <w:rFonts w:cstheme="minorHAnsi"/>
          <w:b/>
          <w:sz w:val="28"/>
          <w:szCs w:val="28"/>
        </w:rPr>
      </w:pPr>
    </w:p>
    <w:p w14:paraId="74E45686" w14:textId="77777777" w:rsidR="00CF6FED" w:rsidRDefault="00FF65E0" w:rsidP="002E0619">
      <w:pPr>
        <w:spacing w:after="0" w:line="276" w:lineRule="auto"/>
        <w:jc w:val="center"/>
        <w:rPr>
          <w:rFonts w:cstheme="minorHAnsi"/>
          <w:b/>
          <w:sz w:val="28"/>
          <w:szCs w:val="28"/>
        </w:rPr>
      </w:pPr>
      <w:r w:rsidRPr="00FF65E0">
        <w:rPr>
          <w:rFonts w:cstheme="minorHAnsi"/>
          <w:b/>
          <w:sz w:val="28"/>
          <w:szCs w:val="28"/>
        </w:rPr>
        <w:t>Majetek a peněžní prostředky státu, se kterými jsou příslušné hospodařit Kancelář prezidenta republiky a příspěvkové organizace Správa Pražského hradu a Lesní správa Lány</w:t>
      </w:r>
    </w:p>
    <w:p w14:paraId="76D84C96" w14:textId="77777777" w:rsidR="00FF65E0" w:rsidRDefault="00FF65E0" w:rsidP="002E0619">
      <w:pPr>
        <w:spacing w:after="0" w:line="276" w:lineRule="auto"/>
        <w:jc w:val="both"/>
        <w:rPr>
          <w:rFonts w:cstheme="minorHAnsi"/>
          <w:b/>
          <w:sz w:val="28"/>
          <w:szCs w:val="28"/>
        </w:rPr>
      </w:pPr>
    </w:p>
    <w:p w14:paraId="62FF04B6" w14:textId="77777777" w:rsidR="00FF65E0" w:rsidRPr="00FF65E0" w:rsidRDefault="00FF65E0" w:rsidP="002E0619">
      <w:pPr>
        <w:spacing w:after="0" w:line="276" w:lineRule="auto"/>
        <w:jc w:val="both"/>
        <w:rPr>
          <w:rFonts w:cstheme="minorHAnsi"/>
          <w:b/>
          <w:sz w:val="28"/>
          <w:szCs w:val="28"/>
        </w:rPr>
      </w:pPr>
    </w:p>
    <w:p w14:paraId="6C649B72" w14:textId="77777777" w:rsidR="00CF6FED" w:rsidRPr="00DC4AB1" w:rsidRDefault="00FA3A52" w:rsidP="002E0619">
      <w:pPr>
        <w:spacing w:after="120" w:line="276" w:lineRule="auto"/>
        <w:jc w:val="both"/>
        <w:rPr>
          <w:rFonts w:cstheme="minorHAnsi"/>
          <w:sz w:val="24"/>
          <w:szCs w:val="24"/>
        </w:rPr>
      </w:pPr>
      <w:r w:rsidRPr="00DC4AB1">
        <w:rPr>
          <w:rFonts w:cstheme="minorHAnsi"/>
          <w:sz w:val="24"/>
          <w:szCs w:val="24"/>
        </w:rPr>
        <w:t>Kontrolní akce byla zařazena do plánu kontrolní činnosti Nejvyššího kontrolního úř</w:t>
      </w:r>
      <w:r w:rsidR="00867AB5" w:rsidRPr="00DC4AB1">
        <w:rPr>
          <w:rFonts w:cstheme="minorHAnsi"/>
          <w:sz w:val="24"/>
          <w:szCs w:val="24"/>
        </w:rPr>
        <w:t xml:space="preserve">adu (dále také </w:t>
      </w:r>
      <w:r w:rsidR="00867AB5" w:rsidRPr="00DC4AB1">
        <w:rPr>
          <w:rFonts w:cstheme="minorHAnsi"/>
          <w:i/>
          <w:sz w:val="24"/>
          <w:szCs w:val="24"/>
        </w:rPr>
        <w:t>„</w:t>
      </w:r>
      <w:r w:rsidR="00867AB5" w:rsidRPr="00F3726D">
        <w:rPr>
          <w:rFonts w:cstheme="minorHAnsi"/>
          <w:sz w:val="24"/>
          <w:szCs w:val="24"/>
        </w:rPr>
        <w:t>NKÚ</w:t>
      </w:r>
      <w:r w:rsidR="00867AB5" w:rsidRPr="00DC4AB1">
        <w:rPr>
          <w:rFonts w:cstheme="minorHAnsi"/>
          <w:sz w:val="24"/>
          <w:szCs w:val="24"/>
        </w:rPr>
        <w:t>“) na rok 202</w:t>
      </w:r>
      <w:r w:rsidR="00FF65E0">
        <w:rPr>
          <w:rFonts w:cstheme="minorHAnsi"/>
          <w:sz w:val="24"/>
          <w:szCs w:val="24"/>
        </w:rPr>
        <w:t>2</w:t>
      </w:r>
      <w:r w:rsidRPr="00DC4AB1">
        <w:rPr>
          <w:rFonts w:cstheme="minorHAnsi"/>
          <w:sz w:val="24"/>
          <w:szCs w:val="24"/>
        </w:rPr>
        <w:t xml:space="preserve"> pod číslem </w:t>
      </w:r>
      <w:r w:rsidR="00867AB5" w:rsidRPr="00DC4AB1">
        <w:rPr>
          <w:rFonts w:cstheme="minorHAnsi"/>
          <w:sz w:val="24"/>
          <w:szCs w:val="24"/>
        </w:rPr>
        <w:t>2</w:t>
      </w:r>
      <w:r w:rsidR="00FF65E0">
        <w:rPr>
          <w:rFonts w:cstheme="minorHAnsi"/>
          <w:sz w:val="24"/>
          <w:szCs w:val="24"/>
        </w:rPr>
        <w:t>2</w:t>
      </w:r>
      <w:r w:rsidR="00867AB5" w:rsidRPr="00DC4AB1">
        <w:rPr>
          <w:rFonts w:cstheme="minorHAnsi"/>
          <w:sz w:val="24"/>
          <w:szCs w:val="24"/>
        </w:rPr>
        <w:t>/</w:t>
      </w:r>
      <w:r w:rsidR="00FF65E0">
        <w:rPr>
          <w:rFonts w:cstheme="minorHAnsi"/>
          <w:sz w:val="24"/>
          <w:szCs w:val="24"/>
        </w:rPr>
        <w:t>3</w:t>
      </w:r>
      <w:r w:rsidR="00BF03A7" w:rsidRPr="00DC4AB1">
        <w:rPr>
          <w:rFonts w:cstheme="minorHAnsi"/>
          <w:sz w:val="24"/>
          <w:szCs w:val="24"/>
        </w:rPr>
        <w:t>2</w:t>
      </w:r>
      <w:r w:rsidRPr="00DC4AB1">
        <w:rPr>
          <w:rFonts w:cstheme="minorHAnsi"/>
          <w:sz w:val="24"/>
          <w:szCs w:val="24"/>
        </w:rPr>
        <w:t xml:space="preserve">. Kontrolní akci řídil a kontrolní závěr vypracoval člen NKÚ </w:t>
      </w:r>
      <w:r w:rsidR="00075E5B" w:rsidRPr="00DC4AB1">
        <w:rPr>
          <w:rFonts w:cstheme="minorHAnsi"/>
          <w:sz w:val="24"/>
          <w:szCs w:val="24"/>
        </w:rPr>
        <w:t xml:space="preserve">Ing. </w:t>
      </w:r>
      <w:r w:rsidR="00FF65E0">
        <w:rPr>
          <w:rFonts w:cstheme="minorHAnsi"/>
          <w:sz w:val="24"/>
          <w:szCs w:val="24"/>
        </w:rPr>
        <w:t>Adolf Beznoska</w:t>
      </w:r>
      <w:r w:rsidRPr="00DC4AB1">
        <w:rPr>
          <w:rFonts w:cstheme="minorHAnsi"/>
          <w:sz w:val="24"/>
          <w:szCs w:val="24"/>
        </w:rPr>
        <w:t>.</w:t>
      </w:r>
    </w:p>
    <w:p w14:paraId="6AAC62BE" w14:textId="77777777" w:rsidR="00FF65E0" w:rsidRPr="00FF65E0" w:rsidRDefault="00FA3A52" w:rsidP="002E0619">
      <w:pPr>
        <w:spacing w:after="120" w:line="276" w:lineRule="auto"/>
        <w:jc w:val="both"/>
        <w:rPr>
          <w:rFonts w:ascii="Calibri" w:eastAsia="Times New Roman" w:hAnsi="Calibri" w:cs="Calibri"/>
          <w:sz w:val="24"/>
          <w:szCs w:val="24"/>
          <w:lang w:eastAsia="cs-CZ"/>
        </w:rPr>
      </w:pPr>
      <w:r w:rsidRPr="00DC4AB1">
        <w:rPr>
          <w:rFonts w:cstheme="minorHAnsi"/>
          <w:sz w:val="24"/>
          <w:szCs w:val="24"/>
        </w:rPr>
        <w:t xml:space="preserve">Cílem kontroly NKÚ </w:t>
      </w:r>
      <w:r w:rsidR="00292788">
        <w:rPr>
          <w:rFonts w:cstheme="minorHAnsi"/>
          <w:sz w:val="24"/>
          <w:szCs w:val="24"/>
        </w:rPr>
        <w:t xml:space="preserve">bylo </w:t>
      </w:r>
      <w:r w:rsidR="00FF65E0">
        <w:rPr>
          <w:rFonts w:cstheme="minorHAnsi"/>
          <w:sz w:val="24"/>
          <w:szCs w:val="24"/>
        </w:rPr>
        <w:t>p</w:t>
      </w:r>
      <w:r w:rsidR="00FF65E0" w:rsidRPr="00FF65E0">
        <w:rPr>
          <w:rFonts w:ascii="Calibri" w:eastAsia="Times New Roman" w:hAnsi="Calibri" w:cs="Calibri"/>
          <w:color w:val="000000"/>
          <w:sz w:val="24"/>
          <w:szCs w:val="24"/>
          <w:lang w:eastAsia="cs-CZ"/>
        </w:rPr>
        <w:t>rověřit, zda Kancelář prezidenta republiky a příspěvkové organizace Správa Pražského hradu a Lesní správa Lány hospodařily s majetkem státu a s peněžními prostředky státního rozpočtu v souladu s právními předpisy, účelně a hospodárně</w:t>
      </w:r>
      <w:r w:rsidR="00FB511A">
        <w:rPr>
          <w:rFonts w:ascii="Calibri" w:eastAsia="Times New Roman" w:hAnsi="Calibri" w:cs="Calibri"/>
          <w:color w:val="000000"/>
          <w:sz w:val="24"/>
          <w:szCs w:val="24"/>
          <w:lang w:eastAsia="cs-CZ"/>
        </w:rPr>
        <w:t>.</w:t>
      </w:r>
    </w:p>
    <w:p w14:paraId="7254F673" w14:textId="77777777" w:rsidR="00F3726D" w:rsidRPr="00DC4AB1" w:rsidRDefault="00F3726D" w:rsidP="002E0619">
      <w:pPr>
        <w:spacing w:after="120" w:line="276" w:lineRule="auto"/>
        <w:jc w:val="both"/>
        <w:rPr>
          <w:rFonts w:cstheme="minorHAnsi"/>
          <w:sz w:val="24"/>
          <w:szCs w:val="24"/>
        </w:rPr>
      </w:pPr>
      <w:r w:rsidRPr="00DC4AB1">
        <w:rPr>
          <w:rFonts w:cstheme="minorHAnsi"/>
          <w:sz w:val="24"/>
          <w:szCs w:val="24"/>
        </w:rPr>
        <w:t>Kontrola b</w:t>
      </w:r>
      <w:r>
        <w:rPr>
          <w:rFonts w:cstheme="minorHAnsi"/>
          <w:sz w:val="24"/>
          <w:szCs w:val="24"/>
        </w:rPr>
        <w:t>y</w:t>
      </w:r>
      <w:r w:rsidRPr="00DC4AB1">
        <w:rPr>
          <w:rFonts w:cstheme="minorHAnsi"/>
          <w:sz w:val="24"/>
          <w:szCs w:val="24"/>
        </w:rPr>
        <w:t xml:space="preserve">la </w:t>
      </w:r>
      <w:r w:rsidR="00812810" w:rsidRPr="00DC4AB1">
        <w:rPr>
          <w:rFonts w:cstheme="minorHAnsi"/>
          <w:sz w:val="24"/>
          <w:szCs w:val="24"/>
        </w:rPr>
        <w:t xml:space="preserve">prováděna </w:t>
      </w:r>
      <w:r w:rsidRPr="00DC4AB1">
        <w:rPr>
          <w:rFonts w:cstheme="minorHAnsi"/>
          <w:sz w:val="24"/>
          <w:szCs w:val="24"/>
        </w:rPr>
        <w:t xml:space="preserve">u kontrolovaných osob v období od </w:t>
      </w:r>
      <w:r>
        <w:rPr>
          <w:rFonts w:cstheme="minorHAnsi"/>
          <w:sz w:val="24"/>
          <w:szCs w:val="24"/>
        </w:rPr>
        <w:t xml:space="preserve">února </w:t>
      </w:r>
      <w:r w:rsidRPr="00C030AD">
        <w:rPr>
          <w:rFonts w:cstheme="minorHAnsi"/>
          <w:sz w:val="24"/>
          <w:szCs w:val="24"/>
        </w:rPr>
        <w:t>202</w:t>
      </w:r>
      <w:r>
        <w:rPr>
          <w:rFonts w:cstheme="minorHAnsi"/>
          <w:sz w:val="24"/>
          <w:szCs w:val="24"/>
        </w:rPr>
        <w:t>2</w:t>
      </w:r>
      <w:r w:rsidRPr="00DC4AB1">
        <w:rPr>
          <w:rFonts w:cstheme="minorHAnsi"/>
          <w:sz w:val="24"/>
          <w:szCs w:val="24"/>
        </w:rPr>
        <w:t xml:space="preserve"> do </w:t>
      </w:r>
      <w:r>
        <w:rPr>
          <w:rFonts w:cstheme="minorHAnsi"/>
          <w:sz w:val="24"/>
          <w:szCs w:val="24"/>
        </w:rPr>
        <w:t>října</w:t>
      </w:r>
      <w:r w:rsidRPr="00C030AD">
        <w:rPr>
          <w:rFonts w:cstheme="minorHAnsi"/>
          <w:sz w:val="24"/>
          <w:szCs w:val="24"/>
        </w:rPr>
        <w:t xml:space="preserve"> 2022</w:t>
      </w:r>
      <w:r w:rsidRPr="00DC4AB1">
        <w:rPr>
          <w:rFonts w:cstheme="minorHAnsi"/>
          <w:sz w:val="24"/>
          <w:szCs w:val="24"/>
        </w:rPr>
        <w:t>.</w:t>
      </w:r>
    </w:p>
    <w:p w14:paraId="407F9B67" w14:textId="77777777" w:rsidR="00FF65E0" w:rsidRDefault="00FF65E0" w:rsidP="002E0619">
      <w:pPr>
        <w:spacing w:after="120" w:line="276" w:lineRule="auto"/>
        <w:jc w:val="both"/>
        <w:rPr>
          <w:rFonts w:cstheme="minorHAnsi"/>
          <w:sz w:val="24"/>
          <w:szCs w:val="24"/>
        </w:rPr>
      </w:pPr>
      <w:r w:rsidRPr="00FF65E0">
        <w:rPr>
          <w:rFonts w:cstheme="minorHAnsi"/>
          <w:sz w:val="24"/>
          <w:szCs w:val="24"/>
        </w:rPr>
        <w:t>Kontrolovan</w:t>
      </w:r>
      <w:r w:rsidR="00F3726D">
        <w:rPr>
          <w:rFonts w:cstheme="minorHAnsi"/>
          <w:sz w:val="24"/>
          <w:szCs w:val="24"/>
        </w:rPr>
        <w:t>ým</w:t>
      </w:r>
      <w:r w:rsidRPr="00FF65E0">
        <w:rPr>
          <w:rFonts w:cstheme="minorHAnsi"/>
          <w:sz w:val="24"/>
          <w:szCs w:val="24"/>
        </w:rPr>
        <w:t xml:space="preserve"> období</w:t>
      </w:r>
      <w:r w:rsidR="00F3726D">
        <w:rPr>
          <w:rFonts w:cstheme="minorHAnsi"/>
          <w:sz w:val="24"/>
          <w:szCs w:val="24"/>
        </w:rPr>
        <w:t>m byly roky</w:t>
      </w:r>
      <w:r>
        <w:rPr>
          <w:rFonts w:cstheme="minorHAnsi"/>
          <w:sz w:val="24"/>
          <w:szCs w:val="24"/>
        </w:rPr>
        <w:t xml:space="preserve"> 2</w:t>
      </w:r>
      <w:r w:rsidRPr="00FF65E0">
        <w:rPr>
          <w:rFonts w:cstheme="minorHAnsi"/>
          <w:sz w:val="24"/>
          <w:szCs w:val="24"/>
        </w:rPr>
        <w:t>019</w:t>
      </w:r>
      <w:r w:rsidR="00F3726D">
        <w:rPr>
          <w:rFonts w:cstheme="minorHAnsi"/>
          <w:sz w:val="24"/>
          <w:szCs w:val="24"/>
        </w:rPr>
        <w:t xml:space="preserve"> až </w:t>
      </w:r>
      <w:r>
        <w:rPr>
          <w:rFonts w:cstheme="minorHAnsi"/>
          <w:sz w:val="24"/>
          <w:szCs w:val="24"/>
        </w:rPr>
        <w:t>2021</w:t>
      </w:r>
      <w:r w:rsidR="00F3726D">
        <w:rPr>
          <w:rFonts w:cstheme="minorHAnsi"/>
          <w:sz w:val="24"/>
          <w:szCs w:val="24"/>
        </w:rPr>
        <w:t xml:space="preserve">, </w:t>
      </w:r>
      <w:r>
        <w:rPr>
          <w:rFonts w:cstheme="minorHAnsi"/>
          <w:sz w:val="24"/>
          <w:szCs w:val="24"/>
        </w:rPr>
        <w:t xml:space="preserve">v </w:t>
      </w:r>
      <w:r w:rsidRPr="00FF65E0">
        <w:rPr>
          <w:rFonts w:cstheme="minorHAnsi"/>
          <w:sz w:val="24"/>
          <w:szCs w:val="24"/>
        </w:rPr>
        <w:t>případě věcných souvislostí i období předcházející a</w:t>
      </w:r>
      <w:r w:rsidR="00EB44BF">
        <w:rPr>
          <w:rFonts w:cstheme="minorHAnsi"/>
          <w:sz w:val="24"/>
          <w:szCs w:val="24"/>
        </w:rPr>
        <w:t> </w:t>
      </w:r>
      <w:r w:rsidRPr="00FF65E0">
        <w:rPr>
          <w:rFonts w:cstheme="minorHAnsi"/>
          <w:sz w:val="24"/>
          <w:szCs w:val="24"/>
        </w:rPr>
        <w:t>n</w:t>
      </w:r>
      <w:r>
        <w:rPr>
          <w:rFonts w:cstheme="minorHAnsi"/>
          <w:sz w:val="24"/>
          <w:szCs w:val="24"/>
        </w:rPr>
        <w:t>avazující</w:t>
      </w:r>
      <w:r w:rsidRPr="00FF65E0">
        <w:rPr>
          <w:rFonts w:cstheme="minorHAnsi"/>
          <w:sz w:val="24"/>
          <w:szCs w:val="24"/>
        </w:rPr>
        <w:t xml:space="preserve">. </w:t>
      </w:r>
    </w:p>
    <w:p w14:paraId="7A79A18B" w14:textId="77777777" w:rsidR="002E0619" w:rsidRPr="00FF65E0" w:rsidRDefault="002E0619" w:rsidP="002E0619">
      <w:pPr>
        <w:spacing w:after="0" w:line="276" w:lineRule="auto"/>
        <w:jc w:val="both"/>
        <w:rPr>
          <w:rFonts w:cstheme="minorHAnsi"/>
          <w:sz w:val="24"/>
          <w:szCs w:val="24"/>
        </w:rPr>
      </w:pPr>
    </w:p>
    <w:p w14:paraId="27375D9D" w14:textId="77777777" w:rsidR="00DC3FD9" w:rsidRPr="00DC4AB1" w:rsidRDefault="00FA3A52" w:rsidP="002E0619">
      <w:pPr>
        <w:spacing w:after="0" w:line="276" w:lineRule="auto"/>
        <w:jc w:val="both"/>
        <w:rPr>
          <w:rFonts w:cstheme="minorHAnsi"/>
          <w:b/>
          <w:sz w:val="24"/>
          <w:szCs w:val="24"/>
        </w:rPr>
      </w:pPr>
      <w:r w:rsidRPr="00DC4AB1">
        <w:rPr>
          <w:rFonts w:cstheme="minorHAnsi"/>
          <w:b/>
          <w:sz w:val="24"/>
          <w:szCs w:val="24"/>
        </w:rPr>
        <w:t>Kontrolované osoby:</w:t>
      </w:r>
    </w:p>
    <w:p w14:paraId="120F1D4A" w14:textId="77777777" w:rsidR="00FF65E0" w:rsidRPr="00FF65E0" w:rsidRDefault="00FF65E0" w:rsidP="002E0619">
      <w:pPr>
        <w:spacing w:after="0" w:line="276" w:lineRule="auto"/>
        <w:jc w:val="both"/>
        <w:rPr>
          <w:rFonts w:cstheme="minorHAnsi"/>
          <w:color w:val="000000"/>
          <w:sz w:val="24"/>
          <w:szCs w:val="24"/>
        </w:rPr>
      </w:pPr>
      <w:r w:rsidRPr="00FF65E0">
        <w:rPr>
          <w:rFonts w:cstheme="minorHAnsi"/>
          <w:color w:val="000000"/>
          <w:sz w:val="24"/>
          <w:szCs w:val="24"/>
        </w:rPr>
        <w:t xml:space="preserve">Kancelář prezidenta republiky </w:t>
      </w:r>
      <w:r>
        <w:rPr>
          <w:rFonts w:cstheme="minorHAnsi"/>
          <w:color w:val="000000"/>
          <w:sz w:val="24"/>
          <w:szCs w:val="24"/>
        </w:rPr>
        <w:t>(dále také „KPR“),</w:t>
      </w:r>
    </w:p>
    <w:p w14:paraId="68E35DC5" w14:textId="4425B1FF" w:rsidR="00FF65E0" w:rsidRPr="00FF65E0" w:rsidRDefault="00FF65E0" w:rsidP="002E0619">
      <w:pPr>
        <w:spacing w:after="0" w:line="276" w:lineRule="auto"/>
        <w:jc w:val="both"/>
        <w:rPr>
          <w:rFonts w:cstheme="minorHAnsi"/>
          <w:color w:val="000000"/>
          <w:sz w:val="24"/>
          <w:szCs w:val="24"/>
        </w:rPr>
      </w:pPr>
      <w:r w:rsidRPr="00FF65E0">
        <w:rPr>
          <w:rFonts w:cstheme="minorHAnsi"/>
          <w:color w:val="000000"/>
          <w:sz w:val="24"/>
          <w:szCs w:val="24"/>
        </w:rPr>
        <w:t>Správa Pražského hradu</w:t>
      </w:r>
      <w:r>
        <w:rPr>
          <w:rFonts w:cstheme="minorHAnsi"/>
          <w:color w:val="000000"/>
          <w:sz w:val="24"/>
          <w:szCs w:val="24"/>
        </w:rPr>
        <w:t xml:space="preserve"> (dále také „SPH“),</w:t>
      </w:r>
    </w:p>
    <w:p w14:paraId="7591501D" w14:textId="752A58C1" w:rsidR="00FF65E0" w:rsidRDefault="00FF65E0" w:rsidP="002E0619">
      <w:pPr>
        <w:spacing w:after="0" w:line="276" w:lineRule="auto"/>
        <w:jc w:val="both"/>
        <w:rPr>
          <w:rFonts w:cstheme="minorHAnsi"/>
          <w:color w:val="000000"/>
          <w:sz w:val="24"/>
          <w:szCs w:val="24"/>
        </w:rPr>
      </w:pPr>
      <w:r w:rsidRPr="00FF65E0">
        <w:rPr>
          <w:rFonts w:cstheme="minorHAnsi"/>
          <w:color w:val="000000"/>
          <w:sz w:val="24"/>
          <w:szCs w:val="24"/>
        </w:rPr>
        <w:t>Lesní správa Lány</w:t>
      </w:r>
      <w:r w:rsidR="008115A2">
        <w:rPr>
          <w:rFonts w:cstheme="minorHAnsi"/>
          <w:color w:val="000000"/>
          <w:sz w:val="24"/>
          <w:szCs w:val="24"/>
        </w:rPr>
        <w:t>, příspěvková organizace Kanceláře prezidenta republiky</w:t>
      </w:r>
      <w:r>
        <w:rPr>
          <w:rFonts w:cstheme="minorHAnsi"/>
          <w:color w:val="000000"/>
          <w:sz w:val="24"/>
          <w:szCs w:val="24"/>
        </w:rPr>
        <w:t xml:space="preserve"> (dále také „LSL“</w:t>
      </w:r>
      <w:r w:rsidR="0079733E">
        <w:rPr>
          <w:rFonts w:cstheme="minorHAnsi"/>
          <w:color w:val="000000"/>
          <w:sz w:val="24"/>
          <w:szCs w:val="24"/>
        </w:rPr>
        <w:t xml:space="preserve"> </w:t>
      </w:r>
      <w:r w:rsidR="00470CEE">
        <w:rPr>
          <w:rFonts w:cstheme="minorHAnsi"/>
          <w:color w:val="000000"/>
          <w:sz w:val="24"/>
          <w:szCs w:val="24"/>
        </w:rPr>
        <w:t>nebo</w:t>
      </w:r>
      <w:r w:rsidR="00E80384">
        <w:rPr>
          <w:rFonts w:cstheme="minorHAnsi"/>
          <w:color w:val="000000"/>
          <w:sz w:val="24"/>
          <w:szCs w:val="24"/>
        </w:rPr>
        <w:t> </w:t>
      </w:r>
      <w:r w:rsidR="0079733E">
        <w:rPr>
          <w:rFonts w:cstheme="minorHAnsi"/>
          <w:color w:val="000000"/>
          <w:sz w:val="24"/>
          <w:szCs w:val="24"/>
        </w:rPr>
        <w:t>„Lesní správa Lány“</w:t>
      </w:r>
      <w:r>
        <w:rPr>
          <w:rFonts w:cstheme="minorHAnsi"/>
          <w:color w:val="000000"/>
          <w:sz w:val="24"/>
          <w:szCs w:val="24"/>
        </w:rPr>
        <w:t>).</w:t>
      </w:r>
    </w:p>
    <w:p w14:paraId="62BB6AE9" w14:textId="77777777" w:rsidR="002E0619" w:rsidRDefault="002E0619" w:rsidP="002E0619">
      <w:pPr>
        <w:spacing w:after="0" w:line="276" w:lineRule="auto"/>
        <w:jc w:val="both"/>
        <w:rPr>
          <w:rFonts w:cstheme="minorHAnsi"/>
          <w:sz w:val="24"/>
          <w:szCs w:val="24"/>
        </w:rPr>
      </w:pPr>
    </w:p>
    <w:p w14:paraId="4B014895" w14:textId="77777777" w:rsidR="002E0619" w:rsidRPr="00DC4AB1" w:rsidRDefault="002E0619" w:rsidP="002E0619">
      <w:pPr>
        <w:spacing w:after="0" w:line="276" w:lineRule="auto"/>
        <w:jc w:val="both"/>
        <w:rPr>
          <w:rFonts w:cstheme="minorHAnsi"/>
          <w:sz w:val="24"/>
          <w:szCs w:val="24"/>
        </w:rPr>
      </w:pPr>
    </w:p>
    <w:p w14:paraId="0B4A511A" w14:textId="77777777" w:rsidR="00CF6FED" w:rsidRPr="00A13261" w:rsidRDefault="00FA3A52" w:rsidP="00382886">
      <w:pPr>
        <w:spacing w:after="120" w:line="240" w:lineRule="auto"/>
        <w:jc w:val="both"/>
        <w:rPr>
          <w:rFonts w:cstheme="minorHAnsi"/>
          <w:color w:val="000000"/>
          <w:sz w:val="24"/>
          <w:szCs w:val="24"/>
        </w:rPr>
      </w:pPr>
      <w:r w:rsidRPr="00DC4AB1">
        <w:rPr>
          <w:rFonts w:cstheme="minorHAnsi"/>
          <w:b/>
          <w:i/>
          <w:color w:val="000000"/>
          <w:spacing w:val="40"/>
          <w:sz w:val="24"/>
          <w:szCs w:val="24"/>
        </w:rPr>
        <w:t xml:space="preserve">Kolegium  </w:t>
      </w:r>
      <w:r w:rsidRPr="00DC4AB1">
        <w:rPr>
          <w:rFonts w:cstheme="minorHAnsi"/>
          <w:b/>
          <w:i/>
          <w:color w:val="000000"/>
          <w:sz w:val="24"/>
          <w:szCs w:val="24"/>
        </w:rPr>
        <w:t xml:space="preserve"> </w:t>
      </w:r>
      <w:r w:rsidRPr="00A13261">
        <w:rPr>
          <w:rFonts w:cstheme="minorHAnsi"/>
          <w:b/>
          <w:i/>
          <w:color w:val="000000"/>
          <w:spacing w:val="40"/>
          <w:sz w:val="24"/>
          <w:szCs w:val="24"/>
        </w:rPr>
        <w:t>NKÚ</w:t>
      </w:r>
      <w:r w:rsidRPr="00A13261">
        <w:rPr>
          <w:rFonts w:cstheme="minorHAnsi"/>
          <w:b/>
          <w:i/>
          <w:color w:val="000000"/>
          <w:sz w:val="24"/>
          <w:szCs w:val="24"/>
        </w:rPr>
        <w:t xml:space="preserve">   </w:t>
      </w:r>
      <w:r w:rsidRPr="00A13261">
        <w:rPr>
          <w:rFonts w:cstheme="minorHAnsi"/>
          <w:color w:val="000000"/>
          <w:sz w:val="24"/>
          <w:szCs w:val="24"/>
        </w:rPr>
        <w:t xml:space="preserve">na svém </w:t>
      </w:r>
      <w:r w:rsidR="00A13261" w:rsidRPr="00A13261">
        <w:rPr>
          <w:rFonts w:cstheme="minorHAnsi"/>
          <w:color w:val="000000"/>
          <w:sz w:val="24"/>
          <w:szCs w:val="24"/>
        </w:rPr>
        <w:t>II.</w:t>
      </w:r>
      <w:r w:rsidRPr="00A13261">
        <w:rPr>
          <w:rFonts w:cstheme="minorHAnsi"/>
          <w:color w:val="000000"/>
          <w:sz w:val="24"/>
          <w:szCs w:val="24"/>
        </w:rPr>
        <w:t xml:space="preserve"> jednání, které se konalo dne </w:t>
      </w:r>
      <w:r w:rsidR="00A13261" w:rsidRPr="00A13261">
        <w:rPr>
          <w:rFonts w:cstheme="minorHAnsi"/>
          <w:color w:val="000000"/>
          <w:sz w:val="24"/>
          <w:szCs w:val="24"/>
        </w:rPr>
        <w:t>30. ledna 2023</w:t>
      </w:r>
      <w:r w:rsidRPr="00A13261">
        <w:rPr>
          <w:rFonts w:cstheme="minorHAnsi"/>
          <w:color w:val="000000"/>
          <w:sz w:val="24"/>
          <w:szCs w:val="24"/>
        </w:rPr>
        <w:t>,</w:t>
      </w:r>
    </w:p>
    <w:p w14:paraId="3D16052C" w14:textId="77777777" w:rsidR="00CF6FED" w:rsidRPr="00DC4AB1" w:rsidRDefault="00FA3A52" w:rsidP="00382886">
      <w:pPr>
        <w:spacing w:after="120" w:line="240" w:lineRule="auto"/>
        <w:jc w:val="both"/>
        <w:rPr>
          <w:rFonts w:cstheme="minorHAnsi"/>
          <w:color w:val="000000"/>
          <w:sz w:val="24"/>
          <w:szCs w:val="24"/>
        </w:rPr>
      </w:pPr>
      <w:r w:rsidRPr="00A13261">
        <w:rPr>
          <w:rFonts w:cstheme="minorHAnsi"/>
          <w:b/>
          <w:i/>
          <w:color w:val="000000"/>
          <w:spacing w:val="40"/>
          <w:sz w:val="24"/>
          <w:szCs w:val="24"/>
        </w:rPr>
        <w:t>schválilo</w:t>
      </w:r>
      <w:r w:rsidRPr="00A13261">
        <w:rPr>
          <w:rFonts w:cstheme="minorHAnsi"/>
          <w:b/>
          <w:i/>
          <w:color w:val="000000"/>
          <w:sz w:val="24"/>
          <w:szCs w:val="24"/>
        </w:rPr>
        <w:t xml:space="preserve">   </w:t>
      </w:r>
      <w:r w:rsidR="0090063E" w:rsidRPr="00A13261">
        <w:rPr>
          <w:rFonts w:cstheme="minorHAnsi"/>
          <w:color w:val="000000"/>
          <w:sz w:val="24"/>
          <w:szCs w:val="24"/>
        </w:rPr>
        <w:t xml:space="preserve">usnesením č. </w:t>
      </w:r>
      <w:r w:rsidR="00467E5E">
        <w:rPr>
          <w:rFonts w:cstheme="minorHAnsi"/>
          <w:color w:val="000000"/>
          <w:sz w:val="24"/>
          <w:szCs w:val="24"/>
        </w:rPr>
        <w:t>13</w:t>
      </w:r>
      <w:r w:rsidR="0090063E" w:rsidRPr="00A13261">
        <w:rPr>
          <w:rFonts w:cstheme="minorHAnsi"/>
          <w:color w:val="000000"/>
          <w:sz w:val="24"/>
          <w:szCs w:val="24"/>
        </w:rPr>
        <w:t>/</w:t>
      </w:r>
      <w:r w:rsidR="00A13261" w:rsidRPr="00A13261">
        <w:rPr>
          <w:rFonts w:cstheme="minorHAnsi"/>
          <w:color w:val="000000"/>
          <w:sz w:val="24"/>
          <w:szCs w:val="24"/>
        </w:rPr>
        <w:t>II</w:t>
      </w:r>
      <w:r w:rsidR="0090063E" w:rsidRPr="00A13261">
        <w:rPr>
          <w:rFonts w:cstheme="minorHAnsi"/>
          <w:color w:val="000000"/>
          <w:sz w:val="24"/>
          <w:szCs w:val="24"/>
        </w:rPr>
        <w:t>/202</w:t>
      </w:r>
      <w:r w:rsidR="00A13261" w:rsidRPr="00A13261">
        <w:rPr>
          <w:rFonts w:cstheme="minorHAnsi"/>
          <w:color w:val="000000"/>
          <w:sz w:val="24"/>
          <w:szCs w:val="24"/>
        </w:rPr>
        <w:t>3</w:t>
      </w:r>
    </w:p>
    <w:p w14:paraId="10D141B4" w14:textId="77777777" w:rsidR="00CF6FED" w:rsidRPr="00DC4AB1" w:rsidRDefault="00FA3A52" w:rsidP="00382886">
      <w:pPr>
        <w:spacing w:after="120" w:line="240" w:lineRule="auto"/>
        <w:jc w:val="both"/>
        <w:rPr>
          <w:rFonts w:cstheme="minorHAnsi"/>
          <w:color w:val="000000"/>
          <w:sz w:val="24"/>
          <w:szCs w:val="24"/>
        </w:rPr>
      </w:pPr>
      <w:r w:rsidRPr="00DC4AB1">
        <w:rPr>
          <w:rFonts w:cstheme="minorHAnsi"/>
          <w:b/>
          <w:i/>
          <w:color w:val="000000"/>
          <w:spacing w:val="40"/>
          <w:sz w:val="24"/>
          <w:szCs w:val="24"/>
        </w:rPr>
        <w:t>kontrolní</w:t>
      </w:r>
      <w:r w:rsidRPr="00DC4AB1">
        <w:rPr>
          <w:rFonts w:cstheme="minorHAnsi"/>
          <w:b/>
          <w:i/>
          <w:color w:val="000000"/>
          <w:sz w:val="24"/>
          <w:szCs w:val="24"/>
        </w:rPr>
        <w:t xml:space="preserve">   </w:t>
      </w:r>
      <w:r w:rsidRPr="00DC4AB1">
        <w:rPr>
          <w:rFonts w:cstheme="minorHAnsi"/>
          <w:b/>
          <w:i/>
          <w:color w:val="000000"/>
          <w:spacing w:val="40"/>
          <w:sz w:val="24"/>
          <w:szCs w:val="24"/>
        </w:rPr>
        <w:t>závěr</w:t>
      </w:r>
      <w:r w:rsidRPr="00DC4AB1">
        <w:rPr>
          <w:rFonts w:cstheme="minorHAnsi"/>
          <w:b/>
          <w:i/>
          <w:color w:val="000000"/>
          <w:sz w:val="24"/>
          <w:szCs w:val="24"/>
        </w:rPr>
        <w:t xml:space="preserve">   </w:t>
      </w:r>
      <w:r w:rsidRPr="00DC4AB1">
        <w:rPr>
          <w:rFonts w:cstheme="minorHAnsi"/>
          <w:color w:val="000000"/>
          <w:sz w:val="24"/>
          <w:szCs w:val="24"/>
        </w:rPr>
        <w:t>v tomto znění:</w:t>
      </w:r>
    </w:p>
    <w:p w14:paraId="46D24C44" w14:textId="77777777" w:rsidR="00151785" w:rsidRDefault="00151785" w:rsidP="00382886">
      <w:pPr>
        <w:spacing w:after="120" w:line="240" w:lineRule="auto"/>
        <w:jc w:val="both"/>
        <w:rPr>
          <w:rFonts w:cstheme="minorHAnsi"/>
          <w:color w:val="000000"/>
          <w:sz w:val="24"/>
          <w:szCs w:val="24"/>
        </w:rPr>
      </w:pPr>
    </w:p>
    <w:p w14:paraId="0CC4972F" w14:textId="77777777" w:rsidR="00B323E4" w:rsidRPr="00DC4AB1" w:rsidRDefault="00B323E4" w:rsidP="00382886">
      <w:pPr>
        <w:spacing w:after="120" w:line="240" w:lineRule="auto"/>
        <w:jc w:val="both"/>
        <w:rPr>
          <w:rFonts w:cstheme="minorHAnsi"/>
          <w:color w:val="000000"/>
          <w:sz w:val="24"/>
          <w:szCs w:val="24"/>
        </w:rPr>
      </w:pPr>
    </w:p>
    <w:p w14:paraId="6CE8AEAD" w14:textId="77777777" w:rsidR="00204B19" w:rsidRDefault="00A16566" w:rsidP="00E202EE">
      <w:pPr>
        <w:jc w:val="center"/>
        <w:rPr>
          <w:noProof/>
          <w:sz w:val="32"/>
        </w:rPr>
      </w:pPr>
      <w:r>
        <w:rPr>
          <w:noProof/>
        </w:rPr>
        <w:br w:type="page"/>
      </w:r>
      <w:r w:rsidR="00467E5E">
        <w:rPr>
          <w:noProof/>
        </w:rPr>
        <w:lastRenderedPageBreak/>
        <w:drawing>
          <wp:inline distT="0" distB="0" distL="0" distR="0" wp14:anchorId="35D9029C" wp14:editId="6145E61F">
            <wp:extent cx="5667375" cy="8429625"/>
            <wp:effectExtent l="0" t="0" r="9525" b="9525"/>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67375" cy="8429625"/>
                    </a:xfrm>
                    <a:prstGeom prst="rect">
                      <a:avLst/>
                    </a:prstGeom>
                    <a:noFill/>
                    <a:ln>
                      <a:noFill/>
                    </a:ln>
                  </pic:spPr>
                </pic:pic>
              </a:graphicData>
            </a:graphic>
          </wp:inline>
        </w:drawing>
      </w:r>
    </w:p>
    <w:p w14:paraId="3582236D" w14:textId="77777777" w:rsidR="00204B19" w:rsidRPr="00467E5E" w:rsidRDefault="00204B19">
      <w:pPr>
        <w:rPr>
          <w:noProof/>
        </w:rPr>
      </w:pPr>
      <w:r>
        <w:rPr>
          <w:noProof/>
          <w:sz w:val="32"/>
        </w:rPr>
        <w:br w:type="page"/>
      </w:r>
    </w:p>
    <w:p w14:paraId="5C95DABF" w14:textId="77777777" w:rsidR="00CF6FED" w:rsidRDefault="008003F6" w:rsidP="008003F6">
      <w:pPr>
        <w:pStyle w:val="Nadpis1"/>
        <w:numPr>
          <w:ilvl w:val="0"/>
          <w:numId w:val="0"/>
        </w:numPr>
        <w:spacing w:before="0" w:after="240"/>
        <w:ind w:left="357"/>
        <w:rPr>
          <w:sz w:val="28"/>
          <w:szCs w:val="28"/>
        </w:rPr>
      </w:pPr>
      <w:r>
        <w:rPr>
          <w:sz w:val="28"/>
          <w:szCs w:val="28"/>
        </w:rPr>
        <w:lastRenderedPageBreak/>
        <w:t xml:space="preserve">I. </w:t>
      </w:r>
      <w:r w:rsidR="00FA3A52" w:rsidRPr="00DC4AB1">
        <w:rPr>
          <w:sz w:val="28"/>
          <w:szCs w:val="28"/>
        </w:rPr>
        <w:t>Shrnutí a vyhodnocení</w:t>
      </w:r>
    </w:p>
    <w:p w14:paraId="7BF5BC88" w14:textId="77777777" w:rsidR="0046556D" w:rsidRPr="008003F6" w:rsidRDefault="0046556D" w:rsidP="008003F6">
      <w:pPr>
        <w:spacing w:after="120" w:line="264" w:lineRule="auto"/>
        <w:jc w:val="both"/>
        <w:rPr>
          <w:color w:val="000000" w:themeColor="text1"/>
          <w:sz w:val="24"/>
          <w:lang w:eastAsia="cs-CZ"/>
        </w:rPr>
      </w:pPr>
      <w:r w:rsidRPr="008003F6">
        <w:rPr>
          <w:color w:val="000000" w:themeColor="text1"/>
          <w:sz w:val="24"/>
          <w:lang w:eastAsia="cs-CZ"/>
        </w:rPr>
        <w:t xml:space="preserve">NKÚ provedl kontrolu majetku a peněžních prostředků státu, se kterými jsou příslušné hospodařit Kancelář prezidenta </w:t>
      </w:r>
      <w:r w:rsidRPr="008003F6">
        <w:rPr>
          <w:rFonts w:ascii="Calibri" w:hAnsi="Calibri" w:cs="Calibri"/>
          <w:color w:val="000000" w:themeColor="text1"/>
          <w:sz w:val="24"/>
        </w:rPr>
        <w:t>republiky a příspěvkové organizace Správa Pražského hradu a</w:t>
      </w:r>
      <w:r w:rsidR="003957A5" w:rsidRPr="008003F6">
        <w:rPr>
          <w:rFonts w:ascii="Calibri" w:hAnsi="Calibri" w:cs="Calibri"/>
          <w:color w:val="000000" w:themeColor="text1"/>
          <w:sz w:val="24"/>
        </w:rPr>
        <w:t> </w:t>
      </w:r>
      <w:r w:rsidRPr="008003F6">
        <w:rPr>
          <w:rFonts w:ascii="Calibri" w:hAnsi="Calibri" w:cs="Calibri"/>
          <w:color w:val="000000" w:themeColor="text1"/>
          <w:sz w:val="24"/>
        </w:rPr>
        <w:t xml:space="preserve">Lesní správa Lány. </w:t>
      </w:r>
    </w:p>
    <w:p w14:paraId="1D4EA3DF" w14:textId="77777777" w:rsidR="008C5780" w:rsidRPr="008003F6" w:rsidRDefault="0046556D" w:rsidP="008003F6">
      <w:pPr>
        <w:spacing w:after="120" w:line="264" w:lineRule="auto"/>
        <w:jc w:val="both"/>
        <w:rPr>
          <w:color w:val="000000" w:themeColor="text1"/>
          <w:sz w:val="24"/>
        </w:rPr>
      </w:pPr>
      <w:r w:rsidRPr="008003F6">
        <w:rPr>
          <w:color w:val="000000" w:themeColor="text1"/>
          <w:sz w:val="24"/>
        </w:rPr>
        <w:t>Cílem kontroly bylo prověřit, zda Kancelář prezidenta republiky a příspěvkové organizace Správa Pražského hradu a Lesní správa Lány hospodařily s majetkem státu a</w:t>
      </w:r>
      <w:r w:rsidR="008B3840" w:rsidRPr="008003F6">
        <w:rPr>
          <w:color w:val="000000" w:themeColor="text1"/>
          <w:sz w:val="24"/>
        </w:rPr>
        <w:t> </w:t>
      </w:r>
      <w:r w:rsidRPr="008003F6">
        <w:rPr>
          <w:color w:val="000000" w:themeColor="text1"/>
          <w:sz w:val="24"/>
        </w:rPr>
        <w:t>s peněžními prostředky státního rozpočtu účelně, hospodárně a v souladu s právními předpisy.</w:t>
      </w:r>
    </w:p>
    <w:p w14:paraId="6CF15C3B" w14:textId="77777777" w:rsidR="00133E33" w:rsidRPr="008003F6" w:rsidRDefault="00E85D1F" w:rsidP="008003F6">
      <w:pPr>
        <w:spacing w:after="120" w:line="264" w:lineRule="auto"/>
        <w:jc w:val="both"/>
        <w:rPr>
          <w:b/>
          <w:color w:val="000000" w:themeColor="text1"/>
          <w:sz w:val="24"/>
        </w:rPr>
      </w:pPr>
      <w:r w:rsidRPr="008003F6">
        <w:rPr>
          <w:b/>
          <w:color w:val="000000" w:themeColor="text1"/>
          <w:sz w:val="24"/>
        </w:rPr>
        <w:t xml:space="preserve">NKÚ zjistil, že KPR </w:t>
      </w:r>
      <w:r w:rsidR="00B42DF5" w:rsidRPr="008003F6">
        <w:rPr>
          <w:b/>
          <w:color w:val="000000" w:themeColor="text1"/>
          <w:sz w:val="24"/>
        </w:rPr>
        <w:t xml:space="preserve">v některých případech </w:t>
      </w:r>
      <w:r w:rsidRPr="008003F6">
        <w:rPr>
          <w:b/>
          <w:color w:val="000000" w:themeColor="text1"/>
          <w:sz w:val="24"/>
        </w:rPr>
        <w:t>nepostupovala</w:t>
      </w:r>
      <w:r w:rsidR="006B2BE4" w:rsidRPr="008003F6">
        <w:rPr>
          <w:b/>
          <w:color w:val="000000" w:themeColor="text1"/>
          <w:sz w:val="24"/>
        </w:rPr>
        <w:t xml:space="preserve"> při hospodaření </w:t>
      </w:r>
      <w:r w:rsidR="00133E33" w:rsidRPr="008003F6">
        <w:rPr>
          <w:b/>
          <w:color w:val="000000" w:themeColor="text1"/>
          <w:sz w:val="24"/>
        </w:rPr>
        <w:t xml:space="preserve">s majetkem státu </w:t>
      </w:r>
      <w:r w:rsidR="004A4E98" w:rsidRPr="008003F6">
        <w:rPr>
          <w:b/>
          <w:color w:val="000000" w:themeColor="text1"/>
          <w:sz w:val="24"/>
        </w:rPr>
        <w:t>a</w:t>
      </w:r>
      <w:r w:rsidR="006B2BE4" w:rsidRPr="008003F6">
        <w:rPr>
          <w:b/>
          <w:color w:val="000000" w:themeColor="text1"/>
          <w:sz w:val="24"/>
        </w:rPr>
        <w:t> </w:t>
      </w:r>
      <w:r w:rsidR="004A4E98" w:rsidRPr="008003F6">
        <w:rPr>
          <w:b/>
          <w:color w:val="000000" w:themeColor="text1"/>
          <w:sz w:val="24"/>
        </w:rPr>
        <w:t>peněžními prostředky státního rozpočtu hospodárně</w:t>
      </w:r>
      <w:r w:rsidR="00E82F8D" w:rsidRPr="008003F6">
        <w:rPr>
          <w:b/>
          <w:color w:val="000000" w:themeColor="text1"/>
          <w:sz w:val="24"/>
        </w:rPr>
        <w:t xml:space="preserve"> </w:t>
      </w:r>
      <w:r w:rsidR="00664E1B" w:rsidRPr="008003F6">
        <w:rPr>
          <w:b/>
          <w:color w:val="000000" w:themeColor="text1"/>
          <w:sz w:val="24"/>
        </w:rPr>
        <w:t>a</w:t>
      </w:r>
      <w:r w:rsidR="00133E33" w:rsidRPr="008003F6">
        <w:rPr>
          <w:b/>
          <w:color w:val="000000" w:themeColor="text1"/>
          <w:sz w:val="24"/>
        </w:rPr>
        <w:t xml:space="preserve"> v </w:t>
      </w:r>
      <w:r w:rsidR="006B2BE4" w:rsidRPr="008003F6">
        <w:rPr>
          <w:b/>
          <w:color w:val="000000" w:themeColor="text1"/>
          <w:sz w:val="24"/>
        </w:rPr>
        <w:t>souladu</w:t>
      </w:r>
      <w:r w:rsidR="00133E33" w:rsidRPr="008003F6">
        <w:rPr>
          <w:b/>
          <w:color w:val="000000" w:themeColor="text1"/>
          <w:sz w:val="24"/>
        </w:rPr>
        <w:t xml:space="preserve"> s právními předpisy. </w:t>
      </w:r>
    </w:p>
    <w:p w14:paraId="026C2272" w14:textId="749BCB23" w:rsidR="00133E33" w:rsidRPr="008003F6" w:rsidRDefault="00133E33" w:rsidP="008003F6">
      <w:pPr>
        <w:spacing w:after="120" w:line="264" w:lineRule="auto"/>
        <w:jc w:val="both"/>
        <w:rPr>
          <w:b/>
          <w:color w:val="000000" w:themeColor="text1"/>
          <w:sz w:val="24"/>
        </w:rPr>
      </w:pPr>
      <w:r w:rsidRPr="008003F6">
        <w:rPr>
          <w:b/>
          <w:color w:val="000000" w:themeColor="text1"/>
          <w:sz w:val="24"/>
        </w:rPr>
        <w:t>Kontrolou</w:t>
      </w:r>
      <w:r w:rsidR="00C414C1" w:rsidRPr="008003F6">
        <w:rPr>
          <w:b/>
          <w:color w:val="000000" w:themeColor="text1"/>
          <w:sz w:val="24"/>
        </w:rPr>
        <w:t xml:space="preserve"> NKÚ</w:t>
      </w:r>
      <w:r w:rsidRPr="008003F6">
        <w:rPr>
          <w:b/>
          <w:color w:val="000000" w:themeColor="text1"/>
          <w:sz w:val="24"/>
        </w:rPr>
        <w:t xml:space="preserve"> bylo zjištěno, že příspěvkové organizace </w:t>
      </w:r>
      <w:r w:rsidR="00C414C1" w:rsidRPr="008003F6">
        <w:rPr>
          <w:b/>
          <w:color w:val="000000" w:themeColor="text1"/>
          <w:sz w:val="24"/>
        </w:rPr>
        <w:t xml:space="preserve">SPH a LSL </w:t>
      </w:r>
      <w:r w:rsidRPr="008003F6">
        <w:rPr>
          <w:b/>
          <w:color w:val="000000" w:themeColor="text1"/>
          <w:sz w:val="24"/>
        </w:rPr>
        <w:t>hospodařily s majetkem a peněžními prostředky při plnění svých úkolů v některých případech v rozporu s právními předpisy</w:t>
      </w:r>
      <w:r w:rsidR="002F3F39" w:rsidRPr="008003F6">
        <w:rPr>
          <w:b/>
          <w:color w:val="000000" w:themeColor="text1"/>
          <w:sz w:val="24"/>
        </w:rPr>
        <w:t xml:space="preserve"> a příspěvková organizace LSL také nehospodárně</w:t>
      </w:r>
      <w:r w:rsidRPr="008003F6">
        <w:rPr>
          <w:b/>
          <w:color w:val="000000" w:themeColor="text1"/>
          <w:sz w:val="24"/>
        </w:rPr>
        <w:t xml:space="preserve">. </w:t>
      </w:r>
    </w:p>
    <w:p w14:paraId="09722F2F" w14:textId="77777777" w:rsidR="00151C8F" w:rsidRPr="008003F6" w:rsidRDefault="00151C8F" w:rsidP="008003F6">
      <w:pPr>
        <w:keepNext/>
        <w:spacing w:before="120" w:after="120" w:line="264" w:lineRule="auto"/>
        <w:jc w:val="both"/>
        <w:rPr>
          <w:color w:val="000000" w:themeColor="text1"/>
          <w:sz w:val="24"/>
        </w:rPr>
      </w:pPr>
      <w:r w:rsidRPr="008003F6">
        <w:rPr>
          <w:color w:val="000000" w:themeColor="text1"/>
          <w:sz w:val="24"/>
        </w:rPr>
        <w:t>Celkové vyhodnocení vyplývá z následujících skutečností zjištěných kontrolou</w:t>
      </w:r>
      <w:r w:rsidR="00B42DF5" w:rsidRPr="008003F6">
        <w:rPr>
          <w:color w:val="000000" w:themeColor="text1"/>
          <w:sz w:val="24"/>
        </w:rPr>
        <w:t>.</w:t>
      </w:r>
      <w:r w:rsidR="00CF7555" w:rsidRPr="008003F6">
        <w:rPr>
          <w:color w:val="000000" w:themeColor="text1"/>
          <w:sz w:val="24"/>
        </w:rPr>
        <w:t xml:space="preserve"> </w:t>
      </w:r>
    </w:p>
    <w:p w14:paraId="7C88C14A" w14:textId="17CCF4A1" w:rsidR="00D66367" w:rsidRPr="008003F6" w:rsidRDefault="00D66367" w:rsidP="008003F6">
      <w:pPr>
        <w:keepNext/>
        <w:spacing w:after="120" w:line="240" w:lineRule="auto"/>
        <w:jc w:val="both"/>
        <w:rPr>
          <w:b/>
          <w:color w:val="000000" w:themeColor="text1"/>
          <w:sz w:val="24"/>
        </w:rPr>
      </w:pPr>
      <w:r w:rsidRPr="008003F6">
        <w:rPr>
          <w:b/>
          <w:color w:val="000000" w:themeColor="text1"/>
          <w:sz w:val="24"/>
        </w:rPr>
        <w:t>KPR</w:t>
      </w:r>
    </w:p>
    <w:p w14:paraId="256C32F4" w14:textId="67D01351" w:rsidR="00E85D1F" w:rsidRPr="0010416F" w:rsidRDefault="00E85D1F" w:rsidP="008003F6">
      <w:pPr>
        <w:pStyle w:val="Odstavecseseznamem"/>
        <w:numPr>
          <w:ilvl w:val="0"/>
          <w:numId w:val="11"/>
        </w:numPr>
        <w:spacing w:after="0" w:line="264" w:lineRule="auto"/>
        <w:ind w:left="425" w:hanging="425"/>
        <w:contextualSpacing w:val="0"/>
        <w:jc w:val="both"/>
        <w:rPr>
          <w:sz w:val="24"/>
        </w:rPr>
      </w:pPr>
      <w:r w:rsidRPr="0010416F">
        <w:rPr>
          <w:sz w:val="24"/>
        </w:rPr>
        <w:t>V rámci programů reprodukce majetku KPR jako správce program</w:t>
      </w:r>
      <w:r w:rsidR="00556746">
        <w:rPr>
          <w:sz w:val="24"/>
        </w:rPr>
        <w:t>ů</w:t>
      </w:r>
      <w:r w:rsidRPr="0010416F">
        <w:rPr>
          <w:sz w:val="24"/>
        </w:rPr>
        <w:t xml:space="preserve"> nenastavila měřitelné indikátory</w:t>
      </w:r>
      <w:r w:rsidR="004A5775">
        <w:rPr>
          <w:sz w:val="24"/>
        </w:rPr>
        <w:t>,</w:t>
      </w:r>
      <w:r w:rsidRPr="0010416F">
        <w:rPr>
          <w:sz w:val="24"/>
        </w:rPr>
        <w:t xml:space="preserve"> a nemohla tak vyhodnotit naplnění cílů</w:t>
      </w:r>
      <w:r w:rsidR="00556746">
        <w:rPr>
          <w:sz w:val="24"/>
        </w:rPr>
        <w:t xml:space="preserve"> </w:t>
      </w:r>
      <w:r w:rsidR="009B1CF5">
        <w:rPr>
          <w:sz w:val="24"/>
        </w:rPr>
        <w:t xml:space="preserve">programů </w:t>
      </w:r>
      <w:r w:rsidRPr="0010416F">
        <w:rPr>
          <w:sz w:val="24"/>
        </w:rPr>
        <w:t>(viz IV.A.1).</w:t>
      </w:r>
      <w:r w:rsidR="00425A72">
        <w:rPr>
          <w:sz w:val="24"/>
        </w:rPr>
        <w:t xml:space="preserve"> </w:t>
      </w:r>
    </w:p>
    <w:p w14:paraId="42EB87BE" w14:textId="77777777" w:rsidR="00A553D8" w:rsidRPr="0010416F" w:rsidRDefault="001C63B2" w:rsidP="008003F6">
      <w:pPr>
        <w:pStyle w:val="Odstavecseseznamem"/>
        <w:numPr>
          <w:ilvl w:val="0"/>
          <w:numId w:val="11"/>
        </w:numPr>
        <w:spacing w:after="0" w:line="264" w:lineRule="auto"/>
        <w:ind w:left="425" w:hanging="425"/>
        <w:contextualSpacing w:val="0"/>
        <w:jc w:val="both"/>
        <w:rPr>
          <w:sz w:val="24"/>
        </w:rPr>
      </w:pPr>
      <w:r>
        <w:rPr>
          <w:sz w:val="24"/>
        </w:rPr>
        <w:t>U</w:t>
      </w:r>
      <w:r w:rsidR="00A553D8" w:rsidRPr="009A0B4C">
        <w:rPr>
          <w:sz w:val="24"/>
        </w:rPr>
        <w:t>hradila z</w:t>
      </w:r>
      <w:r w:rsidR="003564A1">
        <w:rPr>
          <w:sz w:val="24"/>
        </w:rPr>
        <w:t xml:space="preserve"> prostředků </w:t>
      </w:r>
      <w:r w:rsidR="00A553D8" w:rsidRPr="009A0B4C">
        <w:rPr>
          <w:sz w:val="24"/>
        </w:rPr>
        <w:t>státního rozpočtu částku ve výši 149 tis. Kč</w:t>
      </w:r>
      <w:r w:rsidR="004551AA">
        <w:rPr>
          <w:rStyle w:val="Znakapoznpodarou"/>
          <w:sz w:val="24"/>
        </w:rPr>
        <w:footnoteReference w:id="2"/>
      </w:r>
      <w:r w:rsidR="003564A1">
        <w:rPr>
          <w:sz w:val="24"/>
        </w:rPr>
        <w:t xml:space="preserve"> za právní zastoupení prezidenta republiky v soudním sporu</w:t>
      </w:r>
      <w:r w:rsidR="00A553D8" w:rsidRPr="009A0B4C">
        <w:rPr>
          <w:sz w:val="24"/>
        </w:rPr>
        <w:t xml:space="preserve">, která měla být uhrazena </w:t>
      </w:r>
      <w:r w:rsidR="003564A1">
        <w:rPr>
          <w:sz w:val="24"/>
        </w:rPr>
        <w:t>z vlastních zdrojů zastupované osoby</w:t>
      </w:r>
      <w:r w:rsidR="00425A72">
        <w:rPr>
          <w:sz w:val="24"/>
        </w:rPr>
        <w:t>.</w:t>
      </w:r>
      <w:r w:rsidR="003564A1">
        <w:rPr>
          <w:sz w:val="24"/>
        </w:rPr>
        <w:t xml:space="preserve"> </w:t>
      </w:r>
      <w:r w:rsidR="00425A72">
        <w:rPr>
          <w:sz w:val="24"/>
        </w:rPr>
        <w:t xml:space="preserve">V uvedeném případě </w:t>
      </w:r>
      <w:r w:rsidR="00425A72" w:rsidRPr="009A0B4C">
        <w:rPr>
          <w:sz w:val="24"/>
        </w:rPr>
        <w:t>byly zjištěny skutečnosti nasvědčující porušení rozpočtové kázně</w:t>
      </w:r>
      <w:r w:rsidR="00425A72">
        <w:rPr>
          <w:sz w:val="24"/>
        </w:rPr>
        <w:t xml:space="preserve"> </w:t>
      </w:r>
      <w:r w:rsidR="00425A72" w:rsidRPr="0010416F">
        <w:rPr>
          <w:sz w:val="24"/>
        </w:rPr>
        <w:t>(viz IV.A.</w:t>
      </w:r>
      <w:r w:rsidR="00425A72">
        <w:rPr>
          <w:sz w:val="24"/>
        </w:rPr>
        <w:t>3</w:t>
      </w:r>
      <w:r w:rsidR="00425A72" w:rsidRPr="0010416F">
        <w:rPr>
          <w:sz w:val="24"/>
        </w:rPr>
        <w:t>).</w:t>
      </w:r>
    </w:p>
    <w:p w14:paraId="60C35A57" w14:textId="77777777" w:rsidR="00A553D8" w:rsidRPr="0010416F" w:rsidRDefault="001C63B2" w:rsidP="008003F6">
      <w:pPr>
        <w:pStyle w:val="Odstavecseseznamem"/>
        <w:numPr>
          <w:ilvl w:val="0"/>
          <w:numId w:val="11"/>
        </w:numPr>
        <w:spacing w:after="0" w:line="264" w:lineRule="auto"/>
        <w:ind w:left="425" w:hanging="425"/>
        <w:contextualSpacing w:val="0"/>
        <w:jc w:val="both"/>
        <w:rPr>
          <w:sz w:val="24"/>
        </w:rPr>
      </w:pPr>
      <w:r>
        <w:rPr>
          <w:sz w:val="24"/>
        </w:rPr>
        <w:t>N</w:t>
      </w:r>
      <w:r w:rsidR="003564A1" w:rsidRPr="003564A1">
        <w:rPr>
          <w:sz w:val="24"/>
        </w:rPr>
        <w:t>evedla v účetnictví</w:t>
      </w:r>
      <w:r w:rsidR="00A553D8" w:rsidRPr="003564A1">
        <w:rPr>
          <w:sz w:val="24"/>
        </w:rPr>
        <w:t xml:space="preserve"> propůjčená státní</w:t>
      </w:r>
      <w:r w:rsidR="00A553D8" w:rsidRPr="003564A1">
        <w:rPr>
          <w:sz w:val="24"/>
          <w:szCs w:val="24"/>
        </w:rPr>
        <w:t xml:space="preserve"> vyznamenání</w:t>
      </w:r>
      <w:r w:rsidR="003564A1" w:rsidRPr="003564A1">
        <w:rPr>
          <w:sz w:val="24"/>
          <w:szCs w:val="24"/>
        </w:rPr>
        <w:t>, a proto je ani nevykázala v účetní závěrce k 31. 12. 2021</w:t>
      </w:r>
      <w:r w:rsidR="00A21AF2" w:rsidRPr="003564A1">
        <w:rPr>
          <w:sz w:val="24"/>
        </w:rPr>
        <w:t xml:space="preserve"> </w:t>
      </w:r>
      <w:r w:rsidR="00A21AF2" w:rsidRPr="0010416F">
        <w:rPr>
          <w:sz w:val="24"/>
        </w:rPr>
        <w:t>(viz</w:t>
      </w:r>
      <w:r w:rsidR="006D4B95" w:rsidRPr="0010416F">
        <w:rPr>
          <w:sz w:val="24"/>
        </w:rPr>
        <w:t> </w:t>
      </w:r>
      <w:r w:rsidR="00A21AF2" w:rsidRPr="0010416F">
        <w:rPr>
          <w:sz w:val="24"/>
        </w:rPr>
        <w:t>IV.A.</w:t>
      </w:r>
      <w:r w:rsidR="00C9197B">
        <w:rPr>
          <w:sz w:val="24"/>
        </w:rPr>
        <w:t>3</w:t>
      </w:r>
      <w:r w:rsidR="00A21AF2" w:rsidRPr="0010416F">
        <w:rPr>
          <w:sz w:val="24"/>
        </w:rPr>
        <w:t>)</w:t>
      </w:r>
      <w:r w:rsidR="00A553D8" w:rsidRPr="0010416F">
        <w:rPr>
          <w:sz w:val="24"/>
        </w:rPr>
        <w:t>.</w:t>
      </w:r>
    </w:p>
    <w:p w14:paraId="416D9F09" w14:textId="77777777" w:rsidR="00B14D3C" w:rsidRDefault="001C63B2" w:rsidP="008003F6">
      <w:pPr>
        <w:pStyle w:val="Odstavecseseznamem"/>
        <w:numPr>
          <w:ilvl w:val="0"/>
          <w:numId w:val="11"/>
        </w:numPr>
        <w:spacing w:after="0" w:line="264" w:lineRule="auto"/>
        <w:ind w:left="425" w:hanging="425"/>
        <w:contextualSpacing w:val="0"/>
        <w:jc w:val="both"/>
        <w:rPr>
          <w:sz w:val="24"/>
        </w:rPr>
      </w:pPr>
      <w:r>
        <w:rPr>
          <w:sz w:val="24"/>
        </w:rPr>
        <w:t>P</w:t>
      </w:r>
      <w:r w:rsidR="00A553D8" w:rsidRPr="009A0B4C">
        <w:rPr>
          <w:sz w:val="24"/>
        </w:rPr>
        <w:t>ři inventarizaci</w:t>
      </w:r>
      <w:r w:rsidR="006D4B95">
        <w:rPr>
          <w:sz w:val="24"/>
        </w:rPr>
        <w:t xml:space="preserve"> majetku</w:t>
      </w:r>
      <w:r w:rsidR="00A553D8" w:rsidRPr="009A0B4C">
        <w:rPr>
          <w:sz w:val="24"/>
        </w:rPr>
        <w:t xml:space="preserve"> za rok 2021 </w:t>
      </w:r>
      <w:r w:rsidR="00A553D8" w:rsidRPr="003564A1">
        <w:rPr>
          <w:sz w:val="24"/>
        </w:rPr>
        <w:t xml:space="preserve">nepostupovala </w:t>
      </w:r>
      <w:r w:rsidR="005A5C0A" w:rsidRPr="003564A1">
        <w:rPr>
          <w:sz w:val="24"/>
        </w:rPr>
        <w:t>v některých případech</w:t>
      </w:r>
      <w:r w:rsidR="00A553D8" w:rsidRPr="003564A1">
        <w:rPr>
          <w:sz w:val="24"/>
        </w:rPr>
        <w:t xml:space="preserve"> </w:t>
      </w:r>
      <w:r w:rsidR="00A553D8" w:rsidRPr="009A0B4C">
        <w:rPr>
          <w:sz w:val="24"/>
        </w:rPr>
        <w:t>v souladu s právními předpisy</w:t>
      </w:r>
      <w:r w:rsidR="00B14D3C">
        <w:rPr>
          <w:sz w:val="24"/>
        </w:rPr>
        <w:t xml:space="preserve"> </w:t>
      </w:r>
      <w:r w:rsidR="00B14D3C" w:rsidRPr="0010416F">
        <w:rPr>
          <w:sz w:val="24"/>
        </w:rPr>
        <w:t>(viz IV.A.</w:t>
      </w:r>
      <w:r w:rsidR="00B14D3C">
        <w:rPr>
          <w:sz w:val="24"/>
        </w:rPr>
        <w:t>4)</w:t>
      </w:r>
      <w:r w:rsidR="00A553D8" w:rsidRPr="009A0B4C">
        <w:rPr>
          <w:sz w:val="24"/>
        </w:rPr>
        <w:t xml:space="preserve">. </w:t>
      </w:r>
    </w:p>
    <w:p w14:paraId="257AF789" w14:textId="77777777" w:rsidR="00A553D8" w:rsidRPr="0010416F" w:rsidRDefault="00B14D3C" w:rsidP="008003F6">
      <w:pPr>
        <w:pStyle w:val="Odstavecseseznamem"/>
        <w:numPr>
          <w:ilvl w:val="0"/>
          <w:numId w:val="11"/>
        </w:numPr>
        <w:spacing w:after="0" w:line="264" w:lineRule="auto"/>
        <w:ind w:left="425" w:hanging="425"/>
        <w:contextualSpacing w:val="0"/>
        <w:jc w:val="both"/>
        <w:rPr>
          <w:sz w:val="24"/>
        </w:rPr>
      </w:pPr>
      <w:r>
        <w:rPr>
          <w:sz w:val="24"/>
        </w:rPr>
        <w:t>V</w:t>
      </w:r>
      <w:r w:rsidR="00A553D8" w:rsidRPr="009A0B4C">
        <w:rPr>
          <w:sz w:val="24"/>
        </w:rPr>
        <w:t xml:space="preserve"> důsledku nesprávného účtování vykázala v účetní závěrce nesprávné zůstatky na některých </w:t>
      </w:r>
      <w:r w:rsidR="001C63B2">
        <w:rPr>
          <w:sz w:val="24"/>
        </w:rPr>
        <w:t xml:space="preserve">účtech </w:t>
      </w:r>
      <w:r w:rsidR="00A21AF2" w:rsidRPr="0010416F">
        <w:rPr>
          <w:sz w:val="24"/>
        </w:rPr>
        <w:t>(viz IV.A.</w:t>
      </w:r>
      <w:r w:rsidR="00C9197B">
        <w:rPr>
          <w:sz w:val="24"/>
        </w:rPr>
        <w:t>4</w:t>
      </w:r>
      <w:r w:rsidR="00A21AF2" w:rsidRPr="0010416F">
        <w:rPr>
          <w:sz w:val="24"/>
        </w:rPr>
        <w:t>)</w:t>
      </w:r>
      <w:r w:rsidR="00A553D8" w:rsidRPr="0010416F">
        <w:rPr>
          <w:sz w:val="24"/>
        </w:rPr>
        <w:t>.</w:t>
      </w:r>
    </w:p>
    <w:p w14:paraId="7976FF62" w14:textId="1ED14484" w:rsidR="00CF7555" w:rsidRPr="00F25D02" w:rsidRDefault="00CF7555" w:rsidP="008003F6">
      <w:pPr>
        <w:keepNext/>
        <w:spacing w:before="240" w:after="0" w:line="264" w:lineRule="auto"/>
        <w:jc w:val="both"/>
        <w:rPr>
          <w:b/>
          <w:sz w:val="24"/>
        </w:rPr>
      </w:pPr>
      <w:r w:rsidRPr="00F25D02">
        <w:rPr>
          <w:b/>
          <w:sz w:val="24"/>
        </w:rPr>
        <w:t>SPH</w:t>
      </w:r>
    </w:p>
    <w:p w14:paraId="653050C7" w14:textId="77777777" w:rsidR="00A553D8" w:rsidRPr="0010416F" w:rsidRDefault="001C63B2" w:rsidP="008003F6">
      <w:pPr>
        <w:pStyle w:val="Odstavecseseznamem"/>
        <w:numPr>
          <w:ilvl w:val="0"/>
          <w:numId w:val="38"/>
        </w:numPr>
        <w:spacing w:after="0" w:line="264" w:lineRule="auto"/>
        <w:ind w:left="425" w:hanging="425"/>
        <w:contextualSpacing w:val="0"/>
        <w:jc w:val="both"/>
        <w:rPr>
          <w:sz w:val="24"/>
        </w:rPr>
      </w:pPr>
      <w:r>
        <w:rPr>
          <w:sz w:val="24"/>
        </w:rPr>
        <w:t>U</w:t>
      </w:r>
      <w:r w:rsidR="00A553D8" w:rsidRPr="009A0B4C">
        <w:rPr>
          <w:sz w:val="24"/>
        </w:rPr>
        <w:t xml:space="preserve">hradila dvěma </w:t>
      </w:r>
      <w:r w:rsidR="00A14340">
        <w:rPr>
          <w:sz w:val="24"/>
        </w:rPr>
        <w:t xml:space="preserve">dodavatelům </w:t>
      </w:r>
      <w:r>
        <w:rPr>
          <w:sz w:val="24"/>
        </w:rPr>
        <w:t xml:space="preserve">stavebních prací </w:t>
      </w:r>
      <w:r w:rsidR="00A553D8" w:rsidRPr="009A0B4C">
        <w:rPr>
          <w:sz w:val="24"/>
        </w:rPr>
        <w:t>částku ve výši 83 </w:t>
      </w:r>
      <w:r w:rsidR="00EB750F" w:rsidRPr="009A0B4C">
        <w:rPr>
          <w:sz w:val="24"/>
        </w:rPr>
        <w:t>tis.</w:t>
      </w:r>
      <w:r w:rsidR="00A553D8" w:rsidRPr="009A0B4C">
        <w:rPr>
          <w:sz w:val="24"/>
        </w:rPr>
        <w:t xml:space="preserve"> Kč za stejný předmět plnění</w:t>
      </w:r>
      <w:r w:rsidR="00A21AF2">
        <w:rPr>
          <w:sz w:val="24"/>
        </w:rPr>
        <w:t xml:space="preserve"> </w:t>
      </w:r>
      <w:r w:rsidR="00A21AF2" w:rsidRPr="0010416F">
        <w:rPr>
          <w:sz w:val="24"/>
        </w:rPr>
        <w:t>(viz</w:t>
      </w:r>
      <w:r w:rsidR="006D4B95" w:rsidRPr="0010416F">
        <w:rPr>
          <w:sz w:val="24"/>
        </w:rPr>
        <w:t> </w:t>
      </w:r>
      <w:r w:rsidR="00A21AF2" w:rsidRPr="0010416F">
        <w:rPr>
          <w:sz w:val="24"/>
        </w:rPr>
        <w:t>IV.B.</w:t>
      </w:r>
      <w:r w:rsidR="0010416F" w:rsidRPr="0010416F">
        <w:rPr>
          <w:sz w:val="24"/>
        </w:rPr>
        <w:t>1</w:t>
      </w:r>
      <w:r w:rsidR="00A21AF2" w:rsidRPr="0010416F">
        <w:rPr>
          <w:sz w:val="24"/>
        </w:rPr>
        <w:t>)</w:t>
      </w:r>
      <w:r w:rsidR="00A553D8" w:rsidRPr="0010416F">
        <w:rPr>
          <w:sz w:val="24"/>
        </w:rPr>
        <w:t>.</w:t>
      </w:r>
    </w:p>
    <w:p w14:paraId="0997DE01" w14:textId="77777777" w:rsidR="00A553D8" w:rsidRPr="0010416F" w:rsidRDefault="001C63B2" w:rsidP="008003F6">
      <w:pPr>
        <w:pStyle w:val="Odstavecseseznamem"/>
        <w:numPr>
          <w:ilvl w:val="0"/>
          <w:numId w:val="38"/>
        </w:numPr>
        <w:spacing w:after="0" w:line="264" w:lineRule="auto"/>
        <w:ind w:left="425" w:hanging="425"/>
        <w:contextualSpacing w:val="0"/>
        <w:jc w:val="both"/>
        <w:rPr>
          <w:sz w:val="24"/>
        </w:rPr>
      </w:pPr>
      <w:r>
        <w:rPr>
          <w:sz w:val="24"/>
        </w:rPr>
        <w:t>N</w:t>
      </w:r>
      <w:r w:rsidR="00987C59" w:rsidRPr="0010416F">
        <w:rPr>
          <w:sz w:val="24"/>
        </w:rPr>
        <w:t>ezaúčtovala dlouhodobý hmotný majetek a postoupení práv a povinností do období, s nímž tyto skutečnosti časově a věcně souvisely.</w:t>
      </w:r>
      <w:r w:rsidR="00E8653D" w:rsidRPr="0010416F">
        <w:rPr>
          <w:sz w:val="24"/>
        </w:rPr>
        <w:t xml:space="preserve"> </w:t>
      </w:r>
      <w:r>
        <w:rPr>
          <w:sz w:val="24"/>
        </w:rPr>
        <w:t xml:space="preserve">Dále </w:t>
      </w:r>
      <w:r>
        <w:rPr>
          <w:rFonts w:cstheme="minorHAnsi"/>
          <w:sz w:val="24"/>
          <w:szCs w:val="24"/>
        </w:rPr>
        <w:t>zahrnula do ocenění technického zhodnocení náklady týkající se jiného objektu a náklady na opravy a údržbu</w:t>
      </w:r>
      <w:r w:rsidR="00A21AF2" w:rsidRPr="0010416F">
        <w:rPr>
          <w:sz w:val="24"/>
        </w:rPr>
        <w:t xml:space="preserve"> (viz IV.B.</w:t>
      </w:r>
      <w:r w:rsidR="0010416F">
        <w:rPr>
          <w:sz w:val="24"/>
        </w:rPr>
        <w:t>4</w:t>
      </w:r>
      <w:r w:rsidR="00A21AF2" w:rsidRPr="0010416F">
        <w:rPr>
          <w:sz w:val="24"/>
        </w:rPr>
        <w:t>)</w:t>
      </w:r>
      <w:r w:rsidR="00987C59" w:rsidRPr="0010416F">
        <w:rPr>
          <w:sz w:val="24"/>
        </w:rPr>
        <w:t xml:space="preserve">. </w:t>
      </w:r>
    </w:p>
    <w:p w14:paraId="222C7B92" w14:textId="77777777" w:rsidR="00E0020D" w:rsidRDefault="001C63B2" w:rsidP="008003F6">
      <w:pPr>
        <w:pStyle w:val="Odstavecseseznamem"/>
        <w:numPr>
          <w:ilvl w:val="0"/>
          <w:numId w:val="38"/>
        </w:numPr>
        <w:spacing w:after="0" w:line="264" w:lineRule="auto"/>
        <w:ind w:left="425" w:hanging="425"/>
        <w:contextualSpacing w:val="0"/>
        <w:jc w:val="both"/>
        <w:rPr>
          <w:sz w:val="24"/>
        </w:rPr>
      </w:pPr>
      <w:r>
        <w:rPr>
          <w:sz w:val="24"/>
        </w:rPr>
        <w:t>N</w:t>
      </w:r>
      <w:r w:rsidRPr="009A0B4C">
        <w:rPr>
          <w:sz w:val="24"/>
        </w:rPr>
        <w:t>epostupoval</w:t>
      </w:r>
      <w:r>
        <w:rPr>
          <w:sz w:val="24"/>
        </w:rPr>
        <w:t>a</w:t>
      </w:r>
      <w:r w:rsidRPr="009A0B4C">
        <w:rPr>
          <w:sz w:val="24"/>
        </w:rPr>
        <w:t xml:space="preserve"> </w:t>
      </w:r>
      <w:r w:rsidRPr="0010416F">
        <w:rPr>
          <w:sz w:val="24"/>
        </w:rPr>
        <w:t xml:space="preserve">v některých případech </w:t>
      </w:r>
      <w:r w:rsidR="00EB750F" w:rsidRPr="009A0B4C">
        <w:rPr>
          <w:sz w:val="24"/>
        </w:rPr>
        <w:t>při inventarizaci za rok 2021 v souladu s právními předpisy</w:t>
      </w:r>
      <w:r w:rsidR="00E0020D">
        <w:rPr>
          <w:sz w:val="24"/>
        </w:rPr>
        <w:t xml:space="preserve"> (viz IV.B.4)</w:t>
      </w:r>
      <w:r w:rsidR="00EB750F" w:rsidRPr="009A0B4C">
        <w:rPr>
          <w:sz w:val="24"/>
        </w:rPr>
        <w:t xml:space="preserve">.  </w:t>
      </w:r>
    </w:p>
    <w:p w14:paraId="1F8D5427" w14:textId="77777777" w:rsidR="00CF7555" w:rsidRDefault="00EB750F" w:rsidP="008003F6">
      <w:pPr>
        <w:pStyle w:val="Odstavecseseznamem"/>
        <w:numPr>
          <w:ilvl w:val="0"/>
          <w:numId w:val="38"/>
        </w:numPr>
        <w:spacing w:after="0" w:line="264" w:lineRule="auto"/>
        <w:ind w:left="425" w:hanging="425"/>
        <w:contextualSpacing w:val="0"/>
        <w:jc w:val="both"/>
        <w:rPr>
          <w:sz w:val="24"/>
        </w:rPr>
      </w:pPr>
      <w:r w:rsidRPr="009A0B4C">
        <w:rPr>
          <w:sz w:val="24"/>
        </w:rPr>
        <w:t>V</w:t>
      </w:r>
      <w:r w:rsidR="00987C59" w:rsidRPr="009A0B4C">
        <w:rPr>
          <w:sz w:val="24"/>
        </w:rPr>
        <w:t xml:space="preserve"> účetní závěrce </w:t>
      </w:r>
      <w:r w:rsidRPr="009A0B4C">
        <w:rPr>
          <w:sz w:val="24"/>
        </w:rPr>
        <w:t>vykázal</w:t>
      </w:r>
      <w:r w:rsidR="0010416F">
        <w:rPr>
          <w:sz w:val="24"/>
        </w:rPr>
        <w:t>a</w:t>
      </w:r>
      <w:r w:rsidRPr="009A0B4C">
        <w:rPr>
          <w:sz w:val="24"/>
        </w:rPr>
        <w:t xml:space="preserve"> </w:t>
      </w:r>
      <w:r w:rsidR="00987C59" w:rsidRPr="009A0B4C">
        <w:rPr>
          <w:sz w:val="24"/>
        </w:rPr>
        <w:t xml:space="preserve">zůstatky na nesprávných </w:t>
      </w:r>
      <w:r w:rsidR="0010416F">
        <w:rPr>
          <w:sz w:val="24"/>
        </w:rPr>
        <w:t xml:space="preserve">účtech </w:t>
      </w:r>
      <w:r w:rsidR="00A21AF2">
        <w:rPr>
          <w:sz w:val="24"/>
        </w:rPr>
        <w:t>(viz IV.B.</w:t>
      </w:r>
      <w:r w:rsidR="0010416F">
        <w:rPr>
          <w:sz w:val="24"/>
        </w:rPr>
        <w:t>4</w:t>
      </w:r>
      <w:r w:rsidR="00A21AF2">
        <w:rPr>
          <w:sz w:val="24"/>
        </w:rPr>
        <w:t>)</w:t>
      </w:r>
      <w:r w:rsidR="00987C59" w:rsidRPr="009A0B4C">
        <w:rPr>
          <w:sz w:val="24"/>
        </w:rPr>
        <w:t>.</w:t>
      </w:r>
      <w:r w:rsidR="00CF7555">
        <w:rPr>
          <w:sz w:val="24"/>
        </w:rPr>
        <w:t xml:space="preserve"> </w:t>
      </w:r>
    </w:p>
    <w:p w14:paraId="0BE213EB" w14:textId="77777777" w:rsidR="00E0020D" w:rsidRPr="009A0B4C" w:rsidRDefault="00E0020D" w:rsidP="008003F6">
      <w:pPr>
        <w:pStyle w:val="Odstavecseseznamem"/>
        <w:numPr>
          <w:ilvl w:val="0"/>
          <w:numId w:val="38"/>
        </w:numPr>
        <w:spacing w:after="0" w:line="264" w:lineRule="auto"/>
        <w:ind w:left="425" w:hanging="425"/>
        <w:contextualSpacing w:val="0"/>
        <w:jc w:val="both"/>
        <w:rPr>
          <w:sz w:val="24"/>
        </w:rPr>
      </w:pPr>
      <w:r>
        <w:rPr>
          <w:sz w:val="24"/>
        </w:rPr>
        <w:t>N</w:t>
      </w:r>
      <w:r w:rsidRPr="009A0B4C">
        <w:rPr>
          <w:sz w:val="24"/>
        </w:rPr>
        <w:t>evedl</w:t>
      </w:r>
      <w:r>
        <w:rPr>
          <w:sz w:val="24"/>
        </w:rPr>
        <w:t>a</w:t>
      </w:r>
      <w:r w:rsidRPr="009A0B4C">
        <w:rPr>
          <w:sz w:val="24"/>
        </w:rPr>
        <w:t xml:space="preserve"> veškerý majetek, ke kterému </w:t>
      </w:r>
      <w:r w:rsidRPr="00E80384">
        <w:rPr>
          <w:sz w:val="24"/>
        </w:rPr>
        <w:t>měl</w:t>
      </w:r>
      <w:r>
        <w:rPr>
          <w:sz w:val="24"/>
        </w:rPr>
        <w:t>a</w:t>
      </w:r>
      <w:r w:rsidRPr="00E80384">
        <w:rPr>
          <w:sz w:val="24"/>
        </w:rPr>
        <w:t xml:space="preserve"> příslušnost hospodařit, ve svém</w:t>
      </w:r>
      <w:r w:rsidRPr="009A0B4C">
        <w:rPr>
          <w:sz w:val="24"/>
        </w:rPr>
        <w:t xml:space="preserve"> účetnictví a</w:t>
      </w:r>
      <w:r>
        <w:rPr>
          <w:sz w:val="24"/>
        </w:rPr>
        <w:t> </w:t>
      </w:r>
      <w:r w:rsidRPr="009A0B4C">
        <w:rPr>
          <w:sz w:val="24"/>
        </w:rPr>
        <w:t>neprovedl</w:t>
      </w:r>
      <w:r>
        <w:rPr>
          <w:sz w:val="24"/>
        </w:rPr>
        <w:t>a</w:t>
      </w:r>
      <w:r w:rsidRPr="009A0B4C">
        <w:rPr>
          <w:sz w:val="24"/>
        </w:rPr>
        <w:t xml:space="preserve"> jeho inventarizaci</w:t>
      </w:r>
      <w:r>
        <w:rPr>
          <w:sz w:val="24"/>
        </w:rPr>
        <w:t xml:space="preserve"> (viz IV.B.6)</w:t>
      </w:r>
      <w:r w:rsidRPr="009A0B4C">
        <w:rPr>
          <w:sz w:val="24"/>
        </w:rPr>
        <w:t>.</w:t>
      </w:r>
      <w:r>
        <w:rPr>
          <w:sz w:val="24"/>
        </w:rPr>
        <w:t xml:space="preserve"> </w:t>
      </w:r>
    </w:p>
    <w:p w14:paraId="7B22D73D" w14:textId="7CFB6431" w:rsidR="00CF7555" w:rsidRPr="008003F6" w:rsidRDefault="00CF7555" w:rsidP="008003F6">
      <w:pPr>
        <w:keepNext/>
        <w:spacing w:after="0" w:line="264" w:lineRule="auto"/>
        <w:jc w:val="both"/>
        <w:rPr>
          <w:b/>
          <w:color w:val="000000" w:themeColor="text1"/>
          <w:sz w:val="24"/>
        </w:rPr>
      </w:pPr>
      <w:r w:rsidRPr="008003F6">
        <w:rPr>
          <w:b/>
          <w:color w:val="000000" w:themeColor="text1"/>
          <w:sz w:val="24"/>
        </w:rPr>
        <w:lastRenderedPageBreak/>
        <w:t>LSL</w:t>
      </w:r>
    </w:p>
    <w:p w14:paraId="02A83A32" w14:textId="77777777" w:rsidR="00987C59" w:rsidRPr="008003F6" w:rsidRDefault="002F3F39" w:rsidP="008003F6">
      <w:pPr>
        <w:pStyle w:val="Odstavecseseznamem"/>
        <w:numPr>
          <w:ilvl w:val="0"/>
          <w:numId w:val="39"/>
        </w:numPr>
        <w:spacing w:after="0" w:line="264" w:lineRule="auto"/>
        <w:ind w:left="426" w:hanging="437"/>
        <w:contextualSpacing w:val="0"/>
        <w:jc w:val="both"/>
        <w:rPr>
          <w:color w:val="000000" w:themeColor="text1"/>
          <w:sz w:val="24"/>
        </w:rPr>
      </w:pPr>
      <w:r w:rsidRPr="008003F6">
        <w:rPr>
          <w:color w:val="000000" w:themeColor="text1"/>
          <w:sz w:val="24"/>
        </w:rPr>
        <w:t>Neoprávněně r</w:t>
      </w:r>
      <w:r w:rsidR="00987C59" w:rsidRPr="008003F6">
        <w:rPr>
          <w:color w:val="000000" w:themeColor="text1"/>
          <w:sz w:val="24"/>
        </w:rPr>
        <w:t xml:space="preserve">ozdělila </w:t>
      </w:r>
      <w:r w:rsidR="001C63B2" w:rsidRPr="008003F6">
        <w:rPr>
          <w:color w:val="000000" w:themeColor="text1"/>
          <w:sz w:val="24"/>
        </w:rPr>
        <w:t xml:space="preserve">veřejné </w:t>
      </w:r>
      <w:r w:rsidR="00987C59" w:rsidRPr="008003F6">
        <w:rPr>
          <w:color w:val="000000" w:themeColor="text1"/>
          <w:sz w:val="24"/>
        </w:rPr>
        <w:t>zakázky na dodávk</w:t>
      </w:r>
      <w:r w:rsidR="003634F2" w:rsidRPr="008003F6">
        <w:rPr>
          <w:color w:val="000000" w:themeColor="text1"/>
          <w:sz w:val="24"/>
        </w:rPr>
        <w:t>y</w:t>
      </w:r>
      <w:r w:rsidR="00987C59" w:rsidRPr="008003F6">
        <w:rPr>
          <w:color w:val="000000" w:themeColor="text1"/>
          <w:sz w:val="24"/>
        </w:rPr>
        <w:t xml:space="preserve"> sadebního materiálu</w:t>
      </w:r>
      <w:r w:rsidR="00A21AF2" w:rsidRPr="008003F6">
        <w:rPr>
          <w:color w:val="000000" w:themeColor="text1"/>
          <w:sz w:val="24"/>
        </w:rPr>
        <w:t xml:space="preserve"> (viz</w:t>
      </w:r>
      <w:r w:rsidR="006D4B95" w:rsidRPr="008003F6">
        <w:rPr>
          <w:color w:val="000000" w:themeColor="text1"/>
          <w:sz w:val="24"/>
        </w:rPr>
        <w:t> </w:t>
      </w:r>
      <w:r w:rsidR="00A21AF2" w:rsidRPr="008003F6">
        <w:rPr>
          <w:color w:val="000000" w:themeColor="text1"/>
          <w:sz w:val="24"/>
        </w:rPr>
        <w:t>IV.C.</w:t>
      </w:r>
      <w:r w:rsidR="001D3A0E" w:rsidRPr="008003F6">
        <w:rPr>
          <w:color w:val="000000" w:themeColor="text1"/>
          <w:sz w:val="24"/>
        </w:rPr>
        <w:t>1</w:t>
      </w:r>
      <w:r w:rsidR="00A21AF2" w:rsidRPr="008003F6">
        <w:rPr>
          <w:color w:val="000000" w:themeColor="text1"/>
          <w:sz w:val="24"/>
        </w:rPr>
        <w:t>)</w:t>
      </w:r>
      <w:r w:rsidR="00987C59" w:rsidRPr="008003F6">
        <w:rPr>
          <w:color w:val="000000" w:themeColor="text1"/>
          <w:sz w:val="24"/>
        </w:rPr>
        <w:t xml:space="preserve">. </w:t>
      </w:r>
    </w:p>
    <w:p w14:paraId="0ACD4D89" w14:textId="4BB6AB15" w:rsidR="00987C59" w:rsidRPr="008003F6" w:rsidRDefault="001C63B2" w:rsidP="008003F6">
      <w:pPr>
        <w:pStyle w:val="Odstavecseseznamem"/>
        <w:numPr>
          <w:ilvl w:val="0"/>
          <w:numId w:val="39"/>
        </w:numPr>
        <w:spacing w:after="0" w:line="264" w:lineRule="auto"/>
        <w:ind w:left="426" w:hanging="437"/>
        <w:contextualSpacing w:val="0"/>
        <w:jc w:val="both"/>
        <w:rPr>
          <w:color w:val="000000" w:themeColor="text1"/>
          <w:sz w:val="24"/>
        </w:rPr>
      </w:pPr>
      <w:r w:rsidRPr="008003F6">
        <w:rPr>
          <w:color w:val="000000" w:themeColor="text1"/>
          <w:sz w:val="24"/>
        </w:rPr>
        <w:t>P</w:t>
      </w:r>
      <w:r w:rsidR="00987C59" w:rsidRPr="008003F6">
        <w:rPr>
          <w:color w:val="000000" w:themeColor="text1"/>
          <w:sz w:val="24"/>
        </w:rPr>
        <w:t>roplatila peněžní prostředky</w:t>
      </w:r>
      <w:r w:rsidR="006B5662" w:rsidRPr="008003F6">
        <w:rPr>
          <w:color w:val="000000" w:themeColor="text1"/>
          <w:sz w:val="24"/>
        </w:rPr>
        <w:t xml:space="preserve"> ve výši 1 195 500 Kč</w:t>
      </w:r>
      <w:r w:rsidR="00987C59" w:rsidRPr="008003F6">
        <w:rPr>
          <w:color w:val="000000" w:themeColor="text1"/>
          <w:sz w:val="24"/>
        </w:rPr>
        <w:t xml:space="preserve"> </w:t>
      </w:r>
      <w:r w:rsidR="008F4345" w:rsidRPr="008003F6">
        <w:rPr>
          <w:color w:val="000000" w:themeColor="text1"/>
          <w:sz w:val="24"/>
        </w:rPr>
        <w:t xml:space="preserve">bez </w:t>
      </w:r>
      <w:r w:rsidR="001D3A0E" w:rsidRPr="008003F6">
        <w:rPr>
          <w:color w:val="000000" w:themeColor="text1"/>
          <w:sz w:val="24"/>
        </w:rPr>
        <w:t>právního důvodu</w:t>
      </w:r>
      <w:r w:rsidR="006B5662" w:rsidRPr="008003F6">
        <w:rPr>
          <w:color w:val="000000" w:themeColor="text1"/>
          <w:sz w:val="24"/>
        </w:rPr>
        <w:t xml:space="preserve"> </w:t>
      </w:r>
      <w:r w:rsidR="00A21AF2" w:rsidRPr="008003F6">
        <w:rPr>
          <w:color w:val="000000" w:themeColor="text1"/>
          <w:sz w:val="24"/>
        </w:rPr>
        <w:t>(viz IV.C.</w:t>
      </w:r>
      <w:r w:rsidR="001D3A0E" w:rsidRPr="008003F6">
        <w:rPr>
          <w:color w:val="000000" w:themeColor="text1"/>
          <w:sz w:val="24"/>
        </w:rPr>
        <w:t>1</w:t>
      </w:r>
      <w:r w:rsidR="00A21AF2" w:rsidRPr="008003F6">
        <w:rPr>
          <w:color w:val="000000" w:themeColor="text1"/>
          <w:sz w:val="24"/>
        </w:rPr>
        <w:t>)</w:t>
      </w:r>
      <w:r w:rsidR="00987C59" w:rsidRPr="008003F6">
        <w:rPr>
          <w:color w:val="000000" w:themeColor="text1"/>
          <w:sz w:val="24"/>
        </w:rPr>
        <w:t>.</w:t>
      </w:r>
    </w:p>
    <w:p w14:paraId="01242B2F" w14:textId="367330BD" w:rsidR="001D3A0E" w:rsidRPr="008003F6" w:rsidRDefault="001D3A0E" w:rsidP="008003F6">
      <w:pPr>
        <w:pStyle w:val="Odstavecseseznamem"/>
        <w:numPr>
          <w:ilvl w:val="0"/>
          <w:numId w:val="39"/>
        </w:numPr>
        <w:spacing w:after="0" w:line="264" w:lineRule="auto"/>
        <w:ind w:left="426" w:hanging="437"/>
        <w:contextualSpacing w:val="0"/>
        <w:jc w:val="both"/>
        <w:rPr>
          <w:color w:val="000000" w:themeColor="text1"/>
          <w:sz w:val="24"/>
        </w:rPr>
      </w:pPr>
      <w:r w:rsidRPr="008003F6">
        <w:rPr>
          <w:color w:val="000000" w:themeColor="text1"/>
          <w:sz w:val="24"/>
        </w:rPr>
        <w:t>V</w:t>
      </w:r>
      <w:r w:rsidR="001C63B2" w:rsidRPr="008003F6">
        <w:rPr>
          <w:color w:val="000000" w:themeColor="text1"/>
          <w:sz w:val="24"/>
        </w:rPr>
        <w:t> </w:t>
      </w:r>
      <w:r w:rsidRPr="008003F6">
        <w:rPr>
          <w:color w:val="000000" w:themeColor="text1"/>
          <w:sz w:val="24"/>
        </w:rPr>
        <w:t>případech</w:t>
      </w:r>
      <w:r w:rsidR="001C63B2" w:rsidRPr="008003F6">
        <w:rPr>
          <w:color w:val="000000" w:themeColor="text1"/>
          <w:sz w:val="24"/>
        </w:rPr>
        <w:t xml:space="preserve"> uvedených v bodech </w:t>
      </w:r>
      <w:r w:rsidR="008C59CC" w:rsidRPr="008003F6">
        <w:rPr>
          <w:color w:val="000000" w:themeColor="text1"/>
          <w:sz w:val="24"/>
        </w:rPr>
        <w:t>1</w:t>
      </w:r>
      <w:r w:rsidR="001C63B2" w:rsidRPr="008003F6">
        <w:rPr>
          <w:color w:val="000000" w:themeColor="text1"/>
          <w:sz w:val="24"/>
        </w:rPr>
        <w:t xml:space="preserve"> a </w:t>
      </w:r>
      <w:r w:rsidR="008C59CC" w:rsidRPr="008003F6">
        <w:rPr>
          <w:color w:val="000000" w:themeColor="text1"/>
          <w:sz w:val="24"/>
        </w:rPr>
        <w:t>2</w:t>
      </w:r>
      <w:r w:rsidRPr="008003F6">
        <w:rPr>
          <w:color w:val="000000" w:themeColor="text1"/>
          <w:sz w:val="24"/>
        </w:rPr>
        <w:t xml:space="preserve"> byly zjištěny skutečnosti nasvědčující porušení rozpočtové kázně (viz IV.C.1).</w:t>
      </w:r>
    </w:p>
    <w:p w14:paraId="63996D33" w14:textId="77777777" w:rsidR="001C63B2" w:rsidRPr="008003F6" w:rsidRDefault="001C63B2" w:rsidP="008003F6">
      <w:pPr>
        <w:pStyle w:val="Odstavecseseznamem"/>
        <w:numPr>
          <w:ilvl w:val="0"/>
          <w:numId w:val="39"/>
        </w:numPr>
        <w:spacing w:after="0" w:line="264" w:lineRule="auto"/>
        <w:ind w:left="426" w:hanging="437"/>
        <w:contextualSpacing w:val="0"/>
        <w:jc w:val="both"/>
        <w:rPr>
          <w:color w:val="000000" w:themeColor="text1"/>
          <w:sz w:val="24"/>
        </w:rPr>
      </w:pPr>
      <w:r w:rsidRPr="008003F6">
        <w:rPr>
          <w:color w:val="000000" w:themeColor="text1"/>
          <w:sz w:val="24"/>
        </w:rPr>
        <w:t>Přijala za poplatkový lov platbu v hotovosti převyšující zákonný limit (viz IV.C.2).</w:t>
      </w:r>
    </w:p>
    <w:p w14:paraId="0FFF24E3" w14:textId="77777777" w:rsidR="001C63B2" w:rsidRPr="008003F6" w:rsidRDefault="001C63B2" w:rsidP="008003F6">
      <w:pPr>
        <w:pStyle w:val="Odstavecseseznamem"/>
        <w:numPr>
          <w:ilvl w:val="0"/>
          <w:numId w:val="39"/>
        </w:numPr>
        <w:spacing w:after="0" w:line="264" w:lineRule="auto"/>
        <w:ind w:left="426" w:hanging="437"/>
        <w:contextualSpacing w:val="0"/>
        <w:jc w:val="both"/>
        <w:rPr>
          <w:color w:val="000000" w:themeColor="text1"/>
          <w:sz w:val="24"/>
        </w:rPr>
      </w:pPr>
      <w:r w:rsidRPr="008003F6">
        <w:rPr>
          <w:color w:val="000000" w:themeColor="text1"/>
          <w:sz w:val="24"/>
        </w:rPr>
        <w:t>R</w:t>
      </w:r>
      <w:r w:rsidR="00987C59" w:rsidRPr="008003F6">
        <w:rPr>
          <w:color w:val="000000" w:themeColor="text1"/>
          <w:sz w:val="24"/>
        </w:rPr>
        <w:t xml:space="preserve">ealizovala některé </w:t>
      </w:r>
      <w:proofErr w:type="spellStart"/>
      <w:r w:rsidR="00987C59" w:rsidRPr="008003F6">
        <w:rPr>
          <w:color w:val="000000" w:themeColor="text1"/>
          <w:sz w:val="24"/>
        </w:rPr>
        <w:t>bezpoplatkové</w:t>
      </w:r>
      <w:proofErr w:type="spellEnd"/>
      <w:r w:rsidR="00987C59" w:rsidRPr="008003F6">
        <w:rPr>
          <w:color w:val="000000" w:themeColor="text1"/>
          <w:sz w:val="24"/>
        </w:rPr>
        <w:t xml:space="preserve"> lovy v rozporu se zřizovací listinou</w:t>
      </w:r>
      <w:r w:rsidRPr="008003F6">
        <w:rPr>
          <w:color w:val="000000" w:themeColor="text1"/>
          <w:sz w:val="24"/>
        </w:rPr>
        <w:t xml:space="preserve"> (viz IV.C.2).</w:t>
      </w:r>
    </w:p>
    <w:p w14:paraId="4A36CAF7" w14:textId="77777777" w:rsidR="00987C59" w:rsidRPr="008003F6" w:rsidRDefault="001C63B2" w:rsidP="008003F6">
      <w:pPr>
        <w:pStyle w:val="Odstavecseseznamem"/>
        <w:numPr>
          <w:ilvl w:val="0"/>
          <w:numId w:val="39"/>
        </w:numPr>
        <w:spacing w:after="0" w:line="264" w:lineRule="auto"/>
        <w:ind w:left="426" w:hanging="437"/>
        <w:contextualSpacing w:val="0"/>
        <w:jc w:val="both"/>
        <w:rPr>
          <w:color w:val="000000" w:themeColor="text1"/>
          <w:sz w:val="24"/>
        </w:rPr>
      </w:pPr>
      <w:r w:rsidRPr="008003F6">
        <w:rPr>
          <w:color w:val="000000" w:themeColor="text1"/>
          <w:sz w:val="24"/>
        </w:rPr>
        <w:t>S</w:t>
      </w:r>
      <w:r w:rsidR="003634F2" w:rsidRPr="008003F6">
        <w:rPr>
          <w:color w:val="000000" w:themeColor="text1"/>
          <w:sz w:val="24"/>
        </w:rPr>
        <w:t>tanovila měsíční výši nájemného u</w:t>
      </w:r>
      <w:r w:rsidR="009A0B4C" w:rsidRPr="008003F6">
        <w:rPr>
          <w:color w:val="000000" w:themeColor="text1"/>
          <w:sz w:val="24"/>
        </w:rPr>
        <w:t> </w:t>
      </w:r>
      <w:r w:rsidR="00F057F4" w:rsidRPr="008003F6">
        <w:rPr>
          <w:color w:val="000000" w:themeColor="text1"/>
          <w:sz w:val="24"/>
        </w:rPr>
        <w:t xml:space="preserve">všech </w:t>
      </w:r>
      <w:r w:rsidR="003634F2" w:rsidRPr="008003F6">
        <w:rPr>
          <w:color w:val="000000" w:themeColor="text1"/>
          <w:sz w:val="24"/>
        </w:rPr>
        <w:t>služebních domů a bytů ve výši, která neodpovídá výši v místě a čase obvyklé</w:t>
      </w:r>
      <w:r w:rsidR="00E0020D" w:rsidRPr="008003F6">
        <w:rPr>
          <w:color w:val="000000" w:themeColor="text1"/>
          <w:sz w:val="24"/>
        </w:rPr>
        <w:t>,</w:t>
      </w:r>
      <w:r w:rsidR="003634F2" w:rsidRPr="008003F6">
        <w:rPr>
          <w:color w:val="000000" w:themeColor="text1"/>
          <w:sz w:val="24"/>
        </w:rPr>
        <w:t xml:space="preserve"> a</w:t>
      </w:r>
      <w:r w:rsidR="009A0B4C" w:rsidRPr="008003F6">
        <w:rPr>
          <w:color w:val="000000" w:themeColor="text1"/>
          <w:sz w:val="24"/>
        </w:rPr>
        <w:t> </w:t>
      </w:r>
      <w:r w:rsidR="002F3F39" w:rsidRPr="008003F6">
        <w:rPr>
          <w:color w:val="000000" w:themeColor="text1"/>
          <w:sz w:val="24"/>
        </w:rPr>
        <w:t xml:space="preserve">neoprávněně </w:t>
      </w:r>
      <w:r w:rsidR="003634F2" w:rsidRPr="008003F6">
        <w:rPr>
          <w:color w:val="000000" w:themeColor="text1"/>
          <w:sz w:val="24"/>
        </w:rPr>
        <w:t>přenechala pozemky k bez</w:t>
      </w:r>
      <w:r w:rsidR="000D0C81" w:rsidRPr="008003F6">
        <w:rPr>
          <w:color w:val="000000" w:themeColor="text1"/>
          <w:sz w:val="24"/>
        </w:rPr>
        <w:t>ú</w:t>
      </w:r>
      <w:r w:rsidR="003634F2" w:rsidRPr="008003F6">
        <w:rPr>
          <w:color w:val="000000" w:themeColor="text1"/>
          <w:sz w:val="24"/>
        </w:rPr>
        <w:t>platnému užívání</w:t>
      </w:r>
      <w:r w:rsidR="00A21AF2" w:rsidRPr="008003F6">
        <w:rPr>
          <w:color w:val="000000" w:themeColor="text1"/>
          <w:sz w:val="24"/>
        </w:rPr>
        <w:t xml:space="preserve"> (viz IV.C.</w:t>
      </w:r>
      <w:r w:rsidR="001D3A0E" w:rsidRPr="008003F6">
        <w:rPr>
          <w:color w:val="000000" w:themeColor="text1"/>
          <w:sz w:val="24"/>
        </w:rPr>
        <w:t>2</w:t>
      </w:r>
      <w:r w:rsidR="00A21AF2" w:rsidRPr="008003F6">
        <w:rPr>
          <w:color w:val="000000" w:themeColor="text1"/>
          <w:sz w:val="24"/>
        </w:rPr>
        <w:t>)</w:t>
      </w:r>
      <w:r w:rsidR="003634F2" w:rsidRPr="008003F6">
        <w:rPr>
          <w:color w:val="000000" w:themeColor="text1"/>
          <w:sz w:val="24"/>
        </w:rPr>
        <w:t>.</w:t>
      </w:r>
    </w:p>
    <w:p w14:paraId="33154FE8" w14:textId="77777777" w:rsidR="008C59CC" w:rsidRPr="008003F6" w:rsidRDefault="008C59CC" w:rsidP="008003F6">
      <w:pPr>
        <w:pStyle w:val="Odstavecseseznamem"/>
        <w:numPr>
          <w:ilvl w:val="0"/>
          <w:numId w:val="39"/>
        </w:numPr>
        <w:spacing w:after="0" w:line="264" w:lineRule="auto"/>
        <w:ind w:left="426" w:hanging="437"/>
        <w:contextualSpacing w:val="0"/>
        <w:jc w:val="both"/>
        <w:rPr>
          <w:color w:val="000000" w:themeColor="text1"/>
          <w:sz w:val="24"/>
        </w:rPr>
      </w:pPr>
      <w:r w:rsidRPr="008003F6">
        <w:rPr>
          <w:color w:val="000000" w:themeColor="text1"/>
          <w:sz w:val="24"/>
        </w:rPr>
        <w:t xml:space="preserve">Neodůvodněně snižovala výnosy z majetku státu na základě zjištění uvedených v bodech 5 a 6. </w:t>
      </w:r>
    </w:p>
    <w:p w14:paraId="53A73984" w14:textId="77777777" w:rsidR="0010416F" w:rsidRPr="008003F6" w:rsidRDefault="0010416F" w:rsidP="008003F6">
      <w:pPr>
        <w:pStyle w:val="Odstavecseseznamem"/>
        <w:numPr>
          <w:ilvl w:val="0"/>
          <w:numId w:val="39"/>
        </w:numPr>
        <w:autoSpaceDE w:val="0"/>
        <w:autoSpaceDN w:val="0"/>
        <w:adjustRightInd w:val="0"/>
        <w:spacing w:after="0" w:line="264" w:lineRule="auto"/>
        <w:ind w:left="426" w:hanging="437"/>
        <w:contextualSpacing w:val="0"/>
        <w:jc w:val="both"/>
        <w:rPr>
          <w:color w:val="000000" w:themeColor="text1"/>
          <w:sz w:val="24"/>
        </w:rPr>
      </w:pPr>
      <w:r w:rsidRPr="008003F6">
        <w:rPr>
          <w:color w:val="000000" w:themeColor="text1"/>
          <w:sz w:val="24"/>
        </w:rPr>
        <w:t xml:space="preserve">Ředitel LSL uzavřel a podepsal smlouvu o nájmu domu sám se sebou (viz IV.C.2). </w:t>
      </w:r>
    </w:p>
    <w:p w14:paraId="51566CAC" w14:textId="77777777" w:rsidR="0010416F" w:rsidRPr="008003F6" w:rsidRDefault="001C63B2" w:rsidP="008003F6">
      <w:pPr>
        <w:pStyle w:val="Odstavecseseznamem"/>
        <w:numPr>
          <w:ilvl w:val="0"/>
          <w:numId w:val="39"/>
        </w:numPr>
        <w:spacing w:after="0" w:line="264" w:lineRule="auto"/>
        <w:ind w:left="426" w:hanging="437"/>
        <w:contextualSpacing w:val="0"/>
        <w:jc w:val="both"/>
        <w:rPr>
          <w:color w:val="000000" w:themeColor="text1"/>
          <w:sz w:val="24"/>
        </w:rPr>
      </w:pPr>
      <w:r w:rsidRPr="008003F6">
        <w:rPr>
          <w:color w:val="000000" w:themeColor="text1"/>
          <w:sz w:val="24"/>
        </w:rPr>
        <w:t xml:space="preserve">Nepostupovala v některých případech </w:t>
      </w:r>
      <w:r w:rsidR="0010416F" w:rsidRPr="008003F6">
        <w:rPr>
          <w:color w:val="000000" w:themeColor="text1"/>
          <w:sz w:val="24"/>
        </w:rPr>
        <w:t>při inventarizaci za rok 2021 v souladu s právními předpisy (viz IV.C.4).</w:t>
      </w:r>
    </w:p>
    <w:p w14:paraId="7B93D5A7" w14:textId="77777777" w:rsidR="0010416F" w:rsidRPr="008003F6" w:rsidRDefault="001C63B2" w:rsidP="008003F6">
      <w:pPr>
        <w:pStyle w:val="Odstavecseseznamem"/>
        <w:numPr>
          <w:ilvl w:val="0"/>
          <w:numId w:val="39"/>
        </w:numPr>
        <w:spacing w:after="0" w:line="264" w:lineRule="auto"/>
        <w:ind w:left="426" w:hanging="437"/>
        <w:contextualSpacing w:val="0"/>
        <w:jc w:val="both"/>
        <w:rPr>
          <w:color w:val="000000" w:themeColor="text1"/>
          <w:sz w:val="24"/>
        </w:rPr>
      </w:pPr>
      <w:r w:rsidRPr="008003F6">
        <w:rPr>
          <w:color w:val="000000" w:themeColor="text1"/>
          <w:sz w:val="24"/>
        </w:rPr>
        <w:t>N</w:t>
      </w:r>
      <w:r w:rsidR="0010416F" w:rsidRPr="008003F6">
        <w:rPr>
          <w:color w:val="000000" w:themeColor="text1"/>
          <w:sz w:val="24"/>
        </w:rPr>
        <w:t>evedla veškerý majetek, ke kterému měla příslušnost hospodařit, ve svém účetnictví a</w:t>
      </w:r>
      <w:r w:rsidRPr="008003F6">
        <w:rPr>
          <w:color w:val="000000" w:themeColor="text1"/>
          <w:sz w:val="24"/>
        </w:rPr>
        <w:t> </w:t>
      </w:r>
      <w:r w:rsidR="0010416F" w:rsidRPr="008003F6">
        <w:rPr>
          <w:color w:val="000000" w:themeColor="text1"/>
          <w:sz w:val="24"/>
        </w:rPr>
        <w:t xml:space="preserve">neprovedla jeho inventarizaci (viz IV.C.5). </w:t>
      </w:r>
    </w:p>
    <w:p w14:paraId="71785955" w14:textId="77777777" w:rsidR="0010416F" w:rsidRPr="008003F6" w:rsidRDefault="001C63B2" w:rsidP="008003F6">
      <w:pPr>
        <w:pStyle w:val="Odstavecseseznamem"/>
        <w:numPr>
          <w:ilvl w:val="0"/>
          <w:numId w:val="39"/>
        </w:numPr>
        <w:spacing w:after="0" w:line="264" w:lineRule="auto"/>
        <w:ind w:left="426" w:hanging="437"/>
        <w:contextualSpacing w:val="0"/>
        <w:jc w:val="both"/>
        <w:rPr>
          <w:color w:val="000000" w:themeColor="text1"/>
          <w:sz w:val="24"/>
        </w:rPr>
      </w:pPr>
      <w:r w:rsidRPr="008003F6">
        <w:rPr>
          <w:color w:val="000000" w:themeColor="text1"/>
          <w:sz w:val="24"/>
        </w:rPr>
        <w:t>N</w:t>
      </w:r>
      <w:r w:rsidR="0010416F" w:rsidRPr="008003F6">
        <w:rPr>
          <w:color w:val="000000" w:themeColor="text1"/>
          <w:sz w:val="24"/>
        </w:rPr>
        <w:t>eprovedla v souladu s požadavky danými právními předpisy předběžnou ř</w:t>
      </w:r>
      <w:r w:rsidR="00F47282" w:rsidRPr="008003F6">
        <w:rPr>
          <w:color w:val="000000" w:themeColor="text1"/>
          <w:sz w:val="24"/>
        </w:rPr>
        <w:t>í</w:t>
      </w:r>
      <w:r w:rsidR="0010416F" w:rsidRPr="008003F6">
        <w:rPr>
          <w:color w:val="000000" w:themeColor="text1"/>
          <w:sz w:val="24"/>
        </w:rPr>
        <w:t>d</w:t>
      </w:r>
      <w:r w:rsidR="00F47282" w:rsidRPr="008003F6">
        <w:rPr>
          <w:color w:val="000000" w:themeColor="text1"/>
          <w:sz w:val="24"/>
        </w:rPr>
        <w:t>i</w:t>
      </w:r>
      <w:r w:rsidR="0010416F" w:rsidRPr="008003F6">
        <w:rPr>
          <w:color w:val="000000" w:themeColor="text1"/>
          <w:sz w:val="24"/>
        </w:rPr>
        <w:t xml:space="preserve">cí kontrolu (viz IV.C.6). </w:t>
      </w:r>
    </w:p>
    <w:p w14:paraId="310800D9" w14:textId="77777777" w:rsidR="00B53558" w:rsidRDefault="008003F6" w:rsidP="00471E8C">
      <w:pPr>
        <w:pStyle w:val="Nadpis1"/>
        <w:numPr>
          <w:ilvl w:val="0"/>
          <w:numId w:val="0"/>
        </w:numPr>
        <w:spacing w:before="600" w:after="240"/>
        <w:rPr>
          <w:sz w:val="28"/>
          <w:szCs w:val="28"/>
        </w:rPr>
      </w:pPr>
      <w:r>
        <w:rPr>
          <w:sz w:val="28"/>
          <w:szCs w:val="28"/>
        </w:rPr>
        <w:t xml:space="preserve">II. </w:t>
      </w:r>
      <w:r w:rsidR="00FA3A52" w:rsidRPr="00245659">
        <w:rPr>
          <w:sz w:val="28"/>
          <w:szCs w:val="28"/>
        </w:rPr>
        <w:t>Informace o kontrolované oblasti</w:t>
      </w:r>
    </w:p>
    <w:p w14:paraId="1B155F20" w14:textId="6FC8F1FC" w:rsidR="00FA3F7B" w:rsidRPr="00FD59C8" w:rsidRDefault="00017F03" w:rsidP="00B36F13">
      <w:pPr>
        <w:pStyle w:val="Nadpis2"/>
        <w:keepNext w:val="0"/>
        <w:keepLines w:val="0"/>
        <w:numPr>
          <w:ilvl w:val="0"/>
          <w:numId w:val="0"/>
        </w:numPr>
        <w:spacing w:before="0" w:after="120" w:line="264" w:lineRule="auto"/>
        <w:jc w:val="both"/>
        <w:rPr>
          <w:b w:val="0"/>
        </w:rPr>
      </w:pPr>
      <w:r w:rsidRPr="00017F03">
        <w:rPr>
          <w:b w:val="0"/>
        </w:rPr>
        <w:t>2.1</w:t>
      </w:r>
      <w:r>
        <w:t xml:space="preserve"> </w:t>
      </w:r>
      <w:r w:rsidR="00FA3F7B" w:rsidRPr="005D47B6">
        <w:t>Kancelář prezidenta republiky</w:t>
      </w:r>
      <w:r w:rsidR="00FA3F7B" w:rsidRPr="005D47B6">
        <w:rPr>
          <w:b w:val="0"/>
        </w:rPr>
        <w:t xml:space="preserve"> byla zřízena </w:t>
      </w:r>
      <w:r w:rsidR="00F276F8">
        <w:rPr>
          <w:b w:val="0"/>
        </w:rPr>
        <w:t>zákonem</w:t>
      </w:r>
      <w:r w:rsidR="00FA3F7B" w:rsidRPr="005D47B6">
        <w:rPr>
          <w:b w:val="0"/>
        </w:rPr>
        <w:t xml:space="preserve"> č. 114/1993 Sb.</w:t>
      </w:r>
      <w:r w:rsidR="00FA3F7B" w:rsidRPr="005D47B6">
        <w:rPr>
          <w:rStyle w:val="Znakapoznpodarou"/>
          <w:rFonts w:cstheme="minorHAnsi"/>
          <w:b w:val="0"/>
          <w:szCs w:val="24"/>
        </w:rPr>
        <w:footnoteReference w:id="3"/>
      </w:r>
      <w:r w:rsidR="00FA3F7B" w:rsidRPr="005D47B6">
        <w:rPr>
          <w:b w:val="0"/>
        </w:rPr>
        <w:t xml:space="preserve"> </w:t>
      </w:r>
      <w:r w:rsidR="00FA3F7B" w:rsidRPr="00FD59C8">
        <w:rPr>
          <w:b w:val="0"/>
        </w:rPr>
        <w:t>K</w:t>
      </w:r>
      <w:r w:rsidR="00E80384" w:rsidRPr="00FD59C8">
        <w:rPr>
          <w:b w:val="0"/>
        </w:rPr>
        <w:t> </w:t>
      </w:r>
      <w:r w:rsidR="00FA3F7B" w:rsidRPr="00FD59C8">
        <w:rPr>
          <w:b w:val="0"/>
        </w:rPr>
        <w:t xml:space="preserve">plnění úkolů </w:t>
      </w:r>
      <w:r w:rsidR="00FD59C8" w:rsidRPr="00FD59C8">
        <w:rPr>
          <w:b w:val="0"/>
        </w:rPr>
        <w:t>vyplývajících z</w:t>
      </w:r>
      <w:r w:rsidR="00F276F8" w:rsidRPr="00FD59C8">
        <w:rPr>
          <w:b w:val="0"/>
        </w:rPr>
        <w:t xml:space="preserve"> ustanovení</w:t>
      </w:r>
      <w:r w:rsidR="00FA3F7B" w:rsidRPr="00FD59C8">
        <w:rPr>
          <w:b w:val="0"/>
        </w:rPr>
        <w:t xml:space="preserve"> § </w:t>
      </w:r>
      <w:r w:rsidR="00FD59C8" w:rsidRPr="00FD59C8">
        <w:rPr>
          <w:b w:val="0"/>
        </w:rPr>
        <w:t>3</w:t>
      </w:r>
      <w:r w:rsidR="00FA3F7B" w:rsidRPr="00FD59C8">
        <w:rPr>
          <w:b w:val="0"/>
        </w:rPr>
        <w:t xml:space="preserve"> odst. </w:t>
      </w:r>
      <w:r w:rsidR="00FD59C8" w:rsidRPr="00FD59C8">
        <w:rPr>
          <w:b w:val="0"/>
        </w:rPr>
        <w:t>1</w:t>
      </w:r>
      <w:r w:rsidR="00FA3F7B" w:rsidRPr="00FD59C8">
        <w:rPr>
          <w:b w:val="0"/>
        </w:rPr>
        <w:t xml:space="preserve"> zákona č. 114/1993 Sb</w:t>
      </w:r>
      <w:r w:rsidR="00FD59C8" w:rsidRPr="00FD59C8">
        <w:rPr>
          <w:b w:val="0"/>
        </w:rPr>
        <w:t>. zřídila KPR</w:t>
      </w:r>
      <w:r w:rsidR="00FA3F7B" w:rsidRPr="00FD59C8">
        <w:rPr>
          <w:b w:val="0"/>
        </w:rPr>
        <w:t xml:space="preserve"> příspěvkové organizace Správ</w:t>
      </w:r>
      <w:r>
        <w:rPr>
          <w:b w:val="0"/>
        </w:rPr>
        <w:t>u</w:t>
      </w:r>
      <w:r w:rsidR="00FA3F7B" w:rsidRPr="00FD59C8">
        <w:rPr>
          <w:b w:val="0"/>
        </w:rPr>
        <w:t xml:space="preserve"> Pražského hradu </w:t>
      </w:r>
      <w:r w:rsidR="00117F25">
        <w:rPr>
          <w:b w:val="0"/>
        </w:rPr>
        <w:t xml:space="preserve">(jako svou servisní organizaci) </w:t>
      </w:r>
      <w:r w:rsidR="00FA3F7B" w:rsidRPr="00FD59C8">
        <w:rPr>
          <w:b w:val="0"/>
        </w:rPr>
        <w:t>a Lesní správ</w:t>
      </w:r>
      <w:r>
        <w:rPr>
          <w:b w:val="0"/>
        </w:rPr>
        <w:t>u</w:t>
      </w:r>
      <w:r w:rsidR="00FA3F7B" w:rsidRPr="00FD59C8">
        <w:rPr>
          <w:b w:val="0"/>
        </w:rPr>
        <w:t xml:space="preserve"> Lány. KPR je správcem rozpočtové kapitoly 301</w:t>
      </w:r>
      <w:r w:rsidR="005372A6">
        <w:rPr>
          <w:b w:val="0"/>
        </w:rPr>
        <w:t xml:space="preserve"> – </w:t>
      </w:r>
      <w:r w:rsidR="00FA3F7B" w:rsidRPr="00B20B23">
        <w:rPr>
          <w:b w:val="0"/>
          <w:i/>
        </w:rPr>
        <w:t>Kancelář prezidenta republiky</w:t>
      </w:r>
      <w:r w:rsidR="00FA3F7B" w:rsidRPr="00FD59C8">
        <w:rPr>
          <w:b w:val="0"/>
        </w:rPr>
        <w:t xml:space="preserve"> a správcem programů reprodukce majetku.</w:t>
      </w:r>
    </w:p>
    <w:p w14:paraId="1DEEFD62" w14:textId="77777777" w:rsidR="005B6112" w:rsidRPr="00B36F13" w:rsidRDefault="005B6112" w:rsidP="00B36F13">
      <w:pPr>
        <w:tabs>
          <w:tab w:val="right" w:pos="9072"/>
        </w:tabs>
        <w:spacing w:after="40" w:line="240" w:lineRule="auto"/>
        <w:jc w:val="both"/>
        <w:rPr>
          <w:b/>
          <w:bCs/>
          <w:iCs/>
          <w:color w:val="000000" w:themeColor="text1"/>
          <w:sz w:val="24"/>
        </w:rPr>
      </w:pPr>
      <w:r w:rsidRPr="00B36F13">
        <w:rPr>
          <w:b/>
          <w:bCs/>
          <w:iCs/>
          <w:color w:val="000000" w:themeColor="text1"/>
          <w:sz w:val="24"/>
        </w:rPr>
        <w:t xml:space="preserve">Tabulka č. 1: Vybrané položky rozvahy </w:t>
      </w:r>
      <w:r w:rsidR="006D50BF" w:rsidRPr="00B36F13">
        <w:rPr>
          <w:b/>
          <w:bCs/>
          <w:iCs/>
          <w:color w:val="000000" w:themeColor="text1"/>
          <w:sz w:val="24"/>
        </w:rPr>
        <w:t>a výkazu zisku a ztráty</w:t>
      </w:r>
      <w:r w:rsidR="00017F03" w:rsidRPr="00B36F13">
        <w:rPr>
          <w:b/>
          <w:bCs/>
          <w:iCs/>
          <w:color w:val="000000" w:themeColor="text1"/>
          <w:sz w:val="24"/>
        </w:rPr>
        <w:t xml:space="preserve"> </w:t>
      </w:r>
      <w:r w:rsidR="00B36F13" w:rsidRPr="00B36F13">
        <w:rPr>
          <w:b/>
          <w:bCs/>
          <w:iCs/>
          <w:color w:val="000000" w:themeColor="text1"/>
          <w:sz w:val="24"/>
        </w:rPr>
        <w:tab/>
      </w:r>
      <w:r w:rsidRPr="00B36F13">
        <w:rPr>
          <w:b/>
          <w:bCs/>
          <w:iCs/>
          <w:color w:val="000000" w:themeColor="text1"/>
          <w:sz w:val="24"/>
        </w:rPr>
        <w:t>(v</w:t>
      </w:r>
      <w:r w:rsidR="00BB3994" w:rsidRPr="00B36F13">
        <w:rPr>
          <w:b/>
          <w:bCs/>
          <w:iCs/>
          <w:color w:val="000000" w:themeColor="text1"/>
          <w:sz w:val="24"/>
        </w:rPr>
        <w:t xml:space="preserve"> tis.</w:t>
      </w:r>
      <w:r w:rsidRPr="00B36F13">
        <w:rPr>
          <w:b/>
          <w:bCs/>
          <w:iCs/>
          <w:color w:val="000000" w:themeColor="text1"/>
          <w:sz w:val="24"/>
        </w:rPr>
        <w:t xml:space="preserve"> Kč)</w:t>
      </w:r>
      <w:r w:rsidR="00BB3994" w:rsidRPr="00B36F13">
        <w:rPr>
          <w:b/>
          <w:bCs/>
          <w:iCs/>
          <w:color w:val="000000" w:themeColor="text1"/>
          <w:sz w:val="24"/>
        </w:rPr>
        <w:t xml:space="preserve"> </w:t>
      </w:r>
    </w:p>
    <w:tbl>
      <w:tblPr>
        <w:tblW w:w="9072" w:type="dxa"/>
        <w:jc w:val="center"/>
        <w:tblBorders>
          <w:top w:val="single" w:sz="4" w:space="0" w:color="auto"/>
          <w:left w:val="single" w:sz="4" w:space="0" w:color="auto"/>
          <w:bottom w:val="single" w:sz="4" w:space="0" w:color="auto"/>
          <w:right w:val="single" w:sz="4" w:space="0" w:color="auto"/>
          <w:insideH w:val="single" w:sz="4" w:space="0" w:color="000000" w:themeColor="text1"/>
          <w:insideV w:val="single" w:sz="4" w:space="0" w:color="auto"/>
        </w:tblBorders>
        <w:tblCellMar>
          <w:left w:w="70" w:type="dxa"/>
          <w:right w:w="70" w:type="dxa"/>
        </w:tblCellMar>
        <w:tblLook w:val="04A0" w:firstRow="1" w:lastRow="0" w:firstColumn="1" w:lastColumn="0" w:noHBand="0" w:noVBand="1"/>
      </w:tblPr>
      <w:tblGrid>
        <w:gridCol w:w="4275"/>
        <w:gridCol w:w="1599"/>
        <w:gridCol w:w="1599"/>
        <w:gridCol w:w="1599"/>
      </w:tblGrid>
      <w:tr w:rsidR="00BB3994" w:rsidRPr="002D6B19" w14:paraId="4922D97C" w14:textId="77777777" w:rsidTr="00B36F13">
        <w:trPr>
          <w:trHeight w:val="255"/>
          <w:tblHeader/>
          <w:jc w:val="center"/>
        </w:trPr>
        <w:tc>
          <w:tcPr>
            <w:tcW w:w="4275" w:type="dxa"/>
            <w:vMerge w:val="restart"/>
            <w:shd w:val="clear" w:color="auto" w:fill="E5F1FF"/>
            <w:vAlign w:val="center"/>
          </w:tcPr>
          <w:p w14:paraId="747B5943" w14:textId="77777777" w:rsidR="00BB3994" w:rsidRPr="002D6B19" w:rsidRDefault="00234BCD" w:rsidP="00B36F13">
            <w:pPr>
              <w:spacing w:after="0" w:line="240" w:lineRule="auto"/>
              <w:jc w:val="center"/>
              <w:rPr>
                <w:rFonts w:cstheme="minorHAnsi"/>
                <w:b/>
                <w:bCs/>
                <w:sz w:val="20"/>
                <w:szCs w:val="20"/>
              </w:rPr>
            </w:pPr>
            <w:r>
              <w:rPr>
                <w:rFonts w:cstheme="minorHAnsi"/>
                <w:b/>
                <w:bCs/>
                <w:sz w:val="20"/>
                <w:szCs w:val="20"/>
              </w:rPr>
              <w:t>Položka</w:t>
            </w:r>
          </w:p>
        </w:tc>
        <w:tc>
          <w:tcPr>
            <w:tcW w:w="4797" w:type="dxa"/>
            <w:gridSpan w:val="3"/>
            <w:shd w:val="clear" w:color="auto" w:fill="E5F1FF"/>
            <w:vAlign w:val="bottom"/>
          </w:tcPr>
          <w:p w14:paraId="3B1C562D" w14:textId="77777777" w:rsidR="00BB3994" w:rsidRPr="002D6B19" w:rsidRDefault="00234BCD" w:rsidP="00B36F13">
            <w:pPr>
              <w:spacing w:after="0" w:line="240" w:lineRule="auto"/>
              <w:jc w:val="center"/>
              <w:rPr>
                <w:rFonts w:cstheme="minorHAnsi"/>
                <w:b/>
                <w:bCs/>
                <w:sz w:val="20"/>
                <w:szCs w:val="20"/>
              </w:rPr>
            </w:pPr>
            <w:r>
              <w:rPr>
                <w:rFonts w:cstheme="minorHAnsi"/>
                <w:b/>
                <w:bCs/>
                <w:sz w:val="20"/>
                <w:szCs w:val="20"/>
              </w:rPr>
              <w:t>Hodnota</w:t>
            </w:r>
          </w:p>
        </w:tc>
      </w:tr>
      <w:tr w:rsidR="00BB3994" w:rsidRPr="002D6B19" w14:paraId="5E1AFF53" w14:textId="77777777" w:rsidTr="00B36F13">
        <w:trPr>
          <w:trHeight w:val="255"/>
          <w:tblHeader/>
          <w:jc w:val="center"/>
        </w:trPr>
        <w:tc>
          <w:tcPr>
            <w:tcW w:w="4275" w:type="dxa"/>
            <w:vMerge/>
            <w:shd w:val="clear" w:color="auto" w:fill="E5F1FF"/>
            <w:vAlign w:val="center"/>
          </w:tcPr>
          <w:p w14:paraId="58FE3B6B" w14:textId="77777777" w:rsidR="00BB3994" w:rsidRPr="002D6B19" w:rsidRDefault="00BB3994" w:rsidP="00B36F13">
            <w:pPr>
              <w:spacing w:after="0" w:line="240" w:lineRule="auto"/>
              <w:jc w:val="center"/>
              <w:rPr>
                <w:rFonts w:cstheme="minorHAnsi"/>
                <w:b/>
                <w:bCs/>
                <w:sz w:val="20"/>
                <w:szCs w:val="20"/>
              </w:rPr>
            </w:pPr>
          </w:p>
        </w:tc>
        <w:tc>
          <w:tcPr>
            <w:tcW w:w="1599" w:type="dxa"/>
            <w:shd w:val="clear" w:color="auto" w:fill="E5F1FF"/>
            <w:vAlign w:val="center"/>
          </w:tcPr>
          <w:p w14:paraId="2C3A5BC1" w14:textId="77777777" w:rsidR="00BB3994" w:rsidRPr="002D6B19" w:rsidRDefault="00BB3994" w:rsidP="00B36F13">
            <w:pPr>
              <w:spacing w:after="0" w:line="240" w:lineRule="auto"/>
              <w:jc w:val="center"/>
              <w:rPr>
                <w:rFonts w:cstheme="minorHAnsi"/>
                <w:b/>
                <w:bCs/>
                <w:sz w:val="20"/>
                <w:szCs w:val="20"/>
              </w:rPr>
            </w:pPr>
            <w:r w:rsidRPr="002D6B19">
              <w:rPr>
                <w:rFonts w:cstheme="minorHAnsi"/>
                <w:b/>
                <w:bCs/>
                <w:sz w:val="20"/>
                <w:szCs w:val="20"/>
              </w:rPr>
              <w:t>k 31. 12. 2019</w:t>
            </w:r>
          </w:p>
        </w:tc>
        <w:tc>
          <w:tcPr>
            <w:tcW w:w="1599" w:type="dxa"/>
            <w:shd w:val="clear" w:color="auto" w:fill="E5F1FF"/>
            <w:vAlign w:val="center"/>
          </w:tcPr>
          <w:p w14:paraId="55DEB375" w14:textId="77777777" w:rsidR="00BB3994" w:rsidRPr="002D6B19" w:rsidRDefault="00BB3994" w:rsidP="00B36F13">
            <w:pPr>
              <w:spacing w:after="0" w:line="240" w:lineRule="auto"/>
              <w:jc w:val="center"/>
              <w:rPr>
                <w:rFonts w:cstheme="minorHAnsi"/>
                <w:b/>
                <w:bCs/>
                <w:sz w:val="20"/>
                <w:szCs w:val="20"/>
              </w:rPr>
            </w:pPr>
            <w:r w:rsidRPr="002D6B19">
              <w:rPr>
                <w:rFonts w:cstheme="minorHAnsi"/>
                <w:b/>
                <w:bCs/>
                <w:sz w:val="20"/>
                <w:szCs w:val="20"/>
              </w:rPr>
              <w:t>k 31. 12. 2020</w:t>
            </w:r>
          </w:p>
        </w:tc>
        <w:tc>
          <w:tcPr>
            <w:tcW w:w="1599" w:type="dxa"/>
            <w:shd w:val="clear" w:color="auto" w:fill="E5F1FF"/>
            <w:vAlign w:val="bottom"/>
          </w:tcPr>
          <w:p w14:paraId="5B97801F" w14:textId="77777777" w:rsidR="00BB3994" w:rsidRPr="002D6B19" w:rsidRDefault="00BB3994" w:rsidP="00B36F13">
            <w:pPr>
              <w:spacing w:after="0" w:line="240" w:lineRule="auto"/>
              <w:jc w:val="center"/>
              <w:rPr>
                <w:rFonts w:cstheme="minorHAnsi"/>
                <w:b/>
                <w:bCs/>
                <w:sz w:val="20"/>
                <w:szCs w:val="20"/>
              </w:rPr>
            </w:pPr>
            <w:r w:rsidRPr="002D6B19">
              <w:rPr>
                <w:rFonts w:cstheme="minorHAnsi"/>
                <w:b/>
                <w:bCs/>
                <w:sz w:val="20"/>
                <w:szCs w:val="20"/>
              </w:rPr>
              <w:t>k 31. 12. 2021</w:t>
            </w:r>
          </w:p>
        </w:tc>
      </w:tr>
      <w:tr w:rsidR="005B6112" w:rsidRPr="002D6B19" w14:paraId="269000CC" w14:textId="77777777" w:rsidTr="00B36F13">
        <w:trPr>
          <w:trHeight w:val="255"/>
          <w:jc w:val="center"/>
        </w:trPr>
        <w:tc>
          <w:tcPr>
            <w:tcW w:w="4275" w:type="dxa"/>
            <w:shd w:val="clear" w:color="auto" w:fill="auto"/>
            <w:vAlign w:val="center"/>
            <w:hideMark/>
          </w:tcPr>
          <w:p w14:paraId="4CC1F9BB" w14:textId="77777777" w:rsidR="005B6112" w:rsidRPr="00234BCD" w:rsidRDefault="005B6112" w:rsidP="00B36F13">
            <w:pPr>
              <w:spacing w:after="0" w:line="240" w:lineRule="auto"/>
              <w:rPr>
                <w:rFonts w:cstheme="minorHAnsi"/>
                <w:bCs/>
                <w:sz w:val="20"/>
                <w:szCs w:val="20"/>
                <w:highlight w:val="yellow"/>
              </w:rPr>
            </w:pPr>
            <w:bookmarkStart w:id="1" w:name="_Hlk100234488"/>
            <w:r w:rsidRPr="00234BCD">
              <w:rPr>
                <w:rFonts w:cstheme="minorHAnsi"/>
                <w:bCs/>
                <w:sz w:val="20"/>
                <w:szCs w:val="20"/>
              </w:rPr>
              <w:t xml:space="preserve">Aktiva </w:t>
            </w:r>
            <w:r w:rsidR="00BB3994" w:rsidRPr="00234BCD">
              <w:rPr>
                <w:rFonts w:cstheme="minorHAnsi"/>
                <w:bCs/>
                <w:sz w:val="20"/>
                <w:szCs w:val="20"/>
              </w:rPr>
              <w:t>celkem</w:t>
            </w:r>
          </w:p>
        </w:tc>
        <w:tc>
          <w:tcPr>
            <w:tcW w:w="1599" w:type="dxa"/>
            <w:shd w:val="clear" w:color="auto" w:fill="auto"/>
            <w:vAlign w:val="bottom"/>
          </w:tcPr>
          <w:p w14:paraId="489647F6" w14:textId="77777777" w:rsidR="005B6112" w:rsidRPr="00234BCD" w:rsidRDefault="005B6112" w:rsidP="00B36F13">
            <w:pPr>
              <w:spacing w:after="0" w:line="240" w:lineRule="auto"/>
              <w:ind w:right="57"/>
              <w:jc w:val="right"/>
              <w:rPr>
                <w:rFonts w:cstheme="minorHAnsi"/>
                <w:sz w:val="20"/>
                <w:szCs w:val="20"/>
              </w:rPr>
            </w:pPr>
            <w:r w:rsidRPr="00234BCD">
              <w:rPr>
                <w:rFonts w:cstheme="minorHAnsi"/>
                <w:sz w:val="20"/>
                <w:szCs w:val="20"/>
              </w:rPr>
              <w:t>17</w:t>
            </w:r>
            <w:r w:rsidR="00BB3994" w:rsidRPr="00234BCD">
              <w:rPr>
                <w:rFonts w:cstheme="minorHAnsi"/>
                <w:sz w:val="20"/>
                <w:szCs w:val="20"/>
              </w:rPr>
              <w:t> </w:t>
            </w:r>
            <w:r w:rsidRPr="00234BCD">
              <w:rPr>
                <w:rFonts w:cstheme="minorHAnsi"/>
                <w:sz w:val="20"/>
                <w:szCs w:val="20"/>
              </w:rPr>
              <w:t>231</w:t>
            </w:r>
            <w:r w:rsidR="00BB3994" w:rsidRPr="00234BCD">
              <w:rPr>
                <w:rFonts w:cstheme="minorHAnsi"/>
                <w:sz w:val="20"/>
                <w:szCs w:val="20"/>
              </w:rPr>
              <w:t>,</w:t>
            </w:r>
            <w:r w:rsidRPr="00234BCD">
              <w:rPr>
                <w:rFonts w:cstheme="minorHAnsi"/>
                <w:sz w:val="20"/>
                <w:szCs w:val="20"/>
              </w:rPr>
              <w:t>13</w:t>
            </w:r>
          </w:p>
        </w:tc>
        <w:tc>
          <w:tcPr>
            <w:tcW w:w="1599" w:type="dxa"/>
            <w:shd w:val="clear" w:color="auto" w:fill="auto"/>
            <w:vAlign w:val="bottom"/>
          </w:tcPr>
          <w:p w14:paraId="485377B7" w14:textId="77777777" w:rsidR="005B6112" w:rsidRPr="00234BCD" w:rsidRDefault="005B6112" w:rsidP="00B36F13">
            <w:pPr>
              <w:spacing w:after="0" w:line="240" w:lineRule="auto"/>
              <w:ind w:right="57"/>
              <w:jc w:val="right"/>
              <w:rPr>
                <w:rFonts w:cstheme="minorHAnsi"/>
                <w:sz w:val="20"/>
                <w:szCs w:val="20"/>
              </w:rPr>
            </w:pPr>
            <w:r w:rsidRPr="00234BCD">
              <w:rPr>
                <w:rFonts w:cstheme="minorHAnsi"/>
                <w:sz w:val="20"/>
                <w:szCs w:val="20"/>
              </w:rPr>
              <w:t>18</w:t>
            </w:r>
            <w:r w:rsidR="00BB3994" w:rsidRPr="00234BCD">
              <w:rPr>
                <w:rFonts w:cstheme="minorHAnsi"/>
                <w:sz w:val="20"/>
                <w:szCs w:val="20"/>
              </w:rPr>
              <w:t> </w:t>
            </w:r>
            <w:r w:rsidRPr="00234BCD">
              <w:rPr>
                <w:rFonts w:cstheme="minorHAnsi"/>
                <w:sz w:val="20"/>
                <w:szCs w:val="20"/>
              </w:rPr>
              <w:t>073</w:t>
            </w:r>
            <w:r w:rsidR="00BB3994" w:rsidRPr="00234BCD">
              <w:rPr>
                <w:rFonts w:cstheme="minorHAnsi"/>
                <w:sz w:val="20"/>
                <w:szCs w:val="20"/>
              </w:rPr>
              <w:t>,</w:t>
            </w:r>
            <w:r w:rsidRPr="00234BCD">
              <w:rPr>
                <w:rFonts w:cstheme="minorHAnsi"/>
                <w:sz w:val="20"/>
                <w:szCs w:val="20"/>
              </w:rPr>
              <w:t>87</w:t>
            </w:r>
          </w:p>
        </w:tc>
        <w:tc>
          <w:tcPr>
            <w:tcW w:w="1599" w:type="dxa"/>
            <w:shd w:val="clear" w:color="auto" w:fill="auto"/>
            <w:vAlign w:val="bottom"/>
            <w:hideMark/>
          </w:tcPr>
          <w:p w14:paraId="45248F08" w14:textId="77777777" w:rsidR="005B6112" w:rsidRPr="00234BCD" w:rsidRDefault="005B6112" w:rsidP="00B36F13">
            <w:pPr>
              <w:spacing w:after="0" w:line="240" w:lineRule="auto"/>
              <w:ind w:right="57"/>
              <w:jc w:val="right"/>
              <w:rPr>
                <w:rFonts w:cstheme="minorHAnsi"/>
                <w:sz w:val="20"/>
                <w:szCs w:val="20"/>
              </w:rPr>
            </w:pPr>
            <w:r w:rsidRPr="00234BCD">
              <w:rPr>
                <w:rFonts w:cstheme="minorHAnsi"/>
                <w:sz w:val="20"/>
                <w:szCs w:val="20"/>
              </w:rPr>
              <w:t>17</w:t>
            </w:r>
            <w:r w:rsidR="00BB3994" w:rsidRPr="00234BCD">
              <w:rPr>
                <w:rFonts w:cstheme="minorHAnsi"/>
                <w:sz w:val="20"/>
                <w:szCs w:val="20"/>
              </w:rPr>
              <w:t> </w:t>
            </w:r>
            <w:r w:rsidRPr="00234BCD">
              <w:rPr>
                <w:rFonts w:cstheme="minorHAnsi"/>
                <w:sz w:val="20"/>
                <w:szCs w:val="20"/>
              </w:rPr>
              <w:t>995</w:t>
            </w:r>
            <w:r w:rsidR="00BB3994" w:rsidRPr="00234BCD">
              <w:rPr>
                <w:rFonts w:cstheme="minorHAnsi"/>
                <w:sz w:val="20"/>
                <w:szCs w:val="20"/>
              </w:rPr>
              <w:t>,30</w:t>
            </w:r>
          </w:p>
        </w:tc>
      </w:tr>
      <w:tr w:rsidR="005B6112" w:rsidRPr="002D6B19" w14:paraId="072EEF49" w14:textId="77777777" w:rsidTr="00B36F13">
        <w:trPr>
          <w:trHeight w:val="255"/>
          <w:jc w:val="center"/>
        </w:trPr>
        <w:tc>
          <w:tcPr>
            <w:tcW w:w="4275" w:type="dxa"/>
            <w:shd w:val="clear" w:color="auto" w:fill="auto"/>
            <w:vAlign w:val="center"/>
            <w:hideMark/>
          </w:tcPr>
          <w:p w14:paraId="7D7B523F" w14:textId="77777777" w:rsidR="005B6112" w:rsidRPr="00234BCD" w:rsidRDefault="005B6112" w:rsidP="00B36F13">
            <w:pPr>
              <w:spacing w:after="0" w:line="240" w:lineRule="auto"/>
              <w:rPr>
                <w:rFonts w:cstheme="minorHAnsi"/>
                <w:bCs/>
                <w:sz w:val="20"/>
                <w:szCs w:val="18"/>
              </w:rPr>
            </w:pPr>
            <w:r w:rsidRPr="00234BCD">
              <w:rPr>
                <w:rFonts w:cstheme="minorHAnsi"/>
                <w:bCs/>
                <w:sz w:val="20"/>
                <w:szCs w:val="18"/>
              </w:rPr>
              <w:t xml:space="preserve">Náklady </w:t>
            </w:r>
            <w:r w:rsidR="00512E86" w:rsidRPr="00234BCD">
              <w:rPr>
                <w:rFonts w:cstheme="minorHAnsi"/>
                <w:bCs/>
                <w:sz w:val="20"/>
                <w:szCs w:val="18"/>
              </w:rPr>
              <w:t>celkem</w:t>
            </w:r>
          </w:p>
        </w:tc>
        <w:tc>
          <w:tcPr>
            <w:tcW w:w="1599" w:type="dxa"/>
            <w:shd w:val="clear" w:color="auto" w:fill="auto"/>
            <w:vAlign w:val="bottom"/>
          </w:tcPr>
          <w:p w14:paraId="7F0F274E" w14:textId="77777777" w:rsidR="005B6112" w:rsidRPr="00234BCD" w:rsidRDefault="005B6112" w:rsidP="00B36F13">
            <w:pPr>
              <w:spacing w:after="0" w:line="240" w:lineRule="auto"/>
              <w:ind w:right="57"/>
              <w:jc w:val="right"/>
              <w:rPr>
                <w:rFonts w:cstheme="minorHAnsi"/>
                <w:bCs/>
                <w:sz w:val="20"/>
                <w:szCs w:val="18"/>
              </w:rPr>
            </w:pPr>
            <w:r w:rsidRPr="00234BCD">
              <w:rPr>
                <w:rFonts w:cstheme="minorHAnsi"/>
                <w:bCs/>
                <w:sz w:val="20"/>
                <w:szCs w:val="18"/>
              </w:rPr>
              <w:t>354</w:t>
            </w:r>
            <w:r w:rsidR="00917D82" w:rsidRPr="00234BCD">
              <w:rPr>
                <w:rFonts w:cstheme="minorHAnsi"/>
                <w:bCs/>
                <w:sz w:val="20"/>
                <w:szCs w:val="18"/>
              </w:rPr>
              <w:t> </w:t>
            </w:r>
            <w:r w:rsidRPr="00234BCD">
              <w:rPr>
                <w:rFonts w:cstheme="minorHAnsi"/>
                <w:bCs/>
                <w:sz w:val="20"/>
                <w:szCs w:val="18"/>
              </w:rPr>
              <w:t>500</w:t>
            </w:r>
            <w:r w:rsidR="00917D82" w:rsidRPr="00234BCD">
              <w:rPr>
                <w:rFonts w:cstheme="minorHAnsi"/>
                <w:bCs/>
                <w:sz w:val="20"/>
                <w:szCs w:val="18"/>
              </w:rPr>
              <w:t>,</w:t>
            </w:r>
            <w:r w:rsidRPr="00234BCD">
              <w:rPr>
                <w:rFonts w:cstheme="minorHAnsi"/>
                <w:bCs/>
                <w:sz w:val="20"/>
                <w:szCs w:val="18"/>
              </w:rPr>
              <w:t>25</w:t>
            </w:r>
          </w:p>
        </w:tc>
        <w:tc>
          <w:tcPr>
            <w:tcW w:w="1599" w:type="dxa"/>
            <w:shd w:val="clear" w:color="auto" w:fill="auto"/>
            <w:vAlign w:val="bottom"/>
          </w:tcPr>
          <w:p w14:paraId="0363D540" w14:textId="77777777" w:rsidR="005B6112" w:rsidRPr="00234BCD" w:rsidRDefault="005B6112" w:rsidP="00B36F13">
            <w:pPr>
              <w:spacing w:after="0" w:line="240" w:lineRule="auto"/>
              <w:ind w:right="57"/>
              <w:jc w:val="right"/>
              <w:rPr>
                <w:rFonts w:cstheme="minorHAnsi"/>
                <w:bCs/>
                <w:sz w:val="20"/>
                <w:szCs w:val="18"/>
              </w:rPr>
            </w:pPr>
            <w:r w:rsidRPr="00234BCD">
              <w:rPr>
                <w:rFonts w:cstheme="minorHAnsi"/>
                <w:bCs/>
                <w:sz w:val="20"/>
                <w:szCs w:val="18"/>
              </w:rPr>
              <w:t>579</w:t>
            </w:r>
            <w:r w:rsidR="00512E86" w:rsidRPr="00234BCD">
              <w:rPr>
                <w:rFonts w:cstheme="minorHAnsi"/>
                <w:bCs/>
                <w:sz w:val="20"/>
                <w:szCs w:val="18"/>
              </w:rPr>
              <w:t> </w:t>
            </w:r>
            <w:r w:rsidRPr="00234BCD">
              <w:rPr>
                <w:rFonts w:cstheme="minorHAnsi"/>
                <w:bCs/>
                <w:sz w:val="20"/>
                <w:szCs w:val="18"/>
              </w:rPr>
              <w:t>267</w:t>
            </w:r>
            <w:r w:rsidR="00512E86" w:rsidRPr="00234BCD">
              <w:rPr>
                <w:rFonts w:cstheme="minorHAnsi"/>
                <w:bCs/>
                <w:sz w:val="20"/>
                <w:szCs w:val="18"/>
              </w:rPr>
              <w:t>,</w:t>
            </w:r>
            <w:r w:rsidRPr="00234BCD">
              <w:rPr>
                <w:rFonts w:cstheme="minorHAnsi"/>
                <w:bCs/>
                <w:sz w:val="20"/>
                <w:szCs w:val="18"/>
              </w:rPr>
              <w:t>83</w:t>
            </w:r>
          </w:p>
        </w:tc>
        <w:tc>
          <w:tcPr>
            <w:tcW w:w="1599" w:type="dxa"/>
            <w:shd w:val="clear" w:color="auto" w:fill="auto"/>
            <w:vAlign w:val="bottom"/>
          </w:tcPr>
          <w:p w14:paraId="27F899BF" w14:textId="77777777" w:rsidR="005B6112" w:rsidRPr="00234BCD" w:rsidRDefault="005B6112" w:rsidP="00B36F13">
            <w:pPr>
              <w:spacing w:after="0" w:line="240" w:lineRule="auto"/>
              <w:ind w:right="57"/>
              <w:jc w:val="right"/>
              <w:rPr>
                <w:rFonts w:cstheme="minorHAnsi"/>
                <w:bCs/>
                <w:sz w:val="20"/>
                <w:szCs w:val="18"/>
              </w:rPr>
            </w:pPr>
            <w:r w:rsidRPr="00234BCD">
              <w:rPr>
                <w:rFonts w:cstheme="minorHAnsi"/>
                <w:bCs/>
                <w:sz w:val="20"/>
                <w:szCs w:val="18"/>
              </w:rPr>
              <w:t>578</w:t>
            </w:r>
            <w:r w:rsidR="00512E86" w:rsidRPr="00234BCD">
              <w:rPr>
                <w:rFonts w:cstheme="minorHAnsi"/>
                <w:bCs/>
                <w:sz w:val="20"/>
                <w:szCs w:val="18"/>
              </w:rPr>
              <w:t> </w:t>
            </w:r>
            <w:r w:rsidRPr="00234BCD">
              <w:rPr>
                <w:rFonts w:cstheme="minorHAnsi"/>
                <w:bCs/>
                <w:sz w:val="20"/>
                <w:szCs w:val="18"/>
              </w:rPr>
              <w:t>530</w:t>
            </w:r>
            <w:r w:rsidR="00512E86" w:rsidRPr="00234BCD">
              <w:rPr>
                <w:rFonts w:cstheme="minorHAnsi"/>
                <w:bCs/>
                <w:sz w:val="20"/>
                <w:szCs w:val="18"/>
              </w:rPr>
              <w:t>,80</w:t>
            </w:r>
          </w:p>
        </w:tc>
      </w:tr>
      <w:tr w:rsidR="00B42AD3" w:rsidRPr="002D6B19" w14:paraId="2AD0C857" w14:textId="77777777" w:rsidTr="00B36F13">
        <w:trPr>
          <w:trHeight w:val="255"/>
          <w:jc w:val="center"/>
        </w:trPr>
        <w:tc>
          <w:tcPr>
            <w:tcW w:w="4275" w:type="dxa"/>
            <w:shd w:val="clear" w:color="auto" w:fill="auto"/>
            <w:vAlign w:val="center"/>
          </w:tcPr>
          <w:p w14:paraId="2E9E6E28" w14:textId="77777777" w:rsidR="00B42AD3" w:rsidRPr="00234BCD" w:rsidRDefault="00B42AD3" w:rsidP="00B36F13">
            <w:pPr>
              <w:spacing w:after="0" w:line="240" w:lineRule="auto"/>
              <w:rPr>
                <w:rFonts w:cstheme="minorHAnsi"/>
                <w:bCs/>
                <w:sz w:val="20"/>
                <w:szCs w:val="18"/>
              </w:rPr>
            </w:pPr>
            <w:r w:rsidRPr="00234BCD">
              <w:rPr>
                <w:rFonts w:cstheme="minorHAnsi"/>
                <w:bCs/>
                <w:sz w:val="20"/>
                <w:szCs w:val="18"/>
              </w:rPr>
              <w:t>Výnosy celkem</w:t>
            </w:r>
          </w:p>
        </w:tc>
        <w:tc>
          <w:tcPr>
            <w:tcW w:w="1599" w:type="dxa"/>
            <w:shd w:val="clear" w:color="auto" w:fill="auto"/>
            <w:vAlign w:val="bottom"/>
          </w:tcPr>
          <w:p w14:paraId="0EF4B593" w14:textId="77777777" w:rsidR="00B42AD3" w:rsidRPr="00234BCD" w:rsidRDefault="00B42AD3" w:rsidP="00B36F13">
            <w:pPr>
              <w:spacing w:after="0" w:line="240" w:lineRule="auto"/>
              <w:ind w:right="57"/>
              <w:jc w:val="right"/>
              <w:rPr>
                <w:rFonts w:cstheme="minorHAnsi"/>
                <w:bCs/>
                <w:sz w:val="20"/>
                <w:szCs w:val="18"/>
              </w:rPr>
            </w:pPr>
            <w:r w:rsidRPr="00234BCD">
              <w:rPr>
                <w:rFonts w:cstheme="minorHAnsi"/>
                <w:bCs/>
                <w:sz w:val="20"/>
                <w:szCs w:val="18"/>
              </w:rPr>
              <w:t>305,58</w:t>
            </w:r>
          </w:p>
        </w:tc>
        <w:tc>
          <w:tcPr>
            <w:tcW w:w="1599" w:type="dxa"/>
            <w:shd w:val="clear" w:color="auto" w:fill="auto"/>
            <w:vAlign w:val="bottom"/>
          </w:tcPr>
          <w:p w14:paraId="5CE66EFD" w14:textId="77777777" w:rsidR="00B42AD3" w:rsidRPr="00234BCD" w:rsidRDefault="00B42AD3" w:rsidP="00B36F13">
            <w:pPr>
              <w:spacing w:after="0" w:line="240" w:lineRule="auto"/>
              <w:ind w:right="57"/>
              <w:jc w:val="right"/>
              <w:rPr>
                <w:rFonts w:cstheme="minorHAnsi"/>
                <w:bCs/>
                <w:sz w:val="20"/>
                <w:szCs w:val="18"/>
              </w:rPr>
            </w:pPr>
            <w:r w:rsidRPr="00234BCD">
              <w:rPr>
                <w:rFonts w:cstheme="minorHAnsi"/>
                <w:bCs/>
                <w:sz w:val="20"/>
                <w:szCs w:val="18"/>
              </w:rPr>
              <w:t>5 161,23</w:t>
            </w:r>
          </w:p>
        </w:tc>
        <w:tc>
          <w:tcPr>
            <w:tcW w:w="1599" w:type="dxa"/>
            <w:shd w:val="clear" w:color="auto" w:fill="auto"/>
            <w:vAlign w:val="bottom"/>
          </w:tcPr>
          <w:p w14:paraId="0F3CCEA8" w14:textId="77777777" w:rsidR="00B42AD3" w:rsidRPr="00234BCD" w:rsidRDefault="00B42AD3" w:rsidP="00B36F13">
            <w:pPr>
              <w:spacing w:after="0" w:line="240" w:lineRule="auto"/>
              <w:ind w:right="57"/>
              <w:jc w:val="right"/>
              <w:rPr>
                <w:rFonts w:cstheme="minorHAnsi"/>
                <w:bCs/>
                <w:sz w:val="20"/>
                <w:szCs w:val="18"/>
              </w:rPr>
            </w:pPr>
            <w:r w:rsidRPr="00234BCD">
              <w:rPr>
                <w:rFonts w:cstheme="minorHAnsi"/>
                <w:bCs/>
                <w:sz w:val="20"/>
                <w:szCs w:val="18"/>
              </w:rPr>
              <w:t>158,38</w:t>
            </w:r>
          </w:p>
        </w:tc>
      </w:tr>
    </w:tbl>
    <w:bookmarkEnd w:id="1"/>
    <w:p w14:paraId="26A28C1F" w14:textId="0D99A9C4" w:rsidR="005B6112" w:rsidRPr="00693C93" w:rsidRDefault="005B6112" w:rsidP="00B36F13">
      <w:pPr>
        <w:spacing w:before="40" w:after="0" w:line="240" w:lineRule="auto"/>
        <w:jc w:val="both"/>
        <w:rPr>
          <w:bCs/>
          <w:iCs/>
          <w:sz w:val="20"/>
          <w:szCs w:val="18"/>
        </w:rPr>
      </w:pPr>
      <w:r w:rsidRPr="00693C93">
        <w:rPr>
          <w:b/>
          <w:bCs/>
          <w:iCs/>
          <w:sz w:val="20"/>
          <w:szCs w:val="18"/>
        </w:rPr>
        <w:t xml:space="preserve">Zdroj: </w:t>
      </w:r>
      <w:r w:rsidR="005B1851">
        <w:rPr>
          <w:bCs/>
          <w:iCs/>
          <w:sz w:val="20"/>
          <w:szCs w:val="18"/>
        </w:rPr>
        <w:t>ú</w:t>
      </w:r>
      <w:r w:rsidRPr="00693C93">
        <w:rPr>
          <w:bCs/>
          <w:iCs/>
          <w:sz w:val="20"/>
          <w:szCs w:val="18"/>
        </w:rPr>
        <w:t>četní závěrk</w:t>
      </w:r>
      <w:r w:rsidR="005B1851">
        <w:rPr>
          <w:bCs/>
          <w:iCs/>
          <w:sz w:val="20"/>
          <w:szCs w:val="18"/>
        </w:rPr>
        <w:t>y</w:t>
      </w:r>
      <w:r w:rsidRPr="00693C93">
        <w:rPr>
          <w:bCs/>
          <w:iCs/>
          <w:sz w:val="20"/>
          <w:szCs w:val="18"/>
        </w:rPr>
        <w:t xml:space="preserve"> KPR za roky 2019, 2020 a 2021</w:t>
      </w:r>
      <w:r w:rsidR="005B1851">
        <w:rPr>
          <w:bCs/>
          <w:iCs/>
          <w:sz w:val="20"/>
          <w:szCs w:val="18"/>
        </w:rPr>
        <w:t>.</w:t>
      </w:r>
    </w:p>
    <w:p w14:paraId="44E644EC" w14:textId="5B127E59" w:rsidR="005B6112" w:rsidRPr="00693C93" w:rsidRDefault="00234BCD" w:rsidP="00B36F13">
      <w:pPr>
        <w:spacing w:after="0" w:line="240" w:lineRule="auto"/>
        <w:jc w:val="both"/>
        <w:rPr>
          <w:bCs/>
          <w:iCs/>
          <w:sz w:val="20"/>
        </w:rPr>
      </w:pPr>
      <w:r w:rsidRPr="00693C93">
        <w:rPr>
          <w:b/>
          <w:bCs/>
          <w:iCs/>
          <w:sz w:val="20"/>
        </w:rPr>
        <w:t>Pozn</w:t>
      </w:r>
      <w:r w:rsidR="005B1851">
        <w:rPr>
          <w:b/>
          <w:bCs/>
          <w:iCs/>
          <w:sz w:val="20"/>
        </w:rPr>
        <w:t>.</w:t>
      </w:r>
      <w:r w:rsidRPr="00693C93">
        <w:rPr>
          <w:b/>
          <w:bCs/>
          <w:iCs/>
          <w:sz w:val="20"/>
        </w:rPr>
        <w:t>:</w:t>
      </w:r>
      <w:r w:rsidRPr="00693C93">
        <w:rPr>
          <w:bCs/>
          <w:iCs/>
          <w:sz w:val="20"/>
        </w:rPr>
        <w:t xml:space="preserve"> Hodnota aktiv je uvedena v netto hodnotě</w:t>
      </w:r>
      <w:r w:rsidR="005B1851">
        <w:rPr>
          <w:bCs/>
          <w:iCs/>
          <w:sz w:val="20"/>
        </w:rPr>
        <w:t>.</w:t>
      </w:r>
    </w:p>
    <w:p w14:paraId="50EEEC66" w14:textId="6F85F45F" w:rsidR="00E82F8D" w:rsidRPr="00BF63C8" w:rsidRDefault="000273B2" w:rsidP="00B36F13">
      <w:pPr>
        <w:spacing w:before="120" w:after="120" w:line="264" w:lineRule="auto"/>
        <w:jc w:val="both"/>
        <w:rPr>
          <w:sz w:val="24"/>
          <w:szCs w:val="24"/>
        </w:rPr>
      </w:pPr>
      <w:r w:rsidRPr="00362445">
        <w:rPr>
          <w:sz w:val="24"/>
          <w:szCs w:val="24"/>
        </w:rPr>
        <w:t xml:space="preserve">K 31. prosinci 2021 </w:t>
      </w:r>
      <w:r w:rsidR="00234BCD">
        <w:rPr>
          <w:sz w:val="24"/>
          <w:szCs w:val="24"/>
        </w:rPr>
        <w:t>měla KPR příslušnost hospodařit</w:t>
      </w:r>
      <w:r w:rsidRPr="00362445">
        <w:rPr>
          <w:sz w:val="24"/>
          <w:szCs w:val="24"/>
        </w:rPr>
        <w:t xml:space="preserve"> s majetkem státu v celkové hodnotě 17 995,30 tis. Kč</w:t>
      </w:r>
      <w:r w:rsidR="00AE4CA4">
        <w:rPr>
          <w:sz w:val="24"/>
          <w:szCs w:val="24"/>
        </w:rPr>
        <w:t>.</w:t>
      </w:r>
      <w:r w:rsidRPr="00362445">
        <w:rPr>
          <w:sz w:val="24"/>
          <w:szCs w:val="24"/>
        </w:rPr>
        <w:t xml:space="preserve"> </w:t>
      </w:r>
      <w:r w:rsidR="00AE4CA4">
        <w:rPr>
          <w:sz w:val="24"/>
          <w:szCs w:val="24"/>
        </w:rPr>
        <w:t>M</w:t>
      </w:r>
      <w:r w:rsidR="00E55555" w:rsidRPr="00BF63C8">
        <w:rPr>
          <w:sz w:val="24"/>
          <w:szCs w:val="24"/>
        </w:rPr>
        <w:t>ajetek, se kterým je KPR příslušná hospodařit</w:t>
      </w:r>
      <w:r w:rsidR="005B1851">
        <w:rPr>
          <w:sz w:val="24"/>
          <w:szCs w:val="24"/>
        </w:rPr>
        <w:t>,</w:t>
      </w:r>
      <w:r w:rsidR="00E55555" w:rsidRPr="00BF63C8">
        <w:rPr>
          <w:sz w:val="24"/>
          <w:szCs w:val="24"/>
        </w:rPr>
        <w:t xml:space="preserve"> tvoří oběžná aktiva (státní vyznamenání a krátkodobý finanční majetek) a </w:t>
      </w:r>
      <w:r w:rsidR="0005085B">
        <w:rPr>
          <w:sz w:val="24"/>
          <w:szCs w:val="24"/>
        </w:rPr>
        <w:t xml:space="preserve">dlouhodobý majetek </w:t>
      </w:r>
      <w:r w:rsidR="00E55555" w:rsidRPr="00BF63C8">
        <w:rPr>
          <w:sz w:val="24"/>
          <w:szCs w:val="24"/>
        </w:rPr>
        <w:t>v hodnotě 27 Kč (</w:t>
      </w:r>
      <w:r w:rsidR="0005085B" w:rsidRPr="00BF63C8">
        <w:rPr>
          <w:sz w:val="24"/>
          <w:szCs w:val="24"/>
        </w:rPr>
        <w:t xml:space="preserve">kulturní předměty </w:t>
      </w:r>
      <w:r w:rsidR="005B1851">
        <w:rPr>
          <w:b/>
        </w:rPr>
        <w:t>–</w:t>
      </w:r>
      <w:r w:rsidR="0005085B">
        <w:rPr>
          <w:sz w:val="24"/>
          <w:szCs w:val="24"/>
        </w:rPr>
        <w:t xml:space="preserve"> </w:t>
      </w:r>
      <w:r w:rsidR="00E55555" w:rsidRPr="00BF63C8">
        <w:rPr>
          <w:sz w:val="24"/>
          <w:szCs w:val="24"/>
        </w:rPr>
        <w:t>soubory majetku korunovační klenoty a korunní komora).</w:t>
      </w:r>
    </w:p>
    <w:p w14:paraId="78EFD6A6" w14:textId="77777777" w:rsidR="00234BCD" w:rsidRPr="00B36F13" w:rsidRDefault="00234BCD" w:rsidP="00B36F13">
      <w:pPr>
        <w:spacing w:after="120" w:line="264" w:lineRule="auto"/>
        <w:jc w:val="both"/>
        <w:rPr>
          <w:color w:val="000000" w:themeColor="text1"/>
          <w:sz w:val="24"/>
          <w:szCs w:val="24"/>
        </w:rPr>
      </w:pPr>
      <w:r w:rsidRPr="00B36F13">
        <w:rPr>
          <w:color w:val="000000" w:themeColor="text1"/>
          <w:sz w:val="24"/>
          <w:szCs w:val="24"/>
        </w:rPr>
        <w:lastRenderedPageBreak/>
        <w:t>Nejvýznamnější položkou nákladů byly transfery příspěvkovým organizacím SPH a LSL</w:t>
      </w:r>
      <w:r w:rsidR="00E82F8D" w:rsidRPr="00B36F13">
        <w:rPr>
          <w:color w:val="000000" w:themeColor="text1"/>
          <w:sz w:val="24"/>
          <w:szCs w:val="24"/>
        </w:rPr>
        <w:t xml:space="preserve"> (</w:t>
      </w:r>
      <w:r w:rsidR="00F47282" w:rsidRPr="00B36F13">
        <w:rPr>
          <w:color w:val="000000" w:themeColor="text1"/>
          <w:sz w:val="24"/>
          <w:szCs w:val="24"/>
        </w:rPr>
        <w:t>blíže uvedeno v</w:t>
      </w:r>
      <w:r w:rsidR="00E82F8D" w:rsidRPr="00B36F13">
        <w:rPr>
          <w:color w:val="000000" w:themeColor="text1"/>
          <w:sz w:val="24"/>
          <w:szCs w:val="24"/>
        </w:rPr>
        <w:t xml:space="preserve"> tabul</w:t>
      </w:r>
      <w:r w:rsidR="00F47282" w:rsidRPr="00B36F13">
        <w:rPr>
          <w:color w:val="000000" w:themeColor="text1"/>
          <w:sz w:val="24"/>
          <w:szCs w:val="24"/>
        </w:rPr>
        <w:t>ce</w:t>
      </w:r>
      <w:r w:rsidR="00E82F8D" w:rsidRPr="00B36F13">
        <w:rPr>
          <w:color w:val="000000" w:themeColor="text1"/>
          <w:sz w:val="24"/>
          <w:szCs w:val="24"/>
        </w:rPr>
        <w:t xml:space="preserve"> č. </w:t>
      </w:r>
      <w:r w:rsidR="00AE4CA4" w:rsidRPr="00B36F13">
        <w:rPr>
          <w:color w:val="000000" w:themeColor="text1"/>
          <w:sz w:val="24"/>
          <w:szCs w:val="24"/>
        </w:rPr>
        <w:t>2</w:t>
      </w:r>
      <w:r w:rsidR="00E82F8D" w:rsidRPr="00B36F13">
        <w:rPr>
          <w:color w:val="000000" w:themeColor="text1"/>
          <w:sz w:val="24"/>
          <w:szCs w:val="24"/>
        </w:rPr>
        <w:t>)</w:t>
      </w:r>
      <w:r w:rsidRPr="00B36F13">
        <w:rPr>
          <w:color w:val="000000" w:themeColor="text1"/>
          <w:sz w:val="24"/>
          <w:szCs w:val="24"/>
        </w:rPr>
        <w:t xml:space="preserve">. </w:t>
      </w:r>
    </w:p>
    <w:p w14:paraId="240A9717" w14:textId="1E2D64F0" w:rsidR="0090291B" w:rsidRPr="00B36F13" w:rsidRDefault="0090291B" w:rsidP="00693C93">
      <w:pPr>
        <w:tabs>
          <w:tab w:val="right" w:pos="9072"/>
        </w:tabs>
        <w:spacing w:after="40" w:line="240" w:lineRule="auto"/>
        <w:rPr>
          <w:rFonts w:cstheme="minorHAnsi"/>
          <w:b/>
          <w:color w:val="000000" w:themeColor="text1"/>
          <w:sz w:val="24"/>
          <w:szCs w:val="24"/>
        </w:rPr>
      </w:pPr>
      <w:r w:rsidRPr="00B36F13">
        <w:rPr>
          <w:rFonts w:cstheme="minorHAnsi"/>
          <w:b/>
          <w:color w:val="000000" w:themeColor="text1"/>
          <w:sz w:val="24"/>
          <w:szCs w:val="24"/>
        </w:rPr>
        <w:t xml:space="preserve">Tabulka č. </w:t>
      </w:r>
      <w:r w:rsidR="00AE4CA4" w:rsidRPr="00B36F13">
        <w:rPr>
          <w:rFonts w:cstheme="minorHAnsi"/>
          <w:b/>
          <w:color w:val="000000" w:themeColor="text1"/>
          <w:sz w:val="24"/>
          <w:szCs w:val="24"/>
        </w:rPr>
        <w:t>2</w:t>
      </w:r>
      <w:r w:rsidRPr="00B36F13">
        <w:rPr>
          <w:rFonts w:cstheme="minorHAnsi"/>
          <w:b/>
          <w:color w:val="000000" w:themeColor="text1"/>
          <w:sz w:val="24"/>
          <w:szCs w:val="24"/>
        </w:rPr>
        <w:t>: Vybrané ukazatele výdajů kapitoly 301</w:t>
      </w:r>
      <w:r w:rsidR="005B1851">
        <w:rPr>
          <w:rFonts w:cstheme="minorHAnsi"/>
          <w:b/>
          <w:color w:val="000000" w:themeColor="text1"/>
          <w:sz w:val="24"/>
          <w:szCs w:val="24"/>
        </w:rPr>
        <w:t xml:space="preserve"> – </w:t>
      </w:r>
      <w:r w:rsidRPr="00B36F13">
        <w:rPr>
          <w:rFonts w:cstheme="minorHAnsi"/>
          <w:b/>
          <w:color w:val="000000" w:themeColor="text1"/>
          <w:sz w:val="24"/>
          <w:szCs w:val="24"/>
        </w:rPr>
        <w:t>KPR za roky 2019</w:t>
      </w:r>
      <w:r w:rsidR="005B1851">
        <w:rPr>
          <w:rFonts w:cstheme="minorHAnsi"/>
          <w:b/>
          <w:color w:val="000000" w:themeColor="text1"/>
          <w:sz w:val="24"/>
          <w:szCs w:val="24"/>
        </w:rPr>
        <w:t xml:space="preserve"> – </w:t>
      </w:r>
      <w:r w:rsidRPr="00B36F13">
        <w:rPr>
          <w:rFonts w:cstheme="minorHAnsi"/>
          <w:b/>
          <w:color w:val="000000" w:themeColor="text1"/>
          <w:sz w:val="24"/>
          <w:szCs w:val="24"/>
        </w:rPr>
        <w:t xml:space="preserve">2021 </w:t>
      </w:r>
      <w:r w:rsidR="00B36F13">
        <w:rPr>
          <w:rFonts w:cstheme="minorHAnsi"/>
          <w:b/>
          <w:color w:val="000000" w:themeColor="text1"/>
          <w:sz w:val="24"/>
          <w:szCs w:val="24"/>
        </w:rPr>
        <w:tab/>
      </w:r>
      <w:r w:rsidRPr="00B36F13">
        <w:rPr>
          <w:rFonts w:cstheme="minorHAnsi"/>
          <w:b/>
          <w:color w:val="000000" w:themeColor="text1"/>
          <w:sz w:val="24"/>
          <w:szCs w:val="24"/>
        </w:rPr>
        <w:t>(v tis. Kč)</w:t>
      </w:r>
    </w:p>
    <w:tbl>
      <w:tblPr>
        <w:tblOverlap w:val="never"/>
        <w:tblW w:w="5000" w:type="pct"/>
        <w:jc w:val="center"/>
        <w:tblBorders>
          <w:top w:val="single" w:sz="4" w:space="0" w:color="auto"/>
          <w:left w:val="single" w:sz="4" w:space="0" w:color="auto"/>
          <w:bottom w:val="single" w:sz="4" w:space="0" w:color="auto"/>
          <w:right w:val="single" w:sz="4" w:space="0" w:color="auto"/>
          <w:insideH w:val="single" w:sz="4" w:space="0" w:color="000000" w:themeColor="text1"/>
          <w:insideV w:val="single" w:sz="4" w:space="0" w:color="auto"/>
        </w:tblBorders>
        <w:tblCellMar>
          <w:left w:w="10" w:type="dxa"/>
          <w:right w:w="10" w:type="dxa"/>
        </w:tblCellMar>
        <w:tblLook w:val="0000" w:firstRow="0" w:lastRow="0" w:firstColumn="0" w:lastColumn="0" w:noHBand="0" w:noVBand="0"/>
      </w:tblPr>
      <w:tblGrid>
        <w:gridCol w:w="4024"/>
        <w:gridCol w:w="1680"/>
        <w:gridCol w:w="1680"/>
        <w:gridCol w:w="1678"/>
      </w:tblGrid>
      <w:tr w:rsidR="00D07DF1" w:rsidRPr="00017F03" w14:paraId="46684B9E" w14:textId="77777777" w:rsidTr="00B36F13">
        <w:trPr>
          <w:trHeight w:val="255"/>
          <w:tblHeader/>
          <w:jc w:val="center"/>
        </w:trPr>
        <w:tc>
          <w:tcPr>
            <w:tcW w:w="2220" w:type="pct"/>
            <w:shd w:val="clear" w:color="auto" w:fill="E5F1FF"/>
            <w:vAlign w:val="center"/>
          </w:tcPr>
          <w:p w14:paraId="45531FB4" w14:textId="77777777" w:rsidR="00D07DF1" w:rsidRPr="00017F03" w:rsidRDefault="00D07DF1" w:rsidP="006F2CB6">
            <w:pPr>
              <w:pStyle w:val="Jin0"/>
              <w:shd w:val="clear" w:color="auto" w:fill="auto"/>
              <w:spacing w:line="240" w:lineRule="auto"/>
              <w:ind w:firstLine="0"/>
              <w:jc w:val="center"/>
              <w:rPr>
                <w:rFonts w:cstheme="minorHAnsi"/>
                <w:b/>
                <w:bCs/>
                <w:color w:val="000000"/>
                <w:sz w:val="20"/>
                <w:szCs w:val="20"/>
                <w:lang w:bidi="cs-CZ"/>
              </w:rPr>
            </w:pPr>
            <w:r w:rsidRPr="00017F03">
              <w:rPr>
                <w:rFonts w:cstheme="minorHAnsi"/>
                <w:b/>
                <w:bCs/>
                <w:color w:val="000000"/>
                <w:sz w:val="20"/>
                <w:szCs w:val="20"/>
                <w:lang w:bidi="cs-CZ"/>
              </w:rPr>
              <w:t>Ukazatel</w:t>
            </w:r>
          </w:p>
        </w:tc>
        <w:tc>
          <w:tcPr>
            <w:tcW w:w="927" w:type="pct"/>
            <w:shd w:val="clear" w:color="auto" w:fill="E5F1FF"/>
            <w:vAlign w:val="center"/>
          </w:tcPr>
          <w:p w14:paraId="20F407C5" w14:textId="77777777" w:rsidR="00D07DF1" w:rsidRPr="00017F03" w:rsidRDefault="00D07DF1" w:rsidP="006F2CB6">
            <w:pPr>
              <w:pStyle w:val="Jin0"/>
              <w:shd w:val="clear" w:color="auto" w:fill="auto"/>
              <w:spacing w:line="240" w:lineRule="auto"/>
              <w:ind w:firstLine="0"/>
              <w:jc w:val="center"/>
              <w:rPr>
                <w:rFonts w:cstheme="minorHAnsi"/>
                <w:b/>
                <w:bCs/>
                <w:color w:val="000000"/>
                <w:sz w:val="20"/>
                <w:szCs w:val="20"/>
                <w:lang w:bidi="cs-CZ"/>
              </w:rPr>
            </w:pPr>
            <w:r w:rsidRPr="00017F03">
              <w:rPr>
                <w:rFonts w:cstheme="minorHAnsi"/>
                <w:b/>
                <w:bCs/>
                <w:color w:val="000000"/>
                <w:sz w:val="20"/>
                <w:szCs w:val="20"/>
                <w:lang w:bidi="cs-CZ"/>
              </w:rPr>
              <w:t>2019</w:t>
            </w:r>
          </w:p>
        </w:tc>
        <w:tc>
          <w:tcPr>
            <w:tcW w:w="927" w:type="pct"/>
            <w:shd w:val="clear" w:color="auto" w:fill="E5F1FF"/>
            <w:vAlign w:val="center"/>
          </w:tcPr>
          <w:p w14:paraId="4CDAE011" w14:textId="77777777" w:rsidR="00D07DF1" w:rsidRPr="00017F03" w:rsidRDefault="00D07DF1" w:rsidP="006F2CB6">
            <w:pPr>
              <w:pStyle w:val="Jin0"/>
              <w:shd w:val="clear" w:color="auto" w:fill="auto"/>
              <w:spacing w:line="240" w:lineRule="auto"/>
              <w:ind w:right="57" w:firstLine="0"/>
              <w:jc w:val="center"/>
              <w:rPr>
                <w:rFonts w:cstheme="minorHAnsi"/>
                <w:b/>
                <w:bCs/>
                <w:color w:val="000000"/>
                <w:sz w:val="20"/>
                <w:szCs w:val="20"/>
                <w:lang w:bidi="cs-CZ"/>
              </w:rPr>
            </w:pPr>
            <w:r w:rsidRPr="00017F03">
              <w:rPr>
                <w:rFonts w:cstheme="minorHAnsi"/>
                <w:b/>
                <w:bCs/>
                <w:color w:val="000000"/>
                <w:sz w:val="20"/>
                <w:szCs w:val="20"/>
                <w:lang w:bidi="cs-CZ"/>
              </w:rPr>
              <w:t>2020</w:t>
            </w:r>
          </w:p>
        </w:tc>
        <w:tc>
          <w:tcPr>
            <w:tcW w:w="926" w:type="pct"/>
            <w:shd w:val="clear" w:color="auto" w:fill="E5F1FF"/>
            <w:vAlign w:val="center"/>
          </w:tcPr>
          <w:p w14:paraId="03D2BB4E" w14:textId="77777777" w:rsidR="00D07DF1" w:rsidRPr="00017F03" w:rsidRDefault="00D07DF1" w:rsidP="006F2CB6">
            <w:pPr>
              <w:pStyle w:val="Jin0"/>
              <w:shd w:val="clear" w:color="auto" w:fill="auto"/>
              <w:spacing w:line="240" w:lineRule="auto"/>
              <w:ind w:firstLine="0"/>
              <w:jc w:val="center"/>
              <w:rPr>
                <w:rFonts w:cstheme="minorHAnsi"/>
                <w:b/>
                <w:bCs/>
                <w:color w:val="000000"/>
                <w:sz w:val="20"/>
                <w:szCs w:val="20"/>
                <w:lang w:bidi="cs-CZ"/>
              </w:rPr>
            </w:pPr>
            <w:r w:rsidRPr="00017F03">
              <w:rPr>
                <w:rFonts w:cstheme="minorHAnsi"/>
                <w:b/>
                <w:bCs/>
                <w:color w:val="000000"/>
                <w:sz w:val="20"/>
                <w:szCs w:val="20"/>
                <w:lang w:bidi="cs-CZ"/>
              </w:rPr>
              <w:t>2021</w:t>
            </w:r>
          </w:p>
        </w:tc>
      </w:tr>
      <w:tr w:rsidR="00D07DF1" w:rsidRPr="00017F03" w14:paraId="1BC848A0" w14:textId="77777777" w:rsidTr="00B36F13">
        <w:trPr>
          <w:trHeight w:val="255"/>
          <w:jc w:val="center"/>
        </w:trPr>
        <w:tc>
          <w:tcPr>
            <w:tcW w:w="2220" w:type="pct"/>
            <w:shd w:val="clear" w:color="auto" w:fill="FFFFFF"/>
            <w:vAlign w:val="bottom"/>
          </w:tcPr>
          <w:p w14:paraId="2A29D3A7" w14:textId="77777777" w:rsidR="00D07DF1" w:rsidRPr="00017F03" w:rsidRDefault="00D07DF1" w:rsidP="00A92200">
            <w:pPr>
              <w:pStyle w:val="Jin0"/>
              <w:shd w:val="clear" w:color="auto" w:fill="auto"/>
              <w:spacing w:line="240" w:lineRule="auto"/>
              <w:ind w:left="57" w:firstLine="0"/>
              <w:jc w:val="left"/>
              <w:rPr>
                <w:rFonts w:cstheme="minorHAnsi"/>
                <w:bCs/>
                <w:iCs/>
                <w:color w:val="000000"/>
                <w:sz w:val="20"/>
                <w:szCs w:val="20"/>
                <w:lang w:bidi="cs-CZ"/>
              </w:rPr>
            </w:pPr>
            <w:r w:rsidRPr="00017F03">
              <w:rPr>
                <w:rFonts w:cstheme="minorHAnsi"/>
                <w:color w:val="000000"/>
                <w:sz w:val="20"/>
                <w:szCs w:val="20"/>
                <w:lang w:bidi="cs-CZ"/>
              </w:rPr>
              <w:t>Investiční transfery SPH</w:t>
            </w:r>
          </w:p>
        </w:tc>
        <w:tc>
          <w:tcPr>
            <w:tcW w:w="927" w:type="pct"/>
            <w:shd w:val="clear" w:color="auto" w:fill="FFFFFF"/>
            <w:vAlign w:val="bottom"/>
          </w:tcPr>
          <w:p w14:paraId="21A96CAF" w14:textId="77777777" w:rsidR="00D07DF1" w:rsidRPr="00017F03" w:rsidRDefault="00D07DF1" w:rsidP="00A92200">
            <w:pPr>
              <w:spacing w:after="0" w:line="240" w:lineRule="auto"/>
              <w:ind w:right="57"/>
              <w:jc w:val="right"/>
              <w:rPr>
                <w:rFonts w:cstheme="minorHAnsi"/>
                <w:color w:val="000000"/>
                <w:sz w:val="20"/>
                <w:szCs w:val="20"/>
              </w:rPr>
            </w:pPr>
            <w:r w:rsidRPr="00017F03">
              <w:rPr>
                <w:rFonts w:cstheme="minorHAnsi"/>
                <w:color w:val="000000"/>
                <w:sz w:val="20"/>
                <w:szCs w:val="20"/>
              </w:rPr>
              <w:t>79 941,71</w:t>
            </w:r>
          </w:p>
        </w:tc>
        <w:tc>
          <w:tcPr>
            <w:tcW w:w="927" w:type="pct"/>
            <w:shd w:val="clear" w:color="auto" w:fill="FFFFFF"/>
            <w:vAlign w:val="bottom"/>
          </w:tcPr>
          <w:p w14:paraId="7BBB4632" w14:textId="77777777" w:rsidR="00D07DF1" w:rsidRPr="00017F03" w:rsidRDefault="00D07DF1" w:rsidP="00A92200">
            <w:pPr>
              <w:spacing w:after="0" w:line="240" w:lineRule="auto"/>
              <w:ind w:right="57"/>
              <w:jc w:val="right"/>
              <w:rPr>
                <w:rFonts w:cstheme="minorHAnsi"/>
                <w:color w:val="000000"/>
                <w:sz w:val="20"/>
                <w:szCs w:val="20"/>
                <w:lang w:eastAsia="cs-CZ"/>
              </w:rPr>
            </w:pPr>
            <w:r w:rsidRPr="00017F03">
              <w:rPr>
                <w:rFonts w:cstheme="minorHAnsi"/>
                <w:color w:val="000000"/>
                <w:sz w:val="20"/>
                <w:szCs w:val="20"/>
              </w:rPr>
              <w:t>63 266,28</w:t>
            </w:r>
          </w:p>
        </w:tc>
        <w:tc>
          <w:tcPr>
            <w:tcW w:w="926" w:type="pct"/>
            <w:shd w:val="clear" w:color="auto" w:fill="FFFFFF"/>
            <w:vAlign w:val="bottom"/>
          </w:tcPr>
          <w:p w14:paraId="5A80D716" w14:textId="77777777" w:rsidR="00D07DF1" w:rsidRPr="00017F03" w:rsidRDefault="00D07DF1" w:rsidP="00A92200">
            <w:pPr>
              <w:spacing w:after="0" w:line="240" w:lineRule="auto"/>
              <w:ind w:right="57"/>
              <w:jc w:val="right"/>
              <w:rPr>
                <w:rFonts w:cstheme="minorHAnsi"/>
                <w:color w:val="000000"/>
                <w:sz w:val="20"/>
                <w:szCs w:val="20"/>
                <w:lang w:eastAsia="cs-CZ"/>
              </w:rPr>
            </w:pPr>
            <w:r w:rsidRPr="00017F03">
              <w:rPr>
                <w:rFonts w:cstheme="minorHAnsi"/>
                <w:color w:val="000000"/>
                <w:sz w:val="20"/>
                <w:szCs w:val="20"/>
              </w:rPr>
              <w:t>7 768,20</w:t>
            </w:r>
          </w:p>
        </w:tc>
      </w:tr>
      <w:tr w:rsidR="00D07DF1" w:rsidRPr="00017F03" w14:paraId="22F3FE5C" w14:textId="77777777" w:rsidTr="00B36F13">
        <w:trPr>
          <w:trHeight w:val="255"/>
          <w:jc w:val="center"/>
        </w:trPr>
        <w:tc>
          <w:tcPr>
            <w:tcW w:w="2220" w:type="pct"/>
            <w:shd w:val="clear" w:color="auto" w:fill="FFFFFF"/>
            <w:vAlign w:val="bottom"/>
          </w:tcPr>
          <w:p w14:paraId="6D96EF99" w14:textId="77777777" w:rsidR="00D07DF1" w:rsidRPr="00017F03" w:rsidRDefault="00D07DF1" w:rsidP="00A92200">
            <w:pPr>
              <w:pStyle w:val="Jin0"/>
              <w:shd w:val="clear" w:color="auto" w:fill="auto"/>
              <w:spacing w:line="240" w:lineRule="auto"/>
              <w:ind w:left="57" w:firstLine="0"/>
              <w:jc w:val="left"/>
              <w:rPr>
                <w:rFonts w:cstheme="minorHAnsi"/>
                <w:sz w:val="20"/>
                <w:szCs w:val="20"/>
              </w:rPr>
            </w:pPr>
            <w:r w:rsidRPr="00017F03">
              <w:rPr>
                <w:rFonts w:cstheme="minorHAnsi"/>
                <w:bCs/>
                <w:iCs/>
                <w:color w:val="000000"/>
                <w:sz w:val="20"/>
                <w:szCs w:val="20"/>
                <w:lang w:bidi="cs-CZ"/>
              </w:rPr>
              <w:t>Neinvestiční transfery SPH</w:t>
            </w:r>
          </w:p>
        </w:tc>
        <w:tc>
          <w:tcPr>
            <w:tcW w:w="927" w:type="pct"/>
            <w:shd w:val="clear" w:color="auto" w:fill="FFFFFF"/>
            <w:vAlign w:val="bottom"/>
          </w:tcPr>
          <w:p w14:paraId="5272B9BE" w14:textId="77777777" w:rsidR="00D07DF1" w:rsidRPr="00017F03" w:rsidRDefault="00D07DF1" w:rsidP="00A92200">
            <w:pPr>
              <w:spacing w:after="0" w:line="240" w:lineRule="auto"/>
              <w:ind w:right="57"/>
              <w:jc w:val="right"/>
              <w:rPr>
                <w:rFonts w:cstheme="minorHAnsi"/>
                <w:color w:val="000000"/>
                <w:sz w:val="20"/>
                <w:szCs w:val="20"/>
                <w:lang w:eastAsia="cs-CZ"/>
              </w:rPr>
            </w:pPr>
            <w:r w:rsidRPr="00017F03">
              <w:rPr>
                <w:rFonts w:cstheme="minorHAnsi"/>
                <w:color w:val="000000"/>
                <w:sz w:val="20"/>
                <w:szCs w:val="20"/>
              </w:rPr>
              <w:t>199 097,98</w:t>
            </w:r>
          </w:p>
        </w:tc>
        <w:tc>
          <w:tcPr>
            <w:tcW w:w="927" w:type="pct"/>
            <w:shd w:val="clear" w:color="auto" w:fill="FFFFFF"/>
            <w:vAlign w:val="bottom"/>
          </w:tcPr>
          <w:p w14:paraId="164C7CED" w14:textId="77777777" w:rsidR="00D07DF1" w:rsidRPr="00017F03" w:rsidRDefault="00D07DF1" w:rsidP="00A92200">
            <w:pPr>
              <w:spacing w:after="0" w:line="240" w:lineRule="auto"/>
              <w:ind w:right="57"/>
              <w:jc w:val="right"/>
              <w:rPr>
                <w:rFonts w:cstheme="minorHAnsi"/>
                <w:color w:val="000000"/>
                <w:sz w:val="20"/>
                <w:szCs w:val="20"/>
                <w:lang w:eastAsia="cs-CZ"/>
              </w:rPr>
            </w:pPr>
            <w:r w:rsidRPr="00017F03">
              <w:rPr>
                <w:rFonts w:cstheme="minorHAnsi"/>
                <w:color w:val="000000"/>
                <w:sz w:val="20"/>
                <w:szCs w:val="20"/>
              </w:rPr>
              <w:t>426 142,13</w:t>
            </w:r>
          </w:p>
        </w:tc>
        <w:tc>
          <w:tcPr>
            <w:tcW w:w="926" w:type="pct"/>
            <w:shd w:val="clear" w:color="auto" w:fill="FFFFFF"/>
            <w:vAlign w:val="bottom"/>
          </w:tcPr>
          <w:p w14:paraId="0F614DD8" w14:textId="77777777" w:rsidR="00D07DF1" w:rsidRPr="00017F03" w:rsidRDefault="00D07DF1" w:rsidP="00A92200">
            <w:pPr>
              <w:spacing w:after="0" w:line="240" w:lineRule="auto"/>
              <w:ind w:right="57"/>
              <w:jc w:val="right"/>
              <w:rPr>
                <w:rFonts w:cstheme="minorHAnsi"/>
                <w:color w:val="000000"/>
                <w:sz w:val="20"/>
                <w:szCs w:val="20"/>
                <w:lang w:eastAsia="cs-CZ"/>
              </w:rPr>
            </w:pPr>
            <w:r w:rsidRPr="00017F03">
              <w:rPr>
                <w:rFonts w:cstheme="minorHAnsi"/>
                <w:color w:val="000000"/>
                <w:sz w:val="20"/>
                <w:szCs w:val="20"/>
              </w:rPr>
              <w:t>423 157,14</w:t>
            </w:r>
          </w:p>
        </w:tc>
      </w:tr>
      <w:tr w:rsidR="00D07DF1" w:rsidRPr="00017F03" w14:paraId="50B3E6C3" w14:textId="77777777" w:rsidTr="00B36F13">
        <w:trPr>
          <w:trHeight w:val="255"/>
          <w:jc w:val="center"/>
        </w:trPr>
        <w:tc>
          <w:tcPr>
            <w:tcW w:w="2220" w:type="pct"/>
            <w:shd w:val="clear" w:color="auto" w:fill="F2C6C9"/>
            <w:vAlign w:val="bottom"/>
          </w:tcPr>
          <w:p w14:paraId="0571CD51" w14:textId="77777777" w:rsidR="00D07DF1" w:rsidRPr="00017F03" w:rsidRDefault="00D07DF1" w:rsidP="00A92200">
            <w:pPr>
              <w:pStyle w:val="Jin0"/>
              <w:shd w:val="clear" w:color="auto" w:fill="auto"/>
              <w:spacing w:line="240" w:lineRule="auto"/>
              <w:ind w:left="57" w:firstLine="0"/>
              <w:jc w:val="left"/>
              <w:rPr>
                <w:rFonts w:cstheme="minorHAnsi"/>
                <w:sz w:val="20"/>
                <w:szCs w:val="20"/>
              </w:rPr>
            </w:pPr>
            <w:r w:rsidRPr="00017F03">
              <w:rPr>
                <w:rFonts w:cstheme="minorHAnsi"/>
                <w:b/>
                <w:bCs/>
                <w:iCs/>
                <w:color w:val="000000"/>
                <w:sz w:val="20"/>
                <w:szCs w:val="20"/>
                <w:lang w:bidi="cs-CZ"/>
              </w:rPr>
              <w:t>Transfery poskytnuté SPH celkem</w:t>
            </w:r>
          </w:p>
        </w:tc>
        <w:tc>
          <w:tcPr>
            <w:tcW w:w="927" w:type="pct"/>
            <w:shd w:val="clear" w:color="auto" w:fill="F2C6C9"/>
            <w:vAlign w:val="bottom"/>
          </w:tcPr>
          <w:p w14:paraId="79DE513F" w14:textId="77777777" w:rsidR="00D07DF1" w:rsidRPr="00017F03" w:rsidRDefault="00D07DF1" w:rsidP="00A92200">
            <w:pPr>
              <w:pStyle w:val="Jin0"/>
              <w:shd w:val="clear" w:color="auto" w:fill="auto"/>
              <w:spacing w:line="240" w:lineRule="auto"/>
              <w:ind w:right="57" w:firstLine="0"/>
              <w:jc w:val="right"/>
              <w:rPr>
                <w:rFonts w:cstheme="minorHAnsi"/>
                <w:b/>
                <w:sz w:val="20"/>
                <w:szCs w:val="20"/>
              </w:rPr>
            </w:pPr>
            <w:r w:rsidRPr="00017F03">
              <w:rPr>
                <w:rFonts w:cstheme="minorHAnsi"/>
                <w:b/>
                <w:sz w:val="20"/>
                <w:szCs w:val="20"/>
              </w:rPr>
              <w:t>279 039,69</w:t>
            </w:r>
          </w:p>
        </w:tc>
        <w:tc>
          <w:tcPr>
            <w:tcW w:w="927" w:type="pct"/>
            <w:shd w:val="clear" w:color="auto" w:fill="F2C6C9"/>
            <w:vAlign w:val="bottom"/>
          </w:tcPr>
          <w:p w14:paraId="60DFE043" w14:textId="77777777" w:rsidR="00D07DF1" w:rsidRPr="00017F03" w:rsidRDefault="00D07DF1" w:rsidP="00A92200">
            <w:pPr>
              <w:pStyle w:val="Jin0"/>
              <w:shd w:val="clear" w:color="auto" w:fill="auto"/>
              <w:spacing w:line="240" w:lineRule="auto"/>
              <w:ind w:right="57" w:firstLine="0"/>
              <w:jc w:val="right"/>
              <w:rPr>
                <w:rFonts w:cstheme="minorHAnsi"/>
                <w:b/>
                <w:sz w:val="20"/>
                <w:szCs w:val="20"/>
              </w:rPr>
            </w:pPr>
            <w:r w:rsidRPr="00017F03">
              <w:rPr>
                <w:rFonts w:cstheme="minorHAnsi"/>
                <w:b/>
                <w:sz w:val="20"/>
                <w:szCs w:val="20"/>
              </w:rPr>
              <w:t>489 408,41</w:t>
            </w:r>
          </w:p>
        </w:tc>
        <w:tc>
          <w:tcPr>
            <w:tcW w:w="926" w:type="pct"/>
            <w:shd w:val="clear" w:color="auto" w:fill="F2C6C9"/>
            <w:vAlign w:val="bottom"/>
          </w:tcPr>
          <w:p w14:paraId="07AB4648" w14:textId="77777777" w:rsidR="00D07DF1" w:rsidRPr="00017F03" w:rsidRDefault="00D07DF1" w:rsidP="00A92200">
            <w:pPr>
              <w:pStyle w:val="Jin0"/>
              <w:shd w:val="clear" w:color="auto" w:fill="auto"/>
              <w:spacing w:line="240" w:lineRule="auto"/>
              <w:ind w:right="57" w:firstLine="0"/>
              <w:jc w:val="right"/>
              <w:rPr>
                <w:rFonts w:cstheme="minorHAnsi"/>
                <w:b/>
                <w:sz w:val="20"/>
                <w:szCs w:val="20"/>
              </w:rPr>
            </w:pPr>
            <w:r w:rsidRPr="00017F03">
              <w:rPr>
                <w:rFonts w:cstheme="minorHAnsi"/>
                <w:b/>
                <w:sz w:val="20"/>
                <w:szCs w:val="20"/>
              </w:rPr>
              <w:t>430 925,34</w:t>
            </w:r>
          </w:p>
        </w:tc>
      </w:tr>
      <w:tr w:rsidR="00D07DF1" w:rsidRPr="00017F03" w14:paraId="1D1D22DA" w14:textId="77777777" w:rsidTr="00B36F13">
        <w:trPr>
          <w:trHeight w:val="255"/>
          <w:jc w:val="center"/>
        </w:trPr>
        <w:tc>
          <w:tcPr>
            <w:tcW w:w="2220" w:type="pct"/>
            <w:shd w:val="clear" w:color="auto" w:fill="FFFFFF"/>
            <w:vAlign w:val="bottom"/>
          </w:tcPr>
          <w:p w14:paraId="20A89FEF" w14:textId="77777777" w:rsidR="00D07DF1" w:rsidRPr="00017F03" w:rsidRDefault="00D07DF1" w:rsidP="00A92200">
            <w:pPr>
              <w:pStyle w:val="Jin0"/>
              <w:shd w:val="clear" w:color="auto" w:fill="auto"/>
              <w:spacing w:line="240" w:lineRule="auto"/>
              <w:ind w:left="57" w:firstLine="0"/>
              <w:jc w:val="left"/>
              <w:rPr>
                <w:rFonts w:cstheme="minorHAnsi"/>
                <w:sz w:val="20"/>
                <w:szCs w:val="20"/>
              </w:rPr>
            </w:pPr>
            <w:r w:rsidRPr="00017F03">
              <w:rPr>
                <w:rFonts w:cstheme="minorHAnsi"/>
                <w:color w:val="000000"/>
                <w:sz w:val="20"/>
                <w:szCs w:val="20"/>
                <w:lang w:bidi="cs-CZ"/>
              </w:rPr>
              <w:t>Investiční transfery LSL</w:t>
            </w:r>
          </w:p>
        </w:tc>
        <w:tc>
          <w:tcPr>
            <w:tcW w:w="927" w:type="pct"/>
            <w:shd w:val="clear" w:color="auto" w:fill="FFFFFF"/>
            <w:vAlign w:val="bottom"/>
          </w:tcPr>
          <w:p w14:paraId="000C462E" w14:textId="77777777" w:rsidR="00D07DF1" w:rsidRPr="00017F03" w:rsidRDefault="00D07DF1" w:rsidP="00A92200">
            <w:pPr>
              <w:spacing w:after="0" w:line="240" w:lineRule="auto"/>
              <w:ind w:right="57"/>
              <w:jc w:val="right"/>
              <w:rPr>
                <w:rFonts w:cstheme="minorHAnsi"/>
                <w:color w:val="000000"/>
                <w:sz w:val="20"/>
                <w:szCs w:val="20"/>
                <w:lang w:eastAsia="cs-CZ"/>
              </w:rPr>
            </w:pPr>
            <w:r w:rsidRPr="00017F03">
              <w:rPr>
                <w:rFonts w:cstheme="minorHAnsi"/>
                <w:color w:val="000000"/>
                <w:sz w:val="20"/>
                <w:szCs w:val="20"/>
              </w:rPr>
              <w:t>9 670,18</w:t>
            </w:r>
          </w:p>
        </w:tc>
        <w:tc>
          <w:tcPr>
            <w:tcW w:w="927" w:type="pct"/>
            <w:shd w:val="clear" w:color="auto" w:fill="FFFFFF"/>
            <w:vAlign w:val="bottom"/>
          </w:tcPr>
          <w:p w14:paraId="71ED0895" w14:textId="77777777" w:rsidR="00D07DF1" w:rsidRPr="00017F03" w:rsidRDefault="00D07DF1" w:rsidP="00A92200">
            <w:pPr>
              <w:spacing w:after="0" w:line="240" w:lineRule="auto"/>
              <w:ind w:right="57"/>
              <w:jc w:val="right"/>
              <w:rPr>
                <w:rFonts w:cstheme="minorHAnsi"/>
                <w:color w:val="000000"/>
                <w:sz w:val="20"/>
                <w:szCs w:val="20"/>
                <w:lang w:eastAsia="cs-CZ"/>
              </w:rPr>
            </w:pPr>
            <w:r w:rsidRPr="00017F03">
              <w:rPr>
                <w:rFonts w:cstheme="minorHAnsi"/>
                <w:color w:val="000000"/>
                <w:sz w:val="20"/>
                <w:szCs w:val="20"/>
              </w:rPr>
              <w:t>11 573,46</w:t>
            </w:r>
          </w:p>
        </w:tc>
        <w:tc>
          <w:tcPr>
            <w:tcW w:w="926" w:type="pct"/>
            <w:shd w:val="clear" w:color="auto" w:fill="FFFFFF"/>
            <w:vAlign w:val="bottom"/>
          </w:tcPr>
          <w:p w14:paraId="2D6F2CF9" w14:textId="77777777" w:rsidR="00D07DF1" w:rsidRPr="00017F03" w:rsidRDefault="00D07DF1" w:rsidP="00A92200">
            <w:pPr>
              <w:spacing w:after="0" w:line="240" w:lineRule="auto"/>
              <w:ind w:right="57"/>
              <w:jc w:val="right"/>
              <w:rPr>
                <w:rFonts w:cstheme="minorHAnsi"/>
                <w:color w:val="000000"/>
                <w:sz w:val="20"/>
                <w:szCs w:val="20"/>
                <w:lang w:eastAsia="cs-CZ"/>
              </w:rPr>
            </w:pPr>
            <w:r w:rsidRPr="00017F03">
              <w:rPr>
                <w:rFonts w:cstheme="minorHAnsi"/>
                <w:color w:val="000000"/>
                <w:sz w:val="20"/>
                <w:szCs w:val="20"/>
              </w:rPr>
              <w:t>33 070,03</w:t>
            </w:r>
          </w:p>
        </w:tc>
      </w:tr>
      <w:tr w:rsidR="00D07DF1" w:rsidRPr="00017F03" w14:paraId="0E358BD7" w14:textId="77777777" w:rsidTr="00B36F13">
        <w:trPr>
          <w:trHeight w:val="255"/>
          <w:jc w:val="center"/>
        </w:trPr>
        <w:tc>
          <w:tcPr>
            <w:tcW w:w="2220" w:type="pct"/>
            <w:shd w:val="clear" w:color="auto" w:fill="FFFFFF"/>
            <w:vAlign w:val="bottom"/>
          </w:tcPr>
          <w:p w14:paraId="01CEC93C" w14:textId="77777777" w:rsidR="00D07DF1" w:rsidRPr="00017F03" w:rsidRDefault="00D07DF1" w:rsidP="00A92200">
            <w:pPr>
              <w:pStyle w:val="Jin0"/>
              <w:shd w:val="clear" w:color="auto" w:fill="auto"/>
              <w:spacing w:line="240" w:lineRule="auto"/>
              <w:ind w:left="57" w:firstLine="0"/>
              <w:jc w:val="left"/>
              <w:rPr>
                <w:rFonts w:cstheme="minorHAnsi"/>
                <w:color w:val="000000"/>
                <w:sz w:val="20"/>
                <w:szCs w:val="20"/>
                <w:lang w:bidi="cs-CZ"/>
              </w:rPr>
            </w:pPr>
            <w:r w:rsidRPr="00017F03">
              <w:rPr>
                <w:rFonts w:cstheme="minorHAnsi"/>
                <w:bCs/>
                <w:iCs/>
                <w:color w:val="000000"/>
                <w:sz w:val="20"/>
                <w:szCs w:val="20"/>
                <w:lang w:bidi="cs-CZ"/>
              </w:rPr>
              <w:t>Neinvestiční transfery LSL</w:t>
            </w:r>
          </w:p>
        </w:tc>
        <w:tc>
          <w:tcPr>
            <w:tcW w:w="927" w:type="pct"/>
            <w:shd w:val="clear" w:color="auto" w:fill="FFFFFF"/>
            <w:vAlign w:val="bottom"/>
          </w:tcPr>
          <w:p w14:paraId="750AB393" w14:textId="77777777" w:rsidR="00D07DF1" w:rsidRPr="00017F03" w:rsidRDefault="00D07DF1" w:rsidP="00A92200">
            <w:pPr>
              <w:spacing w:after="0" w:line="240" w:lineRule="auto"/>
              <w:ind w:right="57"/>
              <w:jc w:val="right"/>
              <w:rPr>
                <w:rFonts w:cstheme="minorHAnsi"/>
                <w:color w:val="000000"/>
                <w:sz w:val="20"/>
                <w:szCs w:val="20"/>
              </w:rPr>
            </w:pPr>
            <w:r w:rsidRPr="00017F03">
              <w:rPr>
                <w:rFonts w:cstheme="minorHAnsi"/>
                <w:color w:val="000000"/>
                <w:sz w:val="20"/>
                <w:szCs w:val="20"/>
              </w:rPr>
              <w:t>36 319,07</w:t>
            </w:r>
          </w:p>
        </w:tc>
        <w:tc>
          <w:tcPr>
            <w:tcW w:w="927" w:type="pct"/>
            <w:shd w:val="clear" w:color="auto" w:fill="FFFFFF"/>
            <w:vAlign w:val="bottom"/>
          </w:tcPr>
          <w:p w14:paraId="3697F1C3" w14:textId="77777777" w:rsidR="00D07DF1" w:rsidRPr="00017F03" w:rsidRDefault="00D07DF1" w:rsidP="00A92200">
            <w:pPr>
              <w:spacing w:after="0" w:line="240" w:lineRule="auto"/>
              <w:ind w:right="57"/>
              <w:jc w:val="right"/>
              <w:rPr>
                <w:rFonts w:cstheme="minorHAnsi"/>
                <w:color w:val="000000"/>
                <w:sz w:val="20"/>
                <w:szCs w:val="20"/>
              </w:rPr>
            </w:pPr>
            <w:r w:rsidRPr="00017F03">
              <w:rPr>
                <w:rFonts w:cstheme="minorHAnsi"/>
                <w:color w:val="000000"/>
                <w:sz w:val="20"/>
                <w:szCs w:val="20"/>
              </w:rPr>
              <w:t>39 727,17</w:t>
            </w:r>
          </w:p>
        </w:tc>
        <w:tc>
          <w:tcPr>
            <w:tcW w:w="926" w:type="pct"/>
            <w:shd w:val="clear" w:color="auto" w:fill="FFFFFF"/>
            <w:vAlign w:val="bottom"/>
          </w:tcPr>
          <w:p w14:paraId="7E228AD8" w14:textId="77777777" w:rsidR="00D07DF1" w:rsidRPr="00017F03" w:rsidRDefault="00D07DF1" w:rsidP="00A92200">
            <w:pPr>
              <w:spacing w:after="0" w:line="240" w:lineRule="auto"/>
              <w:ind w:right="57"/>
              <w:jc w:val="right"/>
              <w:rPr>
                <w:rFonts w:cstheme="minorHAnsi"/>
                <w:color w:val="000000"/>
                <w:sz w:val="20"/>
                <w:szCs w:val="20"/>
              </w:rPr>
            </w:pPr>
            <w:r w:rsidRPr="00017F03">
              <w:rPr>
                <w:rFonts w:cstheme="minorHAnsi"/>
                <w:color w:val="000000"/>
                <w:sz w:val="20"/>
                <w:szCs w:val="20"/>
              </w:rPr>
              <w:t>42 733,79</w:t>
            </w:r>
          </w:p>
        </w:tc>
      </w:tr>
      <w:tr w:rsidR="00D07DF1" w:rsidRPr="00017F03" w14:paraId="13CF554D" w14:textId="77777777" w:rsidTr="00B36F13">
        <w:trPr>
          <w:trHeight w:val="255"/>
          <w:jc w:val="center"/>
        </w:trPr>
        <w:tc>
          <w:tcPr>
            <w:tcW w:w="2220" w:type="pct"/>
            <w:shd w:val="clear" w:color="auto" w:fill="F2C6C9"/>
            <w:vAlign w:val="bottom"/>
          </w:tcPr>
          <w:p w14:paraId="374264E3" w14:textId="77777777" w:rsidR="00D07DF1" w:rsidRPr="00017F03" w:rsidRDefault="00D07DF1" w:rsidP="00A92200">
            <w:pPr>
              <w:pStyle w:val="Jin0"/>
              <w:shd w:val="clear" w:color="auto" w:fill="auto"/>
              <w:spacing w:line="240" w:lineRule="auto"/>
              <w:ind w:left="57" w:firstLine="0"/>
              <w:jc w:val="left"/>
              <w:rPr>
                <w:rFonts w:cstheme="minorHAnsi"/>
                <w:sz w:val="20"/>
                <w:szCs w:val="20"/>
              </w:rPr>
            </w:pPr>
            <w:r w:rsidRPr="00017F03">
              <w:rPr>
                <w:rFonts w:cstheme="minorHAnsi"/>
                <w:b/>
                <w:bCs/>
                <w:iCs/>
                <w:color w:val="000000"/>
                <w:sz w:val="20"/>
                <w:szCs w:val="20"/>
                <w:lang w:bidi="cs-CZ"/>
              </w:rPr>
              <w:t>Transfery poskytnuté LSL celkem</w:t>
            </w:r>
          </w:p>
        </w:tc>
        <w:tc>
          <w:tcPr>
            <w:tcW w:w="927" w:type="pct"/>
            <w:shd w:val="clear" w:color="auto" w:fill="F2C6C9"/>
            <w:vAlign w:val="bottom"/>
          </w:tcPr>
          <w:p w14:paraId="092531A2" w14:textId="77777777" w:rsidR="00D07DF1" w:rsidRPr="00017F03" w:rsidRDefault="00D07DF1" w:rsidP="00A92200">
            <w:pPr>
              <w:pStyle w:val="Jin0"/>
              <w:shd w:val="clear" w:color="auto" w:fill="auto"/>
              <w:spacing w:line="240" w:lineRule="auto"/>
              <w:ind w:right="57" w:firstLine="0"/>
              <w:jc w:val="right"/>
              <w:rPr>
                <w:rFonts w:cstheme="minorHAnsi"/>
                <w:b/>
                <w:sz w:val="20"/>
                <w:szCs w:val="20"/>
              </w:rPr>
            </w:pPr>
            <w:r w:rsidRPr="00017F03">
              <w:rPr>
                <w:rFonts w:cstheme="minorHAnsi"/>
                <w:b/>
                <w:sz w:val="20"/>
                <w:szCs w:val="20"/>
              </w:rPr>
              <w:t>45 989,25</w:t>
            </w:r>
          </w:p>
        </w:tc>
        <w:tc>
          <w:tcPr>
            <w:tcW w:w="927" w:type="pct"/>
            <w:shd w:val="clear" w:color="auto" w:fill="F2C6C9"/>
            <w:vAlign w:val="bottom"/>
          </w:tcPr>
          <w:p w14:paraId="72EDCD2B" w14:textId="77777777" w:rsidR="00D07DF1" w:rsidRPr="00017F03" w:rsidRDefault="00D07DF1" w:rsidP="00A92200">
            <w:pPr>
              <w:pStyle w:val="Jin0"/>
              <w:shd w:val="clear" w:color="auto" w:fill="auto"/>
              <w:spacing w:line="240" w:lineRule="auto"/>
              <w:ind w:right="57" w:firstLine="0"/>
              <w:jc w:val="right"/>
              <w:rPr>
                <w:rFonts w:cstheme="minorHAnsi"/>
                <w:b/>
                <w:sz w:val="20"/>
                <w:szCs w:val="20"/>
              </w:rPr>
            </w:pPr>
            <w:r w:rsidRPr="00017F03">
              <w:rPr>
                <w:rFonts w:cstheme="minorHAnsi"/>
                <w:b/>
                <w:sz w:val="20"/>
                <w:szCs w:val="20"/>
              </w:rPr>
              <w:t>51 300,63</w:t>
            </w:r>
          </w:p>
        </w:tc>
        <w:tc>
          <w:tcPr>
            <w:tcW w:w="926" w:type="pct"/>
            <w:shd w:val="clear" w:color="auto" w:fill="F2C6C9"/>
            <w:vAlign w:val="bottom"/>
          </w:tcPr>
          <w:p w14:paraId="27E4E91A" w14:textId="77777777" w:rsidR="00D07DF1" w:rsidRPr="00017F03" w:rsidRDefault="00D07DF1" w:rsidP="00A92200">
            <w:pPr>
              <w:pStyle w:val="Jin0"/>
              <w:shd w:val="clear" w:color="auto" w:fill="auto"/>
              <w:spacing w:line="240" w:lineRule="auto"/>
              <w:ind w:right="57" w:firstLine="0"/>
              <w:jc w:val="right"/>
              <w:rPr>
                <w:rFonts w:cstheme="minorHAnsi"/>
                <w:b/>
                <w:sz w:val="20"/>
                <w:szCs w:val="20"/>
              </w:rPr>
            </w:pPr>
            <w:r w:rsidRPr="00017F03">
              <w:rPr>
                <w:rFonts w:cstheme="minorHAnsi"/>
                <w:b/>
                <w:sz w:val="20"/>
                <w:szCs w:val="20"/>
              </w:rPr>
              <w:t>75 803,82</w:t>
            </w:r>
          </w:p>
        </w:tc>
      </w:tr>
    </w:tbl>
    <w:p w14:paraId="1408300F" w14:textId="5E31104A" w:rsidR="00A92200" w:rsidRPr="00B36F13" w:rsidRDefault="00A92200" w:rsidP="00693C93">
      <w:pPr>
        <w:spacing w:before="40" w:after="0" w:line="240" w:lineRule="auto"/>
        <w:ind w:left="567" w:hanging="567"/>
        <w:jc w:val="both"/>
        <w:rPr>
          <w:rFonts w:cstheme="minorHAnsi"/>
          <w:color w:val="000000" w:themeColor="text1"/>
          <w:sz w:val="20"/>
          <w:szCs w:val="20"/>
        </w:rPr>
      </w:pPr>
      <w:r w:rsidRPr="00693C93">
        <w:rPr>
          <w:rFonts w:cstheme="minorHAnsi"/>
          <w:b/>
          <w:color w:val="000000" w:themeColor="text1"/>
          <w:sz w:val="20"/>
          <w:szCs w:val="20"/>
        </w:rPr>
        <w:t xml:space="preserve">Zdroj: </w:t>
      </w:r>
      <w:r w:rsidR="005B1851">
        <w:rPr>
          <w:rFonts w:cstheme="minorHAnsi"/>
          <w:color w:val="000000" w:themeColor="text1"/>
          <w:sz w:val="20"/>
          <w:szCs w:val="20"/>
        </w:rPr>
        <w:t>z</w:t>
      </w:r>
      <w:r w:rsidRPr="00B36F13">
        <w:rPr>
          <w:rFonts w:cstheme="minorHAnsi"/>
          <w:color w:val="000000" w:themeColor="text1"/>
          <w:sz w:val="20"/>
          <w:szCs w:val="20"/>
        </w:rPr>
        <w:t>ávěrečn</w:t>
      </w:r>
      <w:r w:rsidR="005B1851">
        <w:rPr>
          <w:rFonts w:cstheme="minorHAnsi"/>
          <w:color w:val="000000" w:themeColor="text1"/>
          <w:sz w:val="20"/>
          <w:szCs w:val="20"/>
        </w:rPr>
        <w:t>é</w:t>
      </w:r>
      <w:r w:rsidRPr="00B36F13">
        <w:rPr>
          <w:rFonts w:cstheme="minorHAnsi"/>
          <w:color w:val="000000" w:themeColor="text1"/>
          <w:sz w:val="20"/>
          <w:szCs w:val="20"/>
        </w:rPr>
        <w:t xml:space="preserve"> účt</w:t>
      </w:r>
      <w:r w:rsidR="005B1851">
        <w:rPr>
          <w:rFonts w:cstheme="minorHAnsi"/>
          <w:color w:val="000000" w:themeColor="text1"/>
          <w:sz w:val="20"/>
          <w:szCs w:val="20"/>
        </w:rPr>
        <w:t>y</w:t>
      </w:r>
      <w:r w:rsidRPr="00B36F13">
        <w:rPr>
          <w:rFonts w:cstheme="minorHAnsi"/>
          <w:color w:val="000000" w:themeColor="text1"/>
          <w:sz w:val="20"/>
          <w:szCs w:val="20"/>
        </w:rPr>
        <w:t xml:space="preserve"> kapitoly 301 – </w:t>
      </w:r>
      <w:r w:rsidRPr="00B20B23">
        <w:rPr>
          <w:rFonts w:cstheme="minorHAnsi"/>
          <w:i/>
          <w:color w:val="000000" w:themeColor="text1"/>
          <w:sz w:val="20"/>
          <w:szCs w:val="20"/>
        </w:rPr>
        <w:t>Kancelář prezidenta republiky</w:t>
      </w:r>
      <w:r w:rsidRPr="00B36F13">
        <w:rPr>
          <w:rFonts w:cstheme="minorHAnsi"/>
          <w:color w:val="000000" w:themeColor="text1"/>
          <w:sz w:val="20"/>
          <w:szCs w:val="20"/>
        </w:rPr>
        <w:t xml:space="preserve"> za roky 2019, 2020 a 2021</w:t>
      </w:r>
      <w:r w:rsidR="005B1851">
        <w:rPr>
          <w:rFonts w:cstheme="minorHAnsi"/>
          <w:color w:val="000000" w:themeColor="text1"/>
          <w:sz w:val="20"/>
          <w:szCs w:val="20"/>
        </w:rPr>
        <w:t>.</w:t>
      </w:r>
    </w:p>
    <w:p w14:paraId="1928750F" w14:textId="04ACEB3E" w:rsidR="00A92200" w:rsidRPr="00B36F13" w:rsidRDefault="0057445F" w:rsidP="00693C93">
      <w:pPr>
        <w:spacing w:after="120" w:line="240" w:lineRule="auto"/>
        <w:ind w:left="567" w:hanging="567"/>
        <w:jc w:val="both"/>
        <w:rPr>
          <w:bCs/>
          <w:iCs/>
          <w:color w:val="000000" w:themeColor="text1"/>
          <w:sz w:val="20"/>
          <w:szCs w:val="20"/>
        </w:rPr>
      </w:pPr>
      <w:r w:rsidRPr="00693C93">
        <w:rPr>
          <w:b/>
          <w:bCs/>
          <w:iCs/>
          <w:color w:val="000000" w:themeColor="text1"/>
          <w:sz w:val="20"/>
          <w:szCs w:val="20"/>
        </w:rPr>
        <w:t>Pozn</w:t>
      </w:r>
      <w:r w:rsidR="00F20420">
        <w:rPr>
          <w:b/>
          <w:bCs/>
          <w:iCs/>
          <w:color w:val="000000" w:themeColor="text1"/>
          <w:sz w:val="20"/>
          <w:szCs w:val="20"/>
        </w:rPr>
        <w:t>.</w:t>
      </w:r>
      <w:r w:rsidRPr="00693C93">
        <w:rPr>
          <w:b/>
          <w:bCs/>
          <w:iCs/>
          <w:color w:val="000000" w:themeColor="text1"/>
          <w:sz w:val="20"/>
          <w:szCs w:val="20"/>
        </w:rPr>
        <w:t>:</w:t>
      </w:r>
      <w:r w:rsidRPr="00B36F13">
        <w:rPr>
          <w:bCs/>
          <w:iCs/>
          <w:color w:val="000000" w:themeColor="text1"/>
          <w:sz w:val="20"/>
          <w:szCs w:val="20"/>
        </w:rPr>
        <w:t xml:space="preserve"> </w:t>
      </w:r>
      <w:r w:rsidR="005E6121">
        <w:rPr>
          <w:bCs/>
          <w:iCs/>
          <w:color w:val="000000" w:themeColor="text1"/>
          <w:sz w:val="20"/>
          <w:szCs w:val="20"/>
        </w:rPr>
        <w:tab/>
      </w:r>
      <w:r w:rsidRPr="00B36F13">
        <w:rPr>
          <w:bCs/>
          <w:iCs/>
          <w:color w:val="000000" w:themeColor="text1"/>
          <w:sz w:val="20"/>
          <w:szCs w:val="20"/>
        </w:rPr>
        <w:t>Neinvestiční transfer = příspěvek na provoz</w:t>
      </w:r>
      <w:r w:rsidR="001042AA" w:rsidRPr="00B36F13">
        <w:rPr>
          <w:bCs/>
          <w:iCs/>
          <w:color w:val="000000" w:themeColor="text1"/>
          <w:sz w:val="20"/>
          <w:szCs w:val="20"/>
        </w:rPr>
        <w:t xml:space="preserve"> + další neinvestiční transfery </w:t>
      </w:r>
      <w:r w:rsidR="001042AA" w:rsidRPr="00B36F13">
        <w:rPr>
          <w:color w:val="000000" w:themeColor="text1"/>
          <w:sz w:val="20"/>
          <w:szCs w:val="20"/>
        </w:rPr>
        <w:t>z </w:t>
      </w:r>
      <w:r w:rsidR="00F20420">
        <w:rPr>
          <w:color w:val="000000" w:themeColor="text1"/>
          <w:sz w:val="20"/>
          <w:szCs w:val="20"/>
        </w:rPr>
        <w:t xml:space="preserve">rozpočtové </w:t>
      </w:r>
      <w:r w:rsidR="001042AA" w:rsidRPr="00B36F13">
        <w:rPr>
          <w:color w:val="000000" w:themeColor="text1"/>
          <w:sz w:val="20"/>
          <w:szCs w:val="20"/>
        </w:rPr>
        <w:t>kapitoly Ministerstva zemědělství na zmírnění dopadů kůrovcové kalamity, neinvestiční transfery na spolufinancování projektu z Evropské unie a neinvestiční výdaje určené na financování programů reprodukce majetku.</w:t>
      </w:r>
      <w:r w:rsidR="00E55555" w:rsidRPr="00B36F13">
        <w:rPr>
          <w:bCs/>
          <w:iCs/>
          <w:color w:val="000000" w:themeColor="text1"/>
          <w:sz w:val="20"/>
          <w:szCs w:val="20"/>
        </w:rPr>
        <w:t xml:space="preserve"> Hodnoty uvedené v tabulce jsou vyčísleny včetně zapojení nároků nespotřebovaných výdajů</w:t>
      </w:r>
      <w:r w:rsidR="001042AA" w:rsidRPr="00B36F13">
        <w:rPr>
          <w:bCs/>
          <w:iCs/>
          <w:color w:val="000000" w:themeColor="text1"/>
          <w:sz w:val="20"/>
          <w:szCs w:val="20"/>
        </w:rPr>
        <w:t>.</w:t>
      </w:r>
    </w:p>
    <w:p w14:paraId="401F9079" w14:textId="5719B06C" w:rsidR="0090291B" w:rsidRDefault="0057445F" w:rsidP="002E74F0">
      <w:pPr>
        <w:spacing w:before="120" w:after="120" w:line="264" w:lineRule="auto"/>
        <w:jc w:val="both"/>
        <w:rPr>
          <w:sz w:val="24"/>
        </w:rPr>
      </w:pPr>
      <w:bookmarkStart w:id="2" w:name="_Hlk113007721"/>
      <w:r>
        <w:rPr>
          <w:sz w:val="24"/>
        </w:rPr>
        <w:t>V</w:t>
      </w:r>
      <w:r w:rsidR="0090291B" w:rsidRPr="00BD7A3A">
        <w:rPr>
          <w:sz w:val="24"/>
        </w:rPr>
        <w:t xml:space="preserve"> letech 2020 a 2021 byla provedena rozpočtová opatření, kterými došlo k navýšení </w:t>
      </w:r>
      <w:r w:rsidR="0090291B">
        <w:rPr>
          <w:sz w:val="24"/>
        </w:rPr>
        <w:t xml:space="preserve">původně schváleného </w:t>
      </w:r>
      <w:r w:rsidR="0090291B" w:rsidRPr="00BD7A3A">
        <w:rPr>
          <w:sz w:val="24"/>
        </w:rPr>
        <w:t xml:space="preserve">rozpočtu </w:t>
      </w:r>
      <w:r w:rsidR="0090291B">
        <w:rPr>
          <w:sz w:val="24"/>
        </w:rPr>
        <w:t>kapitoly 301</w:t>
      </w:r>
      <w:r w:rsidR="00F20420">
        <w:rPr>
          <w:sz w:val="24"/>
        </w:rPr>
        <w:t xml:space="preserve"> </w:t>
      </w:r>
      <w:r w:rsidR="0090291B">
        <w:rPr>
          <w:sz w:val="24"/>
        </w:rPr>
        <w:t>–</w:t>
      </w:r>
      <w:r w:rsidR="00F20420">
        <w:rPr>
          <w:sz w:val="24"/>
        </w:rPr>
        <w:t xml:space="preserve"> </w:t>
      </w:r>
      <w:r w:rsidR="0090291B" w:rsidRPr="00BD7F34">
        <w:rPr>
          <w:i/>
          <w:sz w:val="24"/>
        </w:rPr>
        <w:t>Kancelář prezidenta republiky</w:t>
      </w:r>
      <w:r w:rsidR="0090291B">
        <w:rPr>
          <w:sz w:val="24"/>
        </w:rPr>
        <w:t xml:space="preserve"> </w:t>
      </w:r>
      <w:r w:rsidR="0090291B" w:rsidRPr="00BD7A3A">
        <w:rPr>
          <w:sz w:val="24"/>
        </w:rPr>
        <w:t>o částku 215 mil. Kč, resp.</w:t>
      </w:r>
      <w:r w:rsidR="0090291B">
        <w:rPr>
          <w:sz w:val="24"/>
        </w:rPr>
        <w:t> o</w:t>
      </w:r>
      <w:r w:rsidR="00CD6F87">
        <w:rPr>
          <w:sz w:val="24"/>
        </w:rPr>
        <w:t> </w:t>
      </w:r>
      <w:r w:rsidR="0090291B" w:rsidRPr="00BD7A3A">
        <w:rPr>
          <w:sz w:val="24"/>
        </w:rPr>
        <w:t>200</w:t>
      </w:r>
      <w:r w:rsidR="0090291B">
        <w:rPr>
          <w:sz w:val="24"/>
        </w:rPr>
        <w:t> </w:t>
      </w:r>
      <w:r w:rsidR="0090291B" w:rsidRPr="00BD7A3A">
        <w:rPr>
          <w:sz w:val="24"/>
        </w:rPr>
        <w:t>mil.</w:t>
      </w:r>
      <w:r w:rsidR="0090291B">
        <w:rPr>
          <w:sz w:val="24"/>
        </w:rPr>
        <w:t> </w:t>
      </w:r>
      <w:r w:rsidR="0090291B" w:rsidRPr="00AE4CA4">
        <w:rPr>
          <w:sz w:val="24"/>
        </w:rPr>
        <w:t>Kč</w:t>
      </w:r>
      <w:bookmarkEnd w:id="2"/>
      <w:r w:rsidR="0090291B" w:rsidRPr="00AE4CA4">
        <w:rPr>
          <w:sz w:val="24"/>
        </w:rPr>
        <w:t xml:space="preserve"> (blíže viz bod </w:t>
      </w:r>
      <w:r w:rsidRPr="00AE4CA4">
        <w:rPr>
          <w:sz w:val="24"/>
        </w:rPr>
        <w:t>II.2.2</w:t>
      </w:r>
      <w:r w:rsidR="0090291B" w:rsidRPr="00AE4CA4">
        <w:rPr>
          <w:sz w:val="24"/>
        </w:rPr>
        <w:t>).</w:t>
      </w:r>
      <w:r w:rsidR="0090291B">
        <w:rPr>
          <w:sz w:val="24"/>
        </w:rPr>
        <w:t xml:space="preserve"> </w:t>
      </w:r>
    </w:p>
    <w:p w14:paraId="15F64B80" w14:textId="77777777" w:rsidR="008143AD" w:rsidRPr="00FA3F7B" w:rsidRDefault="00937721" w:rsidP="002E74F0">
      <w:pPr>
        <w:pStyle w:val="Nadpis2"/>
        <w:keepNext w:val="0"/>
        <w:keepLines w:val="0"/>
        <w:numPr>
          <w:ilvl w:val="0"/>
          <w:numId w:val="0"/>
        </w:numPr>
        <w:spacing w:before="0" w:after="120" w:line="264" w:lineRule="auto"/>
        <w:jc w:val="both"/>
        <w:rPr>
          <w:b w:val="0"/>
        </w:rPr>
      </w:pPr>
      <w:r>
        <w:rPr>
          <w:b w:val="0"/>
        </w:rPr>
        <w:t>2</w:t>
      </w:r>
      <w:r w:rsidR="00693C93" w:rsidRPr="00693C93">
        <w:rPr>
          <w:b w:val="0"/>
        </w:rPr>
        <w:t>.2</w:t>
      </w:r>
      <w:r w:rsidR="00693C93">
        <w:t xml:space="preserve"> </w:t>
      </w:r>
      <w:r w:rsidR="00D209AB">
        <w:t>Správ</w:t>
      </w:r>
      <w:r w:rsidR="00F276F8">
        <w:t>u</w:t>
      </w:r>
      <w:r w:rsidR="00D209AB">
        <w:t xml:space="preserve"> Pražského hradu</w:t>
      </w:r>
      <w:r w:rsidR="008143AD" w:rsidRPr="00FA3F7B">
        <w:rPr>
          <w:b w:val="0"/>
        </w:rPr>
        <w:t xml:space="preserve"> </w:t>
      </w:r>
      <w:r w:rsidR="00F276F8">
        <w:rPr>
          <w:b w:val="0"/>
        </w:rPr>
        <w:t>zřídila</w:t>
      </w:r>
      <w:r w:rsidR="008143AD" w:rsidRPr="00FA3F7B">
        <w:rPr>
          <w:b w:val="0"/>
        </w:rPr>
        <w:t xml:space="preserve"> KPR zřizovací listinou ze dne 19. 4. 1993, poslední </w:t>
      </w:r>
      <w:r w:rsidR="00B366C4" w:rsidRPr="00FA3F7B">
        <w:rPr>
          <w:b w:val="0"/>
        </w:rPr>
        <w:t>změna byla</w:t>
      </w:r>
      <w:r w:rsidR="008143AD" w:rsidRPr="00FA3F7B">
        <w:rPr>
          <w:b w:val="0"/>
        </w:rPr>
        <w:t xml:space="preserve"> </w:t>
      </w:r>
      <w:r w:rsidR="006F2046" w:rsidRPr="00FA3F7B">
        <w:rPr>
          <w:b w:val="0"/>
        </w:rPr>
        <w:t xml:space="preserve">provedena </w:t>
      </w:r>
      <w:r w:rsidR="008143AD" w:rsidRPr="00FA3F7B">
        <w:rPr>
          <w:b w:val="0"/>
        </w:rPr>
        <w:t>dodatkem č. 10 ze dne 29. 8. 2022</w:t>
      </w:r>
      <w:r w:rsidR="008C5780" w:rsidRPr="00FA3F7B">
        <w:rPr>
          <w:b w:val="0"/>
        </w:rPr>
        <w:t>.</w:t>
      </w:r>
      <w:r w:rsidR="0070019E" w:rsidRPr="00FA3F7B">
        <w:rPr>
          <w:b w:val="0"/>
        </w:rPr>
        <w:t xml:space="preserve"> </w:t>
      </w:r>
      <w:r w:rsidR="00A0083B" w:rsidRPr="00FA3F7B">
        <w:rPr>
          <w:b w:val="0"/>
        </w:rPr>
        <w:t xml:space="preserve">Zřizovací listinou založila KPR příspěvkovou organizaci SPH </w:t>
      </w:r>
      <w:r w:rsidR="0070019E" w:rsidRPr="00FA3F7B">
        <w:rPr>
          <w:b w:val="0"/>
        </w:rPr>
        <w:t xml:space="preserve">zejména </w:t>
      </w:r>
      <w:r w:rsidR="00B366C4" w:rsidRPr="00FA3F7B">
        <w:rPr>
          <w:b w:val="0"/>
        </w:rPr>
        <w:t>ke správě</w:t>
      </w:r>
      <w:r w:rsidR="00A35326" w:rsidRPr="00FA3F7B">
        <w:rPr>
          <w:b w:val="0"/>
        </w:rPr>
        <w:t xml:space="preserve"> </w:t>
      </w:r>
      <w:r w:rsidR="008143AD" w:rsidRPr="00FA3F7B">
        <w:rPr>
          <w:b w:val="0"/>
        </w:rPr>
        <w:t>majetku a výkonu služeb ve prospěch Kanceláře prezidenta republiky</w:t>
      </w:r>
      <w:r w:rsidR="0070019E" w:rsidRPr="00FA3F7B">
        <w:rPr>
          <w:b w:val="0"/>
        </w:rPr>
        <w:t xml:space="preserve"> a </w:t>
      </w:r>
      <w:r w:rsidR="008143AD" w:rsidRPr="00FA3F7B">
        <w:rPr>
          <w:b w:val="0"/>
        </w:rPr>
        <w:t>k zajištění údržby, rekonstrukcí a celkového rozvoje Pražského hradu a zámku Lány. Předmětem hlavní činnosti SPH je mj.</w:t>
      </w:r>
      <w:r w:rsidR="00614885" w:rsidRPr="00FA3F7B">
        <w:rPr>
          <w:b w:val="0"/>
        </w:rPr>
        <w:t> </w:t>
      </w:r>
      <w:r w:rsidR="008143AD" w:rsidRPr="00FA3F7B">
        <w:rPr>
          <w:b w:val="0"/>
        </w:rPr>
        <w:t>správa a provoz areálu Pražského hradu a zámku Lány</w:t>
      </w:r>
      <w:r w:rsidR="0070019E" w:rsidRPr="00FA3F7B">
        <w:rPr>
          <w:b w:val="0"/>
        </w:rPr>
        <w:t xml:space="preserve"> a</w:t>
      </w:r>
      <w:r w:rsidR="00E80384">
        <w:rPr>
          <w:b w:val="0"/>
        </w:rPr>
        <w:t> </w:t>
      </w:r>
      <w:r w:rsidR="008143AD" w:rsidRPr="00FA3F7B">
        <w:rPr>
          <w:b w:val="0"/>
        </w:rPr>
        <w:t>výkon veškerých práv a</w:t>
      </w:r>
      <w:r w:rsidR="00614885" w:rsidRPr="00FA3F7B">
        <w:rPr>
          <w:b w:val="0"/>
        </w:rPr>
        <w:t> </w:t>
      </w:r>
      <w:r w:rsidR="008143AD" w:rsidRPr="00FA3F7B">
        <w:rPr>
          <w:b w:val="0"/>
        </w:rPr>
        <w:t>povinností spojených s</w:t>
      </w:r>
      <w:r w:rsidR="0070019E" w:rsidRPr="00FA3F7B">
        <w:rPr>
          <w:b w:val="0"/>
        </w:rPr>
        <w:t> </w:t>
      </w:r>
      <w:r w:rsidR="008143AD" w:rsidRPr="00FA3F7B">
        <w:rPr>
          <w:b w:val="0"/>
        </w:rPr>
        <w:t>movitým a</w:t>
      </w:r>
      <w:r w:rsidR="006F2046" w:rsidRPr="00FA3F7B">
        <w:rPr>
          <w:b w:val="0"/>
        </w:rPr>
        <w:t> </w:t>
      </w:r>
      <w:r w:rsidR="008143AD" w:rsidRPr="00FA3F7B">
        <w:rPr>
          <w:b w:val="0"/>
        </w:rPr>
        <w:t>nemovitým</w:t>
      </w:r>
      <w:r w:rsidR="00A35326" w:rsidRPr="00FA3F7B">
        <w:rPr>
          <w:b w:val="0"/>
        </w:rPr>
        <w:t xml:space="preserve"> </w:t>
      </w:r>
      <w:r w:rsidR="008143AD" w:rsidRPr="00FA3F7B">
        <w:rPr>
          <w:b w:val="0"/>
        </w:rPr>
        <w:t xml:space="preserve">majetkem, ke kterému </w:t>
      </w:r>
      <w:r w:rsidR="00DC3B13">
        <w:rPr>
          <w:b w:val="0"/>
        </w:rPr>
        <w:t xml:space="preserve">má </w:t>
      </w:r>
      <w:r w:rsidR="008143AD" w:rsidRPr="00FA3F7B">
        <w:rPr>
          <w:b w:val="0"/>
        </w:rPr>
        <w:t xml:space="preserve">SPH </w:t>
      </w:r>
      <w:r w:rsidR="00DC3B13">
        <w:rPr>
          <w:b w:val="0"/>
        </w:rPr>
        <w:t>příslušnost hospodařit</w:t>
      </w:r>
      <w:r w:rsidR="008143AD" w:rsidRPr="00FA3F7B">
        <w:rPr>
          <w:b w:val="0"/>
        </w:rPr>
        <w:t>.</w:t>
      </w:r>
    </w:p>
    <w:p w14:paraId="24BB234D" w14:textId="77777777" w:rsidR="00D01856" w:rsidRPr="006C71A8" w:rsidRDefault="00614885" w:rsidP="002E74F0">
      <w:pPr>
        <w:spacing w:after="120" w:line="264" w:lineRule="auto"/>
        <w:jc w:val="both"/>
        <w:rPr>
          <w:sz w:val="24"/>
          <w:szCs w:val="23"/>
          <w:highlight w:val="yellow"/>
        </w:rPr>
      </w:pPr>
      <w:r w:rsidRPr="006C71A8">
        <w:rPr>
          <w:sz w:val="24"/>
        </w:rPr>
        <w:t>SPH dále může mimo svoji hlavní činnost formou jiné činnosti provozovat zejména iniciování společenských a vzdělávacích akcí, kongresů a sympozií, jejich realizaci a zajištění služeb s těmito aktivitami související</w:t>
      </w:r>
      <w:r w:rsidR="00977307" w:rsidRPr="006C71A8">
        <w:rPr>
          <w:sz w:val="24"/>
        </w:rPr>
        <w:t>mi.</w:t>
      </w:r>
    </w:p>
    <w:p w14:paraId="3A46047C" w14:textId="77777777" w:rsidR="00D01856" w:rsidRDefault="00D01856" w:rsidP="00693C93">
      <w:pPr>
        <w:spacing w:after="120" w:line="264" w:lineRule="auto"/>
        <w:jc w:val="both"/>
        <w:rPr>
          <w:sz w:val="24"/>
        </w:rPr>
      </w:pPr>
      <w:r w:rsidRPr="006C71A8">
        <w:rPr>
          <w:sz w:val="24"/>
        </w:rPr>
        <w:t>Přehled hodnoty majetku ve správě SPH dle rozvah sestavených ke dni 31. 12. 2019, 31.</w:t>
      </w:r>
      <w:r w:rsidR="006F2046">
        <w:rPr>
          <w:sz w:val="24"/>
        </w:rPr>
        <w:t> </w:t>
      </w:r>
      <w:r w:rsidRPr="006C71A8">
        <w:rPr>
          <w:sz w:val="24"/>
        </w:rPr>
        <w:t>12.</w:t>
      </w:r>
      <w:r w:rsidR="006F2046">
        <w:rPr>
          <w:sz w:val="24"/>
        </w:rPr>
        <w:t> </w:t>
      </w:r>
      <w:r w:rsidRPr="006C71A8">
        <w:rPr>
          <w:sz w:val="24"/>
        </w:rPr>
        <w:t xml:space="preserve">2020 a 31. 12. 2021 </w:t>
      </w:r>
      <w:r w:rsidR="00017F03">
        <w:rPr>
          <w:sz w:val="24"/>
        </w:rPr>
        <w:t>je uveden v tabulce</w:t>
      </w:r>
      <w:r w:rsidRPr="006C71A8">
        <w:rPr>
          <w:sz w:val="24"/>
        </w:rPr>
        <w:t xml:space="preserve"> č</w:t>
      </w:r>
      <w:r w:rsidRPr="00AE4CA4">
        <w:rPr>
          <w:sz w:val="24"/>
        </w:rPr>
        <w:t xml:space="preserve">. </w:t>
      </w:r>
      <w:r w:rsidR="00AE4CA4" w:rsidRPr="00AE4CA4">
        <w:rPr>
          <w:sz w:val="24"/>
        </w:rPr>
        <w:t>3</w:t>
      </w:r>
      <w:r w:rsidRPr="00AE4CA4">
        <w:rPr>
          <w:sz w:val="24"/>
        </w:rPr>
        <w:t>.</w:t>
      </w:r>
    </w:p>
    <w:p w14:paraId="2B26D5C6" w14:textId="77777777" w:rsidR="00964B0E" w:rsidRPr="00693C93" w:rsidRDefault="00964B0E" w:rsidP="00693C93">
      <w:pPr>
        <w:tabs>
          <w:tab w:val="right" w:pos="9072"/>
        </w:tabs>
        <w:spacing w:before="120" w:after="40" w:line="240" w:lineRule="auto"/>
        <w:jc w:val="both"/>
        <w:rPr>
          <w:b/>
          <w:bCs/>
          <w:iCs/>
          <w:color w:val="000000" w:themeColor="text1"/>
          <w:sz w:val="24"/>
        </w:rPr>
      </w:pPr>
      <w:r w:rsidRPr="00693C93">
        <w:rPr>
          <w:b/>
          <w:bCs/>
          <w:iCs/>
          <w:color w:val="000000" w:themeColor="text1"/>
          <w:sz w:val="24"/>
        </w:rPr>
        <w:t xml:space="preserve">Tabulka č. </w:t>
      </w:r>
      <w:r w:rsidR="00AE4CA4" w:rsidRPr="00693C93">
        <w:rPr>
          <w:b/>
          <w:bCs/>
          <w:iCs/>
          <w:color w:val="000000" w:themeColor="text1"/>
          <w:sz w:val="24"/>
        </w:rPr>
        <w:t>3</w:t>
      </w:r>
      <w:r w:rsidRPr="00693C93">
        <w:rPr>
          <w:b/>
          <w:bCs/>
          <w:iCs/>
          <w:color w:val="000000" w:themeColor="text1"/>
          <w:sz w:val="24"/>
        </w:rPr>
        <w:t xml:space="preserve">: Vybrané položky rozvahy </w:t>
      </w:r>
      <w:r w:rsidR="00693C93">
        <w:rPr>
          <w:b/>
          <w:bCs/>
          <w:iCs/>
          <w:color w:val="000000" w:themeColor="text1"/>
          <w:sz w:val="24"/>
        </w:rPr>
        <w:tab/>
      </w:r>
      <w:r w:rsidRPr="00693C93">
        <w:rPr>
          <w:b/>
          <w:bCs/>
          <w:iCs/>
          <w:color w:val="000000" w:themeColor="text1"/>
          <w:sz w:val="24"/>
        </w:rPr>
        <w:t xml:space="preserve">(v tis. Kč) </w:t>
      </w:r>
    </w:p>
    <w:tbl>
      <w:tblPr>
        <w:tblW w:w="9072" w:type="dxa"/>
        <w:tblInd w:w="-5" w:type="dxa"/>
        <w:tblCellMar>
          <w:left w:w="70" w:type="dxa"/>
          <w:right w:w="70" w:type="dxa"/>
        </w:tblCellMar>
        <w:tblLook w:val="04A0" w:firstRow="1" w:lastRow="0" w:firstColumn="1" w:lastColumn="0" w:noHBand="0" w:noVBand="1"/>
      </w:tblPr>
      <w:tblGrid>
        <w:gridCol w:w="3686"/>
        <w:gridCol w:w="1984"/>
        <w:gridCol w:w="1560"/>
        <w:gridCol w:w="1842"/>
      </w:tblGrid>
      <w:tr w:rsidR="00964B0E" w:rsidRPr="00E85D9A" w14:paraId="731F2E8C" w14:textId="77777777" w:rsidTr="00693C93">
        <w:trPr>
          <w:trHeight w:val="255"/>
        </w:trPr>
        <w:tc>
          <w:tcPr>
            <w:tcW w:w="3686" w:type="dxa"/>
            <w:vMerge w:val="restart"/>
            <w:tcBorders>
              <w:top w:val="single" w:sz="4" w:space="0" w:color="auto"/>
              <w:left w:val="single" w:sz="4" w:space="0" w:color="auto"/>
              <w:right w:val="single" w:sz="4" w:space="0" w:color="auto"/>
            </w:tcBorders>
            <w:shd w:val="clear" w:color="auto" w:fill="E5F1FF"/>
            <w:vAlign w:val="center"/>
          </w:tcPr>
          <w:p w14:paraId="0BE3E6C6" w14:textId="77777777" w:rsidR="00964B0E" w:rsidRDefault="00964B0E" w:rsidP="00E85D9A">
            <w:pPr>
              <w:spacing w:after="0" w:line="240" w:lineRule="auto"/>
              <w:jc w:val="center"/>
              <w:rPr>
                <w:rFonts w:ascii="Calibri" w:eastAsia="Times New Roman" w:hAnsi="Calibri" w:cstheme="minorHAnsi"/>
                <w:b/>
                <w:bCs/>
                <w:color w:val="000000"/>
                <w:sz w:val="20"/>
                <w:szCs w:val="20"/>
                <w:lang w:eastAsia="cs-CZ"/>
              </w:rPr>
            </w:pPr>
            <w:r>
              <w:rPr>
                <w:rFonts w:ascii="Calibri" w:eastAsia="Times New Roman" w:hAnsi="Calibri" w:cstheme="minorHAnsi"/>
                <w:b/>
                <w:bCs/>
                <w:color w:val="000000"/>
                <w:sz w:val="20"/>
                <w:szCs w:val="20"/>
                <w:lang w:eastAsia="cs-CZ"/>
              </w:rPr>
              <w:t>Položka</w:t>
            </w:r>
          </w:p>
        </w:tc>
        <w:tc>
          <w:tcPr>
            <w:tcW w:w="5386" w:type="dxa"/>
            <w:gridSpan w:val="3"/>
            <w:tcBorders>
              <w:top w:val="single" w:sz="4" w:space="0" w:color="auto"/>
              <w:left w:val="nil"/>
              <w:bottom w:val="single" w:sz="4" w:space="0" w:color="auto"/>
              <w:right w:val="single" w:sz="4" w:space="0" w:color="auto"/>
            </w:tcBorders>
            <w:shd w:val="clear" w:color="auto" w:fill="E5F1FF"/>
            <w:vAlign w:val="center"/>
          </w:tcPr>
          <w:p w14:paraId="4118E53D" w14:textId="77777777" w:rsidR="00964B0E" w:rsidRPr="00E85D9A" w:rsidRDefault="0057445F" w:rsidP="00E85D9A">
            <w:pPr>
              <w:spacing w:after="0" w:line="240" w:lineRule="auto"/>
              <w:jc w:val="center"/>
              <w:rPr>
                <w:rFonts w:ascii="Calibri" w:eastAsia="Times New Roman" w:hAnsi="Calibri" w:cstheme="minorHAnsi"/>
                <w:b/>
                <w:bCs/>
                <w:color w:val="000000"/>
                <w:sz w:val="20"/>
                <w:szCs w:val="20"/>
                <w:lang w:eastAsia="cs-CZ"/>
              </w:rPr>
            </w:pPr>
            <w:r>
              <w:rPr>
                <w:rFonts w:ascii="Calibri" w:eastAsia="Times New Roman" w:hAnsi="Calibri" w:cstheme="minorHAnsi"/>
                <w:b/>
                <w:bCs/>
                <w:color w:val="000000"/>
                <w:sz w:val="20"/>
                <w:szCs w:val="20"/>
                <w:lang w:eastAsia="cs-CZ"/>
              </w:rPr>
              <w:t>Netto h</w:t>
            </w:r>
            <w:r w:rsidR="00234BCD">
              <w:rPr>
                <w:rFonts w:ascii="Calibri" w:eastAsia="Times New Roman" w:hAnsi="Calibri" w:cstheme="minorHAnsi"/>
                <w:b/>
                <w:bCs/>
                <w:color w:val="000000"/>
                <w:sz w:val="20"/>
                <w:szCs w:val="20"/>
                <w:lang w:eastAsia="cs-CZ"/>
              </w:rPr>
              <w:t>odnota</w:t>
            </w:r>
          </w:p>
        </w:tc>
      </w:tr>
      <w:tr w:rsidR="00964B0E" w:rsidRPr="00E85D9A" w14:paraId="1758E692" w14:textId="77777777" w:rsidTr="00693C93">
        <w:trPr>
          <w:trHeight w:val="255"/>
        </w:trPr>
        <w:tc>
          <w:tcPr>
            <w:tcW w:w="3686" w:type="dxa"/>
            <w:vMerge/>
            <w:tcBorders>
              <w:left w:val="single" w:sz="4" w:space="0" w:color="auto"/>
              <w:bottom w:val="single" w:sz="4" w:space="0" w:color="auto"/>
              <w:right w:val="single" w:sz="4" w:space="0" w:color="auto"/>
            </w:tcBorders>
            <w:shd w:val="clear" w:color="auto" w:fill="E5F1FF"/>
            <w:vAlign w:val="center"/>
            <w:hideMark/>
          </w:tcPr>
          <w:p w14:paraId="0E49A573" w14:textId="77777777" w:rsidR="00964B0E" w:rsidRPr="00E85D9A" w:rsidRDefault="00964B0E" w:rsidP="00E85D9A">
            <w:pPr>
              <w:spacing w:after="0" w:line="240" w:lineRule="auto"/>
              <w:jc w:val="center"/>
              <w:rPr>
                <w:rFonts w:ascii="Calibri" w:eastAsia="Times New Roman" w:hAnsi="Calibri" w:cs="Calibri"/>
                <w:b/>
                <w:bCs/>
                <w:color w:val="000000"/>
                <w:sz w:val="20"/>
                <w:szCs w:val="20"/>
                <w:lang w:eastAsia="cs-CZ"/>
              </w:rPr>
            </w:pPr>
          </w:p>
        </w:tc>
        <w:tc>
          <w:tcPr>
            <w:tcW w:w="1984" w:type="dxa"/>
            <w:tcBorders>
              <w:top w:val="single" w:sz="4" w:space="0" w:color="auto"/>
              <w:left w:val="nil"/>
              <w:bottom w:val="single" w:sz="4" w:space="0" w:color="auto"/>
              <w:right w:val="single" w:sz="4" w:space="0" w:color="auto"/>
            </w:tcBorders>
            <w:shd w:val="clear" w:color="auto" w:fill="E5F1FF"/>
            <w:vAlign w:val="center"/>
            <w:hideMark/>
          </w:tcPr>
          <w:p w14:paraId="3A5CF888" w14:textId="77777777" w:rsidR="00964B0E" w:rsidRPr="00E85D9A" w:rsidRDefault="00CF4E83" w:rsidP="00E85D9A">
            <w:pPr>
              <w:spacing w:after="0" w:line="240" w:lineRule="auto"/>
              <w:jc w:val="center"/>
              <w:rPr>
                <w:rFonts w:ascii="Calibri" w:eastAsia="Times New Roman" w:hAnsi="Calibri" w:cs="Calibri"/>
                <w:b/>
                <w:bCs/>
                <w:color w:val="000000"/>
                <w:sz w:val="20"/>
                <w:szCs w:val="20"/>
                <w:lang w:eastAsia="cs-CZ"/>
              </w:rPr>
            </w:pPr>
            <w:r w:rsidRPr="002D6B19">
              <w:rPr>
                <w:rFonts w:cstheme="minorHAnsi"/>
                <w:b/>
                <w:bCs/>
                <w:sz w:val="20"/>
                <w:szCs w:val="20"/>
              </w:rPr>
              <w:t xml:space="preserve">k 31. 12. </w:t>
            </w:r>
            <w:r w:rsidR="00964B0E" w:rsidRPr="00E85D9A">
              <w:rPr>
                <w:rFonts w:ascii="Calibri" w:eastAsia="Times New Roman" w:hAnsi="Calibri" w:cstheme="minorHAnsi"/>
                <w:b/>
                <w:bCs/>
                <w:color w:val="000000"/>
                <w:sz w:val="20"/>
                <w:szCs w:val="20"/>
                <w:lang w:eastAsia="cs-CZ"/>
              </w:rPr>
              <w:t>2019</w:t>
            </w:r>
          </w:p>
        </w:tc>
        <w:tc>
          <w:tcPr>
            <w:tcW w:w="1560" w:type="dxa"/>
            <w:tcBorders>
              <w:top w:val="single" w:sz="4" w:space="0" w:color="auto"/>
              <w:left w:val="nil"/>
              <w:bottom w:val="single" w:sz="4" w:space="0" w:color="auto"/>
              <w:right w:val="single" w:sz="4" w:space="0" w:color="auto"/>
            </w:tcBorders>
            <w:shd w:val="clear" w:color="auto" w:fill="E5F1FF"/>
            <w:vAlign w:val="center"/>
            <w:hideMark/>
          </w:tcPr>
          <w:p w14:paraId="1BB74563" w14:textId="77777777" w:rsidR="00964B0E" w:rsidRPr="00E85D9A" w:rsidRDefault="00CF4E83" w:rsidP="00E85D9A">
            <w:pPr>
              <w:spacing w:after="0" w:line="240" w:lineRule="auto"/>
              <w:jc w:val="center"/>
              <w:rPr>
                <w:rFonts w:ascii="Calibri" w:eastAsia="Times New Roman" w:hAnsi="Calibri" w:cs="Calibri"/>
                <w:b/>
                <w:bCs/>
                <w:color w:val="000000"/>
                <w:sz w:val="20"/>
                <w:szCs w:val="20"/>
                <w:lang w:eastAsia="cs-CZ"/>
              </w:rPr>
            </w:pPr>
            <w:r w:rsidRPr="002D6B19">
              <w:rPr>
                <w:rFonts w:cstheme="minorHAnsi"/>
                <w:b/>
                <w:bCs/>
                <w:sz w:val="20"/>
                <w:szCs w:val="20"/>
              </w:rPr>
              <w:t xml:space="preserve">k 31. 12. </w:t>
            </w:r>
            <w:r w:rsidR="00964B0E" w:rsidRPr="00E85D9A">
              <w:rPr>
                <w:rFonts w:ascii="Calibri" w:eastAsia="Times New Roman" w:hAnsi="Calibri" w:cstheme="minorHAnsi"/>
                <w:b/>
                <w:bCs/>
                <w:color w:val="000000"/>
                <w:sz w:val="20"/>
                <w:szCs w:val="20"/>
                <w:lang w:eastAsia="cs-CZ"/>
              </w:rPr>
              <w:t>2020</w:t>
            </w:r>
          </w:p>
        </w:tc>
        <w:tc>
          <w:tcPr>
            <w:tcW w:w="1842" w:type="dxa"/>
            <w:tcBorders>
              <w:top w:val="single" w:sz="4" w:space="0" w:color="auto"/>
              <w:left w:val="nil"/>
              <w:bottom w:val="single" w:sz="4" w:space="0" w:color="auto"/>
              <w:right w:val="single" w:sz="4" w:space="0" w:color="auto"/>
            </w:tcBorders>
            <w:shd w:val="clear" w:color="auto" w:fill="E5F1FF"/>
            <w:vAlign w:val="center"/>
            <w:hideMark/>
          </w:tcPr>
          <w:p w14:paraId="60EDA17B" w14:textId="77777777" w:rsidR="00964B0E" w:rsidRPr="00E85D9A" w:rsidRDefault="00CF4E83" w:rsidP="00E85D9A">
            <w:pPr>
              <w:spacing w:after="0" w:line="240" w:lineRule="auto"/>
              <w:jc w:val="center"/>
              <w:rPr>
                <w:rFonts w:ascii="Calibri" w:eastAsia="Times New Roman" w:hAnsi="Calibri" w:cs="Calibri"/>
                <w:b/>
                <w:bCs/>
                <w:color w:val="000000"/>
                <w:sz w:val="20"/>
                <w:szCs w:val="20"/>
                <w:lang w:eastAsia="cs-CZ"/>
              </w:rPr>
            </w:pPr>
            <w:r w:rsidRPr="002D6B19">
              <w:rPr>
                <w:rFonts w:cstheme="minorHAnsi"/>
                <w:b/>
                <w:bCs/>
                <w:sz w:val="20"/>
                <w:szCs w:val="20"/>
              </w:rPr>
              <w:t xml:space="preserve">k 31. 12. </w:t>
            </w:r>
            <w:r w:rsidR="00964B0E" w:rsidRPr="00E85D9A">
              <w:rPr>
                <w:rFonts w:ascii="Calibri" w:eastAsia="Times New Roman" w:hAnsi="Calibri" w:cstheme="minorHAnsi"/>
                <w:b/>
                <w:bCs/>
                <w:color w:val="000000"/>
                <w:sz w:val="20"/>
                <w:szCs w:val="20"/>
                <w:lang w:eastAsia="cs-CZ"/>
              </w:rPr>
              <w:t>2021</w:t>
            </w:r>
          </w:p>
        </w:tc>
      </w:tr>
      <w:tr w:rsidR="00E85D9A" w:rsidRPr="00E85D9A" w14:paraId="2AD67BCD" w14:textId="77777777" w:rsidTr="00693C93">
        <w:trPr>
          <w:trHeight w:val="255"/>
        </w:trPr>
        <w:tc>
          <w:tcPr>
            <w:tcW w:w="3686" w:type="dxa"/>
            <w:tcBorders>
              <w:top w:val="nil"/>
              <w:left w:val="single" w:sz="4" w:space="0" w:color="auto"/>
              <w:bottom w:val="single" w:sz="4" w:space="0" w:color="auto"/>
              <w:right w:val="single" w:sz="4" w:space="0" w:color="auto"/>
            </w:tcBorders>
            <w:shd w:val="clear" w:color="auto" w:fill="auto"/>
            <w:vAlign w:val="center"/>
            <w:hideMark/>
          </w:tcPr>
          <w:p w14:paraId="48921E52" w14:textId="77777777" w:rsidR="00E85D9A" w:rsidRPr="00CD6F87" w:rsidRDefault="00E85D9A" w:rsidP="00964B0E">
            <w:pPr>
              <w:spacing w:after="0" w:line="240" w:lineRule="auto"/>
              <w:rPr>
                <w:rFonts w:ascii="Calibri" w:eastAsia="Times New Roman" w:hAnsi="Calibri" w:cs="Calibri"/>
                <w:bCs/>
                <w:color w:val="000000"/>
                <w:sz w:val="20"/>
                <w:szCs w:val="20"/>
                <w:lang w:eastAsia="cs-CZ"/>
              </w:rPr>
            </w:pPr>
            <w:r w:rsidRPr="00CD6F87">
              <w:rPr>
                <w:rFonts w:ascii="Calibri" w:eastAsia="Times New Roman" w:hAnsi="Calibri" w:cstheme="minorHAnsi"/>
                <w:bCs/>
                <w:color w:val="000000"/>
                <w:sz w:val="20"/>
                <w:szCs w:val="20"/>
                <w:lang w:eastAsia="cs-CZ"/>
              </w:rPr>
              <w:t xml:space="preserve">Aktiva </w:t>
            </w:r>
            <w:r w:rsidR="00977307" w:rsidRPr="00CD6F87">
              <w:rPr>
                <w:rFonts w:ascii="Calibri" w:eastAsia="Times New Roman" w:hAnsi="Calibri" w:cstheme="minorHAnsi"/>
                <w:bCs/>
                <w:color w:val="000000"/>
                <w:sz w:val="20"/>
                <w:szCs w:val="20"/>
                <w:lang w:eastAsia="cs-CZ"/>
              </w:rPr>
              <w:t>c</w:t>
            </w:r>
            <w:r w:rsidRPr="00CD6F87">
              <w:rPr>
                <w:rFonts w:ascii="Calibri" w:eastAsia="Times New Roman" w:hAnsi="Calibri" w:cstheme="minorHAnsi"/>
                <w:bCs/>
                <w:color w:val="000000"/>
                <w:sz w:val="20"/>
                <w:szCs w:val="20"/>
                <w:lang w:eastAsia="cs-CZ"/>
              </w:rPr>
              <w:t>elkem</w:t>
            </w:r>
          </w:p>
        </w:tc>
        <w:tc>
          <w:tcPr>
            <w:tcW w:w="1984" w:type="dxa"/>
            <w:tcBorders>
              <w:top w:val="nil"/>
              <w:left w:val="nil"/>
              <w:bottom w:val="single" w:sz="4" w:space="0" w:color="auto"/>
              <w:right w:val="single" w:sz="4" w:space="0" w:color="auto"/>
            </w:tcBorders>
            <w:shd w:val="clear" w:color="auto" w:fill="auto"/>
            <w:vAlign w:val="center"/>
            <w:hideMark/>
          </w:tcPr>
          <w:p w14:paraId="28A1FADE" w14:textId="77777777" w:rsidR="00E85D9A" w:rsidRPr="00CD6F87" w:rsidRDefault="00E85D9A" w:rsidP="00E85D9A">
            <w:pPr>
              <w:spacing w:after="0" w:line="240" w:lineRule="auto"/>
              <w:jc w:val="right"/>
              <w:rPr>
                <w:rFonts w:ascii="Calibri" w:eastAsia="Times New Roman" w:hAnsi="Calibri" w:cs="Calibri"/>
                <w:bCs/>
                <w:color w:val="000000"/>
                <w:sz w:val="20"/>
                <w:szCs w:val="20"/>
                <w:lang w:eastAsia="cs-CZ"/>
              </w:rPr>
            </w:pPr>
            <w:r w:rsidRPr="00CD6F87">
              <w:rPr>
                <w:rFonts w:ascii="Calibri" w:eastAsia="Times New Roman" w:hAnsi="Calibri" w:cstheme="minorHAnsi"/>
                <w:bCs/>
                <w:color w:val="000000"/>
                <w:sz w:val="20"/>
                <w:szCs w:val="20"/>
                <w:lang w:eastAsia="cs-CZ"/>
              </w:rPr>
              <w:t>2 452</w:t>
            </w:r>
            <w:r w:rsidR="00692692" w:rsidRPr="00CD6F87">
              <w:rPr>
                <w:rFonts w:ascii="Calibri" w:eastAsia="Times New Roman" w:hAnsi="Calibri" w:cstheme="minorHAnsi"/>
                <w:bCs/>
                <w:color w:val="000000"/>
                <w:sz w:val="20"/>
                <w:szCs w:val="20"/>
                <w:lang w:eastAsia="cs-CZ"/>
              </w:rPr>
              <w:t> </w:t>
            </w:r>
            <w:r w:rsidRPr="00CD6F87">
              <w:rPr>
                <w:rFonts w:ascii="Calibri" w:eastAsia="Times New Roman" w:hAnsi="Calibri" w:cstheme="minorHAnsi"/>
                <w:bCs/>
                <w:color w:val="000000"/>
                <w:sz w:val="20"/>
                <w:szCs w:val="20"/>
                <w:lang w:eastAsia="cs-CZ"/>
              </w:rPr>
              <w:t>870</w:t>
            </w:r>
            <w:r w:rsidR="00692692" w:rsidRPr="00CD6F87">
              <w:rPr>
                <w:rFonts w:ascii="Calibri" w:eastAsia="Times New Roman" w:hAnsi="Calibri" w:cstheme="minorHAnsi"/>
                <w:bCs/>
                <w:color w:val="000000"/>
                <w:sz w:val="20"/>
                <w:szCs w:val="20"/>
                <w:lang w:eastAsia="cs-CZ"/>
              </w:rPr>
              <w:t>,</w:t>
            </w:r>
            <w:r w:rsidRPr="00CD6F87">
              <w:rPr>
                <w:rFonts w:ascii="Calibri" w:eastAsia="Times New Roman" w:hAnsi="Calibri" w:cstheme="minorHAnsi"/>
                <w:bCs/>
                <w:color w:val="000000"/>
                <w:sz w:val="20"/>
                <w:szCs w:val="20"/>
                <w:lang w:eastAsia="cs-CZ"/>
              </w:rPr>
              <w:t>13</w:t>
            </w:r>
          </w:p>
        </w:tc>
        <w:tc>
          <w:tcPr>
            <w:tcW w:w="1560" w:type="dxa"/>
            <w:tcBorders>
              <w:top w:val="nil"/>
              <w:left w:val="nil"/>
              <w:bottom w:val="single" w:sz="4" w:space="0" w:color="auto"/>
              <w:right w:val="single" w:sz="4" w:space="0" w:color="auto"/>
            </w:tcBorders>
            <w:shd w:val="clear" w:color="auto" w:fill="auto"/>
            <w:vAlign w:val="center"/>
            <w:hideMark/>
          </w:tcPr>
          <w:p w14:paraId="6921F0A3" w14:textId="77777777" w:rsidR="00E85D9A" w:rsidRPr="00CD6F87" w:rsidRDefault="00E85D9A" w:rsidP="00E85D9A">
            <w:pPr>
              <w:spacing w:after="0" w:line="240" w:lineRule="auto"/>
              <w:jc w:val="right"/>
              <w:rPr>
                <w:rFonts w:ascii="Calibri" w:eastAsia="Times New Roman" w:hAnsi="Calibri" w:cs="Calibri"/>
                <w:bCs/>
                <w:color w:val="000000"/>
                <w:sz w:val="20"/>
                <w:szCs w:val="20"/>
                <w:lang w:eastAsia="cs-CZ"/>
              </w:rPr>
            </w:pPr>
            <w:r w:rsidRPr="00CD6F87">
              <w:rPr>
                <w:rFonts w:ascii="Calibri" w:eastAsia="Times New Roman" w:hAnsi="Calibri" w:cstheme="minorHAnsi"/>
                <w:bCs/>
                <w:color w:val="000000"/>
                <w:sz w:val="20"/>
                <w:szCs w:val="20"/>
                <w:lang w:eastAsia="cs-CZ"/>
              </w:rPr>
              <w:t>2 347</w:t>
            </w:r>
            <w:r w:rsidR="00692692" w:rsidRPr="00CD6F87">
              <w:rPr>
                <w:rFonts w:ascii="Calibri" w:eastAsia="Times New Roman" w:hAnsi="Calibri" w:cstheme="minorHAnsi"/>
                <w:bCs/>
                <w:color w:val="000000"/>
                <w:sz w:val="20"/>
                <w:szCs w:val="20"/>
                <w:lang w:eastAsia="cs-CZ"/>
              </w:rPr>
              <w:t> </w:t>
            </w:r>
            <w:r w:rsidRPr="00CD6F87">
              <w:rPr>
                <w:rFonts w:ascii="Calibri" w:eastAsia="Times New Roman" w:hAnsi="Calibri" w:cstheme="minorHAnsi"/>
                <w:bCs/>
                <w:color w:val="000000"/>
                <w:sz w:val="20"/>
                <w:szCs w:val="20"/>
                <w:lang w:eastAsia="cs-CZ"/>
              </w:rPr>
              <w:t>544</w:t>
            </w:r>
            <w:r w:rsidR="00692692" w:rsidRPr="00CD6F87">
              <w:rPr>
                <w:rFonts w:ascii="Calibri" w:eastAsia="Times New Roman" w:hAnsi="Calibri" w:cstheme="minorHAnsi"/>
                <w:bCs/>
                <w:color w:val="000000"/>
                <w:sz w:val="20"/>
                <w:szCs w:val="20"/>
                <w:lang w:eastAsia="cs-CZ"/>
              </w:rPr>
              <w:t>,</w:t>
            </w:r>
            <w:r w:rsidRPr="00CD6F87">
              <w:rPr>
                <w:rFonts w:ascii="Calibri" w:eastAsia="Times New Roman" w:hAnsi="Calibri" w:cstheme="minorHAnsi"/>
                <w:bCs/>
                <w:color w:val="000000"/>
                <w:sz w:val="20"/>
                <w:szCs w:val="20"/>
                <w:lang w:eastAsia="cs-CZ"/>
              </w:rPr>
              <w:t>74</w:t>
            </w:r>
          </w:p>
        </w:tc>
        <w:tc>
          <w:tcPr>
            <w:tcW w:w="1842" w:type="dxa"/>
            <w:tcBorders>
              <w:top w:val="nil"/>
              <w:left w:val="nil"/>
              <w:bottom w:val="single" w:sz="4" w:space="0" w:color="auto"/>
              <w:right w:val="single" w:sz="4" w:space="0" w:color="auto"/>
            </w:tcBorders>
            <w:shd w:val="clear" w:color="auto" w:fill="auto"/>
            <w:vAlign w:val="center"/>
            <w:hideMark/>
          </w:tcPr>
          <w:p w14:paraId="56197CD3" w14:textId="77777777" w:rsidR="00E85D9A" w:rsidRPr="00CD6F87" w:rsidRDefault="00E85D9A" w:rsidP="00E85D9A">
            <w:pPr>
              <w:spacing w:after="0" w:line="240" w:lineRule="auto"/>
              <w:jc w:val="right"/>
              <w:rPr>
                <w:rFonts w:ascii="Calibri" w:eastAsia="Times New Roman" w:hAnsi="Calibri" w:cs="Calibri"/>
                <w:bCs/>
                <w:color w:val="000000"/>
                <w:sz w:val="20"/>
                <w:szCs w:val="20"/>
                <w:lang w:eastAsia="cs-CZ"/>
              </w:rPr>
            </w:pPr>
            <w:r w:rsidRPr="00CD6F87">
              <w:rPr>
                <w:rFonts w:ascii="Calibri" w:eastAsia="Times New Roman" w:hAnsi="Calibri" w:cstheme="minorHAnsi"/>
                <w:bCs/>
                <w:color w:val="000000"/>
                <w:sz w:val="20"/>
                <w:szCs w:val="20"/>
                <w:lang w:eastAsia="cs-CZ"/>
              </w:rPr>
              <w:t>2 368</w:t>
            </w:r>
            <w:r w:rsidR="00692692" w:rsidRPr="00CD6F87">
              <w:rPr>
                <w:rFonts w:ascii="Calibri" w:eastAsia="Times New Roman" w:hAnsi="Calibri" w:cstheme="minorHAnsi"/>
                <w:bCs/>
                <w:color w:val="000000"/>
                <w:sz w:val="20"/>
                <w:szCs w:val="20"/>
                <w:lang w:eastAsia="cs-CZ"/>
              </w:rPr>
              <w:t> </w:t>
            </w:r>
            <w:r w:rsidRPr="00CD6F87">
              <w:rPr>
                <w:rFonts w:ascii="Calibri" w:eastAsia="Times New Roman" w:hAnsi="Calibri" w:cstheme="minorHAnsi"/>
                <w:bCs/>
                <w:color w:val="000000"/>
                <w:sz w:val="20"/>
                <w:szCs w:val="20"/>
                <w:lang w:eastAsia="cs-CZ"/>
              </w:rPr>
              <w:t>053</w:t>
            </w:r>
            <w:r w:rsidR="00692692" w:rsidRPr="00CD6F87">
              <w:rPr>
                <w:rFonts w:ascii="Calibri" w:eastAsia="Times New Roman" w:hAnsi="Calibri" w:cstheme="minorHAnsi"/>
                <w:bCs/>
                <w:color w:val="000000"/>
                <w:sz w:val="20"/>
                <w:szCs w:val="20"/>
                <w:lang w:eastAsia="cs-CZ"/>
              </w:rPr>
              <w:t>,</w:t>
            </w:r>
            <w:r w:rsidRPr="00CD6F87">
              <w:rPr>
                <w:rFonts w:ascii="Calibri" w:eastAsia="Times New Roman" w:hAnsi="Calibri" w:cstheme="minorHAnsi"/>
                <w:bCs/>
                <w:color w:val="000000"/>
                <w:sz w:val="20"/>
                <w:szCs w:val="20"/>
                <w:lang w:eastAsia="cs-CZ"/>
              </w:rPr>
              <w:t>9</w:t>
            </w:r>
            <w:r w:rsidR="00692692" w:rsidRPr="00CD6F87">
              <w:rPr>
                <w:rFonts w:ascii="Calibri" w:eastAsia="Times New Roman" w:hAnsi="Calibri" w:cstheme="minorHAnsi"/>
                <w:bCs/>
                <w:color w:val="000000"/>
                <w:sz w:val="20"/>
                <w:szCs w:val="20"/>
                <w:lang w:eastAsia="cs-CZ"/>
              </w:rPr>
              <w:t>3</w:t>
            </w:r>
          </w:p>
        </w:tc>
      </w:tr>
    </w:tbl>
    <w:p w14:paraId="01583674" w14:textId="379A150F" w:rsidR="00477FD7" w:rsidRPr="00693C93" w:rsidRDefault="00477FD7" w:rsidP="00693C93">
      <w:pPr>
        <w:spacing w:before="40" w:after="120" w:line="240" w:lineRule="auto"/>
        <w:jc w:val="both"/>
        <w:rPr>
          <w:bCs/>
          <w:iCs/>
          <w:sz w:val="20"/>
          <w:szCs w:val="18"/>
        </w:rPr>
      </w:pPr>
      <w:r w:rsidRPr="00693C93">
        <w:rPr>
          <w:b/>
          <w:bCs/>
          <w:iCs/>
          <w:sz w:val="20"/>
          <w:szCs w:val="18"/>
        </w:rPr>
        <w:t xml:space="preserve">Zdroj: </w:t>
      </w:r>
      <w:r w:rsidR="00F20420">
        <w:rPr>
          <w:bCs/>
          <w:iCs/>
          <w:sz w:val="20"/>
          <w:szCs w:val="18"/>
        </w:rPr>
        <w:t>ú</w:t>
      </w:r>
      <w:r w:rsidRPr="00693C93">
        <w:rPr>
          <w:bCs/>
          <w:iCs/>
          <w:sz w:val="20"/>
          <w:szCs w:val="18"/>
        </w:rPr>
        <w:t>četní závěrk</w:t>
      </w:r>
      <w:r w:rsidR="00F20420">
        <w:rPr>
          <w:bCs/>
          <w:iCs/>
          <w:sz w:val="20"/>
          <w:szCs w:val="18"/>
        </w:rPr>
        <w:t>y</w:t>
      </w:r>
      <w:r w:rsidRPr="00693C93">
        <w:rPr>
          <w:bCs/>
          <w:iCs/>
          <w:sz w:val="20"/>
          <w:szCs w:val="18"/>
        </w:rPr>
        <w:t xml:space="preserve"> SPH za roky 2019, 2020 a 2021</w:t>
      </w:r>
      <w:r w:rsidR="00F20420">
        <w:rPr>
          <w:bCs/>
          <w:iCs/>
          <w:sz w:val="20"/>
          <w:szCs w:val="18"/>
        </w:rPr>
        <w:t>.</w:t>
      </w:r>
    </w:p>
    <w:p w14:paraId="302D9E7D" w14:textId="77777777" w:rsidR="00234BCD" w:rsidRPr="00313F52" w:rsidRDefault="00234BCD" w:rsidP="00693C93">
      <w:pPr>
        <w:spacing w:before="120" w:after="120" w:line="264" w:lineRule="auto"/>
        <w:jc w:val="both"/>
        <w:rPr>
          <w:bCs/>
          <w:iCs/>
        </w:rPr>
      </w:pPr>
      <w:r w:rsidRPr="00362445">
        <w:rPr>
          <w:sz w:val="24"/>
        </w:rPr>
        <w:t>K 31. prosinci 2021 hospodařila SPH s majetkem v celkové hodnotě 2 368 053,93 tis. Kč, z toho nejvýznamnější položkou byla stálá aktiva</w:t>
      </w:r>
      <w:r w:rsidR="0057445F">
        <w:rPr>
          <w:sz w:val="24"/>
        </w:rPr>
        <w:t>, zejména</w:t>
      </w:r>
      <w:r w:rsidRPr="00362445">
        <w:rPr>
          <w:sz w:val="24"/>
        </w:rPr>
        <w:t xml:space="preserve"> pozemky, stavby a nedokončený dlouhodobý hmotný majetek. </w:t>
      </w:r>
    </w:p>
    <w:p w14:paraId="6125EA8A" w14:textId="77777777" w:rsidR="00964B0E" w:rsidRPr="00D002D2" w:rsidRDefault="00964B0E" w:rsidP="0009026A">
      <w:pPr>
        <w:keepNext/>
        <w:tabs>
          <w:tab w:val="right" w:pos="9072"/>
        </w:tabs>
        <w:spacing w:after="40" w:line="240" w:lineRule="auto"/>
        <w:jc w:val="both"/>
        <w:rPr>
          <w:b/>
          <w:bCs/>
          <w:iCs/>
          <w:sz w:val="24"/>
        </w:rPr>
      </w:pPr>
      <w:r w:rsidRPr="00D002D2">
        <w:rPr>
          <w:b/>
          <w:bCs/>
          <w:iCs/>
          <w:sz w:val="24"/>
        </w:rPr>
        <w:lastRenderedPageBreak/>
        <w:t xml:space="preserve">Tabulka č. </w:t>
      </w:r>
      <w:r w:rsidR="00AE4CA4" w:rsidRPr="00D002D2">
        <w:rPr>
          <w:b/>
          <w:bCs/>
          <w:iCs/>
          <w:sz w:val="24"/>
        </w:rPr>
        <w:t>4</w:t>
      </w:r>
      <w:r w:rsidRPr="00D002D2">
        <w:rPr>
          <w:b/>
          <w:bCs/>
          <w:iCs/>
          <w:sz w:val="24"/>
        </w:rPr>
        <w:t>: Vybrané položky výkazu zisku a ztráty</w:t>
      </w:r>
      <w:r w:rsidR="00CF4E83" w:rsidRPr="00D002D2">
        <w:rPr>
          <w:b/>
          <w:bCs/>
          <w:iCs/>
          <w:sz w:val="24"/>
        </w:rPr>
        <w:t xml:space="preserve"> </w:t>
      </w:r>
      <w:r w:rsidR="00D002D2">
        <w:rPr>
          <w:b/>
          <w:bCs/>
          <w:iCs/>
          <w:sz w:val="24"/>
        </w:rPr>
        <w:tab/>
      </w:r>
      <w:r w:rsidRPr="00D002D2">
        <w:rPr>
          <w:b/>
          <w:bCs/>
          <w:iCs/>
          <w:sz w:val="24"/>
        </w:rPr>
        <w:t>(v tis. Kč)</w:t>
      </w:r>
    </w:p>
    <w:tbl>
      <w:tblPr>
        <w:tblW w:w="5000" w:type="pct"/>
        <w:tblCellMar>
          <w:left w:w="70" w:type="dxa"/>
          <w:right w:w="70" w:type="dxa"/>
        </w:tblCellMar>
        <w:tblLook w:val="04A0" w:firstRow="1" w:lastRow="0" w:firstColumn="1" w:lastColumn="0" w:noHBand="0" w:noVBand="1"/>
      </w:tblPr>
      <w:tblGrid>
        <w:gridCol w:w="1707"/>
        <w:gridCol w:w="1314"/>
        <w:gridCol w:w="1182"/>
        <w:gridCol w:w="1314"/>
        <w:gridCol w:w="1182"/>
        <w:gridCol w:w="1312"/>
        <w:gridCol w:w="1051"/>
      </w:tblGrid>
      <w:tr w:rsidR="00964B0E" w:rsidRPr="0009026A" w14:paraId="618B925C" w14:textId="77777777" w:rsidTr="0009026A">
        <w:trPr>
          <w:trHeight w:val="255"/>
          <w:tblHeader/>
        </w:trPr>
        <w:tc>
          <w:tcPr>
            <w:tcW w:w="942" w:type="pct"/>
            <w:vMerge w:val="restart"/>
            <w:tcBorders>
              <w:top w:val="single" w:sz="4" w:space="0" w:color="auto"/>
              <w:left w:val="single" w:sz="4" w:space="0" w:color="auto"/>
              <w:bottom w:val="single" w:sz="4" w:space="0" w:color="auto"/>
              <w:right w:val="single" w:sz="4" w:space="0" w:color="auto"/>
            </w:tcBorders>
            <w:shd w:val="clear" w:color="auto" w:fill="E5F1FF"/>
            <w:vAlign w:val="center"/>
            <w:hideMark/>
          </w:tcPr>
          <w:p w14:paraId="06A3A044" w14:textId="77777777" w:rsidR="00964B0E" w:rsidRPr="0009026A" w:rsidRDefault="00964B0E" w:rsidP="0009026A">
            <w:pPr>
              <w:keepNext/>
              <w:spacing w:after="0" w:line="240" w:lineRule="auto"/>
              <w:jc w:val="center"/>
              <w:rPr>
                <w:rFonts w:ascii="Calibri" w:eastAsia="Times New Roman" w:hAnsi="Calibri" w:cs="Calibri"/>
                <w:b/>
                <w:bCs/>
                <w:color w:val="000000"/>
                <w:sz w:val="18"/>
                <w:szCs w:val="18"/>
                <w:lang w:eastAsia="cs-CZ"/>
              </w:rPr>
            </w:pPr>
            <w:r w:rsidRPr="0009026A">
              <w:rPr>
                <w:rFonts w:ascii="Calibri" w:eastAsia="Times New Roman" w:hAnsi="Calibri" w:cs="Calibri"/>
                <w:b/>
                <w:bCs/>
                <w:color w:val="000000"/>
                <w:sz w:val="18"/>
                <w:szCs w:val="18"/>
                <w:lang w:eastAsia="cs-CZ"/>
              </w:rPr>
              <w:t> Položka</w:t>
            </w:r>
          </w:p>
        </w:tc>
        <w:tc>
          <w:tcPr>
            <w:tcW w:w="1377" w:type="pct"/>
            <w:gridSpan w:val="2"/>
            <w:tcBorders>
              <w:top w:val="single" w:sz="4" w:space="0" w:color="auto"/>
              <w:left w:val="nil"/>
              <w:bottom w:val="single" w:sz="4" w:space="0" w:color="auto"/>
              <w:right w:val="single" w:sz="4" w:space="0" w:color="auto"/>
            </w:tcBorders>
            <w:shd w:val="clear" w:color="auto" w:fill="E5F1FF"/>
            <w:vAlign w:val="center"/>
            <w:hideMark/>
          </w:tcPr>
          <w:p w14:paraId="4E4810B1" w14:textId="77777777" w:rsidR="00964B0E" w:rsidRPr="0009026A" w:rsidRDefault="00CF4E83" w:rsidP="0009026A">
            <w:pPr>
              <w:keepNext/>
              <w:spacing w:after="0" w:line="240" w:lineRule="auto"/>
              <w:jc w:val="center"/>
              <w:rPr>
                <w:rFonts w:ascii="Calibri" w:eastAsia="Times New Roman" w:hAnsi="Calibri" w:cs="Calibri"/>
                <w:b/>
                <w:bCs/>
                <w:color w:val="000000"/>
                <w:sz w:val="18"/>
                <w:szCs w:val="18"/>
                <w:lang w:eastAsia="cs-CZ"/>
              </w:rPr>
            </w:pPr>
            <w:r w:rsidRPr="0009026A">
              <w:rPr>
                <w:rFonts w:cstheme="minorHAnsi"/>
                <w:b/>
                <w:bCs/>
                <w:sz w:val="18"/>
                <w:szCs w:val="18"/>
              </w:rPr>
              <w:t xml:space="preserve">k 31. 12. </w:t>
            </w:r>
            <w:r w:rsidR="00964B0E" w:rsidRPr="0009026A">
              <w:rPr>
                <w:rFonts w:ascii="Calibri" w:eastAsia="Times New Roman" w:hAnsi="Calibri" w:cs="Calibri"/>
                <w:b/>
                <w:bCs/>
                <w:color w:val="000000"/>
                <w:sz w:val="18"/>
                <w:szCs w:val="18"/>
                <w:lang w:eastAsia="cs-CZ"/>
              </w:rPr>
              <w:t>2019</w:t>
            </w:r>
          </w:p>
        </w:tc>
        <w:tc>
          <w:tcPr>
            <w:tcW w:w="1377" w:type="pct"/>
            <w:gridSpan w:val="2"/>
            <w:tcBorders>
              <w:top w:val="single" w:sz="4" w:space="0" w:color="auto"/>
              <w:left w:val="nil"/>
              <w:bottom w:val="single" w:sz="4" w:space="0" w:color="auto"/>
              <w:right w:val="single" w:sz="4" w:space="0" w:color="auto"/>
            </w:tcBorders>
            <w:shd w:val="clear" w:color="auto" w:fill="E5F1FF"/>
            <w:vAlign w:val="center"/>
            <w:hideMark/>
          </w:tcPr>
          <w:p w14:paraId="3DB534C9" w14:textId="77777777" w:rsidR="00964B0E" w:rsidRPr="0009026A" w:rsidRDefault="00CF4E83" w:rsidP="0009026A">
            <w:pPr>
              <w:keepNext/>
              <w:spacing w:after="0" w:line="240" w:lineRule="auto"/>
              <w:jc w:val="center"/>
              <w:rPr>
                <w:rFonts w:ascii="Calibri" w:eastAsia="Times New Roman" w:hAnsi="Calibri" w:cs="Calibri"/>
                <w:b/>
                <w:bCs/>
                <w:color w:val="000000"/>
                <w:sz w:val="18"/>
                <w:szCs w:val="18"/>
                <w:lang w:eastAsia="cs-CZ"/>
              </w:rPr>
            </w:pPr>
            <w:r w:rsidRPr="0009026A">
              <w:rPr>
                <w:rFonts w:cstheme="minorHAnsi"/>
                <w:b/>
                <w:bCs/>
                <w:sz w:val="18"/>
                <w:szCs w:val="18"/>
              </w:rPr>
              <w:t xml:space="preserve">k 31. 12. </w:t>
            </w:r>
            <w:r w:rsidR="00964B0E" w:rsidRPr="0009026A">
              <w:rPr>
                <w:rFonts w:ascii="Calibri" w:eastAsia="Times New Roman" w:hAnsi="Calibri" w:cs="Calibri"/>
                <w:b/>
                <w:bCs/>
                <w:color w:val="000000"/>
                <w:sz w:val="18"/>
                <w:szCs w:val="18"/>
                <w:lang w:eastAsia="cs-CZ"/>
              </w:rPr>
              <w:t>2020</w:t>
            </w:r>
          </w:p>
        </w:tc>
        <w:tc>
          <w:tcPr>
            <w:tcW w:w="1304" w:type="pct"/>
            <w:gridSpan w:val="2"/>
            <w:tcBorders>
              <w:top w:val="single" w:sz="4" w:space="0" w:color="auto"/>
              <w:left w:val="nil"/>
              <w:bottom w:val="single" w:sz="4" w:space="0" w:color="auto"/>
              <w:right w:val="single" w:sz="4" w:space="0" w:color="auto"/>
            </w:tcBorders>
            <w:shd w:val="clear" w:color="auto" w:fill="E5F1FF"/>
            <w:vAlign w:val="center"/>
            <w:hideMark/>
          </w:tcPr>
          <w:p w14:paraId="6BB6DEBB" w14:textId="77777777" w:rsidR="00964B0E" w:rsidRPr="0009026A" w:rsidRDefault="00CF4E83" w:rsidP="0009026A">
            <w:pPr>
              <w:keepNext/>
              <w:spacing w:after="0" w:line="240" w:lineRule="auto"/>
              <w:jc w:val="center"/>
              <w:rPr>
                <w:rFonts w:ascii="Calibri" w:eastAsia="Times New Roman" w:hAnsi="Calibri" w:cs="Calibri"/>
                <w:b/>
                <w:bCs/>
                <w:color w:val="000000"/>
                <w:sz w:val="18"/>
                <w:szCs w:val="18"/>
                <w:lang w:eastAsia="cs-CZ"/>
              </w:rPr>
            </w:pPr>
            <w:r w:rsidRPr="0009026A">
              <w:rPr>
                <w:rFonts w:cstheme="minorHAnsi"/>
                <w:b/>
                <w:bCs/>
                <w:sz w:val="18"/>
                <w:szCs w:val="18"/>
              </w:rPr>
              <w:t xml:space="preserve">k 31. 12. </w:t>
            </w:r>
            <w:r w:rsidR="00964B0E" w:rsidRPr="0009026A">
              <w:rPr>
                <w:rFonts w:ascii="Calibri" w:eastAsia="Times New Roman" w:hAnsi="Calibri" w:cs="Calibri"/>
                <w:b/>
                <w:bCs/>
                <w:color w:val="000000"/>
                <w:sz w:val="18"/>
                <w:szCs w:val="18"/>
                <w:lang w:eastAsia="cs-CZ"/>
              </w:rPr>
              <w:t>2021</w:t>
            </w:r>
          </w:p>
        </w:tc>
      </w:tr>
      <w:tr w:rsidR="00614885" w:rsidRPr="0009026A" w14:paraId="4A264846" w14:textId="77777777" w:rsidTr="0009026A">
        <w:trPr>
          <w:trHeight w:val="255"/>
          <w:tblHeader/>
        </w:trPr>
        <w:tc>
          <w:tcPr>
            <w:tcW w:w="942" w:type="pct"/>
            <w:vMerge/>
            <w:tcBorders>
              <w:top w:val="single" w:sz="4" w:space="0" w:color="auto"/>
              <w:left w:val="single" w:sz="4" w:space="0" w:color="auto"/>
              <w:bottom w:val="single" w:sz="4" w:space="0" w:color="auto"/>
              <w:right w:val="single" w:sz="4" w:space="0" w:color="auto"/>
            </w:tcBorders>
            <w:shd w:val="clear" w:color="auto" w:fill="E5F1FF"/>
            <w:vAlign w:val="center"/>
            <w:hideMark/>
          </w:tcPr>
          <w:p w14:paraId="427AB8F3" w14:textId="77777777" w:rsidR="00964B0E" w:rsidRPr="0009026A" w:rsidRDefault="00964B0E" w:rsidP="0009026A">
            <w:pPr>
              <w:keepNext/>
              <w:spacing w:after="0" w:line="240" w:lineRule="auto"/>
              <w:rPr>
                <w:rFonts w:ascii="Calibri" w:eastAsia="Times New Roman" w:hAnsi="Calibri" w:cs="Calibri"/>
                <w:b/>
                <w:bCs/>
                <w:color w:val="000000"/>
                <w:sz w:val="18"/>
                <w:szCs w:val="18"/>
                <w:lang w:eastAsia="cs-CZ"/>
              </w:rPr>
            </w:pPr>
          </w:p>
        </w:tc>
        <w:tc>
          <w:tcPr>
            <w:tcW w:w="725" w:type="pct"/>
            <w:tcBorders>
              <w:top w:val="nil"/>
              <w:left w:val="nil"/>
              <w:bottom w:val="single" w:sz="4" w:space="0" w:color="auto"/>
              <w:right w:val="single" w:sz="4" w:space="0" w:color="auto"/>
            </w:tcBorders>
            <w:shd w:val="clear" w:color="auto" w:fill="E5F1FF"/>
            <w:vAlign w:val="center"/>
            <w:hideMark/>
          </w:tcPr>
          <w:p w14:paraId="791620D5" w14:textId="77777777" w:rsidR="00964B0E" w:rsidRPr="0009026A" w:rsidRDefault="00964B0E" w:rsidP="0009026A">
            <w:pPr>
              <w:keepNext/>
              <w:spacing w:after="0" w:line="240" w:lineRule="auto"/>
              <w:jc w:val="center"/>
              <w:rPr>
                <w:rFonts w:ascii="Calibri" w:eastAsia="Times New Roman" w:hAnsi="Calibri" w:cs="Calibri"/>
                <w:b/>
                <w:bCs/>
                <w:color w:val="000000"/>
                <w:sz w:val="18"/>
                <w:szCs w:val="18"/>
                <w:lang w:eastAsia="cs-CZ"/>
              </w:rPr>
            </w:pPr>
            <w:r w:rsidRPr="0009026A">
              <w:rPr>
                <w:rFonts w:ascii="Calibri" w:eastAsia="Times New Roman" w:hAnsi="Calibri" w:cs="Calibri"/>
                <w:b/>
                <w:bCs/>
                <w:color w:val="000000"/>
                <w:sz w:val="18"/>
                <w:szCs w:val="18"/>
                <w:lang w:eastAsia="cs-CZ"/>
              </w:rPr>
              <w:t>Hlavní činnost</w:t>
            </w:r>
          </w:p>
        </w:tc>
        <w:tc>
          <w:tcPr>
            <w:tcW w:w="652" w:type="pct"/>
            <w:tcBorders>
              <w:top w:val="nil"/>
              <w:left w:val="nil"/>
              <w:bottom w:val="single" w:sz="4" w:space="0" w:color="auto"/>
              <w:right w:val="single" w:sz="4" w:space="0" w:color="auto"/>
            </w:tcBorders>
            <w:shd w:val="clear" w:color="auto" w:fill="E5F1FF"/>
            <w:vAlign w:val="center"/>
            <w:hideMark/>
          </w:tcPr>
          <w:p w14:paraId="60F6946C" w14:textId="77777777" w:rsidR="00964B0E" w:rsidRPr="0009026A" w:rsidRDefault="00964B0E" w:rsidP="0009026A">
            <w:pPr>
              <w:keepNext/>
              <w:spacing w:after="0" w:line="240" w:lineRule="auto"/>
              <w:jc w:val="center"/>
              <w:rPr>
                <w:rFonts w:ascii="Calibri" w:eastAsia="Times New Roman" w:hAnsi="Calibri" w:cs="Calibri"/>
                <w:b/>
                <w:bCs/>
                <w:color w:val="000000"/>
                <w:sz w:val="18"/>
                <w:szCs w:val="18"/>
                <w:lang w:eastAsia="cs-CZ"/>
              </w:rPr>
            </w:pPr>
            <w:r w:rsidRPr="0009026A">
              <w:rPr>
                <w:rFonts w:ascii="Calibri" w:eastAsia="Times New Roman" w:hAnsi="Calibri" w:cs="Calibri"/>
                <w:b/>
                <w:bCs/>
                <w:color w:val="000000"/>
                <w:sz w:val="18"/>
                <w:szCs w:val="18"/>
                <w:lang w:eastAsia="cs-CZ"/>
              </w:rPr>
              <w:t>Jiná činnost</w:t>
            </w:r>
          </w:p>
        </w:tc>
        <w:tc>
          <w:tcPr>
            <w:tcW w:w="725" w:type="pct"/>
            <w:tcBorders>
              <w:top w:val="nil"/>
              <w:left w:val="nil"/>
              <w:bottom w:val="single" w:sz="4" w:space="0" w:color="auto"/>
              <w:right w:val="single" w:sz="4" w:space="0" w:color="auto"/>
            </w:tcBorders>
            <w:shd w:val="clear" w:color="auto" w:fill="E5F1FF"/>
            <w:vAlign w:val="center"/>
            <w:hideMark/>
          </w:tcPr>
          <w:p w14:paraId="6EA8D59D" w14:textId="77777777" w:rsidR="00964B0E" w:rsidRPr="0009026A" w:rsidRDefault="00964B0E" w:rsidP="0009026A">
            <w:pPr>
              <w:keepNext/>
              <w:spacing w:after="0" w:line="240" w:lineRule="auto"/>
              <w:jc w:val="center"/>
              <w:rPr>
                <w:rFonts w:ascii="Calibri" w:eastAsia="Times New Roman" w:hAnsi="Calibri" w:cs="Calibri"/>
                <w:b/>
                <w:bCs/>
                <w:color w:val="000000"/>
                <w:sz w:val="18"/>
                <w:szCs w:val="18"/>
                <w:lang w:eastAsia="cs-CZ"/>
              </w:rPr>
            </w:pPr>
            <w:r w:rsidRPr="0009026A">
              <w:rPr>
                <w:rFonts w:ascii="Calibri" w:eastAsia="Times New Roman" w:hAnsi="Calibri" w:cs="Calibri"/>
                <w:b/>
                <w:bCs/>
                <w:color w:val="000000"/>
                <w:sz w:val="18"/>
                <w:szCs w:val="18"/>
                <w:lang w:eastAsia="cs-CZ"/>
              </w:rPr>
              <w:t>Hlavní činnost</w:t>
            </w:r>
          </w:p>
        </w:tc>
        <w:tc>
          <w:tcPr>
            <w:tcW w:w="652" w:type="pct"/>
            <w:tcBorders>
              <w:top w:val="nil"/>
              <w:left w:val="nil"/>
              <w:bottom w:val="single" w:sz="4" w:space="0" w:color="auto"/>
              <w:right w:val="single" w:sz="4" w:space="0" w:color="auto"/>
            </w:tcBorders>
            <w:shd w:val="clear" w:color="auto" w:fill="E5F1FF"/>
            <w:vAlign w:val="center"/>
            <w:hideMark/>
          </w:tcPr>
          <w:p w14:paraId="5E17D4D4" w14:textId="77777777" w:rsidR="00964B0E" w:rsidRPr="0009026A" w:rsidRDefault="00964B0E" w:rsidP="0009026A">
            <w:pPr>
              <w:keepNext/>
              <w:spacing w:after="0" w:line="240" w:lineRule="auto"/>
              <w:jc w:val="center"/>
              <w:rPr>
                <w:rFonts w:ascii="Calibri" w:eastAsia="Times New Roman" w:hAnsi="Calibri" w:cs="Calibri"/>
                <w:b/>
                <w:bCs/>
                <w:color w:val="000000"/>
                <w:sz w:val="18"/>
                <w:szCs w:val="18"/>
                <w:lang w:eastAsia="cs-CZ"/>
              </w:rPr>
            </w:pPr>
            <w:r w:rsidRPr="0009026A">
              <w:rPr>
                <w:rFonts w:ascii="Calibri" w:eastAsia="Times New Roman" w:hAnsi="Calibri" w:cs="Calibri"/>
                <w:b/>
                <w:bCs/>
                <w:color w:val="000000"/>
                <w:sz w:val="18"/>
                <w:szCs w:val="18"/>
                <w:lang w:eastAsia="cs-CZ"/>
              </w:rPr>
              <w:t>Jiná činnost</w:t>
            </w:r>
          </w:p>
        </w:tc>
        <w:tc>
          <w:tcPr>
            <w:tcW w:w="724" w:type="pct"/>
            <w:tcBorders>
              <w:top w:val="nil"/>
              <w:left w:val="nil"/>
              <w:bottom w:val="single" w:sz="4" w:space="0" w:color="auto"/>
              <w:right w:val="single" w:sz="4" w:space="0" w:color="auto"/>
            </w:tcBorders>
            <w:shd w:val="clear" w:color="auto" w:fill="E5F1FF"/>
            <w:vAlign w:val="center"/>
            <w:hideMark/>
          </w:tcPr>
          <w:p w14:paraId="534CBF54" w14:textId="77777777" w:rsidR="00964B0E" w:rsidRPr="0009026A" w:rsidRDefault="00964B0E" w:rsidP="0009026A">
            <w:pPr>
              <w:keepNext/>
              <w:spacing w:after="0" w:line="240" w:lineRule="auto"/>
              <w:jc w:val="center"/>
              <w:rPr>
                <w:rFonts w:ascii="Calibri" w:eastAsia="Times New Roman" w:hAnsi="Calibri" w:cs="Calibri"/>
                <w:b/>
                <w:bCs/>
                <w:color w:val="000000"/>
                <w:sz w:val="18"/>
                <w:szCs w:val="18"/>
                <w:lang w:eastAsia="cs-CZ"/>
              </w:rPr>
            </w:pPr>
            <w:r w:rsidRPr="0009026A">
              <w:rPr>
                <w:rFonts w:ascii="Calibri" w:eastAsia="Times New Roman" w:hAnsi="Calibri" w:cs="Calibri"/>
                <w:b/>
                <w:bCs/>
                <w:color w:val="000000"/>
                <w:sz w:val="18"/>
                <w:szCs w:val="18"/>
                <w:lang w:eastAsia="cs-CZ"/>
              </w:rPr>
              <w:t>Hlavní činnost</w:t>
            </w:r>
          </w:p>
        </w:tc>
        <w:tc>
          <w:tcPr>
            <w:tcW w:w="580" w:type="pct"/>
            <w:tcBorders>
              <w:top w:val="nil"/>
              <w:left w:val="nil"/>
              <w:bottom w:val="single" w:sz="4" w:space="0" w:color="auto"/>
              <w:right w:val="single" w:sz="4" w:space="0" w:color="auto"/>
            </w:tcBorders>
            <w:shd w:val="clear" w:color="auto" w:fill="E5F1FF"/>
            <w:vAlign w:val="center"/>
            <w:hideMark/>
          </w:tcPr>
          <w:p w14:paraId="4254CC16" w14:textId="77777777" w:rsidR="00964B0E" w:rsidRPr="0009026A" w:rsidRDefault="00964B0E" w:rsidP="0009026A">
            <w:pPr>
              <w:keepNext/>
              <w:spacing w:after="0" w:line="240" w:lineRule="auto"/>
              <w:jc w:val="center"/>
              <w:rPr>
                <w:rFonts w:ascii="Calibri" w:eastAsia="Times New Roman" w:hAnsi="Calibri" w:cs="Calibri"/>
                <w:b/>
                <w:bCs/>
                <w:color w:val="000000"/>
                <w:sz w:val="18"/>
                <w:szCs w:val="18"/>
                <w:lang w:eastAsia="cs-CZ"/>
              </w:rPr>
            </w:pPr>
            <w:r w:rsidRPr="0009026A">
              <w:rPr>
                <w:rFonts w:ascii="Calibri" w:eastAsia="Times New Roman" w:hAnsi="Calibri" w:cs="Calibri"/>
                <w:b/>
                <w:bCs/>
                <w:color w:val="000000"/>
                <w:sz w:val="18"/>
                <w:szCs w:val="18"/>
                <w:lang w:eastAsia="cs-CZ"/>
              </w:rPr>
              <w:t>Jiná činnost</w:t>
            </w:r>
          </w:p>
        </w:tc>
      </w:tr>
      <w:tr w:rsidR="00614885" w:rsidRPr="0009026A" w14:paraId="34E815FF" w14:textId="77777777" w:rsidTr="0009026A">
        <w:trPr>
          <w:trHeight w:val="255"/>
        </w:trPr>
        <w:tc>
          <w:tcPr>
            <w:tcW w:w="942" w:type="pct"/>
            <w:tcBorders>
              <w:top w:val="nil"/>
              <w:left w:val="single" w:sz="4" w:space="0" w:color="auto"/>
              <w:bottom w:val="single" w:sz="4" w:space="0" w:color="auto"/>
              <w:right w:val="single" w:sz="4" w:space="0" w:color="auto"/>
            </w:tcBorders>
            <w:shd w:val="clear" w:color="auto" w:fill="auto"/>
            <w:vAlign w:val="center"/>
            <w:hideMark/>
          </w:tcPr>
          <w:p w14:paraId="39AF8EEE" w14:textId="77777777" w:rsidR="00964B0E" w:rsidRPr="0009026A" w:rsidRDefault="00964B0E" w:rsidP="0009026A">
            <w:pPr>
              <w:keepNext/>
              <w:spacing w:after="0" w:line="240" w:lineRule="auto"/>
              <w:rPr>
                <w:rFonts w:ascii="Calibri" w:eastAsia="Times New Roman" w:hAnsi="Calibri" w:cs="Calibri"/>
                <w:bCs/>
                <w:color w:val="000000"/>
                <w:sz w:val="18"/>
                <w:szCs w:val="18"/>
                <w:lang w:eastAsia="cs-CZ"/>
              </w:rPr>
            </w:pPr>
            <w:r w:rsidRPr="0009026A">
              <w:rPr>
                <w:rFonts w:ascii="Calibri" w:eastAsia="Times New Roman" w:hAnsi="Calibri" w:cs="Calibri"/>
                <w:bCs/>
                <w:color w:val="000000"/>
                <w:sz w:val="18"/>
                <w:szCs w:val="18"/>
                <w:lang w:eastAsia="cs-CZ"/>
              </w:rPr>
              <w:t>Náklady celkem</w:t>
            </w:r>
          </w:p>
        </w:tc>
        <w:tc>
          <w:tcPr>
            <w:tcW w:w="725" w:type="pct"/>
            <w:tcBorders>
              <w:top w:val="nil"/>
              <w:left w:val="nil"/>
              <w:bottom w:val="single" w:sz="4" w:space="0" w:color="auto"/>
              <w:right w:val="single" w:sz="4" w:space="0" w:color="auto"/>
            </w:tcBorders>
            <w:shd w:val="clear" w:color="auto" w:fill="auto"/>
            <w:vAlign w:val="center"/>
            <w:hideMark/>
          </w:tcPr>
          <w:p w14:paraId="1F0B10B6" w14:textId="77777777" w:rsidR="00964B0E" w:rsidRPr="0009026A" w:rsidRDefault="00964B0E" w:rsidP="0009026A">
            <w:pPr>
              <w:keepNext/>
              <w:spacing w:after="0" w:line="240" w:lineRule="auto"/>
              <w:ind w:right="57"/>
              <w:jc w:val="right"/>
              <w:rPr>
                <w:rFonts w:ascii="Calibri" w:eastAsia="Times New Roman" w:hAnsi="Calibri" w:cs="Calibri"/>
                <w:bCs/>
                <w:color w:val="000000"/>
                <w:sz w:val="18"/>
                <w:szCs w:val="18"/>
                <w:lang w:eastAsia="cs-CZ"/>
              </w:rPr>
            </w:pPr>
            <w:r w:rsidRPr="0009026A">
              <w:rPr>
                <w:rFonts w:ascii="Calibri" w:eastAsia="Times New Roman" w:hAnsi="Calibri" w:cs="Calibri"/>
                <w:bCs/>
                <w:color w:val="000000"/>
                <w:sz w:val="18"/>
                <w:szCs w:val="18"/>
                <w:lang w:eastAsia="cs-CZ"/>
              </w:rPr>
              <w:t>920</w:t>
            </w:r>
            <w:r w:rsidR="00692692" w:rsidRPr="0009026A">
              <w:rPr>
                <w:rFonts w:ascii="Calibri" w:eastAsia="Times New Roman" w:hAnsi="Calibri" w:cs="Calibri"/>
                <w:bCs/>
                <w:color w:val="000000"/>
                <w:sz w:val="18"/>
                <w:szCs w:val="18"/>
                <w:lang w:eastAsia="cs-CZ"/>
              </w:rPr>
              <w:t> </w:t>
            </w:r>
            <w:r w:rsidRPr="0009026A">
              <w:rPr>
                <w:rFonts w:ascii="Calibri" w:eastAsia="Times New Roman" w:hAnsi="Calibri" w:cs="Calibri"/>
                <w:bCs/>
                <w:color w:val="000000"/>
                <w:sz w:val="18"/>
                <w:szCs w:val="18"/>
                <w:lang w:eastAsia="cs-CZ"/>
              </w:rPr>
              <w:t>518</w:t>
            </w:r>
            <w:r w:rsidR="00692692" w:rsidRPr="0009026A">
              <w:rPr>
                <w:rFonts w:ascii="Calibri" w:eastAsia="Times New Roman" w:hAnsi="Calibri" w:cs="Calibri"/>
                <w:bCs/>
                <w:color w:val="000000"/>
                <w:sz w:val="18"/>
                <w:szCs w:val="18"/>
                <w:lang w:eastAsia="cs-CZ"/>
              </w:rPr>
              <w:t>,</w:t>
            </w:r>
            <w:r w:rsidRPr="0009026A">
              <w:rPr>
                <w:rFonts w:ascii="Calibri" w:eastAsia="Times New Roman" w:hAnsi="Calibri" w:cs="Calibri"/>
                <w:bCs/>
                <w:color w:val="000000"/>
                <w:sz w:val="18"/>
                <w:szCs w:val="18"/>
                <w:lang w:eastAsia="cs-CZ"/>
              </w:rPr>
              <w:t>50</w:t>
            </w:r>
          </w:p>
        </w:tc>
        <w:tc>
          <w:tcPr>
            <w:tcW w:w="652" w:type="pct"/>
            <w:tcBorders>
              <w:top w:val="nil"/>
              <w:left w:val="nil"/>
              <w:bottom w:val="single" w:sz="4" w:space="0" w:color="auto"/>
              <w:right w:val="single" w:sz="4" w:space="0" w:color="auto"/>
            </w:tcBorders>
            <w:shd w:val="clear" w:color="auto" w:fill="auto"/>
            <w:vAlign w:val="center"/>
            <w:hideMark/>
          </w:tcPr>
          <w:p w14:paraId="068CDE34" w14:textId="77777777" w:rsidR="00964B0E" w:rsidRPr="0009026A" w:rsidRDefault="00964B0E" w:rsidP="0009026A">
            <w:pPr>
              <w:keepNext/>
              <w:spacing w:after="0" w:line="240" w:lineRule="auto"/>
              <w:ind w:right="57"/>
              <w:jc w:val="right"/>
              <w:rPr>
                <w:rFonts w:ascii="Calibri" w:eastAsia="Times New Roman" w:hAnsi="Calibri" w:cs="Calibri"/>
                <w:bCs/>
                <w:color w:val="000000"/>
                <w:sz w:val="18"/>
                <w:szCs w:val="18"/>
                <w:lang w:eastAsia="cs-CZ"/>
              </w:rPr>
            </w:pPr>
            <w:r w:rsidRPr="0009026A">
              <w:rPr>
                <w:rFonts w:ascii="Calibri" w:eastAsia="Times New Roman" w:hAnsi="Calibri" w:cs="Calibri"/>
                <w:bCs/>
                <w:color w:val="000000"/>
                <w:sz w:val="18"/>
                <w:szCs w:val="18"/>
                <w:lang w:eastAsia="cs-CZ"/>
              </w:rPr>
              <w:t>45</w:t>
            </w:r>
            <w:r w:rsidR="00692692" w:rsidRPr="0009026A">
              <w:rPr>
                <w:rFonts w:ascii="Calibri" w:eastAsia="Times New Roman" w:hAnsi="Calibri" w:cs="Calibri"/>
                <w:bCs/>
                <w:color w:val="000000"/>
                <w:sz w:val="18"/>
                <w:szCs w:val="18"/>
                <w:lang w:eastAsia="cs-CZ"/>
              </w:rPr>
              <w:t> </w:t>
            </w:r>
            <w:r w:rsidRPr="0009026A">
              <w:rPr>
                <w:rFonts w:ascii="Calibri" w:eastAsia="Times New Roman" w:hAnsi="Calibri" w:cs="Calibri"/>
                <w:bCs/>
                <w:color w:val="000000"/>
                <w:sz w:val="18"/>
                <w:szCs w:val="18"/>
                <w:lang w:eastAsia="cs-CZ"/>
              </w:rPr>
              <w:t>660</w:t>
            </w:r>
            <w:r w:rsidR="00692692" w:rsidRPr="0009026A">
              <w:rPr>
                <w:rFonts w:ascii="Calibri" w:eastAsia="Times New Roman" w:hAnsi="Calibri" w:cs="Calibri"/>
                <w:bCs/>
                <w:color w:val="000000"/>
                <w:sz w:val="18"/>
                <w:szCs w:val="18"/>
                <w:lang w:eastAsia="cs-CZ"/>
              </w:rPr>
              <w:t>,</w:t>
            </w:r>
            <w:r w:rsidRPr="0009026A">
              <w:rPr>
                <w:rFonts w:ascii="Calibri" w:eastAsia="Times New Roman" w:hAnsi="Calibri" w:cs="Calibri"/>
                <w:bCs/>
                <w:color w:val="000000"/>
                <w:sz w:val="18"/>
                <w:szCs w:val="18"/>
                <w:lang w:eastAsia="cs-CZ"/>
              </w:rPr>
              <w:t>66</w:t>
            </w:r>
          </w:p>
        </w:tc>
        <w:tc>
          <w:tcPr>
            <w:tcW w:w="725" w:type="pct"/>
            <w:tcBorders>
              <w:top w:val="nil"/>
              <w:left w:val="nil"/>
              <w:bottom w:val="single" w:sz="4" w:space="0" w:color="auto"/>
              <w:right w:val="single" w:sz="4" w:space="0" w:color="auto"/>
            </w:tcBorders>
            <w:shd w:val="clear" w:color="auto" w:fill="auto"/>
            <w:vAlign w:val="center"/>
            <w:hideMark/>
          </w:tcPr>
          <w:p w14:paraId="65351A53" w14:textId="77777777" w:rsidR="00964B0E" w:rsidRPr="0009026A" w:rsidRDefault="00964B0E" w:rsidP="0009026A">
            <w:pPr>
              <w:keepNext/>
              <w:spacing w:after="0" w:line="240" w:lineRule="auto"/>
              <w:ind w:right="57"/>
              <w:jc w:val="right"/>
              <w:rPr>
                <w:rFonts w:ascii="Calibri" w:eastAsia="Times New Roman" w:hAnsi="Calibri" w:cs="Calibri"/>
                <w:bCs/>
                <w:color w:val="000000"/>
                <w:sz w:val="18"/>
                <w:szCs w:val="18"/>
                <w:lang w:eastAsia="cs-CZ"/>
              </w:rPr>
            </w:pPr>
            <w:r w:rsidRPr="0009026A">
              <w:rPr>
                <w:rFonts w:ascii="Calibri" w:eastAsia="Times New Roman" w:hAnsi="Calibri" w:cs="Calibri"/>
                <w:bCs/>
                <w:color w:val="000000"/>
                <w:sz w:val="18"/>
                <w:szCs w:val="18"/>
                <w:lang w:eastAsia="cs-CZ"/>
              </w:rPr>
              <w:t>710</w:t>
            </w:r>
            <w:r w:rsidR="00692692" w:rsidRPr="0009026A">
              <w:rPr>
                <w:rFonts w:ascii="Calibri" w:eastAsia="Times New Roman" w:hAnsi="Calibri" w:cs="Calibri"/>
                <w:bCs/>
                <w:color w:val="000000"/>
                <w:sz w:val="18"/>
                <w:szCs w:val="18"/>
                <w:lang w:eastAsia="cs-CZ"/>
              </w:rPr>
              <w:t> </w:t>
            </w:r>
            <w:r w:rsidRPr="0009026A">
              <w:rPr>
                <w:rFonts w:ascii="Calibri" w:eastAsia="Times New Roman" w:hAnsi="Calibri" w:cs="Calibri"/>
                <w:bCs/>
                <w:color w:val="000000"/>
                <w:sz w:val="18"/>
                <w:szCs w:val="18"/>
                <w:lang w:eastAsia="cs-CZ"/>
              </w:rPr>
              <w:t>303</w:t>
            </w:r>
            <w:r w:rsidR="00692692" w:rsidRPr="0009026A">
              <w:rPr>
                <w:rFonts w:ascii="Calibri" w:eastAsia="Times New Roman" w:hAnsi="Calibri" w:cs="Calibri"/>
                <w:bCs/>
                <w:color w:val="000000"/>
                <w:sz w:val="18"/>
                <w:szCs w:val="18"/>
                <w:lang w:eastAsia="cs-CZ"/>
              </w:rPr>
              <w:t>,</w:t>
            </w:r>
            <w:r w:rsidRPr="0009026A">
              <w:rPr>
                <w:rFonts w:ascii="Calibri" w:eastAsia="Times New Roman" w:hAnsi="Calibri" w:cs="Calibri"/>
                <w:bCs/>
                <w:color w:val="000000"/>
                <w:sz w:val="18"/>
                <w:szCs w:val="18"/>
                <w:lang w:eastAsia="cs-CZ"/>
              </w:rPr>
              <w:t>1</w:t>
            </w:r>
            <w:r w:rsidR="00692692" w:rsidRPr="0009026A">
              <w:rPr>
                <w:rFonts w:ascii="Calibri" w:eastAsia="Times New Roman" w:hAnsi="Calibri" w:cs="Calibri"/>
                <w:bCs/>
                <w:color w:val="000000"/>
                <w:sz w:val="18"/>
                <w:szCs w:val="18"/>
                <w:lang w:eastAsia="cs-CZ"/>
              </w:rPr>
              <w:t>4</w:t>
            </w:r>
          </w:p>
        </w:tc>
        <w:tc>
          <w:tcPr>
            <w:tcW w:w="652" w:type="pct"/>
            <w:tcBorders>
              <w:top w:val="nil"/>
              <w:left w:val="nil"/>
              <w:bottom w:val="single" w:sz="4" w:space="0" w:color="auto"/>
              <w:right w:val="single" w:sz="4" w:space="0" w:color="auto"/>
            </w:tcBorders>
            <w:shd w:val="clear" w:color="auto" w:fill="auto"/>
            <w:vAlign w:val="center"/>
            <w:hideMark/>
          </w:tcPr>
          <w:p w14:paraId="413FCD26" w14:textId="77777777" w:rsidR="00964B0E" w:rsidRPr="0009026A" w:rsidRDefault="00964B0E" w:rsidP="0009026A">
            <w:pPr>
              <w:keepNext/>
              <w:spacing w:after="0" w:line="240" w:lineRule="auto"/>
              <w:ind w:right="57"/>
              <w:jc w:val="right"/>
              <w:rPr>
                <w:rFonts w:ascii="Calibri" w:eastAsia="Times New Roman" w:hAnsi="Calibri" w:cs="Calibri"/>
                <w:bCs/>
                <w:color w:val="000000"/>
                <w:sz w:val="18"/>
                <w:szCs w:val="18"/>
                <w:lang w:eastAsia="cs-CZ"/>
              </w:rPr>
            </w:pPr>
            <w:r w:rsidRPr="0009026A">
              <w:rPr>
                <w:rFonts w:ascii="Calibri" w:eastAsia="Times New Roman" w:hAnsi="Calibri" w:cs="Calibri"/>
                <w:bCs/>
                <w:color w:val="000000"/>
                <w:sz w:val="18"/>
                <w:szCs w:val="18"/>
                <w:lang w:eastAsia="cs-CZ"/>
              </w:rPr>
              <w:t>17</w:t>
            </w:r>
            <w:r w:rsidR="00692692" w:rsidRPr="0009026A">
              <w:rPr>
                <w:rFonts w:ascii="Calibri" w:eastAsia="Times New Roman" w:hAnsi="Calibri" w:cs="Calibri"/>
                <w:bCs/>
                <w:color w:val="000000"/>
                <w:sz w:val="18"/>
                <w:szCs w:val="18"/>
                <w:lang w:eastAsia="cs-CZ"/>
              </w:rPr>
              <w:t> </w:t>
            </w:r>
            <w:r w:rsidRPr="0009026A">
              <w:rPr>
                <w:rFonts w:ascii="Calibri" w:eastAsia="Times New Roman" w:hAnsi="Calibri" w:cs="Calibri"/>
                <w:bCs/>
                <w:color w:val="000000"/>
                <w:sz w:val="18"/>
                <w:szCs w:val="18"/>
                <w:lang w:eastAsia="cs-CZ"/>
              </w:rPr>
              <w:t>509</w:t>
            </w:r>
            <w:r w:rsidR="00692692" w:rsidRPr="0009026A">
              <w:rPr>
                <w:rFonts w:ascii="Calibri" w:eastAsia="Times New Roman" w:hAnsi="Calibri" w:cs="Calibri"/>
                <w:bCs/>
                <w:color w:val="000000"/>
                <w:sz w:val="18"/>
                <w:szCs w:val="18"/>
                <w:lang w:eastAsia="cs-CZ"/>
              </w:rPr>
              <w:t>,</w:t>
            </w:r>
            <w:r w:rsidRPr="0009026A">
              <w:rPr>
                <w:rFonts w:ascii="Calibri" w:eastAsia="Times New Roman" w:hAnsi="Calibri" w:cs="Calibri"/>
                <w:bCs/>
                <w:color w:val="000000"/>
                <w:sz w:val="18"/>
                <w:szCs w:val="18"/>
                <w:lang w:eastAsia="cs-CZ"/>
              </w:rPr>
              <w:t>08</w:t>
            </w:r>
          </w:p>
        </w:tc>
        <w:tc>
          <w:tcPr>
            <w:tcW w:w="724" w:type="pct"/>
            <w:tcBorders>
              <w:top w:val="nil"/>
              <w:left w:val="nil"/>
              <w:bottom w:val="single" w:sz="4" w:space="0" w:color="auto"/>
              <w:right w:val="single" w:sz="4" w:space="0" w:color="auto"/>
            </w:tcBorders>
            <w:shd w:val="clear" w:color="auto" w:fill="auto"/>
            <w:vAlign w:val="center"/>
            <w:hideMark/>
          </w:tcPr>
          <w:p w14:paraId="47AE1354" w14:textId="77777777" w:rsidR="00964B0E" w:rsidRPr="0009026A" w:rsidRDefault="00964B0E" w:rsidP="0009026A">
            <w:pPr>
              <w:keepNext/>
              <w:spacing w:after="0" w:line="240" w:lineRule="auto"/>
              <w:ind w:right="57"/>
              <w:jc w:val="right"/>
              <w:rPr>
                <w:rFonts w:ascii="Calibri" w:eastAsia="Times New Roman" w:hAnsi="Calibri" w:cs="Calibri"/>
                <w:bCs/>
                <w:color w:val="000000"/>
                <w:sz w:val="18"/>
                <w:szCs w:val="18"/>
                <w:lang w:eastAsia="cs-CZ"/>
              </w:rPr>
            </w:pPr>
            <w:r w:rsidRPr="0009026A">
              <w:rPr>
                <w:rFonts w:ascii="Calibri" w:eastAsia="Times New Roman" w:hAnsi="Calibri" w:cs="Calibri"/>
                <w:bCs/>
                <w:color w:val="000000"/>
                <w:sz w:val="18"/>
                <w:szCs w:val="18"/>
                <w:lang w:eastAsia="cs-CZ"/>
              </w:rPr>
              <w:t>527</w:t>
            </w:r>
            <w:r w:rsidR="00692692" w:rsidRPr="0009026A">
              <w:rPr>
                <w:rFonts w:ascii="Calibri" w:eastAsia="Times New Roman" w:hAnsi="Calibri" w:cs="Calibri"/>
                <w:bCs/>
                <w:color w:val="000000"/>
                <w:sz w:val="18"/>
                <w:szCs w:val="18"/>
                <w:lang w:eastAsia="cs-CZ"/>
              </w:rPr>
              <w:t> </w:t>
            </w:r>
            <w:r w:rsidRPr="0009026A">
              <w:rPr>
                <w:rFonts w:ascii="Calibri" w:eastAsia="Times New Roman" w:hAnsi="Calibri" w:cs="Calibri"/>
                <w:bCs/>
                <w:color w:val="000000"/>
                <w:sz w:val="18"/>
                <w:szCs w:val="18"/>
                <w:lang w:eastAsia="cs-CZ"/>
              </w:rPr>
              <w:t>991</w:t>
            </w:r>
            <w:r w:rsidR="00692692" w:rsidRPr="0009026A">
              <w:rPr>
                <w:rFonts w:ascii="Calibri" w:eastAsia="Times New Roman" w:hAnsi="Calibri" w:cs="Calibri"/>
                <w:bCs/>
                <w:color w:val="000000"/>
                <w:sz w:val="18"/>
                <w:szCs w:val="18"/>
                <w:lang w:eastAsia="cs-CZ"/>
              </w:rPr>
              <w:t>,</w:t>
            </w:r>
            <w:r w:rsidRPr="0009026A">
              <w:rPr>
                <w:rFonts w:ascii="Calibri" w:eastAsia="Times New Roman" w:hAnsi="Calibri" w:cs="Calibri"/>
                <w:bCs/>
                <w:color w:val="000000"/>
                <w:sz w:val="18"/>
                <w:szCs w:val="18"/>
                <w:lang w:eastAsia="cs-CZ"/>
              </w:rPr>
              <w:t>3</w:t>
            </w:r>
            <w:r w:rsidR="00692692" w:rsidRPr="0009026A">
              <w:rPr>
                <w:rFonts w:ascii="Calibri" w:eastAsia="Times New Roman" w:hAnsi="Calibri" w:cs="Calibri"/>
                <w:bCs/>
                <w:color w:val="000000"/>
                <w:sz w:val="18"/>
                <w:szCs w:val="18"/>
                <w:lang w:eastAsia="cs-CZ"/>
              </w:rPr>
              <w:t>5</w:t>
            </w:r>
          </w:p>
        </w:tc>
        <w:tc>
          <w:tcPr>
            <w:tcW w:w="580" w:type="pct"/>
            <w:tcBorders>
              <w:top w:val="nil"/>
              <w:left w:val="nil"/>
              <w:bottom w:val="single" w:sz="4" w:space="0" w:color="auto"/>
              <w:right w:val="single" w:sz="4" w:space="0" w:color="auto"/>
            </w:tcBorders>
            <w:shd w:val="clear" w:color="auto" w:fill="auto"/>
            <w:vAlign w:val="center"/>
            <w:hideMark/>
          </w:tcPr>
          <w:p w14:paraId="7C286643" w14:textId="77777777" w:rsidR="00964B0E" w:rsidRPr="0009026A" w:rsidRDefault="00964B0E" w:rsidP="0009026A">
            <w:pPr>
              <w:keepNext/>
              <w:spacing w:after="0" w:line="240" w:lineRule="auto"/>
              <w:ind w:right="57"/>
              <w:jc w:val="right"/>
              <w:rPr>
                <w:rFonts w:ascii="Calibri" w:eastAsia="Times New Roman" w:hAnsi="Calibri" w:cs="Calibri"/>
                <w:bCs/>
                <w:color w:val="000000"/>
                <w:sz w:val="18"/>
                <w:szCs w:val="18"/>
                <w:lang w:eastAsia="cs-CZ"/>
              </w:rPr>
            </w:pPr>
            <w:r w:rsidRPr="0009026A">
              <w:rPr>
                <w:rFonts w:ascii="Calibri" w:eastAsia="Times New Roman" w:hAnsi="Calibri" w:cs="Calibri"/>
                <w:bCs/>
                <w:color w:val="000000"/>
                <w:sz w:val="18"/>
                <w:szCs w:val="18"/>
                <w:lang w:eastAsia="cs-CZ"/>
              </w:rPr>
              <w:t>6</w:t>
            </w:r>
            <w:r w:rsidR="00692692" w:rsidRPr="0009026A">
              <w:rPr>
                <w:rFonts w:ascii="Calibri" w:eastAsia="Times New Roman" w:hAnsi="Calibri" w:cs="Calibri"/>
                <w:bCs/>
                <w:color w:val="000000"/>
                <w:sz w:val="18"/>
                <w:szCs w:val="18"/>
                <w:lang w:eastAsia="cs-CZ"/>
              </w:rPr>
              <w:t> </w:t>
            </w:r>
            <w:r w:rsidRPr="0009026A">
              <w:rPr>
                <w:rFonts w:ascii="Calibri" w:eastAsia="Times New Roman" w:hAnsi="Calibri" w:cs="Calibri"/>
                <w:bCs/>
                <w:color w:val="000000"/>
                <w:sz w:val="18"/>
                <w:szCs w:val="18"/>
                <w:lang w:eastAsia="cs-CZ"/>
              </w:rPr>
              <w:t>118</w:t>
            </w:r>
            <w:r w:rsidR="00692692" w:rsidRPr="0009026A">
              <w:rPr>
                <w:rFonts w:ascii="Calibri" w:eastAsia="Times New Roman" w:hAnsi="Calibri" w:cs="Calibri"/>
                <w:bCs/>
                <w:color w:val="000000"/>
                <w:sz w:val="18"/>
                <w:szCs w:val="18"/>
                <w:lang w:eastAsia="cs-CZ"/>
              </w:rPr>
              <w:t>,</w:t>
            </w:r>
            <w:r w:rsidRPr="0009026A">
              <w:rPr>
                <w:rFonts w:ascii="Calibri" w:eastAsia="Times New Roman" w:hAnsi="Calibri" w:cs="Calibri"/>
                <w:bCs/>
                <w:color w:val="000000"/>
                <w:sz w:val="18"/>
                <w:szCs w:val="18"/>
                <w:lang w:eastAsia="cs-CZ"/>
              </w:rPr>
              <w:t>8</w:t>
            </w:r>
            <w:r w:rsidR="00692692" w:rsidRPr="0009026A">
              <w:rPr>
                <w:rFonts w:ascii="Calibri" w:eastAsia="Times New Roman" w:hAnsi="Calibri" w:cs="Calibri"/>
                <w:bCs/>
                <w:color w:val="000000"/>
                <w:sz w:val="18"/>
                <w:szCs w:val="18"/>
                <w:lang w:eastAsia="cs-CZ"/>
              </w:rPr>
              <w:t>6</w:t>
            </w:r>
          </w:p>
        </w:tc>
      </w:tr>
      <w:tr w:rsidR="00614885" w:rsidRPr="0009026A" w14:paraId="7B5C440B" w14:textId="77777777" w:rsidTr="0009026A">
        <w:trPr>
          <w:trHeight w:val="255"/>
        </w:trPr>
        <w:tc>
          <w:tcPr>
            <w:tcW w:w="942" w:type="pct"/>
            <w:tcBorders>
              <w:top w:val="nil"/>
              <w:left w:val="single" w:sz="4" w:space="0" w:color="auto"/>
              <w:bottom w:val="single" w:sz="4" w:space="0" w:color="auto"/>
              <w:right w:val="single" w:sz="4" w:space="0" w:color="auto"/>
            </w:tcBorders>
            <w:shd w:val="clear" w:color="000000" w:fill="FFFFFF"/>
            <w:vAlign w:val="center"/>
            <w:hideMark/>
          </w:tcPr>
          <w:p w14:paraId="46A0A2A4" w14:textId="77777777" w:rsidR="00964B0E" w:rsidRPr="0009026A" w:rsidRDefault="00964B0E" w:rsidP="0009026A">
            <w:pPr>
              <w:keepNext/>
              <w:spacing w:after="0" w:line="240" w:lineRule="auto"/>
              <w:rPr>
                <w:rFonts w:ascii="Calibri" w:eastAsia="Times New Roman" w:hAnsi="Calibri" w:cs="Calibri"/>
                <w:bCs/>
                <w:color w:val="000000"/>
                <w:sz w:val="18"/>
                <w:szCs w:val="18"/>
                <w:lang w:eastAsia="cs-CZ"/>
              </w:rPr>
            </w:pPr>
            <w:r w:rsidRPr="0009026A">
              <w:rPr>
                <w:rFonts w:ascii="Calibri" w:eastAsia="Times New Roman" w:hAnsi="Calibri" w:cs="Calibri"/>
                <w:bCs/>
                <w:color w:val="000000"/>
                <w:sz w:val="18"/>
                <w:szCs w:val="18"/>
                <w:lang w:eastAsia="cs-CZ"/>
              </w:rPr>
              <w:t>Výnosy celkem</w:t>
            </w:r>
          </w:p>
        </w:tc>
        <w:tc>
          <w:tcPr>
            <w:tcW w:w="725" w:type="pct"/>
            <w:tcBorders>
              <w:top w:val="nil"/>
              <w:left w:val="nil"/>
              <w:bottom w:val="single" w:sz="4" w:space="0" w:color="auto"/>
              <w:right w:val="single" w:sz="4" w:space="0" w:color="auto"/>
            </w:tcBorders>
            <w:shd w:val="clear" w:color="000000" w:fill="FFFFFF"/>
            <w:vAlign w:val="center"/>
            <w:hideMark/>
          </w:tcPr>
          <w:p w14:paraId="1B8C409A" w14:textId="77777777" w:rsidR="00964B0E" w:rsidRPr="0009026A" w:rsidRDefault="00964B0E" w:rsidP="0009026A">
            <w:pPr>
              <w:keepNext/>
              <w:spacing w:after="0" w:line="240" w:lineRule="auto"/>
              <w:ind w:right="57"/>
              <w:jc w:val="right"/>
              <w:rPr>
                <w:rFonts w:ascii="Calibri" w:eastAsia="Times New Roman" w:hAnsi="Calibri" w:cs="Calibri"/>
                <w:bCs/>
                <w:color w:val="000000"/>
                <w:sz w:val="18"/>
                <w:szCs w:val="18"/>
                <w:lang w:eastAsia="cs-CZ"/>
              </w:rPr>
            </w:pPr>
            <w:r w:rsidRPr="0009026A">
              <w:rPr>
                <w:rFonts w:ascii="Calibri" w:eastAsia="Times New Roman" w:hAnsi="Calibri" w:cs="Calibri"/>
                <w:bCs/>
                <w:color w:val="000000"/>
                <w:sz w:val="18"/>
                <w:szCs w:val="18"/>
                <w:lang w:eastAsia="cs-CZ"/>
              </w:rPr>
              <w:t>953</w:t>
            </w:r>
            <w:r w:rsidR="00692692" w:rsidRPr="0009026A">
              <w:rPr>
                <w:rFonts w:ascii="Calibri" w:eastAsia="Times New Roman" w:hAnsi="Calibri" w:cs="Calibri"/>
                <w:bCs/>
                <w:color w:val="000000"/>
                <w:sz w:val="18"/>
                <w:szCs w:val="18"/>
                <w:lang w:eastAsia="cs-CZ"/>
              </w:rPr>
              <w:t> </w:t>
            </w:r>
            <w:r w:rsidRPr="0009026A">
              <w:rPr>
                <w:rFonts w:ascii="Calibri" w:eastAsia="Times New Roman" w:hAnsi="Calibri" w:cs="Calibri"/>
                <w:bCs/>
                <w:color w:val="000000"/>
                <w:sz w:val="18"/>
                <w:szCs w:val="18"/>
                <w:lang w:eastAsia="cs-CZ"/>
              </w:rPr>
              <w:t>163</w:t>
            </w:r>
            <w:r w:rsidR="00692692" w:rsidRPr="0009026A">
              <w:rPr>
                <w:rFonts w:ascii="Calibri" w:eastAsia="Times New Roman" w:hAnsi="Calibri" w:cs="Calibri"/>
                <w:bCs/>
                <w:color w:val="000000"/>
                <w:sz w:val="18"/>
                <w:szCs w:val="18"/>
                <w:lang w:eastAsia="cs-CZ"/>
              </w:rPr>
              <w:t>,</w:t>
            </w:r>
            <w:r w:rsidRPr="0009026A">
              <w:rPr>
                <w:rFonts w:ascii="Calibri" w:eastAsia="Times New Roman" w:hAnsi="Calibri" w:cs="Calibri"/>
                <w:bCs/>
                <w:color w:val="000000"/>
                <w:sz w:val="18"/>
                <w:szCs w:val="18"/>
                <w:lang w:eastAsia="cs-CZ"/>
              </w:rPr>
              <w:t>3</w:t>
            </w:r>
            <w:r w:rsidR="00692692" w:rsidRPr="0009026A">
              <w:rPr>
                <w:rFonts w:ascii="Calibri" w:eastAsia="Times New Roman" w:hAnsi="Calibri" w:cs="Calibri"/>
                <w:bCs/>
                <w:color w:val="000000"/>
                <w:sz w:val="18"/>
                <w:szCs w:val="18"/>
                <w:lang w:eastAsia="cs-CZ"/>
              </w:rPr>
              <w:t>7</w:t>
            </w:r>
          </w:p>
        </w:tc>
        <w:tc>
          <w:tcPr>
            <w:tcW w:w="652" w:type="pct"/>
            <w:tcBorders>
              <w:top w:val="nil"/>
              <w:left w:val="nil"/>
              <w:bottom w:val="single" w:sz="4" w:space="0" w:color="auto"/>
              <w:right w:val="single" w:sz="4" w:space="0" w:color="auto"/>
            </w:tcBorders>
            <w:shd w:val="clear" w:color="000000" w:fill="FFFFFF"/>
            <w:vAlign w:val="center"/>
            <w:hideMark/>
          </w:tcPr>
          <w:p w14:paraId="6E97114F" w14:textId="77777777" w:rsidR="00964B0E" w:rsidRPr="0009026A" w:rsidRDefault="00964B0E" w:rsidP="0009026A">
            <w:pPr>
              <w:keepNext/>
              <w:spacing w:after="0" w:line="240" w:lineRule="auto"/>
              <w:ind w:right="57"/>
              <w:jc w:val="right"/>
              <w:rPr>
                <w:rFonts w:ascii="Calibri" w:eastAsia="Times New Roman" w:hAnsi="Calibri" w:cs="Calibri"/>
                <w:bCs/>
                <w:color w:val="000000"/>
                <w:sz w:val="18"/>
                <w:szCs w:val="18"/>
                <w:lang w:eastAsia="cs-CZ"/>
              </w:rPr>
            </w:pPr>
            <w:r w:rsidRPr="0009026A">
              <w:rPr>
                <w:rFonts w:ascii="Calibri" w:eastAsia="Times New Roman" w:hAnsi="Calibri" w:cs="Calibri"/>
                <w:bCs/>
                <w:color w:val="000000"/>
                <w:sz w:val="18"/>
                <w:szCs w:val="18"/>
                <w:lang w:eastAsia="cs-CZ"/>
              </w:rPr>
              <w:t>76</w:t>
            </w:r>
            <w:r w:rsidR="00A71D40" w:rsidRPr="0009026A">
              <w:rPr>
                <w:rFonts w:ascii="Calibri" w:eastAsia="Times New Roman" w:hAnsi="Calibri" w:cs="Calibri"/>
                <w:bCs/>
                <w:color w:val="000000"/>
                <w:sz w:val="18"/>
                <w:szCs w:val="18"/>
                <w:lang w:eastAsia="cs-CZ"/>
              </w:rPr>
              <w:t> </w:t>
            </w:r>
            <w:r w:rsidRPr="0009026A">
              <w:rPr>
                <w:rFonts w:ascii="Calibri" w:eastAsia="Times New Roman" w:hAnsi="Calibri" w:cs="Calibri"/>
                <w:bCs/>
                <w:color w:val="000000"/>
                <w:sz w:val="18"/>
                <w:szCs w:val="18"/>
                <w:lang w:eastAsia="cs-CZ"/>
              </w:rPr>
              <w:t>276</w:t>
            </w:r>
            <w:r w:rsidR="00A71D40" w:rsidRPr="0009026A">
              <w:rPr>
                <w:rFonts w:ascii="Calibri" w:eastAsia="Times New Roman" w:hAnsi="Calibri" w:cs="Calibri"/>
                <w:bCs/>
                <w:color w:val="000000"/>
                <w:sz w:val="18"/>
                <w:szCs w:val="18"/>
                <w:lang w:eastAsia="cs-CZ"/>
              </w:rPr>
              <w:t>,</w:t>
            </w:r>
            <w:r w:rsidRPr="0009026A">
              <w:rPr>
                <w:rFonts w:ascii="Calibri" w:eastAsia="Times New Roman" w:hAnsi="Calibri" w:cs="Calibri"/>
                <w:bCs/>
                <w:color w:val="000000"/>
                <w:sz w:val="18"/>
                <w:szCs w:val="18"/>
                <w:lang w:eastAsia="cs-CZ"/>
              </w:rPr>
              <w:t>80</w:t>
            </w:r>
          </w:p>
        </w:tc>
        <w:tc>
          <w:tcPr>
            <w:tcW w:w="725" w:type="pct"/>
            <w:tcBorders>
              <w:top w:val="nil"/>
              <w:left w:val="nil"/>
              <w:bottom w:val="single" w:sz="4" w:space="0" w:color="auto"/>
              <w:right w:val="single" w:sz="4" w:space="0" w:color="auto"/>
            </w:tcBorders>
            <w:shd w:val="clear" w:color="auto" w:fill="auto"/>
            <w:noWrap/>
            <w:vAlign w:val="bottom"/>
            <w:hideMark/>
          </w:tcPr>
          <w:p w14:paraId="347FFAD6" w14:textId="77777777" w:rsidR="00964B0E" w:rsidRPr="0009026A" w:rsidRDefault="00964B0E" w:rsidP="0009026A">
            <w:pPr>
              <w:keepNext/>
              <w:spacing w:after="0" w:line="240" w:lineRule="auto"/>
              <w:ind w:right="57"/>
              <w:jc w:val="right"/>
              <w:rPr>
                <w:rFonts w:ascii="Calibri" w:eastAsia="Times New Roman" w:hAnsi="Calibri" w:cs="Calibri"/>
                <w:bCs/>
                <w:color w:val="000000"/>
                <w:sz w:val="18"/>
                <w:szCs w:val="18"/>
                <w:lang w:eastAsia="cs-CZ"/>
              </w:rPr>
            </w:pPr>
            <w:r w:rsidRPr="0009026A">
              <w:rPr>
                <w:rFonts w:ascii="Calibri" w:eastAsia="Times New Roman" w:hAnsi="Calibri" w:cs="Calibri"/>
                <w:bCs/>
                <w:color w:val="000000"/>
                <w:sz w:val="18"/>
                <w:szCs w:val="18"/>
                <w:lang w:eastAsia="cs-CZ"/>
              </w:rPr>
              <w:t>710</w:t>
            </w:r>
            <w:r w:rsidR="00A71D40" w:rsidRPr="0009026A">
              <w:rPr>
                <w:rFonts w:ascii="Calibri" w:eastAsia="Times New Roman" w:hAnsi="Calibri" w:cs="Calibri"/>
                <w:bCs/>
                <w:color w:val="000000"/>
                <w:sz w:val="18"/>
                <w:szCs w:val="18"/>
                <w:lang w:eastAsia="cs-CZ"/>
              </w:rPr>
              <w:t> </w:t>
            </w:r>
            <w:r w:rsidRPr="0009026A">
              <w:rPr>
                <w:rFonts w:ascii="Calibri" w:eastAsia="Times New Roman" w:hAnsi="Calibri" w:cs="Calibri"/>
                <w:bCs/>
                <w:color w:val="000000"/>
                <w:sz w:val="18"/>
                <w:szCs w:val="18"/>
                <w:lang w:eastAsia="cs-CZ"/>
              </w:rPr>
              <w:t>305</w:t>
            </w:r>
            <w:r w:rsidR="00A71D40" w:rsidRPr="0009026A">
              <w:rPr>
                <w:rFonts w:ascii="Calibri" w:eastAsia="Times New Roman" w:hAnsi="Calibri" w:cs="Calibri"/>
                <w:bCs/>
                <w:color w:val="000000"/>
                <w:sz w:val="18"/>
                <w:szCs w:val="18"/>
                <w:lang w:eastAsia="cs-CZ"/>
              </w:rPr>
              <w:t>,</w:t>
            </w:r>
            <w:r w:rsidRPr="0009026A">
              <w:rPr>
                <w:rFonts w:ascii="Calibri" w:eastAsia="Times New Roman" w:hAnsi="Calibri" w:cs="Calibri"/>
                <w:bCs/>
                <w:color w:val="000000"/>
                <w:sz w:val="18"/>
                <w:szCs w:val="18"/>
                <w:lang w:eastAsia="cs-CZ"/>
              </w:rPr>
              <w:t>1</w:t>
            </w:r>
            <w:r w:rsidR="00A71D40" w:rsidRPr="0009026A">
              <w:rPr>
                <w:rFonts w:ascii="Calibri" w:eastAsia="Times New Roman" w:hAnsi="Calibri" w:cs="Calibri"/>
                <w:bCs/>
                <w:color w:val="000000"/>
                <w:sz w:val="18"/>
                <w:szCs w:val="18"/>
                <w:lang w:eastAsia="cs-CZ"/>
              </w:rPr>
              <w:t>8</w:t>
            </w:r>
          </w:p>
        </w:tc>
        <w:tc>
          <w:tcPr>
            <w:tcW w:w="652" w:type="pct"/>
            <w:tcBorders>
              <w:top w:val="nil"/>
              <w:left w:val="nil"/>
              <w:bottom w:val="single" w:sz="4" w:space="0" w:color="auto"/>
              <w:right w:val="single" w:sz="4" w:space="0" w:color="auto"/>
            </w:tcBorders>
            <w:shd w:val="clear" w:color="auto" w:fill="auto"/>
            <w:noWrap/>
            <w:vAlign w:val="bottom"/>
            <w:hideMark/>
          </w:tcPr>
          <w:p w14:paraId="2CC6B664" w14:textId="77777777" w:rsidR="00964B0E" w:rsidRPr="0009026A" w:rsidRDefault="00964B0E" w:rsidP="0009026A">
            <w:pPr>
              <w:keepNext/>
              <w:spacing w:after="0" w:line="240" w:lineRule="auto"/>
              <w:ind w:right="57"/>
              <w:jc w:val="right"/>
              <w:rPr>
                <w:rFonts w:ascii="Calibri" w:eastAsia="Times New Roman" w:hAnsi="Calibri" w:cs="Calibri"/>
                <w:bCs/>
                <w:color w:val="000000"/>
                <w:sz w:val="18"/>
                <w:szCs w:val="18"/>
                <w:lang w:eastAsia="cs-CZ"/>
              </w:rPr>
            </w:pPr>
            <w:r w:rsidRPr="0009026A">
              <w:rPr>
                <w:rFonts w:ascii="Calibri" w:eastAsia="Times New Roman" w:hAnsi="Calibri" w:cs="Calibri"/>
                <w:bCs/>
                <w:color w:val="000000"/>
                <w:sz w:val="18"/>
                <w:szCs w:val="18"/>
                <w:lang w:eastAsia="cs-CZ"/>
              </w:rPr>
              <w:t>17</w:t>
            </w:r>
            <w:r w:rsidR="00A71D40" w:rsidRPr="0009026A">
              <w:rPr>
                <w:rFonts w:ascii="Calibri" w:eastAsia="Times New Roman" w:hAnsi="Calibri" w:cs="Calibri"/>
                <w:bCs/>
                <w:color w:val="000000"/>
                <w:sz w:val="18"/>
                <w:szCs w:val="18"/>
                <w:lang w:eastAsia="cs-CZ"/>
              </w:rPr>
              <w:t> </w:t>
            </w:r>
            <w:r w:rsidRPr="0009026A">
              <w:rPr>
                <w:rFonts w:ascii="Calibri" w:eastAsia="Times New Roman" w:hAnsi="Calibri" w:cs="Calibri"/>
                <w:bCs/>
                <w:color w:val="000000"/>
                <w:sz w:val="18"/>
                <w:szCs w:val="18"/>
                <w:lang w:eastAsia="cs-CZ"/>
              </w:rPr>
              <w:t>509</w:t>
            </w:r>
            <w:r w:rsidR="00A71D40" w:rsidRPr="0009026A">
              <w:rPr>
                <w:rFonts w:ascii="Calibri" w:eastAsia="Times New Roman" w:hAnsi="Calibri" w:cs="Calibri"/>
                <w:bCs/>
                <w:color w:val="000000"/>
                <w:sz w:val="18"/>
                <w:szCs w:val="18"/>
                <w:lang w:eastAsia="cs-CZ"/>
              </w:rPr>
              <w:t>,40</w:t>
            </w:r>
          </w:p>
        </w:tc>
        <w:tc>
          <w:tcPr>
            <w:tcW w:w="724" w:type="pct"/>
            <w:tcBorders>
              <w:top w:val="nil"/>
              <w:left w:val="nil"/>
              <w:bottom w:val="single" w:sz="4" w:space="0" w:color="auto"/>
              <w:right w:val="single" w:sz="4" w:space="0" w:color="auto"/>
            </w:tcBorders>
            <w:shd w:val="clear" w:color="auto" w:fill="auto"/>
            <w:noWrap/>
            <w:vAlign w:val="bottom"/>
            <w:hideMark/>
          </w:tcPr>
          <w:p w14:paraId="5E4FDB37" w14:textId="77777777" w:rsidR="00964B0E" w:rsidRPr="0009026A" w:rsidRDefault="00964B0E" w:rsidP="0009026A">
            <w:pPr>
              <w:keepNext/>
              <w:spacing w:after="0" w:line="240" w:lineRule="auto"/>
              <w:ind w:right="57"/>
              <w:jc w:val="right"/>
              <w:rPr>
                <w:rFonts w:ascii="Calibri" w:eastAsia="Times New Roman" w:hAnsi="Calibri" w:cs="Calibri"/>
                <w:bCs/>
                <w:color w:val="000000"/>
                <w:sz w:val="18"/>
                <w:szCs w:val="18"/>
                <w:lang w:eastAsia="cs-CZ"/>
              </w:rPr>
            </w:pPr>
            <w:r w:rsidRPr="0009026A">
              <w:rPr>
                <w:rFonts w:ascii="Calibri" w:eastAsia="Times New Roman" w:hAnsi="Calibri" w:cs="Calibri"/>
                <w:bCs/>
                <w:color w:val="000000"/>
                <w:sz w:val="18"/>
                <w:szCs w:val="18"/>
                <w:lang w:eastAsia="cs-CZ"/>
              </w:rPr>
              <w:t>553</w:t>
            </w:r>
            <w:r w:rsidR="00A71D40" w:rsidRPr="0009026A">
              <w:rPr>
                <w:rFonts w:ascii="Calibri" w:eastAsia="Times New Roman" w:hAnsi="Calibri" w:cs="Calibri"/>
                <w:bCs/>
                <w:color w:val="000000"/>
                <w:sz w:val="18"/>
                <w:szCs w:val="18"/>
                <w:lang w:eastAsia="cs-CZ"/>
              </w:rPr>
              <w:t> </w:t>
            </w:r>
            <w:r w:rsidRPr="0009026A">
              <w:rPr>
                <w:rFonts w:ascii="Calibri" w:eastAsia="Times New Roman" w:hAnsi="Calibri" w:cs="Calibri"/>
                <w:bCs/>
                <w:color w:val="000000"/>
                <w:sz w:val="18"/>
                <w:szCs w:val="18"/>
                <w:lang w:eastAsia="cs-CZ"/>
              </w:rPr>
              <w:t>227</w:t>
            </w:r>
            <w:r w:rsidR="00A71D40" w:rsidRPr="0009026A">
              <w:rPr>
                <w:rFonts w:ascii="Calibri" w:eastAsia="Times New Roman" w:hAnsi="Calibri" w:cs="Calibri"/>
                <w:bCs/>
                <w:color w:val="000000"/>
                <w:sz w:val="18"/>
                <w:szCs w:val="18"/>
                <w:lang w:eastAsia="cs-CZ"/>
              </w:rPr>
              <w:t>,</w:t>
            </w:r>
            <w:r w:rsidRPr="0009026A">
              <w:rPr>
                <w:rFonts w:ascii="Calibri" w:eastAsia="Times New Roman" w:hAnsi="Calibri" w:cs="Calibri"/>
                <w:bCs/>
                <w:color w:val="000000"/>
                <w:sz w:val="18"/>
                <w:szCs w:val="18"/>
                <w:lang w:eastAsia="cs-CZ"/>
              </w:rPr>
              <w:t>56</w:t>
            </w:r>
          </w:p>
        </w:tc>
        <w:tc>
          <w:tcPr>
            <w:tcW w:w="580" w:type="pct"/>
            <w:tcBorders>
              <w:top w:val="nil"/>
              <w:left w:val="nil"/>
              <w:bottom w:val="single" w:sz="4" w:space="0" w:color="auto"/>
              <w:right w:val="single" w:sz="4" w:space="0" w:color="auto"/>
            </w:tcBorders>
            <w:shd w:val="clear" w:color="auto" w:fill="auto"/>
            <w:noWrap/>
            <w:vAlign w:val="bottom"/>
            <w:hideMark/>
          </w:tcPr>
          <w:p w14:paraId="3899B25C" w14:textId="2D26AC47" w:rsidR="00964B0E" w:rsidRPr="0009026A" w:rsidRDefault="00964B0E" w:rsidP="0009026A">
            <w:pPr>
              <w:keepNext/>
              <w:spacing w:after="0" w:line="240" w:lineRule="auto"/>
              <w:ind w:right="57"/>
              <w:jc w:val="right"/>
              <w:rPr>
                <w:rFonts w:ascii="Calibri" w:eastAsia="Times New Roman" w:hAnsi="Calibri" w:cs="Calibri"/>
                <w:bCs/>
                <w:color w:val="000000"/>
                <w:sz w:val="18"/>
                <w:szCs w:val="18"/>
                <w:lang w:eastAsia="cs-CZ"/>
              </w:rPr>
            </w:pPr>
            <w:r w:rsidRPr="0009026A">
              <w:rPr>
                <w:rFonts w:ascii="Calibri" w:eastAsia="Times New Roman" w:hAnsi="Calibri" w:cs="Calibri"/>
                <w:bCs/>
                <w:color w:val="000000"/>
                <w:sz w:val="18"/>
                <w:szCs w:val="18"/>
                <w:lang w:eastAsia="cs-CZ"/>
              </w:rPr>
              <w:t>17</w:t>
            </w:r>
            <w:r w:rsidR="00A71D40" w:rsidRPr="0009026A">
              <w:rPr>
                <w:rFonts w:ascii="Calibri" w:eastAsia="Times New Roman" w:hAnsi="Calibri" w:cs="Calibri"/>
                <w:bCs/>
                <w:color w:val="000000"/>
                <w:sz w:val="18"/>
                <w:szCs w:val="18"/>
                <w:lang w:eastAsia="cs-CZ"/>
              </w:rPr>
              <w:t> </w:t>
            </w:r>
            <w:r w:rsidRPr="0009026A">
              <w:rPr>
                <w:rFonts w:ascii="Calibri" w:eastAsia="Times New Roman" w:hAnsi="Calibri" w:cs="Calibri"/>
                <w:bCs/>
                <w:color w:val="000000"/>
                <w:sz w:val="18"/>
                <w:szCs w:val="18"/>
                <w:lang w:eastAsia="cs-CZ"/>
              </w:rPr>
              <w:t>663</w:t>
            </w:r>
            <w:r w:rsidR="00A71D40" w:rsidRPr="0009026A">
              <w:rPr>
                <w:rFonts w:ascii="Calibri" w:eastAsia="Times New Roman" w:hAnsi="Calibri" w:cs="Calibri"/>
                <w:bCs/>
                <w:color w:val="000000"/>
                <w:sz w:val="18"/>
                <w:szCs w:val="18"/>
                <w:lang w:eastAsia="cs-CZ"/>
              </w:rPr>
              <w:t>,</w:t>
            </w:r>
            <w:r w:rsidRPr="0009026A">
              <w:rPr>
                <w:rFonts w:ascii="Calibri" w:eastAsia="Times New Roman" w:hAnsi="Calibri" w:cs="Calibri"/>
                <w:bCs/>
                <w:color w:val="000000"/>
                <w:sz w:val="18"/>
                <w:szCs w:val="18"/>
                <w:lang w:eastAsia="cs-CZ"/>
              </w:rPr>
              <w:t>72</w:t>
            </w:r>
          </w:p>
        </w:tc>
      </w:tr>
    </w:tbl>
    <w:p w14:paraId="1DAB44EC" w14:textId="13B81922" w:rsidR="00477FD7" w:rsidRPr="0009026A" w:rsidRDefault="00477FD7" w:rsidP="0009026A">
      <w:pPr>
        <w:keepNext/>
        <w:spacing w:before="40" w:after="0" w:line="240" w:lineRule="auto"/>
        <w:jc w:val="both"/>
        <w:rPr>
          <w:bCs/>
          <w:iCs/>
          <w:sz w:val="20"/>
          <w:szCs w:val="18"/>
        </w:rPr>
      </w:pPr>
      <w:r w:rsidRPr="00927801">
        <w:rPr>
          <w:b/>
          <w:bCs/>
          <w:iCs/>
          <w:sz w:val="20"/>
          <w:szCs w:val="18"/>
        </w:rPr>
        <w:t xml:space="preserve">Zdroj: </w:t>
      </w:r>
      <w:r w:rsidR="00F20420">
        <w:rPr>
          <w:bCs/>
          <w:iCs/>
          <w:sz w:val="20"/>
          <w:szCs w:val="18"/>
        </w:rPr>
        <w:t>ú</w:t>
      </w:r>
      <w:r w:rsidRPr="0009026A">
        <w:rPr>
          <w:bCs/>
          <w:iCs/>
          <w:sz w:val="20"/>
          <w:szCs w:val="18"/>
        </w:rPr>
        <w:t>četní závěrk</w:t>
      </w:r>
      <w:r w:rsidR="00F20420">
        <w:rPr>
          <w:bCs/>
          <w:iCs/>
          <w:sz w:val="20"/>
          <w:szCs w:val="18"/>
        </w:rPr>
        <w:t>y</w:t>
      </w:r>
      <w:r w:rsidRPr="0009026A">
        <w:rPr>
          <w:bCs/>
          <w:iCs/>
          <w:sz w:val="20"/>
          <w:szCs w:val="18"/>
        </w:rPr>
        <w:t xml:space="preserve"> SPH za roky 2019, 2020 a 2021</w:t>
      </w:r>
      <w:r w:rsidR="00F20420">
        <w:rPr>
          <w:bCs/>
          <w:iCs/>
          <w:sz w:val="20"/>
          <w:szCs w:val="18"/>
        </w:rPr>
        <w:t>.</w:t>
      </w:r>
    </w:p>
    <w:p w14:paraId="4E7FCD01" w14:textId="18A8D91D" w:rsidR="0057445F" w:rsidRPr="0009026A" w:rsidRDefault="0057445F" w:rsidP="0009026A">
      <w:pPr>
        <w:spacing w:after="120" w:line="240" w:lineRule="auto"/>
        <w:jc w:val="both"/>
        <w:rPr>
          <w:bCs/>
          <w:iCs/>
          <w:sz w:val="20"/>
        </w:rPr>
      </w:pPr>
      <w:r w:rsidRPr="00927801">
        <w:rPr>
          <w:b/>
          <w:bCs/>
          <w:iCs/>
          <w:sz w:val="20"/>
        </w:rPr>
        <w:t>Pozn</w:t>
      </w:r>
      <w:r w:rsidR="00F20420">
        <w:rPr>
          <w:b/>
          <w:bCs/>
          <w:iCs/>
          <w:sz w:val="20"/>
        </w:rPr>
        <w:t>.</w:t>
      </w:r>
      <w:r w:rsidRPr="00927801">
        <w:rPr>
          <w:b/>
          <w:bCs/>
          <w:iCs/>
          <w:sz w:val="20"/>
        </w:rPr>
        <w:t>:</w:t>
      </w:r>
      <w:r w:rsidRPr="0009026A">
        <w:rPr>
          <w:bCs/>
          <w:iCs/>
          <w:sz w:val="20"/>
        </w:rPr>
        <w:t xml:space="preserve"> Ve výnosech je zahrnut i příspěvek na provoz od zřizovatele</w:t>
      </w:r>
      <w:r w:rsidR="00CD6F87" w:rsidRPr="0009026A">
        <w:rPr>
          <w:bCs/>
          <w:iCs/>
          <w:sz w:val="20"/>
        </w:rPr>
        <w:t>.</w:t>
      </w:r>
    </w:p>
    <w:p w14:paraId="17E86CD8" w14:textId="6E7280C4" w:rsidR="00184D5F" w:rsidRDefault="00184D5F" w:rsidP="0009026A">
      <w:pPr>
        <w:spacing w:before="120" w:after="120" w:line="264" w:lineRule="auto"/>
        <w:jc w:val="both"/>
        <w:rPr>
          <w:sz w:val="24"/>
          <w:szCs w:val="24"/>
        </w:rPr>
      </w:pPr>
      <w:r>
        <w:rPr>
          <w:sz w:val="24"/>
          <w:szCs w:val="23"/>
        </w:rPr>
        <w:t xml:space="preserve">Nejvýznamnější položkou nákladů </w:t>
      </w:r>
      <w:r w:rsidRPr="0025466C">
        <w:rPr>
          <w:sz w:val="24"/>
          <w:szCs w:val="23"/>
        </w:rPr>
        <w:t xml:space="preserve">z činnosti </w:t>
      </w:r>
      <w:r>
        <w:rPr>
          <w:sz w:val="24"/>
          <w:szCs w:val="23"/>
        </w:rPr>
        <w:t>byly</w:t>
      </w:r>
      <w:r w:rsidRPr="0025466C">
        <w:rPr>
          <w:sz w:val="24"/>
          <w:szCs w:val="23"/>
        </w:rPr>
        <w:t xml:space="preserve"> náklady na opravy a udržování</w:t>
      </w:r>
      <w:r>
        <w:rPr>
          <w:sz w:val="24"/>
          <w:szCs w:val="23"/>
        </w:rPr>
        <w:t>, mzdové náklady,</w:t>
      </w:r>
      <w:r w:rsidRPr="0025466C">
        <w:rPr>
          <w:sz w:val="24"/>
          <w:szCs w:val="23"/>
        </w:rPr>
        <w:t xml:space="preserve"> odpisy dlouhodobého majetku</w:t>
      </w:r>
      <w:r w:rsidR="00AE4CA4">
        <w:rPr>
          <w:sz w:val="24"/>
          <w:szCs w:val="23"/>
        </w:rPr>
        <w:t xml:space="preserve"> </w:t>
      </w:r>
      <w:r>
        <w:rPr>
          <w:sz w:val="24"/>
          <w:szCs w:val="23"/>
        </w:rPr>
        <w:t>a ostatní služby</w:t>
      </w:r>
      <w:r w:rsidRPr="0025466C">
        <w:rPr>
          <w:sz w:val="24"/>
          <w:szCs w:val="23"/>
        </w:rPr>
        <w:t xml:space="preserve">. </w:t>
      </w:r>
      <w:r>
        <w:rPr>
          <w:sz w:val="24"/>
          <w:szCs w:val="23"/>
        </w:rPr>
        <w:t xml:space="preserve">Výnosy tvořily především </w:t>
      </w:r>
      <w:r w:rsidRPr="0025466C">
        <w:rPr>
          <w:sz w:val="24"/>
          <w:szCs w:val="23"/>
        </w:rPr>
        <w:t xml:space="preserve">výnosy z prodeje služeb, </w:t>
      </w:r>
      <w:r>
        <w:rPr>
          <w:sz w:val="24"/>
          <w:szCs w:val="23"/>
        </w:rPr>
        <w:t>zejména</w:t>
      </w:r>
      <w:r w:rsidRPr="0025466C">
        <w:rPr>
          <w:sz w:val="24"/>
          <w:szCs w:val="23"/>
        </w:rPr>
        <w:t xml:space="preserve"> ze vstupného.</w:t>
      </w:r>
      <w:r>
        <w:rPr>
          <w:sz w:val="24"/>
          <w:szCs w:val="23"/>
        </w:rPr>
        <w:t xml:space="preserve"> </w:t>
      </w:r>
      <w:r w:rsidRPr="009541E7">
        <w:rPr>
          <w:sz w:val="24"/>
          <w:szCs w:val="24"/>
        </w:rPr>
        <w:t xml:space="preserve">Důvodem výrazného poklesu výnosů v období </w:t>
      </w:r>
      <w:r>
        <w:rPr>
          <w:sz w:val="24"/>
          <w:szCs w:val="24"/>
        </w:rPr>
        <w:t xml:space="preserve">let </w:t>
      </w:r>
      <w:r w:rsidRPr="009541E7">
        <w:rPr>
          <w:sz w:val="24"/>
          <w:szCs w:val="24"/>
        </w:rPr>
        <w:t>20</w:t>
      </w:r>
      <w:r>
        <w:rPr>
          <w:sz w:val="24"/>
          <w:szCs w:val="24"/>
        </w:rPr>
        <w:t>20</w:t>
      </w:r>
      <w:r w:rsidR="00F20420">
        <w:rPr>
          <w:sz w:val="24"/>
          <w:szCs w:val="24"/>
        </w:rPr>
        <w:t>–</w:t>
      </w:r>
      <w:r w:rsidRPr="009541E7">
        <w:rPr>
          <w:sz w:val="24"/>
          <w:szCs w:val="24"/>
        </w:rPr>
        <w:t xml:space="preserve">2021 </w:t>
      </w:r>
      <w:r>
        <w:rPr>
          <w:sz w:val="24"/>
          <w:szCs w:val="24"/>
        </w:rPr>
        <w:t>byla</w:t>
      </w:r>
      <w:r w:rsidRPr="009541E7">
        <w:rPr>
          <w:sz w:val="24"/>
          <w:szCs w:val="24"/>
        </w:rPr>
        <w:t xml:space="preserve"> pandemie </w:t>
      </w:r>
      <w:r>
        <w:rPr>
          <w:sz w:val="24"/>
          <w:szCs w:val="24"/>
        </w:rPr>
        <w:t>covidu</w:t>
      </w:r>
      <w:r w:rsidRPr="009541E7">
        <w:rPr>
          <w:sz w:val="24"/>
          <w:szCs w:val="24"/>
        </w:rPr>
        <w:t>-19. Největší propad byl u</w:t>
      </w:r>
      <w:r>
        <w:rPr>
          <w:sz w:val="24"/>
          <w:szCs w:val="24"/>
        </w:rPr>
        <w:t> </w:t>
      </w:r>
      <w:r w:rsidRPr="009541E7">
        <w:rPr>
          <w:sz w:val="24"/>
          <w:szCs w:val="24"/>
        </w:rPr>
        <w:t>výnosů z prodeje služeb, zejména ze vstupného</w:t>
      </w:r>
      <w:r>
        <w:rPr>
          <w:sz w:val="24"/>
          <w:szCs w:val="24"/>
        </w:rPr>
        <w:t xml:space="preserve"> (graf č. 1)</w:t>
      </w:r>
      <w:r w:rsidRPr="009541E7">
        <w:rPr>
          <w:sz w:val="24"/>
          <w:szCs w:val="24"/>
        </w:rPr>
        <w:t xml:space="preserve">. </w:t>
      </w:r>
      <w:r w:rsidRPr="00A06522">
        <w:rPr>
          <w:sz w:val="24"/>
          <w:szCs w:val="24"/>
        </w:rPr>
        <w:t xml:space="preserve">V roce 2020 poklesly v porovnání s rokem 2019 výnosy z prodeje služeb o částku ve výši 429 597 tis. Kč (o 82 %). V roce 2021 poklesly oproti roku 2020 výnosy z prodeje služeb o částku ve výši 16 460 tis. Kč (o 18 %). </w:t>
      </w:r>
    </w:p>
    <w:p w14:paraId="4AA446E7" w14:textId="39C2DDE8" w:rsidR="00234BCD" w:rsidRPr="0009026A" w:rsidRDefault="00234BCD" w:rsidP="0009026A">
      <w:pPr>
        <w:spacing w:after="40" w:line="240" w:lineRule="auto"/>
        <w:jc w:val="both"/>
        <w:rPr>
          <w:rFonts w:cstheme="minorHAnsi"/>
          <w:b/>
          <w:sz w:val="24"/>
        </w:rPr>
      </w:pPr>
      <w:r w:rsidRPr="0009026A">
        <w:rPr>
          <w:rFonts w:cstheme="minorHAnsi"/>
          <w:b/>
          <w:sz w:val="24"/>
        </w:rPr>
        <w:t xml:space="preserve">Graf č. 1: Tržby </w:t>
      </w:r>
      <w:r w:rsidR="00F20420">
        <w:rPr>
          <w:rFonts w:cstheme="minorHAnsi"/>
          <w:b/>
          <w:sz w:val="24"/>
        </w:rPr>
        <w:t xml:space="preserve">ze </w:t>
      </w:r>
      <w:r w:rsidRPr="0009026A">
        <w:rPr>
          <w:rFonts w:cstheme="minorHAnsi"/>
          <w:b/>
          <w:sz w:val="24"/>
        </w:rPr>
        <w:t>vstupné</w:t>
      </w:r>
      <w:r w:rsidR="00F20420">
        <w:rPr>
          <w:rFonts w:cstheme="minorHAnsi"/>
          <w:b/>
          <w:sz w:val="24"/>
        </w:rPr>
        <w:t>ho</w:t>
      </w:r>
      <w:r w:rsidRPr="0009026A">
        <w:rPr>
          <w:rFonts w:cstheme="minorHAnsi"/>
          <w:b/>
          <w:sz w:val="24"/>
        </w:rPr>
        <w:t xml:space="preserve"> v letech 2019</w:t>
      </w:r>
      <w:r w:rsidR="00F20420">
        <w:rPr>
          <w:rFonts w:cstheme="minorHAnsi"/>
          <w:b/>
          <w:sz w:val="24"/>
        </w:rPr>
        <w:t>–</w:t>
      </w:r>
      <w:r w:rsidRPr="0009026A">
        <w:rPr>
          <w:rFonts w:cstheme="minorHAnsi"/>
          <w:b/>
          <w:sz w:val="24"/>
        </w:rPr>
        <w:t>2021 (v mil. Kč)</w:t>
      </w:r>
      <w:r w:rsidR="00A06522" w:rsidRPr="0009026A">
        <w:rPr>
          <w:rFonts w:cstheme="minorHAnsi"/>
          <w:b/>
          <w:sz w:val="24"/>
        </w:rPr>
        <w:t xml:space="preserve"> </w:t>
      </w:r>
    </w:p>
    <w:p w14:paraId="1B40DABF" w14:textId="648CFE77" w:rsidR="00234BCD" w:rsidRPr="0009026A" w:rsidRDefault="008C59CC" w:rsidP="0009026A">
      <w:pPr>
        <w:spacing w:before="40" w:after="0" w:line="240" w:lineRule="auto"/>
        <w:jc w:val="both"/>
        <w:rPr>
          <w:rFonts w:cstheme="minorHAnsi"/>
          <w:color w:val="000000" w:themeColor="text1"/>
          <w:sz w:val="20"/>
          <w:szCs w:val="20"/>
        </w:rPr>
      </w:pPr>
      <w:r w:rsidRPr="0009026A">
        <w:rPr>
          <w:b/>
          <w:noProof/>
          <w:color w:val="000000" w:themeColor="text1"/>
        </w:rPr>
        <w:drawing>
          <wp:anchor distT="0" distB="0" distL="114300" distR="114300" simplePos="0" relativeHeight="251659264" behindDoc="0" locked="0" layoutInCell="1" allowOverlap="1" wp14:anchorId="065C1A89" wp14:editId="1672B39F">
            <wp:simplePos x="0" y="0"/>
            <wp:positionH relativeFrom="column">
              <wp:posOffset>957</wp:posOffset>
            </wp:positionH>
            <wp:positionV relativeFrom="paragraph">
              <wp:posOffset>1336</wp:posOffset>
            </wp:positionV>
            <wp:extent cx="5733333" cy="2857143"/>
            <wp:effectExtent l="0" t="0" r="1270" b="635"/>
            <wp:wrapTopAndBottom/>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5733333" cy="2857143"/>
                    </a:xfrm>
                    <a:prstGeom prst="rect">
                      <a:avLst/>
                    </a:prstGeom>
                  </pic:spPr>
                </pic:pic>
              </a:graphicData>
            </a:graphic>
            <wp14:sizeRelH relativeFrom="page">
              <wp14:pctWidth>0</wp14:pctWidth>
            </wp14:sizeRelH>
            <wp14:sizeRelV relativeFrom="page">
              <wp14:pctHeight>0</wp14:pctHeight>
            </wp14:sizeRelV>
          </wp:anchor>
        </w:drawing>
      </w:r>
      <w:r w:rsidR="00234BCD" w:rsidRPr="0009026A">
        <w:rPr>
          <w:rFonts w:cstheme="minorHAnsi"/>
          <w:b/>
          <w:color w:val="000000" w:themeColor="text1"/>
          <w:sz w:val="20"/>
          <w:szCs w:val="20"/>
        </w:rPr>
        <w:t>Zdroj:</w:t>
      </w:r>
      <w:r w:rsidR="00234BCD" w:rsidRPr="0009026A">
        <w:rPr>
          <w:rFonts w:cstheme="minorHAnsi"/>
          <w:color w:val="000000" w:themeColor="text1"/>
          <w:sz w:val="20"/>
          <w:szCs w:val="20"/>
        </w:rPr>
        <w:t xml:space="preserve"> </w:t>
      </w:r>
      <w:r w:rsidR="00F20420">
        <w:rPr>
          <w:rFonts w:cstheme="minorHAnsi"/>
          <w:color w:val="000000" w:themeColor="text1"/>
          <w:sz w:val="20"/>
          <w:szCs w:val="20"/>
        </w:rPr>
        <w:t>ú</w:t>
      </w:r>
      <w:r w:rsidR="00234BCD" w:rsidRPr="0009026A">
        <w:rPr>
          <w:rFonts w:cstheme="minorHAnsi"/>
          <w:color w:val="000000" w:themeColor="text1"/>
          <w:sz w:val="20"/>
          <w:szCs w:val="20"/>
        </w:rPr>
        <w:t>četní data SPH za roky 2019</w:t>
      </w:r>
      <w:r w:rsidR="00467B3C" w:rsidRPr="0009026A">
        <w:rPr>
          <w:rFonts w:cstheme="minorHAnsi"/>
          <w:color w:val="000000" w:themeColor="text1"/>
          <w:sz w:val="20"/>
          <w:szCs w:val="20"/>
        </w:rPr>
        <w:t>–</w:t>
      </w:r>
      <w:r w:rsidR="00234BCD" w:rsidRPr="0009026A">
        <w:rPr>
          <w:rFonts w:cstheme="minorHAnsi"/>
          <w:color w:val="000000" w:themeColor="text1"/>
          <w:sz w:val="20"/>
          <w:szCs w:val="20"/>
        </w:rPr>
        <w:t>2021</w:t>
      </w:r>
      <w:r w:rsidR="00F20420">
        <w:rPr>
          <w:rFonts w:cstheme="minorHAnsi"/>
          <w:color w:val="000000" w:themeColor="text1"/>
          <w:sz w:val="20"/>
          <w:szCs w:val="20"/>
        </w:rPr>
        <w:t>.</w:t>
      </w:r>
    </w:p>
    <w:p w14:paraId="22148829" w14:textId="100B076E" w:rsidR="00467B3C" w:rsidRPr="0009026A" w:rsidRDefault="00467B3C" w:rsidP="0009026A">
      <w:pPr>
        <w:spacing w:after="120" w:line="240" w:lineRule="auto"/>
        <w:rPr>
          <w:rFonts w:cstheme="minorHAnsi"/>
          <w:sz w:val="20"/>
          <w:szCs w:val="20"/>
        </w:rPr>
      </w:pPr>
      <w:r w:rsidRPr="0009026A">
        <w:rPr>
          <w:rFonts w:cstheme="minorHAnsi"/>
          <w:b/>
          <w:sz w:val="20"/>
          <w:szCs w:val="20"/>
        </w:rPr>
        <w:t>Pozn</w:t>
      </w:r>
      <w:r w:rsidR="00F20420">
        <w:rPr>
          <w:rFonts w:cstheme="minorHAnsi"/>
          <w:b/>
          <w:sz w:val="20"/>
          <w:szCs w:val="20"/>
        </w:rPr>
        <w:t>.</w:t>
      </w:r>
      <w:r w:rsidRPr="0009026A">
        <w:rPr>
          <w:rFonts w:cstheme="minorHAnsi"/>
          <w:b/>
          <w:sz w:val="20"/>
          <w:szCs w:val="20"/>
        </w:rPr>
        <w:t>:</w:t>
      </w:r>
      <w:r w:rsidRPr="0009026A">
        <w:rPr>
          <w:rFonts w:cstheme="minorHAnsi"/>
          <w:sz w:val="20"/>
          <w:szCs w:val="20"/>
        </w:rPr>
        <w:t xml:space="preserve"> Jedná se o vstupné do areálu Pražského hradu – okruh A, B</w:t>
      </w:r>
      <w:r w:rsidR="00F20420">
        <w:rPr>
          <w:rFonts w:cstheme="minorHAnsi"/>
          <w:sz w:val="20"/>
          <w:szCs w:val="20"/>
        </w:rPr>
        <w:t>.</w:t>
      </w:r>
    </w:p>
    <w:p w14:paraId="08B85E45" w14:textId="1228C587" w:rsidR="0041412F" w:rsidRDefault="00234BCD" w:rsidP="0009026A">
      <w:pPr>
        <w:spacing w:before="120" w:after="120" w:line="264" w:lineRule="auto"/>
        <w:jc w:val="both"/>
        <w:rPr>
          <w:bCs/>
          <w:iCs/>
          <w:sz w:val="24"/>
        </w:rPr>
      </w:pPr>
      <w:r w:rsidRPr="009541E7">
        <w:rPr>
          <w:sz w:val="24"/>
        </w:rPr>
        <w:t xml:space="preserve">V rámci karanténních opatření souvisejících s pandemií </w:t>
      </w:r>
      <w:r>
        <w:rPr>
          <w:sz w:val="24"/>
        </w:rPr>
        <w:t>covidu</w:t>
      </w:r>
      <w:r w:rsidRPr="009541E7">
        <w:rPr>
          <w:sz w:val="24"/>
        </w:rPr>
        <w:t>-19</w:t>
      </w:r>
      <w:r w:rsidR="00F20420">
        <w:rPr>
          <w:sz w:val="24"/>
        </w:rPr>
        <w:t xml:space="preserve"> </w:t>
      </w:r>
      <w:r w:rsidRPr="009541E7">
        <w:rPr>
          <w:sz w:val="24"/>
        </w:rPr>
        <w:t xml:space="preserve">došlo v souladu s usneseními vlády </w:t>
      </w:r>
      <w:r w:rsidRPr="00A06522">
        <w:rPr>
          <w:sz w:val="24"/>
        </w:rPr>
        <w:t xml:space="preserve">k úplnému uzavření areálu Pražského hradu, a tím k úplnému zastavení příjmů plynoucích z turistického ruchu, z pořádání společenských i jiných akcí a také k zásadnímu propadu příjmů z pronájmů. </w:t>
      </w:r>
    </w:p>
    <w:p w14:paraId="24053A96" w14:textId="33B8D6A1" w:rsidR="002053DC" w:rsidRDefault="002053DC" w:rsidP="0009026A">
      <w:pPr>
        <w:spacing w:before="120" w:after="120" w:line="264" w:lineRule="auto"/>
        <w:jc w:val="both"/>
        <w:rPr>
          <w:sz w:val="24"/>
          <w:szCs w:val="24"/>
        </w:rPr>
      </w:pPr>
      <w:r>
        <w:rPr>
          <w:sz w:val="24"/>
          <w:szCs w:val="24"/>
        </w:rPr>
        <w:t>Zřizovatel poskytuje SPH každoročně příspěvky na provoz na základě zákona o státním rozpočtu</w:t>
      </w:r>
      <w:r w:rsidR="00E55555">
        <w:rPr>
          <w:rStyle w:val="Znakapoznpodarou"/>
          <w:sz w:val="24"/>
          <w:szCs w:val="24"/>
        </w:rPr>
        <w:footnoteReference w:id="4"/>
      </w:r>
      <w:r>
        <w:rPr>
          <w:sz w:val="24"/>
          <w:szCs w:val="24"/>
        </w:rPr>
        <w:t xml:space="preserve">. V tabulce č. </w:t>
      </w:r>
      <w:r w:rsidR="001D3A0E">
        <w:rPr>
          <w:sz w:val="24"/>
          <w:szCs w:val="24"/>
        </w:rPr>
        <w:t>5</w:t>
      </w:r>
      <w:r>
        <w:rPr>
          <w:sz w:val="24"/>
          <w:szCs w:val="24"/>
        </w:rPr>
        <w:t xml:space="preserve"> jsou uvedeny příspěvky na provoz, které KPR poskytla SPH v období 2019</w:t>
      </w:r>
      <w:r w:rsidR="00F20420">
        <w:rPr>
          <w:sz w:val="24"/>
          <w:szCs w:val="24"/>
        </w:rPr>
        <w:t>–</w:t>
      </w:r>
      <w:r>
        <w:rPr>
          <w:sz w:val="24"/>
          <w:szCs w:val="24"/>
        </w:rPr>
        <w:t>2021. Jednalo se o neinvestiční příspěvky na hlavní činnost.</w:t>
      </w:r>
    </w:p>
    <w:p w14:paraId="77A544D6" w14:textId="550EBDCC" w:rsidR="002053DC" w:rsidRPr="0009026A" w:rsidRDefault="002053DC" w:rsidP="0009026A">
      <w:pPr>
        <w:keepNext/>
        <w:tabs>
          <w:tab w:val="right" w:pos="9072"/>
        </w:tabs>
        <w:spacing w:after="40" w:line="240" w:lineRule="auto"/>
        <w:jc w:val="both"/>
        <w:rPr>
          <w:b/>
          <w:bCs/>
          <w:iCs/>
          <w:sz w:val="24"/>
        </w:rPr>
      </w:pPr>
      <w:r w:rsidRPr="0009026A">
        <w:rPr>
          <w:b/>
          <w:bCs/>
          <w:iCs/>
          <w:sz w:val="24"/>
        </w:rPr>
        <w:lastRenderedPageBreak/>
        <w:t xml:space="preserve">Tabulka č. </w:t>
      </w:r>
      <w:r w:rsidR="00AE4CA4" w:rsidRPr="0009026A">
        <w:rPr>
          <w:b/>
          <w:bCs/>
          <w:iCs/>
          <w:sz w:val="24"/>
        </w:rPr>
        <w:t>5</w:t>
      </w:r>
      <w:r w:rsidRPr="0009026A">
        <w:rPr>
          <w:b/>
          <w:bCs/>
          <w:iCs/>
          <w:sz w:val="24"/>
        </w:rPr>
        <w:t xml:space="preserve">: </w:t>
      </w:r>
      <w:r w:rsidR="00184D5F" w:rsidRPr="0009026A">
        <w:rPr>
          <w:b/>
          <w:bCs/>
          <w:iCs/>
          <w:sz w:val="24"/>
        </w:rPr>
        <w:t xml:space="preserve">Výše čerpaného </w:t>
      </w:r>
      <w:r w:rsidR="001042AA" w:rsidRPr="0009026A">
        <w:rPr>
          <w:b/>
          <w:bCs/>
          <w:iCs/>
          <w:sz w:val="24"/>
        </w:rPr>
        <w:t xml:space="preserve">příspěvku na provoz </w:t>
      </w:r>
      <w:r w:rsidR="0009026A">
        <w:rPr>
          <w:b/>
          <w:bCs/>
          <w:iCs/>
          <w:sz w:val="24"/>
        </w:rPr>
        <w:tab/>
      </w:r>
      <w:r w:rsidRPr="0009026A">
        <w:rPr>
          <w:b/>
          <w:bCs/>
          <w:iCs/>
          <w:sz w:val="24"/>
        </w:rPr>
        <w:t>(v tis. Kč)</w:t>
      </w:r>
    </w:p>
    <w:tbl>
      <w:tblPr>
        <w:tblW w:w="5000" w:type="pct"/>
        <w:tblCellMar>
          <w:left w:w="70" w:type="dxa"/>
          <w:right w:w="70" w:type="dxa"/>
        </w:tblCellMar>
        <w:tblLook w:val="04A0" w:firstRow="1" w:lastRow="0" w:firstColumn="1" w:lastColumn="0" w:noHBand="0" w:noVBand="1"/>
      </w:tblPr>
      <w:tblGrid>
        <w:gridCol w:w="2265"/>
        <w:gridCol w:w="2265"/>
        <w:gridCol w:w="2266"/>
        <w:gridCol w:w="2266"/>
      </w:tblGrid>
      <w:tr w:rsidR="002053DC" w:rsidRPr="00017F03" w14:paraId="54259ACB" w14:textId="77777777" w:rsidTr="0009026A">
        <w:trPr>
          <w:trHeight w:val="255"/>
        </w:trPr>
        <w:tc>
          <w:tcPr>
            <w:tcW w:w="1250" w:type="pct"/>
            <w:tcBorders>
              <w:top w:val="single" w:sz="4" w:space="0" w:color="auto"/>
              <w:left w:val="single" w:sz="4" w:space="0" w:color="auto"/>
              <w:bottom w:val="single" w:sz="4" w:space="0" w:color="auto"/>
              <w:right w:val="single" w:sz="4" w:space="0" w:color="auto"/>
            </w:tcBorders>
            <w:shd w:val="clear" w:color="auto" w:fill="E5F1FF"/>
            <w:noWrap/>
            <w:vAlign w:val="bottom"/>
            <w:hideMark/>
          </w:tcPr>
          <w:p w14:paraId="1A4EB65D" w14:textId="77777777" w:rsidR="002053DC" w:rsidRPr="00017F03" w:rsidRDefault="002053DC" w:rsidP="0009026A">
            <w:pPr>
              <w:keepNext/>
              <w:spacing w:after="0" w:line="240" w:lineRule="auto"/>
              <w:rPr>
                <w:rFonts w:ascii="Calibri" w:eastAsia="Times New Roman" w:hAnsi="Calibri" w:cstheme="minorHAnsi"/>
                <w:b/>
                <w:bCs/>
                <w:color w:val="000000"/>
                <w:sz w:val="20"/>
                <w:szCs w:val="20"/>
                <w:lang w:eastAsia="cs-CZ"/>
              </w:rPr>
            </w:pPr>
            <w:r w:rsidRPr="00017F03">
              <w:rPr>
                <w:rFonts w:ascii="Calibri" w:eastAsia="Times New Roman" w:hAnsi="Calibri" w:cstheme="minorHAnsi"/>
                <w:b/>
                <w:bCs/>
                <w:color w:val="000000"/>
                <w:sz w:val="20"/>
                <w:szCs w:val="20"/>
                <w:lang w:eastAsia="cs-CZ"/>
              </w:rPr>
              <w:t> </w:t>
            </w:r>
          </w:p>
        </w:tc>
        <w:tc>
          <w:tcPr>
            <w:tcW w:w="1250" w:type="pct"/>
            <w:tcBorders>
              <w:top w:val="single" w:sz="4" w:space="0" w:color="auto"/>
              <w:left w:val="nil"/>
              <w:bottom w:val="single" w:sz="4" w:space="0" w:color="auto"/>
              <w:right w:val="single" w:sz="4" w:space="0" w:color="auto"/>
            </w:tcBorders>
            <w:shd w:val="clear" w:color="auto" w:fill="E5F1FF"/>
            <w:noWrap/>
            <w:vAlign w:val="bottom"/>
            <w:hideMark/>
          </w:tcPr>
          <w:p w14:paraId="58B6C18F" w14:textId="77777777" w:rsidR="002053DC" w:rsidRPr="00017F03" w:rsidRDefault="002053DC" w:rsidP="0009026A">
            <w:pPr>
              <w:keepNext/>
              <w:spacing w:after="0" w:line="240" w:lineRule="auto"/>
              <w:jc w:val="center"/>
              <w:rPr>
                <w:rFonts w:ascii="Calibri" w:eastAsia="Times New Roman" w:hAnsi="Calibri" w:cstheme="minorHAnsi"/>
                <w:b/>
                <w:bCs/>
                <w:color w:val="000000"/>
                <w:sz w:val="20"/>
                <w:szCs w:val="20"/>
                <w:lang w:eastAsia="cs-CZ"/>
              </w:rPr>
            </w:pPr>
            <w:r w:rsidRPr="00017F03">
              <w:rPr>
                <w:rFonts w:ascii="Calibri" w:eastAsia="Times New Roman" w:hAnsi="Calibri" w:cstheme="minorHAnsi"/>
                <w:b/>
                <w:bCs/>
                <w:color w:val="000000"/>
                <w:sz w:val="20"/>
                <w:szCs w:val="20"/>
                <w:lang w:eastAsia="cs-CZ"/>
              </w:rPr>
              <w:t>2019</w:t>
            </w:r>
          </w:p>
        </w:tc>
        <w:tc>
          <w:tcPr>
            <w:tcW w:w="1250" w:type="pct"/>
            <w:tcBorders>
              <w:top w:val="single" w:sz="4" w:space="0" w:color="auto"/>
              <w:left w:val="nil"/>
              <w:bottom w:val="single" w:sz="4" w:space="0" w:color="auto"/>
              <w:right w:val="single" w:sz="4" w:space="0" w:color="auto"/>
            </w:tcBorders>
            <w:shd w:val="clear" w:color="auto" w:fill="E5F1FF"/>
            <w:noWrap/>
            <w:vAlign w:val="bottom"/>
            <w:hideMark/>
          </w:tcPr>
          <w:p w14:paraId="762C787E" w14:textId="77777777" w:rsidR="002053DC" w:rsidRPr="00017F03" w:rsidRDefault="002053DC" w:rsidP="0009026A">
            <w:pPr>
              <w:keepNext/>
              <w:spacing w:after="0" w:line="240" w:lineRule="auto"/>
              <w:jc w:val="center"/>
              <w:rPr>
                <w:rFonts w:ascii="Calibri" w:eastAsia="Times New Roman" w:hAnsi="Calibri" w:cstheme="minorHAnsi"/>
                <w:b/>
                <w:bCs/>
                <w:color w:val="000000"/>
                <w:sz w:val="20"/>
                <w:szCs w:val="20"/>
                <w:lang w:eastAsia="cs-CZ"/>
              </w:rPr>
            </w:pPr>
            <w:r w:rsidRPr="00017F03">
              <w:rPr>
                <w:rFonts w:ascii="Calibri" w:eastAsia="Times New Roman" w:hAnsi="Calibri" w:cstheme="minorHAnsi"/>
                <w:b/>
                <w:bCs/>
                <w:color w:val="000000"/>
                <w:sz w:val="20"/>
                <w:szCs w:val="20"/>
                <w:lang w:eastAsia="cs-CZ"/>
              </w:rPr>
              <w:t>2020</w:t>
            </w:r>
          </w:p>
        </w:tc>
        <w:tc>
          <w:tcPr>
            <w:tcW w:w="1250" w:type="pct"/>
            <w:tcBorders>
              <w:top w:val="single" w:sz="4" w:space="0" w:color="auto"/>
              <w:left w:val="nil"/>
              <w:bottom w:val="single" w:sz="4" w:space="0" w:color="auto"/>
              <w:right w:val="single" w:sz="4" w:space="0" w:color="auto"/>
            </w:tcBorders>
            <w:shd w:val="clear" w:color="auto" w:fill="E5F1FF"/>
            <w:noWrap/>
            <w:vAlign w:val="bottom"/>
            <w:hideMark/>
          </w:tcPr>
          <w:p w14:paraId="2317690B" w14:textId="77777777" w:rsidR="002053DC" w:rsidRPr="00017F03" w:rsidRDefault="002053DC" w:rsidP="0009026A">
            <w:pPr>
              <w:keepNext/>
              <w:spacing w:after="0" w:line="240" w:lineRule="auto"/>
              <w:jc w:val="center"/>
              <w:rPr>
                <w:rFonts w:ascii="Calibri" w:eastAsia="Times New Roman" w:hAnsi="Calibri" w:cstheme="minorHAnsi"/>
                <w:b/>
                <w:bCs/>
                <w:color w:val="000000"/>
                <w:sz w:val="20"/>
                <w:szCs w:val="20"/>
                <w:lang w:eastAsia="cs-CZ"/>
              </w:rPr>
            </w:pPr>
            <w:r w:rsidRPr="00017F03">
              <w:rPr>
                <w:rFonts w:ascii="Calibri" w:eastAsia="Times New Roman" w:hAnsi="Calibri" w:cstheme="minorHAnsi"/>
                <w:b/>
                <w:bCs/>
                <w:color w:val="000000"/>
                <w:sz w:val="20"/>
                <w:szCs w:val="20"/>
                <w:lang w:eastAsia="cs-CZ"/>
              </w:rPr>
              <w:t>2021</w:t>
            </w:r>
          </w:p>
        </w:tc>
      </w:tr>
      <w:tr w:rsidR="002053DC" w:rsidRPr="00017F03" w14:paraId="632FB1A8" w14:textId="77777777" w:rsidTr="0009026A">
        <w:trPr>
          <w:trHeight w:val="255"/>
        </w:trPr>
        <w:tc>
          <w:tcPr>
            <w:tcW w:w="1250" w:type="pct"/>
            <w:tcBorders>
              <w:top w:val="nil"/>
              <w:left w:val="single" w:sz="4" w:space="0" w:color="auto"/>
              <w:bottom w:val="single" w:sz="4" w:space="0" w:color="auto"/>
              <w:right w:val="single" w:sz="4" w:space="0" w:color="auto"/>
            </w:tcBorders>
            <w:shd w:val="clear" w:color="auto" w:fill="auto"/>
            <w:noWrap/>
            <w:vAlign w:val="bottom"/>
            <w:hideMark/>
          </w:tcPr>
          <w:p w14:paraId="41B048BE" w14:textId="77777777" w:rsidR="002053DC" w:rsidRPr="00017F03" w:rsidRDefault="00184D5F" w:rsidP="0009026A">
            <w:pPr>
              <w:keepNext/>
              <w:spacing w:after="0" w:line="240" w:lineRule="auto"/>
              <w:rPr>
                <w:rFonts w:ascii="Calibri" w:eastAsia="Times New Roman" w:hAnsi="Calibri" w:cs="Calibri"/>
                <w:color w:val="000000"/>
                <w:sz w:val="20"/>
                <w:szCs w:val="20"/>
                <w:lang w:eastAsia="cs-CZ"/>
              </w:rPr>
            </w:pPr>
            <w:r w:rsidRPr="00017F03">
              <w:rPr>
                <w:rFonts w:ascii="Calibri" w:eastAsia="Times New Roman" w:hAnsi="Calibri" w:cs="Calibri"/>
                <w:sz w:val="20"/>
                <w:szCs w:val="20"/>
                <w:lang w:eastAsia="cs-CZ"/>
              </w:rPr>
              <w:t>Neinvestiční příspěvek</w:t>
            </w:r>
          </w:p>
        </w:tc>
        <w:tc>
          <w:tcPr>
            <w:tcW w:w="1250" w:type="pct"/>
            <w:tcBorders>
              <w:top w:val="nil"/>
              <w:left w:val="nil"/>
              <w:bottom w:val="single" w:sz="4" w:space="0" w:color="auto"/>
              <w:right w:val="single" w:sz="4" w:space="0" w:color="auto"/>
            </w:tcBorders>
            <w:shd w:val="clear" w:color="auto" w:fill="auto"/>
            <w:noWrap/>
            <w:vAlign w:val="bottom"/>
            <w:hideMark/>
          </w:tcPr>
          <w:p w14:paraId="22E3898D" w14:textId="77777777" w:rsidR="002053DC" w:rsidRPr="00017F03" w:rsidRDefault="002053DC" w:rsidP="0009026A">
            <w:pPr>
              <w:keepNext/>
              <w:spacing w:after="0" w:line="240" w:lineRule="auto"/>
              <w:jc w:val="right"/>
              <w:rPr>
                <w:rFonts w:ascii="Calibri" w:eastAsia="Times New Roman" w:hAnsi="Calibri" w:cs="Calibri"/>
                <w:color w:val="000000"/>
                <w:sz w:val="20"/>
                <w:szCs w:val="20"/>
                <w:lang w:eastAsia="cs-CZ"/>
              </w:rPr>
            </w:pPr>
            <w:r w:rsidRPr="00017F03">
              <w:rPr>
                <w:rFonts w:ascii="Calibri" w:eastAsia="Times New Roman" w:hAnsi="Calibri" w:cs="Calibri"/>
                <w:color w:val="000000"/>
                <w:sz w:val="20"/>
                <w:szCs w:val="20"/>
                <w:lang w:eastAsia="cs-CZ"/>
              </w:rPr>
              <w:t>199 097,98</w:t>
            </w:r>
          </w:p>
        </w:tc>
        <w:tc>
          <w:tcPr>
            <w:tcW w:w="1250" w:type="pct"/>
            <w:tcBorders>
              <w:top w:val="nil"/>
              <w:left w:val="nil"/>
              <w:bottom w:val="single" w:sz="4" w:space="0" w:color="auto"/>
              <w:right w:val="single" w:sz="4" w:space="0" w:color="auto"/>
            </w:tcBorders>
            <w:shd w:val="clear" w:color="auto" w:fill="auto"/>
            <w:noWrap/>
            <w:vAlign w:val="bottom"/>
            <w:hideMark/>
          </w:tcPr>
          <w:p w14:paraId="0E20A89D" w14:textId="77777777" w:rsidR="002053DC" w:rsidRPr="00017F03" w:rsidRDefault="002053DC" w:rsidP="0009026A">
            <w:pPr>
              <w:keepNext/>
              <w:spacing w:after="0" w:line="240" w:lineRule="auto"/>
              <w:jc w:val="right"/>
              <w:rPr>
                <w:rFonts w:ascii="Calibri" w:eastAsia="Times New Roman" w:hAnsi="Calibri" w:cs="Calibri"/>
                <w:color w:val="000000"/>
                <w:sz w:val="20"/>
                <w:szCs w:val="20"/>
                <w:lang w:eastAsia="cs-CZ"/>
              </w:rPr>
            </w:pPr>
            <w:r w:rsidRPr="00017F03">
              <w:rPr>
                <w:rFonts w:ascii="Calibri" w:eastAsia="Times New Roman" w:hAnsi="Calibri" w:cs="Calibri"/>
                <w:color w:val="000000"/>
                <w:sz w:val="20"/>
                <w:szCs w:val="20"/>
                <w:lang w:eastAsia="cs-CZ"/>
              </w:rPr>
              <w:t>426 142,13</w:t>
            </w:r>
          </w:p>
        </w:tc>
        <w:tc>
          <w:tcPr>
            <w:tcW w:w="1250" w:type="pct"/>
            <w:tcBorders>
              <w:top w:val="nil"/>
              <w:left w:val="nil"/>
              <w:bottom w:val="single" w:sz="4" w:space="0" w:color="auto"/>
              <w:right w:val="single" w:sz="4" w:space="0" w:color="auto"/>
            </w:tcBorders>
            <w:shd w:val="clear" w:color="auto" w:fill="auto"/>
            <w:noWrap/>
            <w:vAlign w:val="bottom"/>
            <w:hideMark/>
          </w:tcPr>
          <w:p w14:paraId="15F13FF7" w14:textId="77777777" w:rsidR="002053DC" w:rsidRPr="00017F03" w:rsidRDefault="002053DC" w:rsidP="0009026A">
            <w:pPr>
              <w:keepNext/>
              <w:spacing w:after="0" w:line="240" w:lineRule="auto"/>
              <w:jc w:val="right"/>
              <w:rPr>
                <w:rFonts w:ascii="Calibri" w:eastAsia="Times New Roman" w:hAnsi="Calibri" w:cs="Calibri"/>
                <w:color w:val="000000"/>
                <w:sz w:val="20"/>
                <w:szCs w:val="20"/>
                <w:lang w:eastAsia="cs-CZ"/>
              </w:rPr>
            </w:pPr>
            <w:r w:rsidRPr="00017F03">
              <w:rPr>
                <w:rFonts w:ascii="Calibri" w:eastAsia="Times New Roman" w:hAnsi="Calibri" w:cs="Calibri"/>
                <w:color w:val="000000"/>
                <w:sz w:val="20"/>
                <w:szCs w:val="20"/>
                <w:lang w:eastAsia="cs-CZ"/>
              </w:rPr>
              <w:t>423 157,14</w:t>
            </w:r>
          </w:p>
        </w:tc>
      </w:tr>
    </w:tbl>
    <w:p w14:paraId="37BF6C73" w14:textId="2D9B5EF1" w:rsidR="002053DC" w:rsidRPr="002E74F0" w:rsidRDefault="002053DC" w:rsidP="002E74F0">
      <w:pPr>
        <w:keepNext/>
        <w:spacing w:before="40" w:after="0" w:line="240" w:lineRule="auto"/>
        <w:rPr>
          <w:bCs/>
          <w:iCs/>
          <w:sz w:val="20"/>
          <w:szCs w:val="18"/>
        </w:rPr>
      </w:pPr>
      <w:r w:rsidRPr="002E74F0">
        <w:rPr>
          <w:b/>
          <w:bCs/>
          <w:iCs/>
          <w:sz w:val="20"/>
          <w:szCs w:val="18"/>
        </w:rPr>
        <w:t>Zdroj:</w:t>
      </w:r>
      <w:r w:rsidRPr="002E74F0">
        <w:rPr>
          <w:bCs/>
          <w:iCs/>
          <w:sz w:val="20"/>
          <w:szCs w:val="18"/>
        </w:rPr>
        <w:t xml:space="preserve"> </w:t>
      </w:r>
      <w:r w:rsidR="004F5FB6">
        <w:rPr>
          <w:bCs/>
          <w:iCs/>
          <w:sz w:val="20"/>
          <w:szCs w:val="18"/>
        </w:rPr>
        <w:t>ú</w:t>
      </w:r>
      <w:r w:rsidRPr="002E74F0">
        <w:rPr>
          <w:bCs/>
          <w:iCs/>
          <w:sz w:val="20"/>
          <w:szCs w:val="18"/>
        </w:rPr>
        <w:t>četní závěrk</w:t>
      </w:r>
      <w:r w:rsidR="004F5FB6">
        <w:rPr>
          <w:bCs/>
          <w:iCs/>
          <w:sz w:val="20"/>
          <w:szCs w:val="18"/>
        </w:rPr>
        <w:t>y</w:t>
      </w:r>
      <w:r w:rsidRPr="002E74F0">
        <w:rPr>
          <w:bCs/>
          <w:iCs/>
          <w:sz w:val="20"/>
          <w:szCs w:val="18"/>
        </w:rPr>
        <w:t xml:space="preserve"> </w:t>
      </w:r>
      <w:r w:rsidR="004F5FB6">
        <w:rPr>
          <w:bCs/>
          <w:iCs/>
          <w:sz w:val="20"/>
          <w:szCs w:val="18"/>
        </w:rPr>
        <w:t xml:space="preserve">za roky </w:t>
      </w:r>
      <w:r w:rsidRPr="002E74F0">
        <w:rPr>
          <w:bCs/>
          <w:iCs/>
          <w:sz w:val="20"/>
          <w:szCs w:val="18"/>
        </w:rPr>
        <w:t>2019</w:t>
      </w:r>
      <w:r w:rsidR="004F5FB6" w:rsidRPr="002E74F0">
        <w:rPr>
          <w:bCs/>
          <w:iCs/>
          <w:sz w:val="20"/>
          <w:szCs w:val="18"/>
        </w:rPr>
        <w:t>–</w:t>
      </w:r>
      <w:r w:rsidRPr="002E74F0">
        <w:rPr>
          <w:bCs/>
          <w:iCs/>
          <w:sz w:val="20"/>
          <w:szCs w:val="18"/>
        </w:rPr>
        <w:t xml:space="preserve">2021, rozpočtová opatření </w:t>
      </w:r>
      <w:r w:rsidR="004F5FB6">
        <w:rPr>
          <w:bCs/>
          <w:iCs/>
          <w:sz w:val="20"/>
          <w:szCs w:val="18"/>
        </w:rPr>
        <w:t xml:space="preserve">přijatá v letech </w:t>
      </w:r>
      <w:r w:rsidRPr="002E74F0">
        <w:rPr>
          <w:bCs/>
          <w:iCs/>
          <w:sz w:val="20"/>
          <w:szCs w:val="18"/>
        </w:rPr>
        <w:t>2019</w:t>
      </w:r>
      <w:r w:rsidR="00E55555" w:rsidRPr="002E74F0">
        <w:rPr>
          <w:bCs/>
          <w:iCs/>
          <w:sz w:val="20"/>
          <w:szCs w:val="18"/>
        </w:rPr>
        <w:t>–</w:t>
      </w:r>
      <w:r w:rsidRPr="002E74F0">
        <w:rPr>
          <w:bCs/>
          <w:iCs/>
          <w:sz w:val="20"/>
          <w:szCs w:val="18"/>
        </w:rPr>
        <w:t>2021</w:t>
      </w:r>
      <w:r w:rsidR="004F5FB6">
        <w:rPr>
          <w:bCs/>
          <w:iCs/>
          <w:sz w:val="20"/>
          <w:szCs w:val="18"/>
        </w:rPr>
        <w:t>.</w:t>
      </w:r>
    </w:p>
    <w:p w14:paraId="45B03944" w14:textId="3C9613CD" w:rsidR="00E55555" w:rsidRPr="002E74F0" w:rsidRDefault="00E55555" w:rsidP="002E74F0">
      <w:pPr>
        <w:spacing w:after="120" w:line="240" w:lineRule="auto"/>
        <w:jc w:val="both"/>
        <w:rPr>
          <w:bCs/>
          <w:iCs/>
          <w:sz w:val="20"/>
          <w:szCs w:val="20"/>
        </w:rPr>
      </w:pPr>
      <w:r w:rsidRPr="002E74F0">
        <w:rPr>
          <w:b/>
          <w:bCs/>
          <w:iCs/>
          <w:sz w:val="20"/>
          <w:szCs w:val="20"/>
        </w:rPr>
        <w:t>Pozn</w:t>
      </w:r>
      <w:r w:rsidR="004F5FB6">
        <w:rPr>
          <w:b/>
          <w:bCs/>
          <w:iCs/>
          <w:sz w:val="20"/>
          <w:szCs w:val="20"/>
        </w:rPr>
        <w:t>.</w:t>
      </w:r>
      <w:r w:rsidRPr="002E74F0">
        <w:rPr>
          <w:b/>
          <w:bCs/>
          <w:iCs/>
          <w:sz w:val="20"/>
          <w:szCs w:val="20"/>
        </w:rPr>
        <w:t>:</w:t>
      </w:r>
      <w:r w:rsidRPr="002E74F0">
        <w:rPr>
          <w:bCs/>
          <w:iCs/>
          <w:sz w:val="20"/>
          <w:szCs w:val="20"/>
        </w:rPr>
        <w:t xml:space="preserve"> Hodnoty uvedené v tabulce jsou vyčísleny včetně zapojení nároků nespotřebovaných výdajů</w:t>
      </w:r>
      <w:r w:rsidR="00CD6F87" w:rsidRPr="002E74F0">
        <w:rPr>
          <w:bCs/>
          <w:iCs/>
          <w:sz w:val="20"/>
          <w:szCs w:val="20"/>
        </w:rPr>
        <w:t>.</w:t>
      </w:r>
    </w:p>
    <w:p w14:paraId="1491B61B" w14:textId="6482678D" w:rsidR="00184D5F" w:rsidRPr="009541E7" w:rsidRDefault="00184D5F" w:rsidP="002E74F0">
      <w:pPr>
        <w:spacing w:before="120" w:after="120" w:line="264" w:lineRule="auto"/>
        <w:jc w:val="both"/>
        <w:rPr>
          <w:rFonts w:cstheme="minorHAnsi"/>
          <w:sz w:val="24"/>
          <w:szCs w:val="24"/>
        </w:rPr>
      </w:pPr>
      <w:r w:rsidRPr="00A06522">
        <w:rPr>
          <w:sz w:val="24"/>
        </w:rPr>
        <w:t>Z důvodu</w:t>
      </w:r>
      <w:r w:rsidRPr="00A06522">
        <w:rPr>
          <w:rFonts w:cstheme="minorHAnsi"/>
          <w:sz w:val="24"/>
          <w:szCs w:val="24"/>
        </w:rPr>
        <w:t xml:space="preserve"> </w:t>
      </w:r>
      <w:r>
        <w:rPr>
          <w:rFonts w:cstheme="minorHAnsi"/>
          <w:sz w:val="24"/>
          <w:szCs w:val="24"/>
        </w:rPr>
        <w:t xml:space="preserve">výrazného poklesů výnosů </w:t>
      </w:r>
      <w:r w:rsidRPr="00A06522">
        <w:rPr>
          <w:rFonts w:cstheme="minorHAnsi"/>
          <w:sz w:val="24"/>
          <w:szCs w:val="24"/>
        </w:rPr>
        <w:t>navýšilo Ministerstvo financí rozpočet</w:t>
      </w:r>
      <w:r w:rsidRPr="00A06522">
        <w:rPr>
          <w:sz w:val="24"/>
          <w:szCs w:val="24"/>
        </w:rPr>
        <w:t xml:space="preserve"> specifického výdajového ukazatele příspěvkové organizace SPH rozpočtové položky 5331 </w:t>
      </w:r>
      <w:r w:rsidR="006C79EC">
        <w:rPr>
          <w:sz w:val="24"/>
          <w:szCs w:val="24"/>
        </w:rPr>
        <w:t>–</w:t>
      </w:r>
      <w:r w:rsidRPr="00A06522">
        <w:rPr>
          <w:sz w:val="24"/>
          <w:szCs w:val="24"/>
        </w:rPr>
        <w:t xml:space="preserve"> </w:t>
      </w:r>
      <w:r w:rsidRPr="00A06522">
        <w:rPr>
          <w:i/>
          <w:sz w:val="24"/>
          <w:szCs w:val="24"/>
        </w:rPr>
        <w:t>Neinvestiční příspěvky zřízeným příspěvkovým organizacím</w:t>
      </w:r>
      <w:r w:rsidRPr="00A06522">
        <w:rPr>
          <w:rFonts w:cstheme="minorHAnsi"/>
          <w:sz w:val="24"/>
          <w:szCs w:val="24"/>
        </w:rPr>
        <w:t xml:space="preserve"> v roce 2020 o částku ve výši 215 mil. Kč a v roce 2021 o částku ve výši 200 mil. Kč. </w:t>
      </w:r>
      <w:r w:rsidRPr="009541E7">
        <w:rPr>
          <w:rFonts w:cstheme="minorHAnsi"/>
          <w:sz w:val="24"/>
          <w:szCs w:val="24"/>
        </w:rPr>
        <w:t>Peněžní prostředky použila SPH na opravy, údržbu a</w:t>
      </w:r>
      <w:r w:rsidR="00AE4CA4">
        <w:rPr>
          <w:rFonts w:cstheme="minorHAnsi"/>
          <w:sz w:val="24"/>
          <w:szCs w:val="24"/>
        </w:rPr>
        <w:t> </w:t>
      </w:r>
      <w:r w:rsidRPr="009541E7">
        <w:rPr>
          <w:rFonts w:cstheme="minorHAnsi"/>
          <w:sz w:val="24"/>
          <w:szCs w:val="24"/>
        </w:rPr>
        <w:t>restaurování</w:t>
      </w:r>
      <w:r>
        <w:rPr>
          <w:rFonts w:cstheme="minorHAnsi"/>
          <w:sz w:val="24"/>
          <w:szCs w:val="24"/>
        </w:rPr>
        <w:t>,</w:t>
      </w:r>
      <w:r w:rsidRPr="009541E7">
        <w:rPr>
          <w:rFonts w:cstheme="minorHAnsi"/>
          <w:sz w:val="24"/>
          <w:szCs w:val="24"/>
        </w:rPr>
        <w:t xml:space="preserve"> spotřebu energií</w:t>
      </w:r>
      <w:r>
        <w:rPr>
          <w:rFonts w:cstheme="minorHAnsi"/>
          <w:sz w:val="24"/>
          <w:szCs w:val="24"/>
        </w:rPr>
        <w:t>,</w:t>
      </w:r>
      <w:r w:rsidRPr="009541E7">
        <w:rPr>
          <w:rFonts w:cstheme="minorHAnsi"/>
          <w:sz w:val="24"/>
          <w:szCs w:val="24"/>
        </w:rPr>
        <w:t xml:space="preserve"> ostatní služby</w:t>
      </w:r>
      <w:r>
        <w:rPr>
          <w:rFonts w:cstheme="minorHAnsi"/>
          <w:sz w:val="24"/>
          <w:szCs w:val="24"/>
        </w:rPr>
        <w:t>,</w:t>
      </w:r>
      <w:r w:rsidRPr="009541E7">
        <w:rPr>
          <w:rFonts w:cstheme="minorHAnsi"/>
          <w:sz w:val="24"/>
          <w:szCs w:val="24"/>
        </w:rPr>
        <w:t xml:space="preserve"> </w:t>
      </w:r>
      <w:r w:rsidRPr="009541E7">
        <w:rPr>
          <w:sz w:val="24"/>
          <w:szCs w:val="24"/>
        </w:rPr>
        <w:t>pořízení drobného dlouhodobého majetku</w:t>
      </w:r>
      <w:r w:rsidR="00CD6F87">
        <w:rPr>
          <w:sz w:val="24"/>
          <w:szCs w:val="24"/>
        </w:rPr>
        <w:t xml:space="preserve"> a </w:t>
      </w:r>
      <w:r w:rsidRPr="009541E7">
        <w:rPr>
          <w:sz w:val="24"/>
          <w:szCs w:val="24"/>
        </w:rPr>
        <w:t>spotřebu materiálu</w:t>
      </w:r>
      <w:r w:rsidRPr="009541E7">
        <w:rPr>
          <w:rFonts w:cstheme="minorHAnsi"/>
          <w:sz w:val="24"/>
          <w:szCs w:val="24"/>
        </w:rPr>
        <w:t>.</w:t>
      </w:r>
    </w:p>
    <w:p w14:paraId="3503D977" w14:textId="0F55D49A" w:rsidR="008115A2" w:rsidRPr="00706C29" w:rsidRDefault="00937721" w:rsidP="002E74F0">
      <w:pPr>
        <w:pStyle w:val="Nadpis2"/>
        <w:numPr>
          <w:ilvl w:val="0"/>
          <w:numId w:val="0"/>
        </w:numPr>
        <w:spacing w:before="120" w:after="120" w:line="264" w:lineRule="auto"/>
        <w:ind w:left="-11"/>
        <w:jc w:val="both"/>
        <w:rPr>
          <w:b w:val="0"/>
          <w:szCs w:val="24"/>
        </w:rPr>
      </w:pPr>
      <w:r>
        <w:rPr>
          <w:b w:val="0"/>
          <w:szCs w:val="24"/>
        </w:rPr>
        <w:t>2</w:t>
      </w:r>
      <w:r w:rsidR="002E74F0" w:rsidRPr="002E74F0">
        <w:rPr>
          <w:b w:val="0"/>
          <w:szCs w:val="24"/>
        </w:rPr>
        <w:t>.3</w:t>
      </w:r>
      <w:r w:rsidR="002E74F0">
        <w:rPr>
          <w:szCs w:val="24"/>
        </w:rPr>
        <w:t xml:space="preserve"> </w:t>
      </w:r>
      <w:r w:rsidR="00D209AB" w:rsidRPr="00D209AB">
        <w:rPr>
          <w:szCs w:val="24"/>
        </w:rPr>
        <w:t>L</w:t>
      </w:r>
      <w:r w:rsidR="00B539B7">
        <w:rPr>
          <w:szCs w:val="24"/>
        </w:rPr>
        <w:t>esní správ</w:t>
      </w:r>
      <w:r w:rsidR="00DC3B13">
        <w:rPr>
          <w:szCs w:val="24"/>
        </w:rPr>
        <w:t>u</w:t>
      </w:r>
      <w:r w:rsidR="00B539B7">
        <w:rPr>
          <w:szCs w:val="24"/>
        </w:rPr>
        <w:t xml:space="preserve"> Lány</w:t>
      </w:r>
      <w:r w:rsidR="008115A2" w:rsidRPr="00706C29">
        <w:rPr>
          <w:b w:val="0"/>
          <w:szCs w:val="24"/>
        </w:rPr>
        <w:t xml:space="preserve"> </w:t>
      </w:r>
      <w:r w:rsidR="00DC3B13">
        <w:rPr>
          <w:b w:val="0"/>
          <w:szCs w:val="24"/>
        </w:rPr>
        <w:t>zřídila</w:t>
      </w:r>
      <w:r w:rsidR="008115A2" w:rsidRPr="00706C29">
        <w:rPr>
          <w:b w:val="0"/>
          <w:szCs w:val="24"/>
        </w:rPr>
        <w:t xml:space="preserve"> KPR zřizovací listinou ze dne 1. 1. 1993</w:t>
      </w:r>
      <w:r w:rsidR="00977307" w:rsidRPr="00706C29">
        <w:rPr>
          <w:b w:val="0"/>
          <w:szCs w:val="24"/>
        </w:rPr>
        <w:t xml:space="preserve">, </w:t>
      </w:r>
      <w:r w:rsidR="008115A2" w:rsidRPr="00706C29">
        <w:rPr>
          <w:b w:val="0"/>
          <w:szCs w:val="24"/>
        </w:rPr>
        <w:t xml:space="preserve">poslední změna byla </w:t>
      </w:r>
      <w:r w:rsidR="006F2046">
        <w:rPr>
          <w:b w:val="0"/>
          <w:szCs w:val="24"/>
        </w:rPr>
        <w:t xml:space="preserve">provedena </w:t>
      </w:r>
      <w:r w:rsidR="008115A2" w:rsidRPr="00706C29">
        <w:rPr>
          <w:b w:val="0"/>
          <w:szCs w:val="24"/>
        </w:rPr>
        <w:t>doplňkem č. 6 ze dne 16.</w:t>
      </w:r>
      <w:r w:rsidR="00977307" w:rsidRPr="00706C29">
        <w:rPr>
          <w:b w:val="0"/>
          <w:szCs w:val="24"/>
        </w:rPr>
        <w:t> </w:t>
      </w:r>
      <w:r w:rsidR="008115A2" w:rsidRPr="00706C29">
        <w:rPr>
          <w:b w:val="0"/>
          <w:szCs w:val="24"/>
        </w:rPr>
        <w:t>9.</w:t>
      </w:r>
      <w:r w:rsidR="00977307" w:rsidRPr="00706C29">
        <w:rPr>
          <w:b w:val="0"/>
          <w:szCs w:val="24"/>
        </w:rPr>
        <w:t> </w:t>
      </w:r>
      <w:r w:rsidR="008115A2" w:rsidRPr="00706C29">
        <w:rPr>
          <w:b w:val="0"/>
          <w:szCs w:val="24"/>
        </w:rPr>
        <w:t xml:space="preserve">2022. V hlavní činnosti </w:t>
      </w:r>
      <w:r w:rsidR="00706C29">
        <w:rPr>
          <w:b w:val="0"/>
          <w:szCs w:val="24"/>
        </w:rPr>
        <w:t>zabezpeč</w:t>
      </w:r>
      <w:r w:rsidR="006F2046">
        <w:rPr>
          <w:b w:val="0"/>
          <w:szCs w:val="24"/>
        </w:rPr>
        <w:t>uje</w:t>
      </w:r>
      <w:r w:rsidR="008115A2" w:rsidRPr="00706C29">
        <w:rPr>
          <w:b w:val="0"/>
          <w:szCs w:val="24"/>
        </w:rPr>
        <w:t xml:space="preserve"> LSL služby spojené s provozováním myslivosti, rybolovu a rekreace pro prezidenta republiky a jeho hosty, případně ostatní ústavní činitele. </w:t>
      </w:r>
      <w:r w:rsidR="00706C29">
        <w:rPr>
          <w:b w:val="0"/>
          <w:szCs w:val="24"/>
        </w:rPr>
        <w:t>LSL</w:t>
      </w:r>
      <w:r w:rsidR="008115A2" w:rsidRPr="00706C29">
        <w:rPr>
          <w:b w:val="0"/>
          <w:szCs w:val="24"/>
        </w:rPr>
        <w:t xml:space="preserve"> hospodař</w:t>
      </w:r>
      <w:r w:rsidR="006F2046">
        <w:rPr>
          <w:b w:val="0"/>
          <w:szCs w:val="24"/>
        </w:rPr>
        <w:t>í</w:t>
      </w:r>
      <w:r w:rsidR="008115A2" w:rsidRPr="00706C29">
        <w:rPr>
          <w:b w:val="0"/>
          <w:szCs w:val="24"/>
        </w:rPr>
        <w:t xml:space="preserve"> se svěřeným majetkem a </w:t>
      </w:r>
      <w:r w:rsidR="00706C29">
        <w:rPr>
          <w:b w:val="0"/>
          <w:szCs w:val="24"/>
        </w:rPr>
        <w:t>m</w:t>
      </w:r>
      <w:r w:rsidR="006F2046">
        <w:rPr>
          <w:b w:val="0"/>
          <w:szCs w:val="24"/>
        </w:rPr>
        <w:t xml:space="preserve">á </w:t>
      </w:r>
      <w:r w:rsidR="008115A2" w:rsidRPr="00706C29">
        <w:rPr>
          <w:b w:val="0"/>
          <w:szCs w:val="24"/>
        </w:rPr>
        <w:t>pečova</w:t>
      </w:r>
      <w:r w:rsidR="00706C29">
        <w:rPr>
          <w:b w:val="0"/>
          <w:szCs w:val="24"/>
        </w:rPr>
        <w:t>t</w:t>
      </w:r>
      <w:r w:rsidR="008115A2" w:rsidRPr="00706C29">
        <w:rPr>
          <w:b w:val="0"/>
          <w:szCs w:val="24"/>
        </w:rPr>
        <w:t xml:space="preserve"> o</w:t>
      </w:r>
      <w:r w:rsidR="00A71D40" w:rsidRPr="00706C29">
        <w:rPr>
          <w:b w:val="0"/>
          <w:szCs w:val="24"/>
        </w:rPr>
        <w:t> </w:t>
      </w:r>
      <w:r w:rsidR="008115A2" w:rsidRPr="00706C29">
        <w:rPr>
          <w:b w:val="0"/>
          <w:szCs w:val="24"/>
        </w:rPr>
        <w:t>jeho udržování a hospodárné využívání</w:t>
      </w:r>
      <w:r w:rsidR="00F057F4">
        <w:rPr>
          <w:rFonts w:cstheme="minorHAnsi"/>
          <w:b w:val="0"/>
          <w:szCs w:val="24"/>
        </w:rPr>
        <w:t>,</w:t>
      </w:r>
      <w:r w:rsidR="00706C29">
        <w:rPr>
          <w:b w:val="0"/>
          <w:szCs w:val="24"/>
        </w:rPr>
        <w:t xml:space="preserve"> z</w:t>
      </w:r>
      <w:r w:rsidR="008115A2" w:rsidRPr="00706C29">
        <w:rPr>
          <w:b w:val="0"/>
          <w:szCs w:val="24"/>
        </w:rPr>
        <w:t>abezpeč</w:t>
      </w:r>
      <w:r w:rsidR="006F2046">
        <w:rPr>
          <w:b w:val="0"/>
          <w:szCs w:val="24"/>
        </w:rPr>
        <w:t>uje</w:t>
      </w:r>
      <w:r w:rsidR="008115A2" w:rsidRPr="00706C29">
        <w:rPr>
          <w:b w:val="0"/>
          <w:szCs w:val="24"/>
        </w:rPr>
        <w:t xml:space="preserve"> lesní a vodní hospodářství na svěřeném území</w:t>
      </w:r>
      <w:r w:rsidR="00DC3B13">
        <w:rPr>
          <w:b w:val="0"/>
          <w:szCs w:val="24"/>
        </w:rPr>
        <w:t>.</w:t>
      </w:r>
      <w:r w:rsidR="008115A2" w:rsidRPr="00706C29">
        <w:rPr>
          <w:b w:val="0"/>
          <w:szCs w:val="24"/>
        </w:rPr>
        <w:t xml:space="preserve"> V hlavní činnosti provoz</w:t>
      </w:r>
      <w:r w:rsidR="006F2046">
        <w:rPr>
          <w:b w:val="0"/>
          <w:szCs w:val="24"/>
        </w:rPr>
        <w:t>uje</w:t>
      </w:r>
      <w:r w:rsidR="008115A2" w:rsidRPr="00706C29">
        <w:rPr>
          <w:b w:val="0"/>
          <w:szCs w:val="24"/>
        </w:rPr>
        <w:t xml:space="preserve"> též poplatkové </w:t>
      </w:r>
      <w:r w:rsidR="00706C29">
        <w:rPr>
          <w:b w:val="0"/>
          <w:szCs w:val="24"/>
        </w:rPr>
        <w:t xml:space="preserve">a </w:t>
      </w:r>
      <w:proofErr w:type="spellStart"/>
      <w:r w:rsidR="00706C29">
        <w:rPr>
          <w:b w:val="0"/>
          <w:szCs w:val="24"/>
        </w:rPr>
        <w:t>bezpoplatkové</w:t>
      </w:r>
      <w:proofErr w:type="spellEnd"/>
      <w:r w:rsidR="00706C29">
        <w:rPr>
          <w:b w:val="0"/>
          <w:szCs w:val="24"/>
        </w:rPr>
        <w:t xml:space="preserve"> </w:t>
      </w:r>
      <w:r w:rsidR="008115A2" w:rsidRPr="00706C29">
        <w:rPr>
          <w:b w:val="0"/>
          <w:szCs w:val="24"/>
        </w:rPr>
        <w:t xml:space="preserve">lovy zvěře. Předmětem </w:t>
      </w:r>
      <w:r w:rsidR="00977307" w:rsidRPr="00706C29">
        <w:rPr>
          <w:b w:val="0"/>
          <w:szCs w:val="24"/>
        </w:rPr>
        <w:t>jiné</w:t>
      </w:r>
      <w:r w:rsidR="00B92260" w:rsidRPr="00706C29">
        <w:rPr>
          <w:b w:val="0"/>
          <w:szCs w:val="24"/>
        </w:rPr>
        <w:t xml:space="preserve"> </w:t>
      </w:r>
      <w:r w:rsidR="008115A2" w:rsidRPr="00706C29">
        <w:rPr>
          <w:b w:val="0"/>
          <w:szCs w:val="24"/>
        </w:rPr>
        <w:t xml:space="preserve">činnosti </w:t>
      </w:r>
      <w:r w:rsidR="00706C29">
        <w:rPr>
          <w:b w:val="0"/>
          <w:szCs w:val="24"/>
        </w:rPr>
        <w:t xml:space="preserve">LSL </w:t>
      </w:r>
      <w:r w:rsidR="006F2046">
        <w:rPr>
          <w:b w:val="0"/>
          <w:szCs w:val="24"/>
        </w:rPr>
        <w:t>je</w:t>
      </w:r>
      <w:r w:rsidR="00706C29">
        <w:rPr>
          <w:b w:val="0"/>
          <w:szCs w:val="24"/>
        </w:rPr>
        <w:t xml:space="preserve"> zejména</w:t>
      </w:r>
      <w:r w:rsidR="000273B2" w:rsidRPr="00706C29">
        <w:rPr>
          <w:b w:val="0"/>
          <w:szCs w:val="24"/>
        </w:rPr>
        <w:t xml:space="preserve"> </w:t>
      </w:r>
      <w:r w:rsidR="008115A2" w:rsidRPr="00706C29">
        <w:rPr>
          <w:b w:val="0"/>
          <w:szCs w:val="24"/>
        </w:rPr>
        <w:t>poskytování služeb pro zemědělství a</w:t>
      </w:r>
      <w:r w:rsidR="006F2046">
        <w:rPr>
          <w:b w:val="0"/>
          <w:szCs w:val="24"/>
        </w:rPr>
        <w:t> </w:t>
      </w:r>
      <w:r w:rsidR="008115A2" w:rsidRPr="00706C29">
        <w:rPr>
          <w:b w:val="0"/>
          <w:szCs w:val="24"/>
        </w:rPr>
        <w:t>zahradnictví</w:t>
      </w:r>
      <w:r w:rsidR="00683F00">
        <w:rPr>
          <w:b w:val="0"/>
          <w:szCs w:val="24"/>
        </w:rPr>
        <w:t>,</w:t>
      </w:r>
      <w:r w:rsidR="000273B2" w:rsidRPr="00706C29">
        <w:rPr>
          <w:b w:val="0"/>
          <w:szCs w:val="24"/>
        </w:rPr>
        <w:t xml:space="preserve"> </w:t>
      </w:r>
      <w:r w:rsidR="008115A2" w:rsidRPr="00706C29">
        <w:rPr>
          <w:b w:val="0"/>
          <w:szCs w:val="24"/>
        </w:rPr>
        <w:t>služeb pro hospodaření v lesích a pro myslivost</w:t>
      </w:r>
      <w:r w:rsidR="00683F00">
        <w:rPr>
          <w:b w:val="0"/>
          <w:szCs w:val="24"/>
        </w:rPr>
        <w:t>,</w:t>
      </w:r>
      <w:r w:rsidR="000273B2" w:rsidRPr="00706C29">
        <w:rPr>
          <w:b w:val="0"/>
          <w:szCs w:val="24"/>
        </w:rPr>
        <w:t xml:space="preserve"> </w:t>
      </w:r>
      <w:r w:rsidR="008115A2" w:rsidRPr="00706C29">
        <w:rPr>
          <w:b w:val="0"/>
          <w:szCs w:val="24"/>
        </w:rPr>
        <w:t>zprostředkování obchodu a</w:t>
      </w:r>
      <w:r w:rsidR="006F2046">
        <w:rPr>
          <w:b w:val="0"/>
          <w:szCs w:val="24"/>
        </w:rPr>
        <w:t> </w:t>
      </w:r>
      <w:r w:rsidR="008115A2" w:rsidRPr="00706C29">
        <w:rPr>
          <w:b w:val="0"/>
          <w:szCs w:val="24"/>
        </w:rPr>
        <w:t>služeb</w:t>
      </w:r>
      <w:r w:rsidR="000273B2" w:rsidRPr="00706C29">
        <w:rPr>
          <w:b w:val="0"/>
          <w:szCs w:val="24"/>
        </w:rPr>
        <w:t>.</w:t>
      </w:r>
    </w:p>
    <w:p w14:paraId="6FBA71C9" w14:textId="77777777" w:rsidR="006E5783" w:rsidRPr="002E74F0" w:rsidRDefault="006E5783" w:rsidP="002E74F0">
      <w:pPr>
        <w:tabs>
          <w:tab w:val="right" w:pos="9072"/>
        </w:tabs>
        <w:spacing w:before="120" w:after="40" w:line="240" w:lineRule="auto"/>
        <w:jc w:val="both"/>
        <w:rPr>
          <w:b/>
          <w:bCs/>
          <w:iCs/>
          <w:color w:val="000000" w:themeColor="text1"/>
          <w:sz w:val="24"/>
        </w:rPr>
      </w:pPr>
      <w:r w:rsidRPr="002E74F0">
        <w:rPr>
          <w:b/>
          <w:bCs/>
          <w:iCs/>
          <w:color w:val="000000" w:themeColor="text1"/>
          <w:sz w:val="24"/>
        </w:rPr>
        <w:t xml:space="preserve">Tabulka č. </w:t>
      </w:r>
      <w:r w:rsidR="00AE4CA4" w:rsidRPr="002E74F0">
        <w:rPr>
          <w:b/>
          <w:bCs/>
          <w:iCs/>
          <w:color w:val="000000" w:themeColor="text1"/>
          <w:sz w:val="24"/>
        </w:rPr>
        <w:t>6</w:t>
      </w:r>
      <w:r w:rsidRPr="002E74F0">
        <w:rPr>
          <w:b/>
          <w:bCs/>
          <w:iCs/>
          <w:color w:val="000000" w:themeColor="text1"/>
          <w:sz w:val="24"/>
        </w:rPr>
        <w:t xml:space="preserve">: Vybrané položky rozvahy </w:t>
      </w:r>
      <w:r w:rsidR="002E74F0">
        <w:rPr>
          <w:b/>
          <w:bCs/>
          <w:iCs/>
          <w:color w:val="000000" w:themeColor="text1"/>
          <w:sz w:val="24"/>
        </w:rPr>
        <w:tab/>
      </w:r>
      <w:r w:rsidRPr="002E74F0">
        <w:rPr>
          <w:b/>
          <w:bCs/>
          <w:iCs/>
          <w:color w:val="000000" w:themeColor="text1"/>
          <w:sz w:val="24"/>
        </w:rPr>
        <w:t xml:space="preserve">(v tis. Kč) </w:t>
      </w:r>
    </w:p>
    <w:tbl>
      <w:tblPr>
        <w:tblW w:w="9072" w:type="dxa"/>
        <w:tblInd w:w="-5" w:type="dxa"/>
        <w:tblCellMar>
          <w:left w:w="70" w:type="dxa"/>
          <w:right w:w="70" w:type="dxa"/>
        </w:tblCellMar>
        <w:tblLook w:val="04A0" w:firstRow="1" w:lastRow="0" w:firstColumn="1" w:lastColumn="0" w:noHBand="0" w:noVBand="1"/>
      </w:tblPr>
      <w:tblGrid>
        <w:gridCol w:w="3711"/>
        <w:gridCol w:w="1838"/>
        <w:gridCol w:w="1838"/>
        <w:gridCol w:w="1685"/>
      </w:tblGrid>
      <w:tr w:rsidR="006E5783" w:rsidRPr="002332BE" w14:paraId="4A1F2E38" w14:textId="77777777" w:rsidTr="00017F03">
        <w:trPr>
          <w:trHeight w:val="300"/>
        </w:trPr>
        <w:tc>
          <w:tcPr>
            <w:tcW w:w="3711" w:type="dxa"/>
            <w:vMerge w:val="restart"/>
            <w:tcBorders>
              <w:top w:val="single" w:sz="4" w:space="0" w:color="auto"/>
              <w:left w:val="single" w:sz="4" w:space="0" w:color="auto"/>
              <w:right w:val="single" w:sz="4" w:space="0" w:color="auto"/>
            </w:tcBorders>
            <w:shd w:val="clear" w:color="auto" w:fill="E5F1FF"/>
            <w:vAlign w:val="center"/>
          </w:tcPr>
          <w:p w14:paraId="5EAC17C4" w14:textId="77777777" w:rsidR="006E5783" w:rsidRPr="002332BE" w:rsidRDefault="006E5783" w:rsidP="006E5783">
            <w:pPr>
              <w:spacing w:after="0" w:line="240" w:lineRule="auto"/>
              <w:jc w:val="center"/>
              <w:rPr>
                <w:rFonts w:ascii="Calibri" w:eastAsia="Times New Roman" w:hAnsi="Calibri" w:cstheme="minorHAnsi"/>
                <w:b/>
                <w:bCs/>
                <w:color w:val="000000"/>
                <w:sz w:val="20"/>
                <w:szCs w:val="20"/>
                <w:lang w:eastAsia="cs-CZ"/>
              </w:rPr>
            </w:pPr>
            <w:r w:rsidRPr="002332BE">
              <w:rPr>
                <w:rFonts w:ascii="Calibri" w:eastAsia="Times New Roman" w:hAnsi="Calibri" w:cstheme="minorHAnsi"/>
                <w:b/>
                <w:bCs/>
                <w:color w:val="000000"/>
                <w:sz w:val="20"/>
                <w:szCs w:val="20"/>
                <w:lang w:eastAsia="cs-CZ"/>
              </w:rPr>
              <w:t>Položka</w:t>
            </w:r>
          </w:p>
        </w:tc>
        <w:tc>
          <w:tcPr>
            <w:tcW w:w="5361" w:type="dxa"/>
            <w:gridSpan w:val="3"/>
            <w:tcBorders>
              <w:top w:val="single" w:sz="4" w:space="0" w:color="auto"/>
              <w:left w:val="nil"/>
              <w:bottom w:val="single" w:sz="4" w:space="0" w:color="auto"/>
              <w:right w:val="single" w:sz="4" w:space="0" w:color="auto"/>
            </w:tcBorders>
            <w:shd w:val="clear" w:color="auto" w:fill="E5F1FF"/>
            <w:vAlign w:val="center"/>
          </w:tcPr>
          <w:p w14:paraId="0B189BD7" w14:textId="77777777" w:rsidR="006E5783" w:rsidRPr="002332BE" w:rsidRDefault="006E5783" w:rsidP="006E5783">
            <w:pPr>
              <w:spacing w:after="0" w:line="240" w:lineRule="auto"/>
              <w:jc w:val="center"/>
              <w:rPr>
                <w:rFonts w:ascii="Calibri" w:eastAsia="Times New Roman" w:hAnsi="Calibri" w:cstheme="minorHAnsi"/>
                <w:b/>
                <w:bCs/>
                <w:color w:val="000000"/>
                <w:sz w:val="20"/>
                <w:szCs w:val="20"/>
                <w:lang w:eastAsia="cs-CZ"/>
              </w:rPr>
            </w:pPr>
            <w:r w:rsidRPr="002332BE">
              <w:rPr>
                <w:rFonts w:ascii="Calibri" w:eastAsia="Times New Roman" w:hAnsi="Calibri" w:cstheme="minorHAnsi"/>
                <w:b/>
                <w:bCs/>
                <w:color w:val="000000"/>
                <w:sz w:val="20"/>
                <w:szCs w:val="20"/>
                <w:lang w:eastAsia="cs-CZ"/>
              </w:rPr>
              <w:t>Netto hodnota</w:t>
            </w:r>
          </w:p>
        </w:tc>
      </w:tr>
      <w:tr w:rsidR="006E5783" w:rsidRPr="002332BE" w14:paraId="67A77D62" w14:textId="77777777" w:rsidTr="00017F03">
        <w:trPr>
          <w:trHeight w:val="300"/>
        </w:trPr>
        <w:tc>
          <w:tcPr>
            <w:tcW w:w="3711" w:type="dxa"/>
            <w:vMerge/>
            <w:tcBorders>
              <w:left w:val="single" w:sz="4" w:space="0" w:color="auto"/>
              <w:bottom w:val="single" w:sz="4" w:space="0" w:color="auto"/>
              <w:right w:val="single" w:sz="4" w:space="0" w:color="auto"/>
            </w:tcBorders>
            <w:shd w:val="clear" w:color="auto" w:fill="E5F1FF"/>
            <w:vAlign w:val="center"/>
            <w:hideMark/>
          </w:tcPr>
          <w:p w14:paraId="293CED24" w14:textId="77777777" w:rsidR="006E5783" w:rsidRPr="002332BE" w:rsidRDefault="006E5783" w:rsidP="006E5783">
            <w:pPr>
              <w:spacing w:after="0" w:line="240" w:lineRule="auto"/>
              <w:jc w:val="center"/>
              <w:rPr>
                <w:rFonts w:ascii="Calibri" w:eastAsia="Times New Roman" w:hAnsi="Calibri" w:cs="Calibri"/>
                <w:b/>
                <w:bCs/>
                <w:color w:val="000000"/>
                <w:sz w:val="20"/>
                <w:szCs w:val="20"/>
                <w:lang w:eastAsia="cs-CZ"/>
              </w:rPr>
            </w:pPr>
          </w:p>
        </w:tc>
        <w:tc>
          <w:tcPr>
            <w:tcW w:w="1838" w:type="dxa"/>
            <w:tcBorders>
              <w:top w:val="single" w:sz="4" w:space="0" w:color="auto"/>
              <w:left w:val="nil"/>
              <w:bottom w:val="single" w:sz="4" w:space="0" w:color="auto"/>
              <w:right w:val="single" w:sz="4" w:space="0" w:color="auto"/>
            </w:tcBorders>
            <w:shd w:val="clear" w:color="auto" w:fill="E5F1FF"/>
            <w:vAlign w:val="center"/>
            <w:hideMark/>
          </w:tcPr>
          <w:p w14:paraId="21624CE8" w14:textId="77777777" w:rsidR="006E5783" w:rsidRPr="002332BE" w:rsidRDefault="00CF4E83" w:rsidP="006E5783">
            <w:pPr>
              <w:spacing w:after="0" w:line="240" w:lineRule="auto"/>
              <w:jc w:val="center"/>
              <w:rPr>
                <w:rFonts w:ascii="Calibri" w:eastAsia="Times New Roman" w:hAnsi="Calibri" w:cs="Calibri"/>
                <w:b/>
                <w:bCs/>
                <w:color w:val="000000"/>
                <w:sz w:val="20"/>
                <w:szCs w:val="20"/>
                <w:lang w:eastAsia="cs-CZ"/>
              </w:rPr>
            </w:pPr>
            <w:r w:rsidRPr="002D6B19">
              <w:rPr>
                <w:rFonts w:cstheme="minorHAnsi"/>
                <w:b/>
                <w:bCs/>
                <w:sz w:val="20"/>
                <w:szCs w:val="20"/>
              </w:rPr>
              <w:t xml:space="preserve">k 31. 12. </w:t>
            </w:r>
            <w:r w:rsidR="006E5783" w:rsidRPr="002332BE">
              <w:rPr>
                <w:rFonts w:ascii="Calibri" w:eastAsia="Times New Roman" w:hAnsi="Calibri" w:cstheme="minorHAnsi"/>
                <w:b/>
                <w:bCs/>
                <w:color w:val="000000"/>
                <w:sz w:val="20"/>
                <w:szCs w:val="20"/>
                <w:lang w:eastAsia="cs-CZ"/>
              </w:rPr>
              <w:t>2019</w:t>
            </w:r>
          </w:p>
        </w:tc>
        <w:tc>
          <w:tcPr>
            <w:tcW w:w="1838" w:type="dxa"/>
            <w:tcBorders>
              <w:top w:val="single" w:sz="4" w:space="0" w:color="auto"/>
              <w:left w:val="nil"/>
              <w:bottom w:val="single" w:sz="4" w:space="0" w:color="auto"/>
              <w:right w:val="single" w:sz="4" w:space="0" w:color="auto"/>
            </w:tcBorders>
            <w:shd w:val="clear" w:color="auto" w:fill="E5F1FF"/>
            <w:vAlign w:val="center"/>
            <w:hideMark/>
          </w:tcPr>
          <w:p w14:paraId="532D170E" w14:textId="77777777" w:rsidR="006E5783" w:rsidRPr="002332BE" w:rsidRDefault="00CF4E83" w:rsidP="006E5783">
            <w:pPr>
              <w:spacing w:after="0" w:line="240" w:lineRule="auto"/>
              <w:jc w:val="center"/>
              <w:rPr>
                <w:rFonts w:ascii="Calibri" w:eastAsia="Times New Roman" w:hAnsi="Calibri" w:cs="Calibri"/>
                <w:b/>
                <w:bCs/>
                <w:color w:val="000000"/>
                <w:sz w:val="20"/>
                <w:szCs w:val="20"/>
                <w:lang w:eastAsia="cs-CZ"/>
              </w:rPr>
            </w:pPr>
            <w:r w:rsidRPr="002D6B19">
              <w:rPr>
                <w:rFonts w:cstheme="minorHAnsi"/>
                <w:b/>
                <w:bCs/>
                <w:sz w:val="20"/>
                <w:szCs w:val="20"/>
              </w:rPr>
              <w:t xml:space="preserve">k 31. 12. </w:t>
            </w:r>
            <w:r w:rsidR="006E5783" w:rsidRPr="002332BE">
              <w:rPr>
                <w:rFonts w:ascii="Calibri" w:eastAsia="Times New Roman" w:hAnsi="Calibri" w:cstheme="minorHAnsi"/>
                <w:b/>
                <w:bCs/>
                <w:color w:val="000000"/>
                <w:sz w:val="20"/>
                <w:szCs w:val="20"/>
                <w:lang w:eastAsia="cs-CZ"/>
              </w:rPr>
              <w:t>2020</w:t>
            </w:r>
          </w:p>
        </w:tc>
        <w:tc>
          <w:tcPr>
            <w:tcW w:w="1685" w:type="dxa"/>
            <w:tcBorders>
              <w:top w:val="single" w:sz="4" w:space="0" w:color="auto"/>
              <w:left w:val="nil"/>
              <w:bottom w:val="single" w:sz="4" w:space="0" w:color="auto"/>
              <w:right w:val="single" w:sz="4" w:space="0" w:color="auto"/>
            </w:tcBorders>
            <w:shd w:val="clear" w:color="auto" w:fill="E5F1FF"/>
            <w:vAlign w:val="center"/>
            <w:hideMark/>
          </w:tcPr>
          <w:p w14:paraId="03DA4576" w14:textId="77777777" w:rsidR="006E5783" w:rsidRPr="002332BE" w:rsidRDefault="00CF4E83" w:rsidP="006E5783">
            <w:pPr>
              <w:spacing w:after="0" w:line="240" w:lineRule="auto"/>
              <w:jc w:val="center"/>
              <w:rPr>
                <w:rFonts w:ascii="Calibri" w:eastAsia="Times New Roman" w:hAnsi="Calibri" w:cs="Calibri"/>
                <w:b/>
                <w:bCs/>
                <w:color w:val="000000"/>
                <w:sz w:val="20"/>
                <w:szCs w:val="20"/>
                <w:lang w:eastAsia="cs-CZ"/>
              </w:rPr>
            </w:pPr>
            <w:r w:rsidRPr="002D6B19">
              <w:rPr>
                <w:rFonts w:cstheme="minorHAnsi"/>
                <w:b/>
                <w:bCs/>
                <w:sz w:val="20"/>
                <w:szCs w:val="20"/>
              </w:rPr>
              <w:t xml:space="preserve">k 31. 12. </w:t>
            </w:r>
            <w:r w:rsidR="006E5783" w:rsidRPr="002332BE">
              <w:rPr>
                <w:rFonts w:ascii="Calibri" w:eastAsia="Times New Roman" w:hAnsi="Calibri" w:cstheme="minorHAnsi"/>
                <w:b/>
                <w:bCs/>
                <w:color w:val="000000"/>
                <w:sz w:val="20"/>
                <w:szCs w:val="20"/>
                <w:lang w:eastAsia="cs-CZ"/>
              </w:rPr>
              <w:t>2021</w:t>
            </w:r>
          </w:p>
        </w:tc>
      </w:tr>
      <w:tr w:rsidR="002332BE" w:rsidRPr="002332BE" w14:paraId="6F6D62EF" w14:textId="77777777" w:rsidTr="00706C29">
        <w:trPr>
          <w:trHeight w:val="300"/>
        </w:trPr>
        <w:tc>
          <w:tcPr>
            <w:tcW w:w="3711" w:type="dxa"/>
            <w:tcBorders>
              <w:top w:val="nil"/>
              <w:left w:val="single" w:sz="4" w:space="0" w:color="auto"/>
              <w:bottom w:val="single" w:sz="4" w:space="0" w:color="auto"/>
              <w:right w:val="single" w:sz="4" w:space="0" w:color="auto"/>
            </w:tcBorders>
            <w:shd w:val="clear" w:color="auto" w:fill="auto"/>
            <w:vAlign w:val="center"/>
            <w:hideMark/>
          </w:tcPr>
          <w:p w14:paraId="1F81F750" w14:textId="77777777" w:rsidR="002332BE" w:rsidRPr="00CD6F87" w:rsidRDefault="002332BE" w:rsidP="002332BE">
            <w:pPr>
              <w:spacing w:after="0" w:line="240" w:lineRule="auto"/>
              <w:rPr>
                <w:rFonts w:ascii="Calibri" w:eastAsia="Times New Roman" w:hAnsi="Calibri" w:cs="Calibri"/>
                <w:bCs/>
                <w:color w:val="000000"/>
                <w:sz w:val="20"/>
                <w:szCs w:val="20"/>
                <w:lang w:eastAsia="cs-CZ"/>
              </w:rPr>
            </w:pPr>
            <w:r w:rsidRPr="00CD6F87">
              <w:rPr>
                <w:rFonts w:ascii="Calibri" w:eastAsia="Times New Roman" w:hAnsi="Calibri" w:cstheme="minorHAnsi"/>
                <w:bCs/>
                <w:color w:val="000000"/>
                <w:sz w:val="20"/>
                <w:szCs w:val="20"/>
                <w:lang w:eastAsia="cs-CZ"/>
              </w:rPr>
              <w:t xml:space="preserve">Aktiva </w:t>
            </w:r>
            <w:r w:rsidR="00706C29" w:rsidRPr="00CD6F87">
              <w:rPr>
                <w:rFonts w:ascii="Calibri" w:eastAsia="Times New Roman" w:hAnsi="Calibri" w:cstheme="minorHAnsi"/>
                <w:bCs/>
                <w:color w:val="000000"/>
                <w:sz w:val="20"/>
                <w:szCs w:val="20"/>
                <w:lang w:eastAsia="cs-CZ"/>
              </w:rPr>
              <w:t>c</w:t>
            </w:r>
            <w:r w:rsidRPr="00CD6F87">
              <w:rPr>
                <w:rFonts w:ascii="Calibri" w:eastAsia="Times New Roman" w:hAnsi="Calibri" w:cstheme="minorHAnsi"/>
                <w:bCs/>
                <w:color w:val="000000"/>
                <w:sz w:val="20"/>
                <w:szCs w:val="20"/>
                <w:lang w:eastAsia="cs-CZ"/>
              </w:rPr>
              <w:t>elkem</w:t>
            </w:r>
          </w:p>
        </w:tc>
        <w:tc>
          <w:tcPr>
            <w:tcW w:w="1838" w:type="dxa"/>
            <w:tcBorders>
              <w:top w:val="nil"/>
              <w:left w:val="nil"/>
              <w:bottom w:val="single" w:sz="4" w:space="0" w:color="auto"/>
              <w:right w:val="single" w:sz="4" w:space="0" w:color="auto"/>
            </w:tcBorders>
            <w:shd w:val="clear" w:color="auto" w:fill="auto"/>
            <w:vAlign w:val="center"/>
          </w:tcPr>
          <w:p w14:paraId="57F98251" w14:textId="77777777" w:rsidR="002332BE" w:rsidRPr="00CD6F87" w:rsidRDefault="002332BE" w:rsidP="002332BE">
            <w:pPr>
              <w:spacing w:after="0" w:line="240" w:lineRule="auto"/>
              <w:jc w:val="right"/>
              <w:rPr>
                <w:rFonts w:ascii="Calibri" w:eastAsia="Times New Roman" w:hAnsi="Calibri" w:cs="Calibri"/>
                <w:bCs/>
                <w:color w:val="000000"/>
                <w:sz w:val="20"/>
                <w:szCs w:val="20"/>
                <w:lang w:eastAsia="cs-CZ"/>
              </w:rPr>
            </w:pPr>
            <w:r w:rsidRPr="00CD6F87">
              <w:rPr>
                <w:rFonts w:cstheme="minorHAnsi"/>
                <w:color w:val="000000"/>
                <w:sz w:val="20"/>
                <w:szCs w:val="20"/>
              </w:rPr>
              <w:t>936</w:t>
            </w:r>
            <w:r w:rsidR="00B92260" w:rsidRPr="00CD6F87">
              <w:rPr>
                <w:rFonts w:cstheme="minorHAnsi"/>
                <w:color w:val="000000"/>
                <w:sz w:val="20"/>
                <w:szCs w:val="20"/>
              </w:rPr>
              <w:t> </w:t>
            </w:r>
            <w:r w:rsidRPr="00CD6F87">
              <w:rPr>
                <w:rFonts w:cstheme="minorHAnsi"/>
                <w:color w:val="000000"/>
                <w:sz w:val="20"/>
                <w:szCs w:val="20"/>
              </w:rPr>
              <w:t>882</w:t>
            </w:r>
            <w:r w:rsidR="00B92260" w:rsidRPr="00CD6F87">
              <w:rPr>
                <w:rFonts w:cstheme="minorHAnsi"/>
                <w:color w:val="000000"/>
                <w:sz w:val="20"/>
                <w:szCs w:val="20"/>
              </w:rPr>
              <w:t>,</w:t>
            </w:r>
            <w:r w:rsidRPr="00CD6F87">
              <w:rPr>
                <w:rFonts w:cstheme="minorHAnsi"/>
                <w:color w:val="000000"/>
                <w:sz w:val="20"/>
                <w:szCs w:val="20"/>
              </w:rPr>
              <w:t>4</w:t>
            </w:r>
            <w:r w:rsidR="00B92260" w:rsidRPr="00CD6F87">
              <w:rPr>
                <w:rFonts w:cstheme="minorHAnsi"/>
                <w:color w:val="000000"/>
                <w:sz w:val="20"/>
                <w:szCs w:val="20"/>
              </w:rPr>
              <w:t>1</w:t>
            </w:r>
          </w:p>
        </w:tc>
        <w:tc>
          <w:tcPr>
            <w:tcW w:w="1838" w:type="dxa"/>
            <w:tcBorders>
              <w:top w:val="nil"/>
              <w:left w:val="nil"/>
              <w:bottom w:val="single" w:sz="4" w:space="0" w:color="auto"/>
              <w:right w:val="single" w:sz="4" w:space="0" w:color="auto"/>
            </w:tcBorders>
            <w:shd w:val="clear" w:color="auto" w:fill="auto"/>
            <w:vAlign w:val="center"/>
          </w:tcPr>
          <w:p w14:paraId="1A09377E" w14:textId="77777777" w:rsidR="002332BE" w:rsidRPr="00CD6F87" w:rsidRDefault="002332BE" w:rsidP="002332BE">
            <w:pPr>
              <w:spacing w:after="0" w:line="240" w:lineRule="auto"/>
              <w:jc w:val="right"/>
              <w:rPr>
                <w:rFonts w:ascii="Calibri" w:eastAsia="Times New Roman" w:hAnsi="Calibri" w:cs="Calibri"/>
                <w:bCs/>
                <w:color w:val="000000"/>
                <w:sz w:val="20"/>
                <w:szCs w:val="20"/>
                <w:lang w:eastAsia="cs-CZ"/>
              </w:rPr>
            </w:pPr>
            <w:r w:rsidRPr="00CD6F87">
              <w:rPr>
                <w:rFonts w:cstheme="minorHAnsi"/>
                <w:color w:val="000000"/>
                <w:sz w:val="20"/>
                <w:szCs w:val="20"/>
              </w:rPr>
              <w:t>944</w:t>
            </w:r>
            <w:r w:rsidR="00B92260" w:rsidRPr="00CD6F87">
              <w:rPr>
                <w:rFonts w:cstheme="minorHAnsi"/>
                <w:color w:val="000000"/>
                <w:sz w:val="20"/>
                <w:szCs w:val="20"/>
              </w:rPr>
              <w:t> </w:t>
            </w:r>
            <w:r w:rsidRPr="00CD6F87">
              <w:rPr>
                <w:rFonts w:cstheme="minorHAnsi"/>
                <w:color w:val="000000"/>
                <w:sz w:val="20"/>
                <w:szCs w:val="20"/>
              </w:rPr>
              <w:t>581</w:t>
            </w:r>
            <w:r w:rsidR="00B92260" w:rsidRPr="00CD6F87">
              <w:rPr>
                <w:rFonts w:cstheme="minorHAnsi"/>
                <w:color w:val="000000"/>
                <w:sz w:val="20"/>
                <w:szCs w:val="20"/>
              </w:rPr>
              <w:t>,</w:t>
            </w:r>
            <w:r w:rsidRPr="00CD6F87">
              <w:rPr>
                <w:rFonts w:cstheme="minorHAnsi"/>
                <w:color w:val="000000"/>
                <w:sz w:val="20"/>
                <w:szCs w:val="20"/>
              </w:rPr>
              <w:t>83</w:t>
            </w:r>
          </w:p>
        </w:tc>
        <w:tc>
          <w:tcPr>
            <w:tcW w:w="1685" w:type="dxa"/>
            <w:tcBorders>
              <w:top w:val="nil"/>
              <w:left w:val="nil"/>
              <w:bottom w:val="single" w:sz="4" w:space="0" w:color="auto"/>
              <w:right w:val="single" w:sz="4" w:space="0" w:color="auto"/>
            </w:tcBorders>
            <w:shd w:val="clear" w:color="auto" w:fill="auto"/>
            <w:vAlign w:val="center"/>
          </w:tcPr>
          <w:p w14:paraId="6EA29CFC" w14:textId="77777777" w:rsidR="002332BE" w:rsidRPr="00CD6F87" w:rsidRDefault="002332BE" w:rsidP="002332BE">
            <w:pPr>
              <w:spacing w:after="0" w:line="240" w:lineRule="auto"/>
              <w:jc w:val="right"/>
              <w:rPr>
                <w:rFonts w:ascii="Calibri" w:eastAsia="Times New Roman" w:hAnsi="Calibri" w:cs="Calibri"/>
                <w:bCs/>
                <w:color w:val="000000"/>
                <w:sz w:val="20"/>
                <w:szCs w:val="20"/>
                <w:lang w:eastAsia="cs-CZ"/>
              </w:rPr>
            </w:pPr>
            <w:r w:rsidRPr="00CD6F87">
              <w:rPr>
                <w:rFonts w:cstheme="minorHAnsi"/>
                <w:color w:val="000000"/>
                <w:sz w:val="20"/>
                <w:szCs w:val="20"/>
              </w:rPr>
              <w:t>1 096</w:t>
            </w:r>
            <w:r w:rsidR="00B92260" w:rsidRPr="00CD6F87">
              <w:rPr>
                <w:rFonts w:cstheme="minorHAnsi"/>
                <w:color w:val="000000"/>
                <w:sz w:val="20"/>
                <w:szCs w:val="20"/>
              </w:rPr>
              <w:t> </w:t>
            </w:r>
            <w:r w:rsidRPr="00CD6F87">
              <w:rPr>
                <w:rFonts w:cstheme="minorHAnsi"/>
                <w:color w:val="000000"/>
                <w:sz w:val="20"/>
                <w:szCs w:val="20"/>
              </w:rPr>
              <w:t>209</w:t>
            </w:r>
            <w:r w:rsidR="00B92260" w:rsidRPr="00CD6F87">
              <w:rPr>
                <w:rFonts w:cstheme="minorHAnsi"/>
                <w:color w:val="000000"/>
                <w:sz w:val="20"/>
                <w:szCs w:val="20"/>
              </w:rPr>
              <w:t>,40</w:t>
            </w:r>
          </w:p>
        </w:tc>
      </w:tr>
    </w:tbl>
    <w:p w14:paraId="52796089" w14:textId="78F11363" w:rsidR="00477FD7" w:rsidRPr="002E74F0" w:rsidRDefault="00477FD7" w:rsidP="002E74F0">
      <w:pPr>
        <w:spacing w:before="40" w:after="120" w:line="240" w:lineRule="auto"/>
        <w:jc w:val="both"/>
        <w:rPr>
          <w:bCs/>
          <w:iCs/>
          <w:sz w:val="24"/>
        </w:rPr>
      </w:pPr>
      <w:r w:rsidRPr="002E74F0">
        <w:rPr>
          <w:b/>
          <w:bCs/>
          <w:iCs/>
          <w:sz w:val="20"/>
          <w:szCs w:val="18"/>
        </w:rPr>
        <w:t>Zdroj:</w:t>
      </w:r>
      <w:r w:rsidRPr="002E74F0">
        <w:rPr>
          <w:bCs/>
          <w:iCs/>
          <w:sz w:val="20"/>
          <w:szCs w:val="18"/>
        </w:rPr>
        <w:t xml:space="preserve"> </w:t>
      </w:r>
      <w:r w:rsidR="00A150B0">
        <w:rPr>
          <w:bCs/>
          <w:iCs/>
          <w:sz w:val="20"/>
          <w:szCs w:val="18"/>
        </w:rPr>
        <w:t>ú</w:t>
      </w:r>
      <w:r w:rsidRPr="002E74F0">
        <w:rPr>
          <w:bCs/>
          <w:iCs/>
          <w:sz w:val="20"/>
          <w:szCs w:val="18"/>
        </w:rPr>
        <w:t>četní závěrk</w:t>
      </w:r>
      <w:r w:rsidR="00A150B0">
        <w:rPr>
          <w:bCs/>
          <w:iCs/>
          <w:sz w:val="20"/>
          <w:szCs w:val="18"/>
        </w:rPr>
        <w:t>y</w:t>
      </w:r>
      <w:r w:rsidRPr="002E74F0">
        <w:rPr>
          <w:bCs/>
          <w:iCs/>
          <w:sz w:val="20"/>
          <w:szCs w:val="18"/>
        </w:rPr>
        <w:t xml:space="preserve"> LSL za roky 2019, 2020 a 2021</w:t>
      </w:r>
      <w:r w:rsidR="00A150B0">
        <w:rPr>
          <w:bCs/>
          <w:iCs/>
          <w:sz w:val="20"/>
          <w:szCs w:val="18"/>
        </w:rPr>
        <w:t>.</w:t>
      </w:r>
    </w:p>
    <w:p w14:paraId="15794F66" w14:textId="77777777" w:rsidR="006F2046" w:rsidRPr="00362445" w:rsidRDefault="006F2046" w:rsidP="002E74F0">
      <w:pPr>
        <w:spacing w:before="240" w:after="120" w:line="264" w:lineRule="auto"/>
        <w:jc w:val="both"/>
        <w:rPr>
          <w:sz w:val="24"/>
        </w:rPr>
      </w:pPr>
      <w:r w:rsidRPr="00362445">
        <w:rPr>
          <w:sz w:val="24"/>
        </w:rPr>
        <w:t xml:space="preserve">K 31. prosinci 2021 hospodařila LSL s majetkem v celkové hodnotě 1 096 209,40 tis. Kč, z toho nejvýznamnější položkou byla stálá aktiva – pozemky, stavby a nedokončený dlouhodobý hmotný majetek. </w:t>
      </w:r>
    </w:p>
    <w:p w14:paraId="69E7B78C" w14:textId="77777777" w:rsidR="006E5783" w:rsidRPr="002E74F0" w:rsidRDefault="006E5783" w:rsidP="002E74F0">
      <w:pPr>
        <w:tabs>
          <w:tab w:val="right" w:pos="9072"/>
        </w:tabs>
        <w:spacing w:before="120" w:after="40" w:line="240" w:lineRule="auto"/>
        <w:jc w:val="both"/>
        <w:rPr>
          <w:b/>
          <w:bCs/>
          <w:iCs/>
          <w:sz w:val="24"/>
        </w:rPr>
      </w:pPr>
      <w:r w:rsidRPr="002E74F0">
        <w:rPr>
          <w:b/>
          <w:bCs/>
          <w:iCs/>
          <w:sz w:val="24"/>
        </w:rPr>
        <w:t xml:space="preserve">Tabulka č. </w:t>
      </w:r>
      <w:r w:rsidR="00AE4CA4" w:rsidRPr="002E74F0">
        <w:rPr>
          <w:b/>
          <w:bCs/>
          <w:iCs/>
          <w:sz w:val="24"/>
        </w:rPr>
        <w:t>7</w:t>
      </w:r>
      <w:r w:rsidRPr="002E74F0">
        <w:rPr>
          <w:b/>
          <w:bCs/>
          <w:iCs/>
          <w:sz w:val="24"/>
        </w:rPr>
        <w:t xml:space="preserve">: Vybrané položky výkazu zisku a ztráty </w:t>
      </w:r>
      <w:r w:rsidR="002E74F0" w:rsidRPr="002E74F0">
        <w:rPr>
          <w:b/>
          <w:bCs/>
          <w:iCs/>
          <w:sz w:val="24"/>
        </w:rPr>
        <w:tab/>
      </w:r>
      <w:r w:rsidRPr="002E74F0">
        <w:rPr>
          <w:b/>
          <w:bCs/>
          <w:iCs/>
          <w:sz w:val="24"/>
        </w:rPr>
        <w:t>(v tis. Kč)</w:t>
      </w:r>
    </w:p>
    <w:tbl>
      <w:tblPr>
        <w:tblW w:w="5000" w:type="pct"/>
        <w:tblCellMar>
          <w:left w:w="70" w:type="dxa"/>
          <w:right w:w="70" w:type="dxa"/>
        </w:tblCellMar>
        <w:tblLook w:val="04A0" w:firstRow="1" w:lastRow="0" w:firstColumn="1" w:lastColumn="0" w:noHBand="0" w:noVBand="1"/>
      </w:tblPr>
      <w:tblGrid>
        <w:gridCol w:w="1663"/>
        <w:gridCol w:w="1314"/>
        <w:gridCol w:w="1182"/>
        <w:gridCol w:w="1314"/>
        <w:gridCol w:w="1182"/>
        <w:gridCol w:w="1312"/>
        <w:gridCol w:w="1095"/>
      </w:tblGrid>
      <w:tr w:rsidR="006E5783" w:rsidRPr="00964B0E" w14:paraId="26EF4CE7" w14:textId="77777777" w:rsidTr="002E74F0">
        <w:trPr>
          <w:trHeight w:val="255"/>
          <w:tblHeader/>
        </w:trPr>
        <w:tc>
          <w:tcPr>
            <w:tcW w:w="918" w:type="pct"/>
            <w:vMerge w:val="restart"/>
            <w:tcBorders>
              <w:top w:val="single" w:sz="4" w:space="0" w:color="auto"/>
              <w:left w:val="single" w:sz="4" w:space="0" w:color="auto"/>
              <w:bottom w:val="single" w:sz="4" w:space="0" w:color="auto"/>
              <w:right w:val="single" w:sz="4" w:space="0" w:color="auto"/>
            </w:tcBorders>
            <w:shd w:val="clear" w:color="auto" w:fill="E5F1FF"/>
            <w:vAlign w:val="center"/>
            <w:hideMark/>
          </w:tcPr>
          <w:p w14:paraId="7979583D" w14:textId="77777777" w:rsidR="006E5783" w:rsidRPr="00964B0E" w:rsidRDefault="006E5783" w:rsidP="006E5783">
            <w:pPr>
              <w:spacing w:after="0" w:line="240" w:lineRule="auto"/>
              <w:jc w:val="center"/>
              <w:rPr>
                <w:rFonts w:ascii="Calibri" w:eastAsia="Times New Roman" w:hAnsi="Calibri" w:cs="Calibri"/>
                <w:b/>
                <w:bCs/>
                <w:color w:val="000000"/>
                <w:sz w:val="18"/>
                <w:szCs w:val="18"/>
                <w:lang w:eastAsia="cs-CZ"/>
              </w:rPr>
            </w:pPr>
            <w:r w:rsidRPr="00964B0E">
              <w:rPr>
                <w:rFonts w:ascii="Calibri" w:eastAsia="Times New Roman" w:hAnsi="Calibri" w:cs="Calibri"/>
                <w:b/>
                <w:bCs/>
                <w:color w:val="000000"/>
                <w:sz w:val="18"/>
                <w:szCs w:val="18"/>
                <w:lang w:eastAsia="cs-CZ"/>
              </w:rPr>
              <w:t> </w:t>
            </w:r>
            <w:r>
              <w:rPr>
                <w:rFonts w:ascii="Calibri" w:eastAsia="Times New Roman" w:hAnsi="Calibri" w:cs="Calibri"/>
                <w:b/>
                <w:bCs/>
                <w:color w:val="000000"/>
                <w:sz w:val="18"/>
                <w:szCs w:val="18"/>
                <w:lang w:eastAsia="cs-CZ"/>
              </w:rPr>
              <w:t>Položka</w:t>
            </w:r>
          </w:p>
        </w:tc>
        <w:tc>
          <w:tcPr>
            <w:tcW w:w="1377" w:type="pct"/>
            <w:gridSpan w:val="2"/>
            <w:tcBorders>
              <w:top w:val="single" w:sz="4" w:space="0" w:color="auto"/>
              <w:left w:val="nil"/>
              <w:bottom w:val="single" w:sz="4" w:space="0" w:color="auto"/>
              <w:right w:val="single" w:sz="4" w:space="0" w:color="auto"/>
            </w:tcBorders>
            <w:shd w:val="clear" w:color="auto" w:fill="E5F1FF"/>
            <w:vAlign w:val="center"/>
            <w:hideMark/>
          </w:tcPr>
          <w:p w14:paraId="3F3B08F5" w14:textId="77777777" w:rsidR="006E5783" w:rsidRPr="00CF4E83" w:rsidRDefault="00CF4E83" w:rsidP="006E5783">
            <w:pPr>
              <w:spacing w:after="0" w:line="240" w:lineRule="auto"/>
              <w:jc w:val="center"/>
              <w:rPr>
                <w:rFonts w:ascii="Calibri" w:eastAsia="Times New Roman" w:hAnsi="Calibri" w:cs="Calibri"/>
                <w:b/>
                <w:bCs/>
                <w:color w:val="000000"/>
                <w:sz w:val="18"/>
                <w:szCs w:val="18"/>
                <w:lang w:eastAsia="cs-CZ"/>
              </w:rPr>
            </w:pPr>
            <w:r w:rsidRPr="00CF4E83">
              <w:rPr>
                <w:rFonts w:cstheme="minorHAnsi"/>
                <w:b/>
                <w:bCs/>
                <w:sz w:val="18"/>
                <w:szCs w:val="18"/>
              </w:rPr>
              <w:t xml:space="preserve">k 31. 12. </w:t>
            </w:r>
            <w:r w:rsidR="006E5783" w:rsidRPr="00CF4E83">
              <w:rPr>
                <w:rFonts w:ascii="Calibri" w:eastAsia="Times New Roman" w:hAnsi="Calibri" w:cs="Calibri"/>
                <w:b/>
                <w:bCs/>
                <w:color w:val="000000"/>
                <w:sz w:val="18"/>
                <w:szCs w:val="18"/>
                <w:lang w:eastAsia="cs-CZ"/>
              </w:rPr>
              <w:t>2019</w:t>
            </w:r>
          </w:p>
        </w:tc>
        <w:tc>
          <w:tcPr>
            <w:tcW w:w="1377" w:type="pct"/>
            <w:gridSpan w:val="2"/>
            <w:tcBorders>
              <w:top w:val="single" w:sz="4" w:space="0" w:color="auto"/>
              <w:left w:val="nil"/>
              <w:bottom w:val="single" w:sz="4" w:space="0" w:color="auto"/>
              <w:right w:val="single" w:sz="4" w:space="0" w:color="auto"/>
            </w:tcBorders>
            <w:shd w:val="clear" w:color="auto" w:fill="E5F1FF"/>
            <w:vAlign w:val="center"/>
            <w:hideMark/>
          </w:tcPr>
          <w:p w14:paraId="56D36EF4" w14:textId="77777777" w:rsidR="006E5783" w:rsidRPr="00CF4E83" w:rsidRDefault="00CF4E83" w:rsidP="006E5783">
            <w:pPr>
              <w:spacing w:after="0" w:line="240" w:lineRule="auto"/>
              <w:jc w:val="center"/>
              <w:rPr>
                <w:rFonts w:ascii="Calibri" w:eastAsia="Times New Roman" w:hAnsi="Calibri" w:cs="Calibri"/>
                <w:b/>
                <w:bCs/>
                <w:color w:val="000000"/>
                <w:sz w:val="18"/>
                <w:szCs w:val="18"/>
                <w:lang w:eastAsia="cs-CZ"/>
              </w:rPr>
            </w:pPr>
            <w:r w:rsidRPr="00CF4E83">
              <w:rPr>
                <w:rFonts w:cstheme="minorHAnsi"/>
                <w:b/>
                <w:bCs/>
                <w:sz w:val="18"/>
                <w:szCs w:val="18"/>
              </w:rPr>
              <w:t xml:space="preserve">k 31. 12. </w:t>
            </w:r>
            <w:r w:rsidR="006E5783" w:rsidRPr="00CF4E83">
              <w:rPr>
                <w:rFonts w:ascii="Calibri" w:eastAsia="Times New Roman" w:hAnsi="Calibri" w:cs="Calibri"/>
                <w:b/>
                <w:bCs/>
                <w:color w:val="000000"/>
                <w:sz w:val="18"/>
                <w:szCs w:val="18"/>
                <w:lang w:eastAsia="cs-CZ"/>
              </w:rPr>
              <w:t>2020</w:t>
            </w:r>
          </w:p>
        </w:tc>
        <w:tc>
          <w:tcPr>
            <w:tcW w:w="1328" w:type="pct"/>
            <w:gridSpan w:val="2"/>
            <w:tcBorders>
              <w:top w:val="single" w:sz="4" w:space="0" w:color="auto"/>
              <w:left w:val="nil"/>
              <w:bottom w:val="single" w:sz="4" w:space="0" w:color="auto"/>
              <w:right w:val="single" w:sz="4" w:space="0" w:color="auto"/>
            </w:tcBorders>
            <w:shd w:val="clear" w:color="auto" w:fill="E5F1FF"/>
            <w:vAlign w:val="center"/>
            <w:hideMark/>
          </w:tcPr>
          <w:p w14:paraId="08545937" w14:textId="77777777" w:rsidR="006E5783" w:rsidRPr="00CF4E83" w:rsidRDefault="00CF4E83" w:rsidP="006E5783">
            <w:pPr>
              <w:spacing w:after="0" w:line="240" w:lineRule="auto"/>
              <w:jc w:val="center"/>
              <w:rPr>
                <w:rFonts w:ascii="Calibri" w:eastAsia="Times New Roman" w:hAnsi="Calibri" w:cs="Calibri"/>
                <w:b/>
                <w:bCs/>
                <w:color w:val="000000"/>
                <w:sz w:val="18"/>
                <w:szCs w:val="18"/>
                <w:lang w:eastAsia="cs-CZ"/>
              </w:rPr>
            </w:pPr>
            <w:r w:rsidRPr="00CF4E83">
              <w:rPr>
                <w:rFonts w:cstheme="minorHAnsi"/>
                <w:b/>
                <w:bCs/>
                <w:sz w:val="18"/>
                <w:szCs w:val="18"/>
              </w:rPr>
              <w:t xml:space="preserve">k 31. 12. </w:t>
            </w:r>
            <w:r w:rsidR="006E5783" w:rsidRPr="00CF4E83">
              <w:rPr>
                <w:rFonts w:ascii="Calibri" w:eastAsia="Times New Roman" w:hAnsi="Calibri" w:cs="Calibri"/>
                <w:b/>
                <w:bCs/>
                <w:color w:val="000000"/>
                <w:sz w:val="18"/>
                <w:szCs w:val="18"/>
                <w:lang w:eastAsia="cs-CZ"/>
              </w:rPr>
              <w:t>2021</w:t>
            </w:r>
          </w:p>
        </w:tc>
      </w:tr>
      <w:tr w:rsidR="006E5783" w:rsidRPr="00964B0E" w14:paraId="341CAD5C" w14:textId="77777777" w:rsidTr="002E74F0">
        <w:trPr>
          <w:trHeight w:val="255"/>
          <w:tblHeader/>
        </w:trPr>
        <w:tc>
          <w:tcPr>
            <w:tcW w:w="918" w:type="pct"/>
            <w:vMerge/>
            <w:tcBorders>
              <w:top w:val="single" w:sz="4" w:space="0" w:color="auto"/>
              <w:left w:val="single" w:sz="4" w:space="0" w:color="auto"/>
              <w:bottom w:val="single" w:sz="4" w:space="0" w:color="auto"/>
              <w:right w:val="single" w:sz="4" w:space="0" w:color="auto"/>
            </w:tcBorders>
            <w:shd w:val="clear" w:color="auto" w:fill="E5F1FF"/>
            <w:vAlign w:val="center"/>
            <w:hideMark/>
          </w:tcPr>
          <w:p w14:paraId="4565FD0E" w14:textId="77777777" w:rsidR="006E5783" w:rsidRPr="00964B0E" w:rsidRDefault="006E5783" w:rsidP="006E5783">
            <w:pPr>
              <w:spacing w:after="0" w:line="240" w:lineRule="auto"/>
              <w:rPr>
                <w:rFonts w:ascii="Calibri" w:eastAsia="Times New Roman" w:hAnsi="Calibri" w:cs="Calibri"/>
                <w:b/>
                <w:bCs/>
                <w:color w:val="000000"/>
                <w:sz w:val="18"/>
                <w:szCs w:val="18"/>
                <w:lang w:eastAsia="cs-CZ"/>
              </w:rPr>
            </w:pPr>
          </w:p>
        </w:tc>
        <w:tc>
          <w:tcPr>
            <w:tcW w:w="725" w:type="pct"/>
            <w:tcBorders>
              <w:top w:val="nil"/>
              <w:left w:val="nil"/>
              <w:bottom w:val="single" w:sz="4" w:space="0" w:color="auto"/>
              <w:right w:val="single" w:sz="4" w:space="0" w:color="auto"/>
            </w:tcBorders>
            <w:shd w:val="clear" w:color="auto" w:fill="E5F1FF"/>
            <w:vAlign w:val="center"/>
            <w:hideMark/>
          </w:tcPr>
          <w:p w14:paraId="74A9D255" w14:textId="77777777" w:rsidR="006E5783" w:rsidRPr="00964B0E" w:rsidRDefault="006E5783" w:rsidP="006E5783">
            <w:pPr>
              <w:spacing w:after="0" w:line="240" w:lineRule="auto"/>
              <w:jc w:val="center"/>
              <w:rPr>
                <w:rFonts w:ascii="Calibri" w:eastAsia="Times New Roman" w:hAnsi="Calibri" w:cs="Calibri"/>
                <w:b/>
                <w:bCs/>
                <w:color w:val="000000"/>
                <w:sz w:val="18"/>
                <w:szCs w:val="18"/>
                <w:lang w:eastAsia="cs-CZ"/>
              </w:rPr>
            </w:pPr>
            <w:r w:rsidRPr="00964B0E">
              <w:rPr>
                <w:rFonts w:ascii="Calibri" w:eastAsia="Times New Roman" w:hAnsi="Calibri" w:cs="Calibri"/>
                <w:b/>
                <w:bCs/>
                <w:color w:val="000000"/>
                <w:sz w:val="18"/>
                <w:szCs w:val="18"/>
                <w:lang w:eastAsia="cs-CZ"/>
              </w:rPr>
              <w:t>Hlavní činnost</w:t>
            </w:r>
          </w:p>
        </w:tc>
        <w:tc>
          <w:tcPr>
            <w:tcW w:w="652" w:type="pct"/>
            <w:tcBorders>
              <w:top w:val="nil"/>
              <w:left w:val="nil"/>
              <w:bottom w:val="single" w:sz="4" w:space="0" w:color="auto"/>
              <w:right w:val="single" w:sz="4" w:space="0" w:color="auto"/>
            </w:tcBorders>
            <w:shd w:val="clear" w:color="auto" w:fill="E5F1FF"/>
            <w:vAlign w:val="center"/>
            <w:hideMark/>
          </w:tcPr>
          <w:p w14:paraId="31F6F553" w14:textId="77777777" w:rsidR="006E5783" w:rsidRPr="00964B0E" w:rsidRDefault="006E5783" w:rsidP="006E5783">
            <w:pPr>
              <w:spacing w:after="0" w:line="240" w:lineRule="auto"/>
              <w:jc w:val="center"/>
              <w:rPr>
                <w:rFonts w:ascii="Calibri" w:eastAsia="Times New Roman" w:hAnsi="Calibri" w:cs="Calibri"/>
                <w:b/>
                <w:bCs/>
                <w:color w:val="000000"/>
                <w:sz w:val="18"/>
                <w:szCs w:val="18"/>
                <w:lang w:eastAsia="cs-CZ"/>
              </w:rPr>
            </w:pPr>
            <w:r w:rsidRPr="00964B0E">
              <w:rPr>
                <w:rFonts w:ascii="Calibri" w:eastAsia="Times New Roman" w:hAnsi="Calibri" w:cs="Calibri"/>
                <w:b/>
                <w:bCs/>
                <w:color w:val="000000"/>
                <w:sz w:val="18"/>
                <w:szCs w:val="18"/>
                <w:lang w:eastAsia="cs-CZ"/>
              </w:rPr>
              <w:t>Jiná činnost</w:t>
            </w:r>
          </w:p>
        </w:tc>
        <w:tc>
          <w:tcPr>
            <w:tcW w:w="725" w:type="pct"/>
            <w:tcBorders>
              <w:top w:val="nil"/>
              <w:left w:val="nil"/>
              <w:bottom w:val="single" w:sz="4" w:space="0" w:color="auto"/>
              <w:right w:val="single" w:sz="4" w:space="0" w:color="auto"/>
            </w:tcBorders>
            <w:shd w:val="clear" w:color="auto" w:fill="E5F1FF"/>
            <w:vAlign w:val="center"/>
            <w:hideMark/>
          </w:tcPr>
          <w:p w14:paraId="6A2E4119" w14:textId="77777777" w:rsidR="006E5783" w:rsidRPr="00964B0E" w:rsidRDefault="006E5783" w:rsidP="006E5783">
            <w:pPr>
              <w:spacing w:after="0" w:line="240" w:lineRule="auto"/>
              <w:jc w:val="center"/>
              <w:rPr>
                <w:rFonts w:ascii="Calibri" w:eastAsia="Times New Roman" w:hAnsi="Calibri" w:cs="Calibri"/>
                <w:b/>
                <w:bCs/>
                <w:color w:val="000000"/>
                <w:sz w:val="18"/>
                <w:szCs w:val="18"/>
                <w:lang w:eastAsia="cs-CZ"/>
              </w:rPr>
            </w:pPr>
            <w:r w:rsidRPr="00964B0E">
              <w:rPr>
                <w:rFonts w:ascii="Calibri" w:eastAsia="Times New Roman" w:hAnsi="Calibri" w:cs="Calibri"/>
                <w:b/>
                <w:bCs/>
                <w:color w:val="000000"/>
                <w:sz w:val="18"/>
                <w:szCs w:val="18"/>
                <w:lang w:eastAsia="cs-CZ"/>
              </w:rPr>
              <w:t>Hlavní činnost</w:t>
            </w:r>
          </w:p>
        </w:tc>
        <w:tc>
          <w:tcPr>
            <w:tcW w:w="652" w:type="pct"/>
            <w:tcBorders>
              <w:top w:val="nil"/>
              <w:left w:val="nil"/>
              <w:bottom w:val="single" w:sz="4" w:space="0" w:color="auto"/>
              <w:right w:val="single" w:sz="4" w:space="0" w:color="auto"/>
            </w:tcBorders>
            <w:shd w:val="clear" w:color="auto" w:fill="E5F1FF"/>
            <w:vAlign w:val="center"/>
            <w:hideMark/>
          </w:tcPr>
          <w:p w14:paraId="0B845505" w14:textId="77777777" w:rsidR="006E5783" w:rsidRPr="00964B0E" w:rsidRDefault="006E5783" w:rsidP="006E5783">
            <w:pPr>
              <w:spacing w:after="0" w:line="240" w:lineRule="auto"/>
              <w:jc w:val="center"/>
              <w:rPr>
                <w:rFonts w:ascii="Calibri" w:eastAsia="Times New Roman" w:hAnsi="Calibri" w:cs="Calibri"/>
                <w:b/>
                <w:bCs/>
                <w:color w:val="000000"/>
                <w:sz w:val="18"/>
                <w:szCs w:val="18"/>
                <w:lang w:eastAsia="cs-CZ"/>
              </w:rPr>
            </w:pPr>
            <w:r w:rsidRPr="00964B0E">
              <w:rPr>
                <w:rFonts w:ascii="Calibri" w:eastAsia="Times New Roman" w:hAnsi="Calibri" w:cs="Calibri"/>
                <w:b/>
                <w:bCs/>
                <w:color w:val="000000"/>
                <w:sz w:val="18"/>
                <w:szCs w:val="18"/>
                <w:lang w:eastAsia="cs-CZ"/>
              </w:rPr>
              <w:t>Jiná činnost</w:t>
            </w:r>
          </w:p>
        </w:tc>
        <w:tc>
          <w:tcPr>
            <w:tcW w:w="724" w:type="pct"/>
            <w:tcBorders>
              <w:top w:val="nil"/>
              <w:left w:val="nil"/>
              <w:bottom w:val="single" w:sz="4" w:space="0" w:color="auto"/>
              <w:right w:val="single" w:sz="4" w:space="0" w:color="auto"/>
            </w:tcBorders>
            <w:shd w:val="clear" w:color="auto" w:fill="E5F1FF"/>
            <w:vAlign w:val="center"/>
            <w:hideMark/>
          </w:tcPr>
          <w:p w14:paraId="6EBE5ABC" w14:textId="77777777" w:rsidR="006E5783" w:rsidRPr="00964B0E" w:rsidRDefault="006E5783" w:rsidP="006E5783">
            <w:pPr>
              <w:spacing w:after="0" w:line="240" w:lineRule="auto"/>
              <w:jc w:val="center"/>
              <w:rPr>
                <w:rFonts w:ascii="Calibri" w:eastAsia="Times New Roman" w:hAnsi="Calibri" w:cs="Calibri"/>
                <w:b/>
                <w:bCs/>
                <w:color w:val="000000"/>
                <w:sz w:val="18"/>
                <w:szCs w:val="18"/>
                <w:lang w:eastAsia="cs-CZ"/>
              </w:rPr>
            </w:pPr>
            <w:r w:rsidRPr="00964B0E">
              <w:rPr>
                <w:rFonts w:ascii="Calibri" w:eastAsia="Times New Roman" w:hAnsi="Calibri" w:cs="Calibri"/>
                <w:b/>
                <w:bCs/>
                <w:color w:val="000000"/>
                <w:sz w:val="18"/>
                <w:szCs w:val="18"/>
                <w:lang w:eastAsia="cs-CZ"/>
              </w:rPr>
              <w:t>Hlavní činnost</w:t>
            </w:r>
          </w:p>
        </w:tc>
        <w:tc>
          <w:tcPr>
            <w:tcW w:w="604" w:type="pct"/>
            <w:tcBorders>
              <w:top w:val="nil"/>
              <w:left w:val="nil"/>
              <w:bottom w:val="single" w:sz="4" w:space="0" w:color="auto"/>
              <w:right w:val="single" w:sz="4" w:space="0" w:color="auto"/>
            </w:tcBorders>
            <w:shd w:val="clear" w:color="auto" w:fill="E5F1FF"/>
            <w:vAlign w:val="center"/>
            <w:hideMark/>
          </w:tcPr>
          <w:p w14:paraId="17ABC7CC" w14:textId="77777777" w:rsidR="006E5783" w:rsidRPr="00964B0E" w:rsidRDefault="006E5783" w:rsidP="006E5783">
            <w:pPr>
              <w:spacing w:after="0" w:line="240" w:lineRule="auto"/>
              <w:jc w:val="center"/>
              <w:rPr>
                <w:rFonts w:ascii="Calibri" w:eastAsia="Times New Roman" w:hAnsi="Calibri" w:cs="Calibri"/>
                <w:b/>
                <w:bCs/>
                <w:color w:val="000000"/>
                <w:sz w:val="18"/>
                <w:szCs w:val="18"/>
                <w:lang w:eastAsia="cs-CZ"/>
              </w:rPr>
            </w:pPr>
            <w:r w:rsidRPr="00964B0E">
              <w:rPr>
                <w:rFonts w:ascii="Calibri" w:eastAsia="Times New Roman" w:hAnsi="Calibri" w:cs="Calibri"/>
                <w:b/>
                <w:bCs/>
                <w:color w:val="000000"/>
                <w:sz w:val="18"/>
                <w:szCs w:val="18"/>
                <w:lang w:eastAsia="cs-CZ"/>
              </w:rPr>
              <w:t>Jiná činnost</w:t>
            </w:r>
          </w:p>
        </w:tc>
      </w:tr>
      <w:tr w:rsidR="002332BE" w:rsidRPr="00964B0E" w14:paraId="477EF520" w14:textId="77777777" w:rsidTr="002E74F0">
        <w:trPr>
          <w:trHeight w:val="255"/>
        </w:trPr>
        <w:tc>
          <w:tcPr>
            <w:tcW w:w="918" w:type="pct"/>
            <w:tcBorders>
              <w:top w:val="nil"/>
              <w:left w:val="single" w:sz="4" w:space="0" w:color="auto"/>
              <w:bottom w:val="single" w:sz="4" w:space="0" w:color="auto"/>
              <w:right w:val="single" w:sz="4" w:space="0" w:color="auto"/>
            </w:tcBorders>
            <w:shd w:val="clear" w:color="auto" w:fill="auto"/>
            <w:vAlign w:val="center"/>
            <w:hideMark/>
          </w:tcPr>
          <w:p w14:paraId="4B336A81" w14:textId="77777777" w:rsidR="002332BE" w:rsidRPr="00CD6F87" w:rsidRDefault="002332BE" w:rsidP="002332BE">
            <w:pPr>
              <w:spacing w:after="0" w:line="240" w:lineRule="auto"/>
              <w:rPr>
                <w:rFonts w:ascii="Calibri" w:eastAsia="Times New Roman" w:hAnsi="Calibri" w:cs="Calibri"/>
                <w:bCs/>
                <w:color w:val="000000"/>
                <w:sz w:val="18"/>
                <w:szCs w:val="18"/>
                <w:lang w:eastAsia="cs-CZ"/>
              </w:rPr>
            </w:pPr>
            <w:r w:rsidRPr="00CD6F87">
              <w:rPr>
                <w:rFonts w:ascii="Calibri" w:eastAsia="Times New Roman" w:hAnsi="Calibri" w:cs="Calibri"/>
                <w:bCs/>
                <w:color w:val="000000"/>
                <w:sz w:val="18"/>
                <w:szCs w:val="18"/>
                <w:lang w:eastAsia="cs-CZ"/>
              </w:rPr>
              <w:t>Náklady celkem</w:t>
            </w:r>
          </w:p>
        </w:tc>
        <w:tc>
          <w:tcPr>
            <w:tcW w:w="725" w:type="pct"/>
            <w:tcBorders>
              <w:top w:val="nil"/>
              <w:left w:val="nil"/>
              <w:bottom w:val="single" w:sz="4" w:space="0" w:color="auto"/>
              <w:right w:val="single" w:sz="4" w:space="0" w:color="auto"/>
            </w:tcBorders>
            <w:shd w:val="clear" w:color="auto" w:fill="auto"/>
            <w:vAlign w:val="center"/>
          </w:tcPr>
          <w:p w14:paraId="0E89A6AA" w14:textId="77777777" w:rsidR="002332BE" w:rsidRPr="00CD6F87" w:rsidRDefault="002332BE" w:rsidP="002332BE">
            <w:pPr>
              <w:spacing w:after="0" w:line="240" w:lineRule="auto"/>
              <w:jc w:val="right"/>
              <w:rPr>
                <w:rFonts w:ascii="Calibri" w:eastAsia="Times New Roman" w:hAnsi="Calibri" w:cs="Calibri"/>
                <w:bCs/>
                <w:color w:val="000000"/>
                <w:sz w:val="18"/>
                <w:szCs w:val="18"/>
                <w:lang w:eastAsia="cs-CZ"/>
              </w:rPr>
            </w:pPr>
            <w:r w:rsidRPr="00CD6F87">
              <w:rPr>
                <w:rFonts w:cstheme="minorHAnsi"/>
                <w:color w:val="000000"/>
                <w:sz w:val="18"/>
                <w:szCs w:val="18"/>
              </w:rPr>
              <w:t>87</w:t>
            </w:r>
            <w:r w:rsidR="00B92260" w:rsidRPr="00CD6F87">
              <w:rPr>
                <w:rFonts w:cstheme="minorHAnsi"/>
                <w:color w:val="000000"/>
                <w:sz w:val="18"/>
                <w:szCs w:val="18"/>
              </w:rPr>
              <w:t> </w:t>
            </w:r>
            <w:r w:rsidRPr="00CD6F87">
              <w:rPr>
                <w:rFonts w:cstheme="minorHAnsi"/>
                <w:color w:val="000000"/>
                <w:sz w:val="18"/>
                <w:szCs w:val="18"/>
              </w:rPr>
              <w:t>292</w:t>
            </w:r>
            <w:r w:rsidR="00B92260" w:rsidRPr="00CD6F87">
              <w:rPr>
                <w:rFonts w:cstheme="minorHAnsi"/>
                <w:color w:val="000000"/>
                <w:sz w:val="18"/>
                <w:szCs w:val="18"/>
              </w:rPr>
              <w:t>,</w:t>
            </w:r>
            <w:r w:rsidRPr="00CD6F87">
              <w:rPr>
                <w:rFonts w:cstheme="minorHAnsi"/>
                <w:color w:val="000000"/>
                <w:sz w:val="18"/>
                <w:szCs w:val="18"/>
              </w:rPr>
              <w:t>14</w:t>
            </w:r>
          </w:p>
        </w:tc>
        <w:tc>
          <w:tcPr>
            <w:tcW w:w="652" w:type="pct"/>
            <w:tcBorders>
              <w:top w:val="nil"/>
              <w:left w:val="nil"/>
              <w:bottom w:val="single" w:sz="4" w:space="0" w:color="auto"/>
              <w:right w:val="single" w:sz="4" w:space="0" w:color="auto"/>
            </w:tcBorders>
            <w:shd w:val="clear" w:color="auto" w:fill="auto"/>
            <w:vAlign w:val="center"/>
          </w:tcPr>
          <w:p w14:paraId="51CB8C64" w14:textId="77777777" w:rsidR="002332BE" w:rsidRPr="00CD6F87" w:rsidRDefault="002332BE" w:rsidP="002332BE">
            <w:pPr>
              <w:spacing w:after="0" w:line="240" w:lineRule="auto"/>
              <w:jc w:val="right"/>
              <w:rPr>
                <w:rFonts w:ascii="Calibri" w:eastAsia="Times New Roman" w:hAnsi="Calibri" w:cs="Calibri"/>
                <w:bCs/>
                <w:color w:val="000000"/>
                <w:sz w:val="18"/>
                <w:szCs w:val="18"/>
                <w:lang w:eastAsia="cs-CZ"/>
              </w:rPr>
            </w:pPr>
            <w:r w:rsidRPr="00CD6F87">
              <w:rPr>
                <w:rFonts w:cstheme="minorHAnsi"/>
                <w:color w:val="000000"/>
                <w:sz w:val="18"/>
                <w:szCs w:val="18"/>
              </w:rPr>
              <w:t>83</w:t>
            </w:r>
            <w:r w:rsidR="00B92260" w:rsidRPr="00CD6F87">
              <w:rPr>
                <w:rFonts w:cstheme="minorHAnsi"/>
                <w:color w:val="000000"/>
                <w:sz w:val="18"/>
                <w:szCs w:val="18"/>
              </w:rPr>
              <w:t>,</w:t>
            </w:r>
            <w:r w:rsidRPr="00CD6F87">
              <w:rPr>
                <w:rFonts w:cstheme="minorHAnsi"/>
                <w:color w:val="000000"/>
                <w:sz w:val="18"/>
                <w:szCs w:val="18"/>
              </w:rPr>
              <w:t>67</w:t>
            </w:r>
          </w:p>
        </w:tc>
        <w:tc>
          <w:tcPr>
            <w:tcW w:w="725" w:type="pct"/>
            <w:tcBorders>
              <w:top w:val="nil"/>
              <w:left w:val="nil"/>
              <w:bottom w:val="single" w:sz="4" w:space="0" w:color="auto"/>
              <w:right w:val="single" w:sz="4" w:space="0" w:color="auto"/>
            </w:tcBorders>
            <w:shd w:val="clear" w:color="auto" w:fill="auto"/>
            <w:vAlign w:val="center"/>
          </w:tcPr>
          <w:p w14:paraId="08D5C0DB" w14:textId="77777777" w:rsidR="002332BE" w:rsidRPr="00CD6F87" w:rsidRDefault="002332BE" w:rsidP="002332BE">
            <w:pPr>
              <w:spacing w:after="0" w:line="240" w:lineRule="auto"/>
              <w:jc w:val="right"/>
              <w:rPr>
                <w:rFonts w:ascii="Calibri" w:eastAsia="Times New Roman" w:hAnsi="Calibri" w:cs="Calibri"/>
                <w:bCs/>
                <w:color w:val="000000"/>
                <w:sz w:val="18"/>
                <w:szCs w:val="18"/>
                <w:lang w:eastAsia="cs-CZ"/>
              </w:rPr>
            </w:pPr>
            <w:r w:rsidRPr="00CD6F87">
              <w:rPr>
                <w:rFonts w:cstheme="minorHAnsi"/>
                <w:color w:val="000000"/>
                <w:sz w:val="18"/>
                <w:szCs w:val="18"/>
              </w:rPr>
              <w:t>115</w:t>
            </w:r>
            <w:r w:rsidR="00B92260" w:rsidRPr="00CD6F87">
              <w:rPr>
                <w:rFonts w:cstheme="minorHAnsi"/>
                <w:color w:val="000000"/>
                <w:sz w:val="18"/>
                <w:szCs w:val="18"/>
              </w:rPr>
              <w:t> </w:t>
            </w:r>
            <w:r w:rsidRPr="00CD6F87">
              <w:rPr>
                <w:rFonts w:cstheme="minorHAnsi"/>
                <w:color w:val="000000"/>
                <w:sz w:val="18"/>
                <w:szCs w:val="18"/>
              </w:rPr>
              <w:t>685</w:t>
            </w:r>
            <w:r w:rsidR="00B92260" w:rsidRPr="00CD6F87">
              <w:rPr>
                <w:rFonts w:cstheme="minorHAnsi"/>
                <w:color w:val="000000"/>
                <w:sz w:val="18"/>
                <w:szCs w:val="18"/>
              </w:rPr>
              <w:t>,</w:t>
            </w:r>
            <w:r w:rsidRPr="00CD6F87">
              <w:rPr>
                <w:rFonts w:cstheme="minorHAnsi"/>
                <w:color w:val="000000"/>
                <w:sz w:val="18"/>
                <w:szCs w:val="18"/>
              </w:rPr>
              <w:t>4</w:t>
            </w:r>
            <w:r w:rsidR="00B92260" w:rsidRPr="00CD6F87">
              <w:rPr>
                <w:rFonts w:cstheme="minorHAnsi"/>
                <w:color w:val="000000"/>
                <w:sz w:val="18"/>
                <w:szCs w:val="18"/>
              </w:rPr>
              <w:t>6</w:t>
            </w:r>
          </w:p>
        </w:tc>
        <w:tc>
          <w:tcPr>
            <w:tcW w:w="652" w:type="pct"/>
            <w:tcBorders>
              <w:top w:val="nil"/>
              <w:left w:val="nil"/>
              <w:bottom w:val="single" w:sz="4" w:space="0" w:color="auto"/>
              <w:right w:val="single" w:sz="4" w:space="0" w:color="auto"/>
            </w:tcBorders>
            <w:shd w:val="clear" w:color="auto" w:fill="auto"/>
            <w:vAlign w:val="center"/>
          </w:tcPr>
          <w:p w14:paraId="0B5453F3" w14:textId="77777777" w:rsidR="002332BE" w:rsidRPr="00CD6F87" w:rsidRDefault="002332BE" w:rsidP="002332BE">
            <w:pPr>
              <w:spacing w:after="0" w:line="240" w:lineRule="auto"/>
              <w:jc w:val="right"/>
              <w:rPr>
                <w:rFonts w:ascii="Calibri" w:eastAsia="Times New Roman" w:hAnsi="Calibri" w:cs="Calibri"/>
                <w:bCs/>
                <w:color w:val="000000"/>
                <w:sz w:val="18"/>
                <w:szCs w:val="18"/>
                <w:lang w:eastAsia="cs-CZ"/>
              </w:rPr>
            </w:pPr>
            <w:r w:rsidRPr="00CD6F87">
              <w:rPr>
                <w:rFonts w:cstheme="minorHAnsi"/>
                <w:color w:val="000000"/>
                <w:sz w:val="18"/>
                <w:szCs w:val="18"/>
              </w:rPr>
              <w:t>125</w:t>
            </w:r>
            <w:r w:rsidR="00B92260" w:rsidRPr="00CD6F87">
              <w:rPr>
                <w:rFonts w:cstheme="minorHAnsi"/>
                <w:color w:val="000000"/>
                <w:sz w:val="18"/>
                <w:szCs w:val="18"/>
              </w:rPr>
              <w:t>,</w:t>
            </w:r>
            <w:r w:rsidRPr="00CD6F87">
              <w:rPr>
                <w:rFonts w:cstheme="minorHAnsi"/>
                <w:color w:val="000000"/>
                <w:sz w:val="18"/>
                <w:szCs w:val="18"/>
              </w:rPr>
              <w:t>78</w:t>
            </w:r>
          </w:p>
        </w:tc>
        <w:tc>
          <w:tcPr>
            <w:tcW w:w="724" w:type="pct"/>
            <w:tcBorders>
              <w:top w:val="nil"/>
              <w:left w:val="nil"/>
              <w:bottom w:val="single" w:sz="4" w:space="0" w:color="auto"/>
              <w:right w:val="single" w:sz="4" w:space="0" w:color="auto"/>
            </w:tcBorders>
            <w:shd w:val="clear" w:color="auto" w:fill="auto"/>
            <w:vAlign w:val="center"/>
          </w:tcPr>
          <w:p w14:paraId="3D254235" w14:textId="77777777" w:rsidR="002332BE" w:rsidRPr="00CD6F87" w:rsidRDefault="002332BE" w:rsidP="002332BE">
            <w:pPr>
              <w:spacing w:after="0" w:line="240" w:lineRule="auto"/>
              <w:jc w:val="right"/>
              <w:rPr>
                <w:rFonts w:ascii="Calibri" w:eastAsia="Times New Roman" w:hAnsi="Calibri" w:cs="Calibri"/>
                <w:bCs/>
                <w:color w:val="000000"/>
                <w:sz w:val="18"/>
                <w:szCs w:val="18"/>
                <w:lang w:eastAsia="cs-CZ"/>
              </w:rPr>
            </w:pPr>
            <w:r w:rsidRPr="00CD6F87">
              <w:rPr>
                <w:rFonts w:cstheme="minorHAnsi"/>
                <w:color w:val="000000"/>
                <w:sz w:val="18"/>
                <w:szCs w:val="18"/>
              </w:rPr>
              <w:t>212</w:t>
            </w:r>
            <w:r w:rsidR="00B92260" w:rsidRPr="00CD6F87">
              <w:rPr>
                <w:rFonts w:cstheme="minorHAnsi"/>
                <w:color w:val="000000"/>
                <w:sz w:val="18"/>
                <w:szCs w:val="18"/>
              </w:rPr>
              <w:t> </w:t>
            </w:r>
            <w:r w:rsidRPr="00CD6F87">
              <w:rPr>
                <w:rFonts w:cstheme="minorHAnsi"/>
                <w:color w:val="000000"/>
                <w:sz w:val="18"/>
                <w:szCs w:val="18"/>
              </w:rPr>
              <w:t>214</w:t>
            </w:r>
            <w:r w:rsidR="00B92260" w:rsidRPr="00CD6F87">
              <w:rPr>
                <w:rFonts w:cstheme="minorHAnsi"/>
                <w:color w:val="000000"/>
                <w:sz w:val="18"/>
                <w:szCs w:val="18"/>
              </w:rPr>
              <w:t>,</w:t>
            </w:r>
            <w:r w:rsidRPr="00CD6F87">
              <w:rPr>
                <w:rFonts w:cstheme="minorHAnsi"/>
                <w:color w:val="000000"/>
                <w:sz w:val="18"/>
                <w:szCs w:val="18"/>
              </w:rPr>
              <w:t>05</w:t>
            </w:r>
          </w:p>
        </w:tc>
        <w:tc>
          <w:tcPr>
            <w:tcW w:w="604" w:type="pct"/>
            <w:tcBorders>
              <w:top w:val="nil"/>
              <w:left w:val="nil"/>
              <w:bottom w:val="single" w:sz="4" w:space="0" w:color="auto"/>
              <w:right w:val="single" w:sz="4" w:space="0" w:color="auto"/>
            </w:tcBorders>
            <w:shd w:val="clear" w:color="auto" w:fill="auto"/>
            <w:vAlign w:val="center"/>
          </w:tcPr>
          <w:p w14:paraId="5969B62E" w14:textId="77777777" w:rsidR="002332BE" w:rsidRPr="00CD6F87" w:rsidRDefault="002332BE" w:rsidP="002332BE">
            <w:pPr>
              <w:spacing w:after="0" w:line="240" w:lineRule="auto"/>
              <w:jc w:val="right"/>
              <w:rPr>
                <w:rFonts w:ascii="Calibri" w:eastAsia="Times New Roman" w:hAnsi="Calibri" w:cs="Calibri"/>
                <w:bCs/>
                <w:color w:val="000000"/>
                <w:sz w:val="18"/>
                <w:szCs w:val="18"/>
                <w:lang w:eastAsia="cs-CZ"/>
              </w:rPr>
            </w:pPr>
            <w:r w:rsidRPr="00CD6F87">
              <w:rPr>
                <w:rFonts w:cstheme="minorHAnsi"/>
                <w:color w:val="000000"/>
                <w:sz w:val="18"/>
                <w:szCs w:val="18"/>
              </w:rPr>
              <w:t>9</w:t>
            </w:r>
            <w:r w:rsidR="00B92260" w:rsidRPr="00CD6F87">
              <w:rPr>
                <w:rFonts w:cstheme="minorHAnsi"/>
                <w:color w:val="000000"/>
                <w:sz w:val="18"/>
                <w:szCs w:val="18"/>
              </w:rPr>
              <w:t> </w:t>
            </w:r>
            <w:r w:rsidRPr="00CD6F87">
              <w:rPr>
                <w:rFonts w:cstheme="minorHAnsi"/>
                <w:color w:val="000000"/>
                <w:sz w:val="18"/>
                <w:szCs w:val="18"/>
              </w:rPr>
              <w:t>533</w:t>
            </w:r>
            <w:r w:rsidR="00B92260" w:rsidRPr="00CD6F87">
              <w:rPr>
                <w:rFonts w:cstheme="minorHAnsi"/>
                <w:color w:val="000000"/>
                <w:sz w:val="18"/>
                <w:szCs w:val="18"/>
              </w:rPr>
              <w:t>,</w:t>
            </w:r>
            <w:r w:rsidRPr="00CD6F87">
              <w:rPr>
                <w:rFonts w:cstheme="minorHAnsi"/>
                <w:color w:val="000000"/>
                <w:sz w:val="18"/>
                <w:szCs w:val="18"/>
              </w:rPr>
              <w:t>00</w:t>
            </w:r>
          </w:p>
        </w:tc>
      </w:tr>
      <w:tr w:rsidR="002332BE" w:rsidRPr="00964B0E" w14:paraId="2E5C21B2" w14:textId="77777777" w:rsidTr="002E74F0">
        <w:trPr>
          <w:trHeight w:val="255"/>
        </w:trPr>
        <w:tc>
          <w:tcPr>
            <w:tcW w:w="918" w:type="pct"/>
            <w:tcBorders>
              <w:top w:val="nil"/>
              <w:left w:val="single" w:sz="4" w:space="0" w:color="auto"/>
              <w:bottom w:val="single" w:sz="4" w:space="0" w:color="auto"/>
              <w:right w:val="single" w:sz="4" w:space="0" w:color="auto"/>
            </w:tcBorders>
            <w:shd w:val="clear" w:color="000000" w:fill="FFFFFF"/>
            <w:vAlign w:val="center"/>
            <w:hideMark/>
          </w:tcPr>
          <w:p w14:paraId="6C8EB479" w14:textId="77777777" w:rsidR="002332BE" w:rsidRPr="00CD6F87" w:rsidRDefault="002332BE" w:rsidP="002332BE">
            <w:pPr>
              <w:spacing w:after="0" w:line="240" w:lineRule="auto"/>
              <w:rPr>
                <w:rFonts w:ascii="Calibri" w:eastAsia="Times New Roman" w:hAnsi="Calibri" w:cs="Calibri"/>
                <w:bCs/>
                <w:color w:val="000000"/>
                <w:sz w:val="18"/>
                <w:szCs w:val="18"/>
                <w:lang w:eastAsia="cs-CZ"/>
              </w:rPr>
            </w:pPr>
            <w:r w:rsidRPr="00CD6F87">
              <w:rPr>
                <w:rFonts w:ascii="Calibri" w:eastAsia="Times New Roman" w:hAnsi="Calibri" w:cs="Calibri"/>
                <w:bCs/>
                <w:color w:val="000000"/>
                <w:sz w:val="18"/>
                <w:szCs w:val="18"/>
                <w:lang w:eastAsia="cs-CZ"/>
              </w:rPr>
              <w:t>Výnosy celkem</w:t>
            </w:r>
          </w:p>
        </w:tc>
        <w:tc>
          <w:tcPr>
            <w:tcW w:w="725" w:type="pct"/>
            <w:tcBorders>
              <w:top w:val="nil"/>
              <w:left w:val="nil"/>
              <w:bottom w:val="single" w:sz="4" w:space="0" w:color="auto"/>
              <w:right w:val="single" w:sz="4" w:space="0" w:color="auto"/>
            </w:tcBorders>
            <w:shd w:val="clear" w:color="000000" w:fill="FFFFFF"/>
            <w:vAlign w:val="center"/>
          </w:tcPr>
          <w:p w14:paraId="39AE7CB8" w14:textId="77777777" w:rsidR="002332BE" w:rsidRPr="00CD6F87" w:rsidRDefault="002332BE" w:rsidP="002332BE">
            <w:pPr>
              <w:spacing w:after="0" w:line="240" w:lineRule="auto"/>
              <w:jc w:val="right"/>
              <w:rPr>
                <w:rFonts w:ascii="Calibri" w:eastAsia="Times New Roman" w:hAnsi="Calibri" w:cs="Calibri"/>
                <w:bCs/>
                <w:color w:val="000000"/>
                <w:sz w:val="18"/>
                <w:szCs w:val="18"/>
                <w:lang w:eastAsia="cs-CZ"/>
              </w:rPr>
            </w:pPr>
            <w:r w:rsidRPr="00CD6F87">
              <w:rPr>
                <w:rFonts w:cstheme="minorHAnsi"/>
                <w:color w:val="000000"/>
                <w:sz w:val="18"/>
                <w:szCs w:val="18"/>
              </w:rPr>
              <w:t>87</w:t>
            </w:r>
            <w:r w:rsidR="00B92260" w:rsidRPr="00CD6F87">
              <w:rPr>
                <w:rFonts w:cstheme="minorHAnsi"/>
                <w:color w:val="000000"/>
                <w:sz w:val="18"/>
                <w:szCs w:val="18"/>
              </w:rPr>
              <w:t> </w:t>
            </w:r>
            <w:r w:rsidRPr="00CD6F87">
              <w:rPr>
                <w:rFonts w:cstheme="minorHAnsi"/>
                <w:color w:val="000000"/>
                <w:sz w:val="18"/>
                <w:szCs w:val="18"/>
              </w:rPr>
              <w:t>293</w:t>
            </w:r>
            <w:r w:rsidR="00B92260" w:rsidRPr="00CD6F87">
              <w:rPr>
                <w:rFonts w:cstheme="minorHAnsi"/>
                <w:color w:val="000000"/>
                <w:sz w:val="18"/>
                <w:szCs w:val="18"/>
              </w:rPr>
              <w:t>,</w:t>
            </w:r>
            <w:r w:rsidRPr="00CD6F87">
              <w:rPr>
                <w:rFonts w:cstheme="minorHAnsi"/>
                <w:color w:val="000000"/>
                <w:sz w:val="18"/>
                <w:szCs w:val="18"/>
              </w:rPr>
              <w:t>1</w:t>
            </w:r>
            <w:r w:rsidR="00B92260" w:rsidRPr="00CD6F87">
              <w:rPr>
                <w:rFonts w:cstheme="minorHAnsi"/>
                <w:color w:val="000000"/>
                <w:sz w:val="18"/>
                <w:szCs w:val="18"/>
              </w:rPr>
              <w:t>1</w:t>
            </w:r>
          </w:p>
        </w:tc>
        <w:tc>
          <w:tcPr>
            <w:tcW w:w="652" w:type="pct"/>
            <w:tcBorders>
              <w:top w:val="nil"/>
              <w:left w:val="nil"/>
              <w:bottom w:val="single" w:sz="4" w:space="0" w:color="auto"/>
              <w:right w:val="single" w:sz="4" w:space="0" w:color="auto"/>
            </w:tcBorders>
            <w:shd w:val="clear" w:color="000000" w:fill="FFFFFF"/>
            <w:vAlign w:val="center"/>
          </w:tcPr>
          <w:p w14:paraId="75F374EF" w14:textId="77777777" w:rsidR="002332BE" w:rsidRPr="00CD6F87" w:rsidRDefault="002332BE" w:rsidP="002332BE">
            <w:pPr>
              <w:spacing w:after="0" w:line="240" w:lineRule="auto"/>
              <w:jc w:val="right"/>
              <w:rPr>
                <w:rFonts w:ascii="Calibri" w:eastAsia="Times New Roman" w:hAnsi="Calibri" w:cs="Calibri"/>
                <w:bCs/>
                <w:color w:val="000000"/>
                <w:sz w:val="18"/>
                <w:szCs w:val="18"/>
                <w:lang w:eastAsia="cs-CZ"/>
              </w:rPr>
            </w:pPr>
            <w:r w:rsidRPr="00CD6F87">
              <w:rPr>
                <w:rFonts w:cstheme="minorHAnsi"/>
                <w:color w:val="000000"/>
                <w:sz w:val="18"/>
                <w:szCs w:val="18"/>
              </w:rPr>
              <w:t>185</w:t>
            </w:r>
            <w:r w:rsidR="00B92260" w:rsidRPr="00CD6F87">
              <w:rPr>
                <w:rFonts w:cstheme="minorHAnsi"/>
                <w:color w:val="000000"/>
                <w:sz w:val="18"/>
                <w:szCs w:val="18"/>
              </w:rPr>
              <w:t>,</w:t>
            </w:r>
            <w:r w:rsidRPr="00CD6F87">
              <w:rPr>
                <w:rFonts w:cstheme="minorHAnsi"/>
                <w:color w:val="000000"/>
                <w:sz w:val="18"/>
                <w:szCs w:val="18"/>
              </w:rPr>
              <w:t>23</w:t>
            </w:r>
          </w:p>
        </w:tc>
        <w:tc>
          <w:tcPr>
            <w:tcW w:w="725" w:type="pct"/>
            <w:tcBorders>
              <w:top w:val="nil"/>
              <w:left w:val="nil"/>
              <w:bottom w:val="single" w:sz="4" w:space="0" w:color="auto"/>
              <w:right w:val="single" w:sz="4" w:space="0" w:color="auto"/>
            </w:tcBorders>
            <w:shd w:val="clear" w:color="auto" w:fill="auto"/>
            <w:noWrap/>
            <w:vAlign w:val="bottom"/>
          </w:tcPr>
          <w:p w14:paraId="17D9E9B7" w14:textId="77777777" w:rsidR="002332BE" w:rsidRPr="00CD6F87" w:rsidRDefault="002332BE" w:rsidP="002332BE">
            <w:pPr>
              <w:spacing w:after="0" w:line="240" w:lineRule="auto"/>
              <w:jc w:val="right"/>
              <w:rPr>
                <w:rFonts w:ascii="Calibri" w:eastAsia="Times New Roman" w:hAnsi="Calibri" w:cs="Calibri"/>
                <w:bCs/>
                <w:color w:val="000000"/>
                <w:sz w:val="18"/>
                <w:szCs w:val="18"/>
                <w:lang w:eastAsia="cs-CZ"/>
              </w:rPr>
            </w:pPr>
            <w:r w:rsidRPr="00CD6F87">
              <w:rPr>
                <w:rFonts w:cstheme="minorHAnsi"/>
                <w:color w:val="000000"/>
                <w:sz w:val="18"/>
                <w:szCs w:val="18"/>
              </w:rPr>
              <w:t>115</w:t>
            </w:r>
            <w:r w:rsidR="00B92260" w:rsidRPr="00CD6F87">
              <w:rPr>
                <w:rFonts w:cstheme="minorHAnsi"/>
                <w:color w:val="000000"/>
                <w:sz w:val="18"/>
                <w:szCs w:val="18"/>
              </w:rPr>
              <w:t> </w:t>
            </w:r>
            <w:r w:rsidRPr="00CD6F87">
              <w:rPr>
                <w:rFonts w:cstheme="minorHAnsi"/>
                <w:color w:val="000000"/>
                <w:sz w:val="18"/>
                <w:szCs w:val="18"/>
              </w:rPr>
              <w:t>771</w:t>
            </w:r>
            <w:r w:rsidR="00B92260" w:rsidRPr="00CD6F87">
              <w:rPr>
                <w:rFonts w:cstheme="minorHAnsi"/>
                <w:color w:val="000000"/>
                <w:sz w:val="18"/>
                <w:szCs w:val="18"/>
              </w:rPr>
              <w:t>,</w:t>
            </w:r>
            <w:r w:rsidRPr="00CD6F87">
              <w:rPr>
                <w:rFonts w:cstheme="minorHAnsi"/>
                <w:color w:val="000000"/>
                <w:sz w:val="18"/>
                <w:szCs w:val="18"/>
              </w:rPr>
              <w:t>09</w:t>
            </w:r>
          </w:p>
        </w:tc>
        <w:tc>
          <w:tcPr>
            <w:tcW w:w="652" w:type="pct"/>
            <w:tcBorders>
              <w:top w:val="nil"/>
              <w:left w:val="nil"/>
              <w:bottom w:val="single" w:sz="4" w:space="0" w:color="auto"/>
              <w:right w:val="single" w:sz="4" w:space="0" w:color="auto"/>
            </w:tcBorders>
            <w:shd w:val="clear" w:color="auto" w:fill="auto"/>
            <w:noWrap/>
            <w:vAlign w:val="bottom"/>
          </w:tcPr>
          <w:p w14:paraId="1DE7D2BF" w14:textId="77777777" w:rsidR="002332BE" w:rsidRPr="00CD6F87" w:rsidRDefault="002332BE" w:rsidP="002332BE">
            <w:pPr>
              <w:spacing w:after="0" w:line="240" w:lineRule="auto"/>
              <w:jc w:val="right"/>
              <w:rPr>
                <w:rFonts w:ascii="Calibri" w:eastAsia="Times New Roman" w:hAnsi="Calibri" w:cs="Calibri"/>
                <w:bCs/>
                <w:color w:val="000000"/>
                <w:sz w:val="18"/>
                <w:szCs w:val="18"/>
                <w:lang w:eastAsia="cs-CZ"/>
              </w:rPr>
            </w:pPr>
            <w:r w:rsidRPr="00CD6F87">
              <w:rPr>
                <w:rFonts w:cstheme="minorHAnsi"/>
                <w:color w:val="000000"/>
                <w:sz w:val="18"/>
                <w:szCs w:val="18"/>
              </w:rPr>
              <w:t>256</w:t>
            </w:r>
            <w:r w:rsidR="00B92260" w:rsidRPr="00CD6F87">
              <w:rPr>
                <w:rFonts w:cstheme="minorHAnsi"/>
                <w:color w:val="000000"/>
                <w:sz w:val="18"/>
                <w:szCs w:val="18"/>
              </w:rPr>
              <w:t>,</w:t>
            </w:r>
            <w:r w:rsidRPr="00CD6F87">
              <w:rPr>
                <w:rFonts w:cstheme="minorHAnsi"/>
                <w:color w:val="000000"/>
                <w:sz w:val="18"/>
                <w:szCs w:val="18"/>
              </w:rPr>
              <w:t>19</w:t>
            </w:r>
          </w:p>
        </w:tc>
        <w:tc>
          <w:tcPr>
            <w:tcW w:w="724" w:type="pct"/>
            <w:tcBorders>
              <w:top w:val="nil"/>
              <w:left w:val="nil"/>
              <w:bottom w:val="single" w:sz="4" w:space="0" w:color="auto"/>
              <w:right w:val="single" w:sz="4" w:space="0" w:color="auto"/>
            </w:tcBorders>
            <w:shd w:val="clear" w:color="auto" w:fill="auto"/>
            <w:noWrap/>
            <w:vAlign w:val="bottom"/>
          </w:tcPr>
          <w:p w14:paraId="618CA4E1" w14:textId="77777777" w:rsidR="002332BE" w:rsidRPr="00CD6F87" w:rsidRDefault="002332BE" w:rsidP="002332BE">
            <w:pPr>
              <w:spacing w:after="0" w:line="240" w:lineRule="auto"/>
              <w:jc w:val="right"/>
              <w:rPr>
                <w:rFonts w:ascii="Calibri" w:eastAsia="Times New Roman" w:hAnsi="Calibri" w:cs="Calibri"/>
                <w:bCs/>
                <w:color w:val="000000"/>
                <w:sz w:val="18"/>
                <w:szCs w:val="18"/>
                <w:lang w:eastAsia="cs-CZ"/>
              </w:rPr>
            </w:pPr>
            <w:r w:rsidRPr="00CD6F87">
              <w:rPr>
                <w:rFonts w:cstheme="minorHAnsi"/>
                <w:color w:val="000000"/>
                <w:sz w:val="18"/>
                <w:szCs w:val="18"/>
              </w:rPr>
              <w:t>222</w:t>
            </w:r>
            <w:r w:rsidR="00B92260" w:rsidRPr="00CD6F87">
              <w:rPr>
                <w:rFonts w:cstheme="minorHAnsi"/>
                <w:color w:val="000000"/>
                <w:sz w:val="18"/>
                <w:szCs w:val="18"/>
              </w:rPr>
              <w:t> </w:t>
            </w:r>
            <w:r w:rsidRPr="00CD6F87">
              <w:rPr>
                <w:rFonts w:cstheme="minorHAnsi"/>
                <w:color w:val="000000"/>
                <w:sz w:val="18"/>
                <w:szCs w:val="18"/>
              </w:rPr>
              <w:t>697</w:t>
            </w:r>
            <w:r w:rsidR="00B92260" w:rsidRPr="00CD6F87">
              <w:rPr>
                <w:rFonts w:cstheme="minorHAnsi"/>
                <w:color w:val="000000"/>
                <w:sz w:val="18"/>
                <w:szCs w:val="18"/>
              </w:rPr>
              <w:t>,</w:t>
            </w:r>
            <w:r w:rsidRPr="00CD6F87">
              <w:rPr>
                <w:rFonts w:cstheme="minorHAnsi"/>
                <w:color w:val="000000"/>
                <w:sz w:val="18"/>
                <w:szCs w:val="18"/>
              </w:rPr>
              <w:t>70</w:t>
            </w:r>
          </w:p>
        </w:tc>
        <w:tc>
          <w:tcPr>
            <w:tcW w:w="604" w:type="pct"/>
            <w:tcBorders>
              <w:top w:val="nil"/>
              <w:left w:val="nil"/>
              <w:bottom w:val="single" w:sz="4" w:space="0" w:color="auto"/>
              <w:right w:val="single" w:sz="4" w:space="0" w:color="auto"/>
            </w:tcBorders>
            <w:shd w:val="clear" w:color="auto" w:fill="auto"/>
            <w:noWrap/>
            <w:vAlign w:val="bottom"/>
          </w:tcPr>
          <w:p w14:paraId="6B9E2E1E" w14:textId="77777777" w:rsidR="002332BE" w:rsidRPr="00CD6F87" w:rsidRDefault="002332BE" w:rsidP="002332BE">
            <w:pPr>
              <w:spacing w:after="0" w:line="240" w:lineRule="auto"/>
              <w:jc w:val="right"/>
              <w:rPr>
                <w:rFonts w:ascii="Calibri" w:eastAsia="Times New Roman" w:hAnsi="Calibri" w:cs="Calibri"/>
                <w:bCs/>
                <w:color w:val="000000"/>
                <w:sz w:val="18"/>
                <w:szCs w:val="18"/>
                <w:lang w:eastAsia="cs-CZ"/>
              </w:rPr>
            </w:pPr>
            <w:r w:rsidRPr="00CD6F87">
              <w:rPr>
                <w:rFonts w:cstheme="minorHAnsi"/>
                <w:color w:val="000000"/>
                <w:sz w:val="18"/>
                <w:szCs w:val="18"/>
              </w:rPr>
              <w:t>13</w:t>
            </w:r>
            <w:r w:rsidR="00B92260" w:rsidRPr="00CD6F87">
              <w:rPr>
                <w:rFonts w:cstheme="minorHAnsi"/>
                <w:color w:val="000000"/>
                <w:sz w:val="18"/>
                <w:szCs w:val="18"/>
              </w:rPr>
              <w:t> </w:t>
            </w:r>
            <w:r w:rsidRPr="00CD6F87">
              <w:rPr>
                <w:rFonts w:cstheme="minorHAnsi"/>
                <w:color w:val="000000"/>
                <w:sz w:val="18"/>
                <w:szCs w:val="18"/>
              </w:rPr>
              <w:t>491</w:t>
            </w:r>
            <w:r w:rsidR="00B92260" w:rsidRPr="00CD6F87">
              <w:rPr>
                <w:rFonts w:cstheme="minorHAnsi"/>
                <w:color w:val="000000"/>
                <w:sz w:val="18"/>
                <w:szCs w:val="18"/>
              </w:rPr>
              <w:t>,</w:t>
            </w:r>
            <w:r w:rsidRPr="00CD6F87">
              <w:rPr>
                <w:rFonts w:cstheme="minorHAnsi"/>
                <w:color w:val="000000"/>
                <w:sz w:val="18"/>
                <w:szCs w:val="18"/>
              </w:rPr>
              <w:t>39</w:t>
            </w:r>
          </w:p>
        </w:tc>
      </w:tr>
    </w:tbl>
    <w:p w14:paraId="1F85799D" w14:textId="0FE231CD" w:rsidR="00477FD7" w:rsidRPr="00A150B0" w:rsidRDefault="00477FD7" w:rsidP="002E74F0">
      <w:pPr>
        <w:spacing w:before="40" w:after="0" w:line="240" w:lineRule="auto"/>
        <w:jc w:val="both"/>
        <w:rPr>
          <w:bCs/>
          <w:iCs/>
          <w:sz w:val="20"/>
          <w:szCs w:val="20"/>
        </w:rPr>
      </w:pPr>
      <w:r w:rsidRPr="00A150B0">
        <w:rPr>
          <w:b/>
          <w:bCs/>
          <w:iCs/>
          <w:sz w:val="20"/>
          <w:szCs w:val="20"/>
        </w:rPr>
        <w:t>Zdroj:</w:t>
      </w:r>
      <w:r w:rsidRPr="00A150B0">
        <w:rPr>
          <w:bCs/>
          <w:iCs/>
          <w:sz w:val="20"/>
          <w:szCs w:val="20"/>
        </w:rPr>
        <w:t xml:space="preserve"> </w:t>
      </w:r>
      <w:r w:rsidR="00A150B0">
        <w:rPr>
          <w:bCs/>
          <w:iCs/>
          <w:sz w:val="20"/>
          <w:szCs w:val="20"/>
        </w:rPr>
        <w:t>ú</w:t>
      </w:r>
      <w:r w:rsidRPr="00A150B0">
        <w:rPr>
          <w:bCs/>
          <w:iCs/>
          <w:sz w:val="20"/>
          <w:szCs w:val="20"/>
        </w:rPr>
        <w:t>četní závěrk</w:t>
      </w:r>
      <w:r w:rsidR="00A150B0">
        <w:rPr>
          <w:bCs/>
          <w:iCs/>
          <w:sz w:val="20"/>
          <w:szCs w:val="20"/>
        </w:rPr>
        <w:t>y</w:t>
      </w:r>
      <w:r w:rsidRPr="00A150B0">
        <w:rPr>
          <w:bCs/>
          <w:iCs/>
          <w:sz w:val="20"/>
          <w:szCs w:val="20"/>
        </w:rPr>
        <w:t xml:space="preserve"> LSL za roky 2019, 2020 a 2021</w:t>
      </w:r>
      <w:r w:rsidR="00A150B0">
        <w:rPr>
          <w:bCs/>
          <w:iCs/>
          <w:sz w:val="20"/>
          <w:szCs w:val="20"/>
        </w:rPr>
        <w:t>.</w:t>
      </w:r>
    </w:p>
    <w:p w14:paraId="5E974E9B" w14:textId="739D4695" w:rsidR="00E55555" w:rsidRPr="00A150B0" w:rsidRDefault="00E55555" w:rsidP="002E74F0">
      <w:pPr>
        <w:spacing w:after="120" w:line="240" w:lineRule="auto"/>
        <w:jc w:val="both"/>
        <w:rPr>
          <w:bCs/>
          <w:iCs/>
          <w:sz w:val="20"/>
          <w:szCs w:val="20"/>
        </w:rPr>
      </w:pPr>
      <w:r w:rsidRPr="00A150B0">
        <w:rPr>
          <w:b/>
          <w:bCs/>
          <w:iCs/>
          <w:sz w:val="20"/>
          <w:szCs w:val="20"/>
        </w:rPr>
        <w:t>Pozn</w:t>
      </w:r>
      <w:r w:rsidR="00A150B0">
        <w:rPr>
          <w:b/>
          <w:bCs/>
          <w:iCs/>
          <w:sz w:val="20"/>
          <w:szCs w:val="20"/>
        </w:rPr>
        <w:t>.</w:t>
      </w:r>
      <w:r w:rsidRPr="00A150B0">
        <w:rPr>
          <w:b/>
          <w:bCs/>
          <w:iCs/>
          <w:sz w:val="20"/>
          <w:szCs w:val="20"/>
        </w:rPr>
        <w:t>:</w:t>
      </w:r>
      <w:r w:rsidRPr="00A150B0">
        <w:rPr>
          <w:bCs/>
          <w:iCs/>
          <w:sz w:val="20"/>
          <w:szCs w:val="20"/>
        </w:rPr>
        <w:t xml:space="preserve"> Ve výnosech je zahrnut i příspěvek na provoz od zřizovatele</w:t>
      </w:r>
      <w:r w:rsidR="00CD6F87" w:rsidRPr="00A150B0">
        <w:rPr>
          <w:bCs/>
          <w:iCs/>
          <w:sz w:val="20"/>
          <w:szCs w:val="20"/>
        </w:rPr>
        <w:t>.</w:t>
      </w:r>
    </w:p>
    <w:p w14:paraId="6DAF7097" w14:textId="77777777" w:rsidR="00D84D32" w:rsidRDefault="00A06522" w:rsidP="002E74F0">
      <w:pPr>
        <w:spacing w:before="120" w:after="120" w:line="264" w:lineRule="auto"/>
        <w:jc w:val="both"/>
        <w:rPr>
          <w:sz w:val="24"/>
          <w:szCs w:val="24"/>
          <w:lang w:eastAsia="cs-CZ"/>
        </w:rPr>
      </w:pPr>
      <w:r>
        <w:rPr>
          <w:sz w:val="24"/>
          <w:szCs w:val="24"/>
          <w:lang w:eastAsia="cs-CZ"/>
        </w:rPr>
        <w:t xml:space="preserve">Nejvýznamnější položkou nákladů byly ostatní služby a odpisy. </w:t>
      </w:r>
      <w:r w:rsidR="00D644DB">
        <w:rPr>
          <w:sz w:val="24"/>
          <w:szCs w:val="24"/>
          <w:lang w:eastAsia="cs-CZ"/>
        </w:rPr>
        <w:t>Od roku 2019 do roku 2021 výrazně vzrostly náklady na ostatní služby (o 108</w:t>
      </w:r>
      <w:r w:rsidR="001D3A0E">
        <w:rPr>
          <w:sz w:val="24"/>
          <w:szCs w:val="24"/>
          <w:lang w:eastAsia="cs-CZ"/>
        </w:rPr>
        <w:t xml:space="preserve"> </w:t>
      </w:r>
      <w:r w:rsidR="00D644DB">
        <w:rPr>
          <w:sz w:val="24"/>
          <w:szCs w:val="24"/>
          <w:lang w:eastAsia="cs-CZ"/>
        </w:rPr>
        <w:t>%) a náklady na reprezentaci (o 99</w:t>
      </w:r>
      <w:r w:rsidR="001D3A0E">
        <w:rPr>
          <w:sz w:val="24"/>
          <w:szCs w:val="24"/>
          <w:lang w:eastAsia="cs-CZ"/>
        </w:rPr>
        <w:t xml:space="preserve"> </w:t>
      </w:r>
      <w:r w:rsidR="00D644DB">
        <w:rPr>
          <w:sz w:val="24"/>
          <w:szCs w:val="24"/>
          <w:lang w:eastAsia="cs-CZ"/>
        </w:rPr>
        <w:t>%). V roce 2021 došlo též k výraznému navýšení tvorby rezerv oproti roku 2020</w:t>
      </w:r>
      <w:r w:rsidR="001D3A0E">
        <w:rPr>
          <w:sz w:val="24"/>
          <w:szCs w:val="24"/>
          <w:lang w:eastAsia="cs-CZ"/>
        </w:rPr>
        <w:t>, a to</w:t>
      </w:r>
      <w:r w:rsidR="00D644DB">
        <w:rPr>
          <w:sz w:val="24"/>
          <w:szCs w:val="24"/>
          <w:lang w:eastAsia="cs-CZ"/>
        </w:rPr>
        <w:t xml:space="preserve"> o více než 70</w:t>
      </w:r>
      <w:r w:rsidR="002E74F0">
        <w:rPr>
          <w:sz w:val="24"/>
          <w:szCs w:val="24"/>
          <w:lang w:eastAsia="cs-CZ"/>
        </w:rPr>
        <w:t> </w:t>
      </w:r>
      <w:r w:rsidR="00D644DB">
        <w:rPr>
          <w:sz w:val="24"/>
          <w:szCs w:val="24"/>
          <w:lang w:eastAsia="cs-CZ"/>
        </w:rPr>
        <w:t>mil.</w:t>
      </w:r>
      <w:r w:rsidR="00471E8C">
        <w:rPr>
          <w:sz w:val="24"/>
          <w:szCs w:val="24"/>
          <w:lang w:eastAsia="cs-CZ"/>
        </w:rPr>
        <w:t> </w:t>
      </w:r>
      <w:r w:rsidR="00D644DB">
        <w:rPr>
          <w:sz w:val="24"/>
          <w:szCs w:val="24"/>
          <w:lang w:eastAsia="cs-CZ"/>
        </w:rPr>
        <w:t xml:space="preserve">Kč. </w:t>
      </w:r>
    </w:p>
    <w:p w14:paraId="7E7F3A5A" w14:textId="77777777" w:rsidR="00E80964" w:rsidRDefault="00A06522" w:rsidP="002E74F0">
      <w:pPr>
        <w:spacing w:before="120" w:after="120" w:line="264" w:lineRule="auto"/>
        <w:jc w:val="both"/>
        <w:rPr>
          <w:sz w:val="24"/>
        </w:rPr>
      </w:pPr>
      <w:r>
        <w:rPr>
          <w:sz w:val="24"/>
          <w:szCs w:val="24"/>
          <w:lang w:eastAsia="cs-CZ"/>
        </w:rPr>
        <w:t>U</w:t>
      </w:r>
      <w:r w:rsidR="00D644DB">
        <w:rPr>
          <w:sz w:val="24"/>
          <w:szCs w:val="24"/>
          <w:lang w:eastAsia="cs-CZ"/>
        </w:rPr>
        <w:t> </w:t>
      </w:r>
      <w:r>
        <w:rPr>
          <w:sz w:val="24"/>
          <w:szCs w:val="24"/>
          <w:lang w:eastAsia="cs-CZ"/>
        </w:rPr>
        <w:t xml:space="preserve">výnosů zaznamenala LSL nárůst v letech 2020 a 2021 v porovnání s rokem 2019, a to </w:t>
      </w:r>
      <w:r w:rsidR="00D644DB">
        <w:rPr>
          <w:sz w:val="24"/>
          <w:szCs w:val="24"/>
          <w:lang w:eastAsia="cs-CZ"/>
        </w:rPr>
        <w:t>zejména vlivem</w:t>
      </w:r>
      <w:r>
        <w:rPr>
          <w:sz w:val="24"/>
          <w:szCs w:val="24"/>
          <w:lang w:eastAsia="cs-CZ"/>
        </w:rPr>
        <w:t xml:space="preserve"> </w:t>
      </w:r>
      <w:r w:rsidR="00D644DB">
        <w:rPr>
          <w:sz w:val="24"/>
          <w:szCs w:val="24"/>
          <w:lang w:eastAsia="cs-CZ"/>
        </w:rPr>
        <w:t xml:space="preserve">rostoucích </w:t>
      </w:r>
      <w:r>
        <w:rPr>
          <w:sz w:val="24"/>
          <w:szCs w:val="24"/>
          <w:lang w:eastAsia="cs-CZ"/>
        </w:rPr>
        <w:t>výnosů z prodeje dříví</w:t>
      </w:r>
      <w:r w:rsidR="00D644DB">
        <w:rPr>
          <w:sz w:val="24"/>
          <w:szCs w:val="24"/>
          <w:lang w:eastAsia="cs-CZ"/>
        </w:rPr>
        <w:t xml:space="preserve"> a dřevní štěpky. I přes zvýšené výnosy LSL</w:t>
      </w:r>
      <w:r w:rsidR="00D644DB">
        <w:rPr>
          <w:sz w:val="24"/>
        </w:rPr>
        <w:t xml:space="preserve"> čerpala v kontrolovaném období každým rokem vyšší příspěvek na provoz, a to z důvodu rostoucí míry zapojení nároků z nespotřebovaných výdajů. K přechodu </w:t>
      </w:r>
      <w:r w:rsidR="00D644DB" w:rsidRPr="00C825E6">
        <w:rPr>
          <w:sz w:val="24"/>
        </w:rPr>
        <w:t xml:space="preserve">z příspěvkové </w:t>
      </w:r>
      <w:r w:rsidR="00D644DB" w:rsidRPr="00C825E6">
        <w:rPr>
          <w:sz w:val="24"/>
        </w:rPr>
        <w:lastRenderedPageBreak/>
        <w:t>organizace dotovaného typu na příspěvkovou organizaci odvodového typu</w:t>
      </w:r>
      <w:r w:rsidR="00D644DB">
        <w:rPr>
          <w:sz w:val="24"/>
        </w:rPr>
        <w:t xml:space="preserve"> nedošlo, přestože </w:t>
      </w:r>
      <w:r w:rsidR="00D84D32">
        <w:rPr>
          <w:sz w:val="24"/>
        </w:rPr>
        <w:t>to zřizovatel p</w:t>
      </w:r>
      <w:r w:rsidR="00FD59C8">
        <w:rPr>
          <w:sz w:val="24"/>
        </w:rPr>
        <w:t xml:space="preserve">ři zřízení LSL ve zřizovací listině předpokládal.  </w:t>
      </w:r>
    </w:p>
    <w:p w14:paraId="71EE854E" w14:textId="51ADF2C4" w:rsidR="00E80964" w:rsidRDefault="00E80964" w:rsidP="002E74F0">
      <w:pPr>
        <w:spacing w:before="120" w:after="120" w:line="264" w:lineRule="auto"/>
        <w:jc w:val="both"/>
        <w:rPr>
          <w:rFonts w:cstheme="minorHAnsi"/>
          <w:bCs/>
          <w:iCs/>
          <w:sz w:val="24"/>
        </w:rPr>
      </w:pPr>
      <w:r w:rsidRPr="00A86529">
        <w:rPr>
          <w:sz w:val="24"/>
        </w:rPr>
        <w:t>LSL vykazovala v celém kontrolovaném období a zejména v roce 2021 kladný hospodářský výsledek.</w:t>
      </w:r>
      <w:r>
        <w:rPr>
          <w:sz w:val="24"/>
        </w:rPr>
        <w:t xml:space="preserve"> V</w:t>
      </w:r>
      <w:r w:rsidRPr="00C825E6">
        <w:rPr>
          <w:rFonts w:cstheme="minorHAnsi"/>
          <w:bCs/>
          <w:iCs/>
          <w:sz w:val="24"/>
        </w:rPr>
        <w:t xml:space="preserve"> prosinci 2021 </w:t>
      </w:r>
      <w:r>
        <w:rPr>
          <w:rFonts w:cstheme="minorHAnsi"/>
          <w:bCs/>
          <w:iCs/>
          <w:sz w:val="24"/>
        </w:rPr>
        <w:t xml:space="preserve">vytvořila LSL </w:t>
      </w:r>
      <w:r w:rsidRPr="00C825E6">
        <w:rPr>
          <w:rFonts w:cstheme="minorHAnsi"/>
          <w:bCs/>
          <w:iCs/>
          <w:sz w:val="24"/>
        </w:rPr>
        <w:t>rezervu na pěstební činnost ve výši 81 250 </w:t>
      </w:r>
      <w:r>
        <w:rPr>
          <w:rFonts w:cstheme="minorHAnsi"/>
          <w:bCs/>
          <w:iCs/>
          <w:sz w:val="24"/>
        </w:rPr>
        <w:t>tis.</w:t>
      </w:r>
      <w:r w:rsidRPr="00C825E6">
        <w:rPr>
          <w:rFonts w:cstheme="minorHAnsi"/>
          <w:bCs/>
          <w:iCs/>
          <w:sz w:val="24"/>
        </w:rPr>
        <w:t xml:space="preserve"> Kč, což představovalo více </w:t>
      </w:r>
      <w:r w:rsidR="00A150B0">
        <w:rPr>
          <w:rFonts w:cstheme="minorHAnsi"/>
          <w:bCs/>
          <w:iCs/>
          <w:sz w:val="24"/>
        </w:rPr>
        <w:t>než</w:t>
      </w:r>
      <w:r w:rsidRPr="00C825E6">
        <w:rPr>
          <w:rFonts w:cstheme="minorHAnsi"/>
          <w:bCs/>
          <w:iCs/>
          <w:sz w:val="24"/>
        </w:rPr>
        <w:t xml:space="preserve"> 81</w:t>
      </w:r>
      <w:r w:rsidR="00F47282">
        <w:rPr>
          <w:rFonts w:cstheme="minorHAnsi"/>
          <w:bCs/>
          <w:iCs/>
          <w:sz w:val="24"/>
        </w:rPr>
        <w:t xml:space="preserve"> </w:t>
      </w:r>
      <w:r w:rsidRPr="00C825E6">
        <w:rPr>
          <w:rFonts w:cstheme="minorHAnsi"/>
          <w:bCs/>
          <w:iCs/>
          <w:sz w:val="24"/>
        </w:rPr>
        <w:t xml:space="preserve">% dosaženého zlepšeného výsledku hospodaření za období leden </w:t>
      </w:r>
      <w:r>
        <w:rPr>
          <w:rFonts w:cstheme="minorHAnsi"/>
          <w:bCs/>
          <w:iCs/>
          <w:sz w:val="24"/>
        </w:rPr>
        <w:t xml:space="preserve">až </w:t>
      </w:r>
      <w:r w:rsidRPr="00C825E6">
        <w:rPr>
          <w:rFonts w:cstheme="minorHAnsi"/>
          <w:bCs/>
          <w:iCs/>
          <w:sz w:val="24"/>
        </w:rPr>
        <w:t xml:space="preserve">listopad 2021. </w:t>
      </w:r>
      <w:r>
        <w:rPr>
          <w:rFonts w:cstheme="minorHAnsi"/>
          <w:bCs/>
          <w:iCs/>
          <w:sz w:val="24"/>
        </w:rPr>
        <w:t>Vytvořením rezervy LSL</w:t>
      </w:r>
      <w:r w:rsidRPr="00C825E6">
        <w:rPr>
          <w:rFonts w:cstheme="minorHAnsi"/>
          <w:bCs/>
          <w:iCs/>
          <w:sz w:val="24"/>
        </w:rPr>
        <w:t xml:space="preserve"> zvýšila hodnotu celkových nákladů za rok 2021, čímž došlo ke snížení celkového zlepšeného hospodářského výsledku</w:t>
      </w:r>
      <w:r>
        <w:rPr>
          <w:rStyle w:val="Znakapoznpodarou"/>
          <w:rFonts w:cstheme="minorHAnsi"/>
          <w:bCs/>
          <w:iCs/>
          <w:sz w:val="24"/>
        </w:rPr>
        <w:footnoteReference w:id="5"/>
      </w:r>
      <w:r w:rsidRPr="00C825E6">
        <w:rPr>
          <w:rFonts w:cstheme="minorHAnsi"/>
          <w:bCs/>
          <w:iCs/>
          <w:sz w:val="24"/>
        </w:rPr>
        <w:t>, jehož výše k 31. 12. 2021 činila 14 442</w:t>
      </w:r>
      <w:r>
        <w:rPr>
          <w:rFonts w:cstheme="minorHAnsi"/>
          <w:bCs/>
          <w:iCs/>
          <w:sz w:val="24"/>
        </w:rPr>
        <w:t> tis.</w:t>
      </w:r>
      <w:r w:rsidR="00471E8C">
        <w:rPr>
          <w:rFonts w:cstheme="minorHAnsi"/>
          <w:bCs/>
          <w:iCs/>
          <w:sz w:val="24"/>
        </w:rPr>
        <w:t> </w:t>
      </w:r>
      <w:r w:rsidRPr="00C825E6">
        <w:rPr>
          <w:rFonts w:cstheme="minorHAnsi"/>
          <w:bCs/>
          <w:iCs/>
          <w:sz w:val="24"/>
        </w:rPr>
        <w:t xml:space="preserve">Kč. </w:t>
      </w:r>
    </w:p>
    <w:p w14:paraId="667CEFDA" w14:textId="19473554" w:rsidR="00D07DF1" w:rsidRPr="00471E8C" w:rsidRDefault="00D07DF1" w:rsidP="00471E8C">
      <w:pPr>
        <w:pStyle w:val="Nzevtabulky"/>
        <w:numPr>
          <w:ilvl w:val="0"/>
          <w:numId w:val="0"/>
        </w:numPr>
        <w:tabs>
          <w:tab w:val="right" w:pos="9072"/>
        </w:tabs>
        <w:spacing w:before="120" w:after="40"/>
        <w:ind w:left="567" w:hanging="567"/>
        <w:rPr>
          <w:rFonts w:cstheme="minorHAnsi"/>
          <w:b/>
          <w:szCs w:val="24"/>
        </w:rPr>
      </w:pPr>
      <w:r w:rsidRPr="00471E8C">
        <w:rPr>
          <w:b/>
          <w:bCs/>
          <w:iCs/>
          <w:szCs w:val="24"/>
        </w:rPr>
        <w:t xml:space="preserve">Tabulka č. </w:t>
      </w:r>
      <w:r w:rsidR="00AE4CA4" w:rsidRPr="00471E8C">
        <w:rPr>
          <w:b/>
          <w:bCs/>
          <w:iCs/>
          <w:szCs w:val="24"/>
        </w:rPr>
        <w:t>8</w:t>
      </w:r>
      <w:r w:rsidRPr="00471E8C">
        <w:rPr>
          <w:rFonts w:cstheme="minorHAnsi"/>
          <w:b/>
          <w:szCs w:val="24"/>
        </w:rPr>
        <w:t>: Přehled čerpaných příspěvků na provoz v letech 2019</w:t>
      </w:r>
      <w:r w:rsidR="00A150B0">
        <w:rPr>
          <w:rFonts w:cstheme="minorHAnsi"/>
          <w:b/>
          <w:szCs w:val="24"/>
        </w:rPr>
        <w:t>–</w:t>
      </w:r>
      <w:r w:rsidRPr="00471E8C">
        <w:rPr>
          <w:rFonts w:cstheme="minorHAnsi"/>
          <w:b/>
          <w:szCs w:val="24"/>
        </w:rPr>
        <w:t xml:space="preserve">2021 </w:t>
      </w:r>
      <w:r w:rsidR="00471E8C" w:rsidRPr="00471E8C">
        <w:rPr>
          <w:rFonts w:cstheme="minorHAnsi"/>
          <w:b/>
          <w:szCs w:val="24"/>
        </w:rPr>
        <w:tab/>
      </w:r>
      <w:r w:rsidRPr="00471E8C">
        <w:rPr>
          <w:rFonts w:cstheme="minorHAnsi"/>
          <w:b/>
          <w:szCs w:val="24"/>
        </w:rPr>
        <w:t>(v tis. Kč)</w:t>
      </w:r>
    </w:p>
    <w:tbl>
      <w:tblPr>
        <w:tblStyle w:val="Mkatabulky"/>
        <w:tblW w:w="5000" w:type="pct"/>
        <w:tblLook w:val="04A0" w:firstRow="1" w:lastRow="0" w:firstColumn="1" w:lastColumn="0" w:noHBand="0" w:noVBand="1"/>
      </w:tblPr>
      <w:tblGrid>
        <w:gridCol w:w="4944"/>
        <w:gridCol w:w="1376"/>
        <w:gridCol w:w="1370"/>
        <w:gridCol w:w="1372"/>
      </w:tblGrid>
      <w:tr w:rsidR="00D07DF1" w:rsidRPr="00CD6F87" w14:paraId="6A5EE336" w14:textId="77777777" w:rsidTr="00471E8C">
        <w:trPr>
          <w:trHeight w:val="255"/>
        </w:trPr>
        <w:tc>
          <w:tcPr>
            <w:tcW w:w="2728" w:type="pct"/>
            <w:tcBorders>
              <w:top w:val="single" w:sz="4" w:space="0" w:color="auto"/>
              <w:left w:val="single" w:sz="4" w:space="0" w:color="auto"/>
              <w:bottom w:val="single" w:sz="4" w:space="0" w:color="auto"/>
              <w:right w:val="single" w:sz="4" w:space="0" w:color="auto"/>
            </w:tcBorders>
            <w:shd w:val="clear" w:color="auto" w:fill="E5F1FF"/>
            <w:noWrap/>
            <w:vAlign w:val="center"/>
            <w:hideMark/>
          </w:tcPr>
          <w:p w14:paraId="620A7B66" w14:textId="77777777" w:rsidR="00D07DF1" w:rsidRPr="00CD6F87" w:rsidRDefault="00D07DF1" w:rsidP="006F2CB6">
            <w:pPr>
              <w:rPr>
                <w:rFonts w:cs="Calibri"/>
                <w:b/>
                <w:sz w:val="20"/>
                <w:szCs w:val="18"/>
              </w:rPr>
            </w:pPr>
            <w:r w:rsidRPr="00CD6F87">
              <w:rPr>
                <w:rFonts w:cs="Calibri"/>
                <w:b/>
                <w:sz w:val="20"/>
                <w:szCs w:val="18"/>
              </w:rPr>
              <w:t>Název</w:t>
            </w:r>
          </w:p>
        </w:tc>
        <w:tc>
          <w:tcPr>
            <w:tcW w:w="759" w:type="pct"/>
            <w:tcBorders>
              <w:top w:val="single" w:sz="4" w:space="0" w:color="auto"/>
              <w:left w:val="single" w:sz="4" w:space="0" w:color="auto"/>
              <w:bottom w:val="single" w:sz="4" w:space="0" w:color="auto"/>
              <w:right w:val="single" w:sz="4" w:space="0" w:color="auto"/>
            </w:tcBorders>
            <w:shd w:val="clear" w:color="auto" w:fill="E5F1FF"/>
            <w:noWrap/>
            <w:vAlign w:val="center"/>
            <w:hideMark/>
          </w:tcPr>
          <w:p w14:paraId="472CE5E6" w14:textId="77777777" w:rsidR="00D07DF1" w:rsidRPr="00CD6F87" w:rsidRDefault="00D07DF1" w:rsidP="006F2CB6">
            <w:pPr>
              <w:jc w:val="center"/>
              <w:rPr>
                <w:rFonts w:cs="Calibri"/>
                <w:b/>
                <w:sz w:val="20"/>
                <w:szCs w:val="18"/>
              </w:rPr>
            </w:pPr>
            <w:r w:rsidRPr="00CD6F87">
              <w:rPr>
                <w:rFonts w:cs="Calibri"/>
                <w:b/>
                <w:sz w:val="20"/>
                <w:szCs w:val="18"/>
              </w:rPr>
              <w:t>2019</w:t>
            </w:r>
          </w:p>
        </w:tc>
        <w:tc>
          <w:tcPr>
            <w:tcW w:w="756" w:type="pct"/>
            <w:tcBorders>
              <w:top w:val="single" w:sz="4" w:space="0" w:color="auto"/>
              <w:left w:val="single" w:sz="4" w:space="0" w:color="auto"/>
              <w:bottom w:val="single" w:sz="4" w:space="0" w:color="auto"/>
              <w:right w:val="single" w:sz="4" w:space="0" w:color="auto"/>
            </w:tcBorders>
            <w:shd w:val="clear" w:color="auto" w:fill="E5F1FF"/>
            <w:noWrap/>
            <w:vAlign w:val="center"/>
            <w:hideMark/>
          </w:tcPr>
          <w:p w14:paraId="207C8D56" w14:textId="77777777" w:rsidR="00D07DF1" w:rsidRPr="00CD6F87" w:rsidRDefault="00D07DF1" w:rsidP="006F2CB6">
            <w:pPr>
              <w:jc w:val="center"/>
              <w:rPr>
                <w:rFonts w:cs="Calibri"/>
                <w:b/>
                <w:sz w:val="20"/>
                <w:szCs w:val="18"/>
              </w:rPr>
            </w:pPr>
            <w:r w:rsidRPr="00CD6F87">
              <w:rPr>
                <w:rFonts w:cs="Calibri"/>
                <w:b/>
                <w:sz w:val="20"/>
                <w:szCs w:val="18"/>
              </w:rPr>
              <w:t>2020</w:t>
            </w:r>
          </w:p>
        </w:tc>
        <w:tc>
          <w:tcPr>
            <w:tcW w:w="757" w:type="pct"/>
            <w:tcBorders>
              <w:top w:val="single" w:sz="4" w:space="0" w:color="auto"/>
              <w:left w:val="single" w:sz="4" w:space="0" w:color="auto"/>
              <w:bottom w:val="single" w:sz="4" w:space="0" w:color="auto"/>
              <w:right w:val="single" w:sz="4" w:space="0" w:color="auto"/>
            </w:tcBorders>
            <w:shd w:val="clear" w:color="auto" w:fill="E5F1FF"/>
            <w:noWrap/>
            <w:vAlign w:val="center"/>
            <w:hideMark/>
          </w:tcPr>
          <w:p w14:paraId="6546DB7B" w14:textId="77777777" w:rsidR="00D07DF1" w:rsidRPr="00CD6F87" w:rsidRDefault="00D07DF1" w:rsidP="006F2CB6">
            <w:pPr>
              <w:jc w:val="center"/>
              <w:rPr>
                <w:rFonts w:cs="Calibri"/>
                <w:b/>
                <w:sz w:val="20"/>
                <w:szCs w:val="18"/>
              </w:rPr>
            </w:pPr>
            <w:r w:rsidRPr="00CD6F87">
              <w:rPr>
                <w:rFonts w:cs="Calibri"/>
                <w:b/>
                <w:sz w:val="20"/>
                <w:szCs w:val="18"/>
              </w:rPr>
              <w:t>2021</w:t>
            </w:r>
          </w:p>
        </w:tc>
      </w:tr>
      <w:tr w:rsidR="00D07DF1" w:rsidRPr="00CD6F87" w14:paraId="1ED4A98B" w14:textId="77777777" w:rsidTr="00471E8C">
        <w:trPr>
          <w:trHeight w:val="255"/>
        </w:trPr>
        <w:tc>
          <w:tcPr>
            <w:tcW w:w="2728" w:type="pct"/>
            <w:tcBorders>
              <w:top w:val="single" w:sz="4" w:space="0" w:color="auto"/>
              <w:left w:val="single" w:sz="4" w:space="0" w:color="auto"/>
              <w:bottom w:val="single" w:sz="4" w:space="0" w:color="auto"/>
              <w:right w:val="single" w:sz="4" w:space="0" w:color="auto"/>
            </w:tcBorders>
            <w:noWrap/>
            <w:vAlign w:val="center"/>
            <w:hideMark/>
          </w:tcPr>
          <w:p w14:paraId="553F6D2D" w14:textId="77777777" w:rsidR="00D07DF1" w:rsidRPr="00CD6F87" w:rsidRDefault="00D07DF1" w:rsidP="006F2CB6">
            <w:pPr>
              <w:jc w:val="both"/>
              <w:rPr>
                <w:rFonts w:cs="Calibri"/>
                <w:sz w:val="20"/>
                <w:szCs w:val="18"/>
              </w:rPr>
            </w:pPr>
            <w:r w:rsidRPr="00CD6F87">
              <w:rPr>
                <w:rFonts w:cs="Calibri"/>
                <w:sz w:val="20"/>
                <w:szCs w:val="18"/>
              </w:rPr>
              <w:t xml:space="preserve">Rozpočtovaný neinvestiční příspěvek </w:t>
            </w:r>
          </w:p>
        </w:tc>
        <w:tc>
          <w:tcPr>
            <w:tcW w:w="759" w:type="pct"/>
            <w:tcBorders>
              <w:top w:val="single" w:sz="4" w:space="0" w:color="auto"/>
              <w:left w:val="single" w:sz="4" w:space="0" w:color="auto"/>
              <w:bottom w:val="single" w:sz="4" w:space="0" w:color="auto"/>
              <w:right w:val="single" w:sz="4" w:space="0" w:color="auto"/>
            </w:tcBorders>
            <w:noWrap/>
            <w:vAlign w:val="center"/>
            <w:hideMark/>
          </w:tcPr>
          <w:p w14:paraId="7D4C3A06" w14:textId="77777777" w:rsidR="00D07DF1" w:rsidRPr="00CD6F87" w:rsidRDefault="00D07DF1" w:rsidP="00471E8C">
            <w:pPr>
              <w:ind w:right="57"/>
              <w:jc w:val="right"/>
              <w:rPr>
                <w:rFonts w:cs="Calibri"/>
                <w:sz w:val="20"/>
                <w:szCs w:val="18"/>
              </w:rPr>
            </w:pPr>
            <w:r w:rsidRPr="00CD6F87">
              <w:rPr>
                <w:rFonts w:cs="Calibri"/>
                <w:sz w:val="20"/>
                <w:szCs w:val="18"/>
              </w:rPr>
              <w:t>22 275,00</w:t>
            </w:r>
          </w:p>
        </w:tc>
        <w:tc>
          <w:tcPr>
            <w:tcW w:w="756" w:type="pct"/>
            <w:tcBorders>
              <w:top w:val="single" w:sz="4" w:space="0" w:color="auto"/>
              <w:left w:val="single" w:sz="4" w:space="0" w:color="auto"/>
              <w:bottom w:val="single" w:sz="4" w:space="0" w:color="auto"/>
              <w:right w:val="single" w:sz="4" w:space="0" w:color="auto"/>
            </w:tcBorders>
            <w:noWrap/>
            <w:vAlign w:val="center"/>
            <w:hideMark/>
          </w:tcPr>
          <w:p w14:paraId="705B00D9" w14:textId="77777777" w:rsidR="00D07DF1" w:rsidRPr="00CD6F87" w:rsidRDefault="00D07DF1" w:rsidP="00471E8C">
            <w:pPr>
              <w:ind w:right="57"/>
              <w:jc w:val="right"/>
              <w:rPr>
                <w:rFonts w:cs="Calibri"/>
                <w:sz w:val="20"/>
                <w:szCs w:val="18"/>
              </w:rPr>
            </w:pPr>
            <w:r w:rsidRPr="00CD6F87">
              <w:rPr>
                <w:rFonts w:cs="Calibri"/>
                <w:sz w:val="20"/>
                <w:szCs w:val="18"/>
              </w:rPr>
              <w:t>22 275,00</w:t>
            </w:r>
          </w:p>
        </w:tc>
        <w:tc>
          <w:tcPr>
            <w:tcW w:w="757" w:type="pct"/>
            <w:tcBorders>
              <w:top w:val="single" w:sz="4" w:space="0" w:color="auto"/>
              <w:left w:val="single" w:sz="4" w:space="0" w:color="auto"/>
              <w:bottom w:val="single" w:sz="4" w:space="0" w:color="auto"/>
              <w:right w:val="single" w:sz="4" w:space="0" w:color="auto"/>
            </w:tcBorders>
            <w:noWrap/>
            <w:vAlign w:val="center"/>
            <w:hideMark/>
          </w:tcPr>
          <w:p w14:paraId="6E3C6AA8" w14:textId="77777777" w:rsidR="00D07DF1" w:rsidRPr="00CD6F87" w:rsidRDefault="00D07DF1" w:rsidP="00471E8C">
            <w:pPr>
              <w:ind w:right="57"/>
              <w:jc w:val="right"/>
              <w:rPr>
                <w:rFonts w:cs="Calibri"/>
                <w:sz w:val="20"/>
                <w:szCs w:val="18"/>
              </w:rPr>
            </w:pPr>
            <w:r w:rsidRPr="00CD6F87">
              <w:rPr>
                <w:rFonts w:cs="Calibri"/>
                <w:sz w:val="20"/>
                <w:szCs w:val="18"/>
              </w:rPr>
              <w:t>22 275,00</w:t>
            </w:r>
          </w:p>
        </w:tc>
      </w:tr>
      <w:tr w:rsidR="00D07DF1" w:rsidRPr="00CD6F87" w14:paraId="77FF3A07" w14:textId="77777777" w:rsidTr="00471E8C">
        <w:trPr>
          <w:trHeight w:val="255"/>
        </w:trPr>
        <w:tc>
          <w:tcPr>
            <w:tcW w:w="2728" w:type="pct"/>
            <w:tcBorders>
              <w:top w:val="single" w:sz="4" w:space="0" w:color="auto"/>
              <w:left w:val="single" w:sz="4" w:space="0" w:color="auto"/>
              <w:bottom w:val="single" w:sz="4" w:space="0" w:color="auto"/>
              <w:right w:val="single" w:sz="4" w:space="0" w:color="auto"/>
            </w:tcBorders>
            <w:noWrap/>
            <w:vAlign w:val="center"/>
            <w:hideMark/>
          </w:tcPr>
          <w:p w14:paraId="5F78EC5F" w14:textId="77777777" w:rsidR="00D07DF1" w:rsidRPr="00CD6F87" w:rsidRDefault="00D07DF1" w:rsidP="006F2CB6">
            <w:pPr>
              <w:jc w:val="both"/>
              <w:rPr>
                <w:rFonts w:cs="Calibri"/>
                <w:sz w:val="20"/>
                <w:szCs w:val="18"/>
              </w:rPr>
            </w:pPr>
            <w:r w:rsidRPr="00CD6F87">
              <w:rPr>
                <w:rFonts w:cs="Calibri"/>
                <w:sz w:val="20"/>
                <w:szCs w:val="18"/>
              </w:rPr>
              <w:t>Použití nároků z nespotřebovaných výdajů</w:t>
            </w:r>
          </w:p>
        </w:tc>
        <w:tc>
          <w:tcPr>
            <w:tcW w:w="759" w:type="pct"/>
            <w:tcBorders>
              <w:top w:val="single" w:sz="4" w:space="0" w:color="auto"/>
              <w:left w:val="single" w:sz="4" w:space="0" w:color="auto"/>
              <w:bottom w:val="single" w:sz="4" w:space="0" w:color="auto"/>
              <w:right w:val="single" w:sz="4" w:space="0" w:color="auto"/>
            </w:tcBorders>
            <w:noWrap/>
            <w:vAlign w:val="center"/>
            <w:hideMark/>
          </w:tcPr>
          <w:p w14:paraId="3D10DF2A" w14:textId="77777777" w:rsidR="00D07DF1" w:rsidRPr="00CD6F87" w:rsidRDefault="00D07DF1" w:rsidP="00471E8C">
            <w:pPr>
              <w:ind w:right="57"/>
              <w:jc w:val="right"/>
              <w:rPr>
                <w:rFonts w:cs="Calibri"/>
                <w:sz w:val="20"/>
                <w:szCs w:val="18"/>
              </w:rPr>
            </w:pPr>
            <w:r w:rsidRPr="00CD6F87">
              <w:rPr>
                <w:rFonts w:cs="Calibri"/>
                <w:sz w:val="20"/>
                <w:szCs w:val="18"/>
              </w:rPr>
              <w:t>10 800,00</w:t>
            </w:r>
          </w:p>
        </w:tc>
        <w:tc>
          <w:tcPr>
            <w:tcW w:w="756" w:type="pct"/>
            <w:tcBorders>
              <w:top w:val="single" w:sz="4" w:space="0" w:color="auto"/>
              <w:left w:val="single" w:sz="4" w:space="0" w:color="auto"/>
              <w:bottom w:val="single" w:sz="4" w:space="0" w:color="auto"/>
              <w:right w:val="single" w:sz="4" w:space="0" w:color="auto"/>
            </w:tcBorders>
            <w:noWrap/>
            <w:vAlign w:val="center"/>
            <w:hideMark/>
          </w:tcPr>
          <w:p w14:paraId="4B4E2241" w14:textId="77777777" w:rsidR="00D07DF1" w:rsidRPr="00CD6F87" w:rsidRDefault="00D07DF1" w:rsidP="00471E8C">
            <w:pPr>
              <w:ind w:right="57"/>
              <w:jc w:val="right"/>
              <w:rPr>
                <w:rFonts w:cs="Calibri"/>
                <w:sz w:val="20"/>
                <w:szCs w:val="18"/>
              </w:rPr>
            </w:pPr>
            <w:r w:rsidRPr="00CD6F87">
              <w:rPr>
                <w:rFonts w:cs="Calibri"/>
                <w:sz w:val="20"/>
                <w:szCs w:val="18"/>
              </w:rPr>
              <w:t>11 500,00</w:t>
            </w:r>
          </w:p>
        </w:tc>
        <w:tc>
          <w:tcPr>
            <w:tcW w:w="757" w:type="pct"/>
            <w:tcBorders>
              <w:top w:val="single" w:sz="4" w:space="0" w:color="auto"/>
              <w:left w:val="single" w:sz="4" w:space="0" w:color="auto"/>
              <w:bottom w:val="single" w:sz="4" w:space="0" w:color="auto"/>
              <w:right w:val="single" w:sz="4" w:space="0" w:color="auto"/>
            </w:tcBorders>
            <w:noWrap/>
            <w:vAlign w:val="center"/>
            <w:hideMark/>
          </w:tcPr>
          <w:p w14:paraId="0F84E2D8" w14:textId="77777777" w:rsidR="00D07DF1" w:rsidRPr="00CD6F87" w:rsidRDefault="00D07DF1" w:rsidP="00471E8C">
            <w:pPr>
              <w:ind w:right="57"/>
              <w:jc w:val="right"/>
              <w:rPr>
                <w:rFonts w:cs="Calibri"/>
                <w:sz w:val="20"/>
                <w:szCs w:val="18"/>
              </w:rPr>
            </w:pPr>
            <w:r w:rsidRPr="00CD6F87">
              <w:rPr>
                <w:rFonts w:cs="Calibri"/>
                <w:sz w:val="20"/>
                <w:szCs w:val="18"/>
              </w:rPr>
              <w:t>14 400,00</w:t>
            </w:r>
          </w:p>
        </w:tc>
      </w:tr>
      <w:tr w:rsidR="00D07DF1" w:rsidRPr="00CD6F87" w14:paraId="5B10DE9A" w14:textId="77777777" w:rsidTr="00471E8C">
        <w:trPr>
          <w:trHeight w:val="255"/>
        </w:trPr>
        <w:tc>
          <w:tcPr>
            <w:tcW w:w="2728" w:type="pc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15621C47" w14:textId="77777777" w:rsidR="00D07DF1" w:rsidRPr="00CD6F87" w:rsidRDefault="00D07DF1" w:rsidP="006F2CB6">
            <w:pPr>
              <w:jc w:val="both"/>
              <w:rPr>
                <w:rFonts w:cs="Calibri"/>
                <w:b/>
                <w:sz w:val="20"/>
                <w:szCs w:val="18"/>
              </w:rPr>
            </w:pPr>
            <w:r w:rsidRPr="00CD6F87">
              <w:rPr>
                <w:rFonts w:cs="Calibri"/>
                <w:b/>
                <w:sz w:val="20"/>
                <w:szCs w:val="18"/>
              </w:rPr>
              <w:t>Celkové čerpaní neinvestičního příspěvku na provoz</w:t>
            </w:r>
          </w:p>
        </w:tc>
        <w:tc>
          <w:tcPr>
            <w:tcW w:w="759" w:type="pc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6FE37B79" w14:textId="77777777" w:rsidR="00D07DF1" w:rsidRPr="00CD6F87" w:rsidRDefault="00D07DF1" w:rsidP="00471E8C">
            <w:pPr>
              <w:ind w:right="57"/>
              <w:jc w:val="right"/>
              <w:rPr>
                <w:rFonts w:cs="Calibri"/>
                <w:b/>
                <w:sz w:val="20"/>
                <w:szCs w:val="18"/>
              </w:rPr>
            </w:pPr>
            <w:r w:rsidRPr="00CD6F87">
              <w:rPr>
                <w:rFonts w:cs="Calibri"/>
                <w:b/>
                <w:sz w:val="20"/>
                <w:szCs w:val="18"/>
              </w:rPr>
              <w:t>33 075,00</w:t>
            </w:r>
          </w:p>
        </w:tc>
        <w:tc>
          <w:tcPr>
            <w:tcW w:w="756" w:type="pc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0504CD31" w14:textId="77777777" w:rsidR="00D07DF1" w:rsidRPr="00CD6F87" w:rsidRDefault="00D07DF1" w:rsidP="00471E8C">
            <w:pPr>
              <w:ind w:right="57"/>
              <w:jc w:val="right"/>
              <w:rPr>
                <w:rFonts w:cs="Calibri"/>
                <w:b/>
                <w:sz w:val="20"/>
                <w:szCs w:val="18"/>
              </w:rPr>
            </w:pPr>
            <w:r w:rsidRPr="00CD6F87">
              <w:rPr>
                <w:rFonts w:cs="Calibri"/>
                <w:b/>
                <w:sz w:val="20"/>
                <w:szCs w:val="18"/>
              </w:rPr>
              <w:t>33 775,00</w:t>
            </w:r>
          </w:p>
        </w:tc>
        <w:tc>
          <w:tcPr>
            <w:tcW w:w="757" w:type="pc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24408A93" w14:textId="77777777" w:rsidR="00D07DF1" w:rsidRPr="00CD6F87" w:rsidRDefault="00D07DF1" w:rsidP="00471E8C">
            <w:pPr>
              <w:ind w:right="57"/>
              <w:jc w:val="right"/>
              <w:rPr>
                <w:rFonts w:cs="Calibri"/>
                <w:b/>
                <w:sz w:val="20"/>
                <w:szCs w:val="18"/>
              </w:rPr>
            </w:pPr>
            <w:r w:rsidRPr="00CD6F87">
              <w:rPr>
                <w:rFonts w:cs="Calibri"/>
                <w:b/>
                <w:sz w:val="20"/>
                <w:szCs w:val="18"/>
              </w:rPr>
              <w:t>36 675,00</w:t>
            </w:r>
          </w:p>
        </w:tc>
      </w:tr>
    </w:tbl>
    <w:p w14:paraId="31389270" w14:textId="72BEF44A" w:rsidR="00D07DF1" w:rsidRPr="00471E8C" w:rsidRDefault="00D07DF1" w:rsidP="00471E8C">
      <w:pPr>
        <w:pStyle w:val="Poznmka"/>
      </w:pPr>
      <w:r w:rsidRPr="00471E8C">
        <w:rPr>
          <w:b/>
        </w:rPr>
        <w:t xml:space="preserve">Zdroj: </w:t>
      </w:r>
      <w:r w:rsidR="00A150B0">
        <w:t>s</w:t>
      </w:r>
      <w:r w:rsidRPr="00471E8C">
        <w:t>tátní závěrečn</w:t>
      </w:r>
      <w:r w:rsidR="00A150B0">
        <w:t>é</w:t>
      </w:r>
      <w:r w:rsidRPr="00471E8C">
        <w:t xml:space="preserve"> účt</w:t>
      </w:r>
      <w:r w:rsidR="00A150B0">
        <w:t>y</w:t>
      </w:r>
      <w:r w:rsidRPr="00471E8C">
        <w:t xml:space="preserve"> kapitoly 301 za rok 2019, 2020 a 2021</w:t>
      </w:r>
      <w:r w:rsidR="00A150B0">
        <w:t>.</w:t>
      </w:r>
    </w:p>
    <w:p w14:paraId="62569A04" w14:textId="77777777" w:rsidR="00B53558" w:rsidRPr="00DC4AB1" w:rsidRDefault="00FA3A52" w:rsidP="00471E8C">
      <w:pPr>
        <w:pStyle w:val="Nadpis1"/>
        <w:keepLines/>
        <w:numPr>
          <w:ilvl w:val="0"/>
          <w:numId w:val="0"/>
        </w:numPr>
        <w:overflowPunct/>
        <w:autoSpaceDE/>
        <w:autoSpaceDN/>
        <w:adjustRightInd/>
        <w:spacing w:before="600" w:after="240"/>
        <w:textAlignment w:val="auto"/>
        <w:rPr>
          <w:sz w:val="28"/>
          <w:szCs w:val="28"/>
        </w:rPr>
      </w:pPr>
      <w:r w:rsidRPr="00DC4AB1">
        <w:rPr>
          <w:sz w:val="28"/>
          <w:szCs w:val="28"/>
        </w:rPr>
        <w:t>III. Rozsah kontroly</w:t>
      </w:r>
    </w:p>
    <w:p w14:paraId="2F5F88A9" w14:textId="77777777" w:rsidR="001638A5" w:rsidRDefault="0002660F" w:rsidP="00471E8C">
      <w:pPr>
        <w:spacing w:before="120" w:after="120" w:line="264" w:lineRule="auto"/>
        <w:jc w:val="both"/>
        <w:rPr>
          <w:sz w:val="24"/>
        </w:rPr>
      </w:pPr>
      <w:r>
        <w:rPr>
          <w:sz w:val="24"/>
        </w:rPr>
        <w:t>NKÚ prověřil</w:t>
      </w:r>
      <w:r w:rsidR="00FB511A" w:rsidRPr="006C71A8">
        <w:rPr>
          <w:sz w:val="24"/>
        </w:rPr>
        <w:t>, zda K</w:t>
      </w:r>
      <w:r w:rsidR="00AC6581" w:rsidRPr="006C71A8">
        <w:rPr>
          <w:sz w:val="24"/>
        </w:rPr>
        <w:t>PR</w:t>
      </w:r>
      <w:r w:rsidR="00FB511A" w:rsidRPr="006C71A8">
        <w:rPr>
          <w:sz w:val="24"/>
        </w:rPr>
        <w:t xml:space="preserve"> a příspěvkové organizace S</w:t>
      </w:r>
      <w:r w:rsidR="00AC6581" w:rsidRPr="006C71A8">
        <w:rPr>
          <w:sz w:val="24"/>
        </w:rPr>
        <w:t>PH</w:t>
      </w:r>
      <w:r w:rsidR="00FB511A" w:rsidRPr="006C71A8">
        <w:rPr>
          <w:sz w:val="24"/>
        </w:rPr>
        <w:t xml:space="preserve"> a L</w:t>
      </w:r>
      <w:r w:rsidR="00AC6581" w:rsidRPr="006C71A8">
        <w:rPr>
          <w:sz w:val="24"/>
        </w:rPr>
        <w:t>SL</w:t>
      </w:r>
      <w:r w:rsidR="00FB511A" w:rsidRPr="006C71A8">
        <w:rPr>
          <w:sz w:val="24"/>
        </w:rPr>
        <w:t xml:space="preserve"> hospodařily s majetkem státu a</w:t>
      </w:r>
      <w:r>
        <w:rPr>
          <w:sz w:val="24"/>
        </w:rPr>
        <w:t> </w:t>
      </w:r>
      <w:r w:rsidR="00FB511A" w:rsidRPr="006C71A8">
        <w:rPr>
          <w:sz w:val="24"/>
        </w:rPr>
        <w:t>s peněžními prostředky státního rozpočtu v souladu s právními předpisy, účelně a</w:t>
      </w:r>
      <w:r>
        <w:rPr>
          <w:sz w:val="24"/>
        </w:rPr>
        <w:t> </w:t>
      </w:r>
      <w:r w:rsidR="00FB511A" w:rsidRPr="006C71A8">
        <w:rPr>
          <w:sz w:val="24"/>
        </w:rPr>
        <w:t>hospodárně.</w:t>
      </w:r>
    </w:p>
    <w:p w14:paraId="7F0A82DF" w14:textId="77777777" w:rsidR="00A12653" w:rsidRDefault="00D84D32" w:rsidP="00471E8C">
      <w:pPr>
        <w:spacing w:before="120" w:after="120" w:line="264" w:lineRule="auto"/>
        <w:jc w:val="both"/>
        <w:rPr>
          <w:rFonts w:cstheme="minorHAnsi"/>
          <w:sz w:val="24"/>
          <w:szCs w:val="24"/>
        </w:rPr>
      </w:pPr>
      <w:r w:rsidRPr="00B16836">
        <w:rPr>
          <w:b/>
          <w:sz w:val="24"/>
        </w:rPr>
        <w:t>Účelností</w:t>
      </w:r>
      <w:r>
        <w:rPr>
          <w:sz w:val="24"/>
        </w:rPr>
        <w:t xml:space="preserve"> se </w:t>
      </w:r>
      <w:r w:rsidRPr="00D84D32">
        <w:rPr>
          <w:sz w:val="24"/>
        </w:rPr>
        <w:t>rozumí</w:t>
      </w:r>
      <w:r w:rsidRPr="00D84D32">
        <w:rPr>
          <w:rFonts w:cstheme="minorHAnsi"/>
          <w:sz w:val="24"/>
          <w:szCs w:val="24"/>
        </w:rPr>
        <w:t xml:space="preserve"> takové použití veřejných prostředků, které zajistí optimální míru dosažení cílů při plnění stanovených úkolů</w:t>
      </w:r>
      <w:r w:rsidR="00A12653">
        <w:rPr>
          <w:rStyle w:val="Znakapoznpodarou"/>
          <w:rFonts w:cstheme="minorHAnsi"/>
          <w:sz w:val="24"/>
          <w:szCs w:val="24"/>
        </w:rPr>
        <w:footnoteReference w:id="6"/>
      </w:r>
      <w:r>
        <w:rPr>
          <w:rFonts w:cstheme="minorHAnsi"/>
          <w:sz w:val="24"/>
          <w:szCs w:val="24"/>
        </w:rPr>
        <w:t>.</w:t>
      </w:r>
      <w:r w:rsidR="00A12653">
        <w:rPr>
          <w:rFonts w:cstheme="minorHAnsi"/>
          <w:sz w:val="24"/>
          <w:szCs w:val="24"/>
        </w:rPr>
        <w:t xml:space="preserve"> </w:t>
      </w:r>
    </w:p>
    <w:p w14:paraId="514BB027" w14:textId="28C9E658" w:rsidR="00451977" w:rsidRDefault="00D84D32" w:rsidP="00471E8C">
      <w:pPr>
        <w:spacing w:before="120" w:after="120" w:line="264" w:lineRule="auto"/>
        <w:jc w:val="both"/>
        <w:rPr>
          <w:rFonts w:cstheme="minorHAnsi"/>
          <w:sz w:val="24"/>
          <w:szCs w:val="24"/>
        </w:rPr>
      </w:pPr>
      <w:r w:rsidRPr="00B16836">
        <w:rPr>
          <w:b/>
          <w:sz w:val="24"/>
        </w:rPr>
        <w:t xml:space="preserve">Hospodárností </w:t>
      </w:r>
      <w:r>
        <w:rPr>
          <w:sz w:val="24"/>
        </w:rPr>
        <w:t xml:space="preserve">se rozumí </w:t>
      </w:r>
      <w:r w:rsidRPr="00E17E84">
        <w:rPr>
          <w:rFonts w:cstheme="minorHAnsi"/>
          <w:sz w:val="24"/>
          <w:szCs w:val="24"/>
        </w:rPr>
        <w:t>použití veřejných prostředků k zajištění stanovených úkolů s co nejnižším vynaložením těchto prostředků, a to při dodržení odpovídající kvality plněných úkolů (minimalizace nákladů)</w:t>
      </w:r>
      <w:r w:rsidR="00A12653">
        <w:rPr>
          <w:rStyle w:val="Znakapoznpodarou"/>
          <w:rFonts w:cstheme="minorHAnsi"/>
          <w:sz w:val="24"/>
          <w:szCs w:val="24"/>
        </w:rPr>
        <w:footnoteReference w:id="7"/>
      </w:r>
      <w:r w:rsidRPr="00E17E84">
        <w:rPr>
          <w:rFonts w:cstheme="minorHAnsi"/>
          <w:sz w:val="24"/>
          <w:szCs w:val="24"/>
        </w:rPr>
        <w:t xml:space="preserve">. </w:t>
      </w:r>
      <w:r w:rsidR="00451977">
        <w:rPr>
          <w:rFonts w:cstheme="minorHAnsi"/>
          <w:sz w:val="24"/>
          <w:szCs w:val="24"/>
        </w:rPr>
        <w:t>Za hospodárný NKÚ považoval takový postup, kdy kontrolované osoby pořizovaly majetek, dodávky a služby v přiměřené kvalitě a množství</w:t>
      </w:r>
      <w:r w:rsidR="0057445F">
        <w:rPr>
          <w:rFonts w:cstheme="minorHAnsi"/>
          <w:sz w:val="24"/>
          <w:szCs w:val="24"/>
        </w:rPr>
        <w:t>,</w:t>
      </w:r>
      <w:r w:rsidR="00451977">
        <w:rPr>
          <w:rFonts w:cstheme="minorHAnsi"/>
          <w:sz w:val="24"/>
          <w:szCs w:val="24"/>
        </w:rPr>
        <w:t xml:space="preserve"> </w:t>
      </w:r>
      <w:r w:rsidR="00451977" w:rsidRPr="00E17E84">
        <w:rPr>
          <w:rFonts w:cstheme="minorHAnsi"/>
          <w:sz w:val="24"/>
          <w:szCs w:val="24"/>
        </w:rPr>
        <w:t>za co nejvýhodnějších podmínek.</w:t>
      </w:r>
      <w:r w:rsidR="009B1CF5">
        <w:rPr>
          <w:rFonts w:cstheme="minorHAnsi"/>
          <w:sz w:val="24"/>
          <w:szCs w:val="24"/>
        </w:rPr>
        <w:t xml:space="preserve"> </w:t>
      </w:r>
    </w:p>
    <w:p w14:paraId="5FB1ADD8" w14:textId="77777777" w:rsidR="0002660F" w:rsidRPr="00B16836" w:rsidRDefault="0002660F" w:rsidP="00471E8C">
      <w:pPr>
        <w:spacing w:before="120" w:after="120" w:line="264" w:lineRule="auto"/>
        <w:jc w:val="both"/>
        <w:rPr>
          <w:rFonts w:cstheme="minorHAnsi"/>
          <w:b/>
          <w:sz w:val="24"/>
        </w:rPr>
      </w:pPr>
      <w:r w:rsidRPr="0002660F">
        <w:rPr>
          <w:rFonts w:cstheme="minorHAnsi"/>
          <w:b/>
          <w:sz w:val="24"/>
          <w:szCs w:val="24"/>
        </w:rPr>
        <w:t>NKÚ prověřil u KPR, SPH a LSL hospodaření pouze na vybraném vzorku</w:t>
      </w:r>
      <w:r>
        <w:rPr>
          <w:rFonts w:cstheme="minorHAnsi"/>
          <w:sz w:val="24"/>
          <w:szCs w:val="24"/>
        </w:rPr>
        <w:t xml:space="preserve"> kvantitativně významného majetku, dodávek a služeb, </w:t>
      </w:r>
      <w:r w:rsidR="00B16836">
        <w:rPr>
          <w:rFonts w:cstheme="minorHAnsi"/>
          <w:sz w:val="24"/>
          <w:szCs w:val="24"/>
        </w:rPr>
        <w:t>oprav a údržby. U</w:t>
      </w:r>
      <w:r w:rsidRPr="00E126C3">
        <w:rPr>
          <w:rFonts w:cstheme="minorHAnsi"/>
          <w:sz w:val="24"/>
        </w:rPr>
        <w:t xml:space="preserve"> programového financování byl vybrán kontrolní vzorek s ohledem na čerpání peněžních prostředků v kontrolovaném období v jednotlivých programech</w:t>
      </w:r>
      <w:r>
        <w:rPr>
          <w:rFonts w:cstheme="minorHAnsi"/>
          <w:sz w:val="24"/>
        </w:rPr>
        <w:t xml:space="preserve">. Veřejné zakázky byly vybrány podle opakujících se předmětů plnění a dodavatelů služeb a jejich hodnot v jednotlivých letech. </w:t>
      </w:r>
      <w:r w:rsidRPr="0002660F">
        <w:rPr>
          <w:rFonts w:cstheme="minorHAnsi"/>
          <w:sz w:val="24"/>
        </w:rPr>
        <w:t>Celkem bylo prověřeno 60</w:t>
      </w:r>
      <w:r w:rsidR="001D3A0E">
        <w:rPr>
          <w:rFonts w:cstheme="minorHAnsi"/>
          <w:sz w:val="24"/>
        </w:rPr>
        <w:t> </w:t>
      </w:r>
      <w:r w:rsidRPr="0002660F">
        <w:rPr>
          <w:rFonts w:cstheme="minorHAnsi"/>
          <w:sz w:val="24"/>
        </w:rPr>
        <w:t>veřejných zakázek.</w:t>
      </w:r>
      <w:r w:rsidR="00B16836">
        <w:rPr>
          <w:rFonts w:cstheme="minorHAnsi"/>
          <w:sz w:val="24"/>
        </w:rPr>
        <w:t xml:space="preserve"> </w:t>
      </w:r>
    </w:p>
    <w:p w14:paraId="3E6723F7" w14:textId="224DAD70" w:rsidR="0002660F" w:rsidRDefault="0002660F" w:rsidP="00471E8C">
      <w:pPr>
        <w:spacing w:before="120" w:after="120" w:line="264" w:lineRule="auto"/>
        <w:jc w:val="both"/>
        <w:rPr>
          <w:sz w:val="24"/>
          <w:szCs w:val="24"/>
        </w:rPr>
      </w:pPr>
      <w:r w:rsidRPr="00510879">
        <w:rPr>
          <w:rFonts w:cs="Arial"/>
          <w:sz w:val="24"/>
          <w:szCs w:val="24"/>
        </w:rPr>
        <w:t xml:space="preserve">V oblasti </w:t>
      </w:r>
      <w:r w:rsidRPr="00510879">
        <w:rPr>
          <w:b/>
          <w:sz w:val="24"/>
          <w:szCs w:val="24"/>
        </w:rPr>
        <w:t>nabytí dlouhodobého majetku</w:t>
      </w:r>
      <w:r w:rsidRPr="00510879">
        <w:rPr>
          <w:sz w:val="24"/>
          <w:szCs w:val="24"/>
        </w:rPr>
        <w:t xml:space="preserve"> NKÚ ověřil, zda </w:t>
      </w:r>
      <w:r w:rsidR="00BF65F4">
        <w:rPr>
          <w:sz w:val="24"/>
          <w:szCs w:val="24"/>
        </w:rPr>
        <w:t>SPH a LSL</w:t>
      </w:r>
      <w:r w:rsidRPr="00510879">
        <w:rPr>
          <w:sz w:val="24"/>
          <w:szCs w:val="24"/>
        </w:rPr>
        <w:t xml:space="preserve"> vynaložil</w:t>
      </w:r>
      <w:r w:rsidR="00510879" w:rsidRPr="00510879">
        <w:rPr>
          <w:sz w:val="24"/>
          <w:szCs w:val="24"/>
        </w:rPr>
        <w:t>y</w:t>
      </w:r>
      <w:r w:rsidRPr="00510879">
        <w:rPr>
          <w:sz w:val="24"/>
          <w:szCs w:val="24"/>
        </w:rPr>
        <w:t xml:space="preserve"> peněžní prostředky na pořízení majetku účelně a hospodárně </w:t>
      </w:r>
      <w:r w:rsidR="008A60D3">
        <w:rPr>
          <w:sz w:val="24"/>
          <w:szCs w:val="24"/>
        </w:rPr>
        <w:t>a </w:t>
      </w:r>
      <w:r w:rsidRPr="00510879">
        <w:rPr>
          <w:sz w:val="24"/>
          <w:szCs w:val="24"/>
        </w:rPr>
        <w:t xml:space="preserve">zda byla posuzována opodstatněnost nabytí </w:t>
      </w:r>
      <w:r w:rsidRPr="00510879">
        <w:rPr>
          <w:iCs/>
          <w:spacing w:val="2"/>
          <w:sz w:val="24"/>
          <w:szCs w:val="24"/>
        </w:rPr>
        <w:t xml:space="preserve">majetku </w:t>
      </w:r>
      <w:r w:rsidRPr="00510879">
        <w:rPr>
          <w:sz w:val="24"/>
          <w:szCs w:val="24"/>
        </w:rPr>
        <w:t xml:space="preserve">z hlediska potřebnosti pro zabezpečení výkonu působnosti nebo činnosti. Dále </w:t>
      </w:r>
      <w:r w:rsidRPr="00510879">
        <w:rPr>
          <w:sz w:val="24"/>
          <w:szCs w:val="24"/>
        </w:rPr>
        <w:lastRenderedPageBreak/>
        <w:t xml:space="preserve">bylo prověřováno, zda </w:t>
      </w:r>
      <w:r w:rsidR="00510879" w:rsidRPr="00510879">
        <w:rPr>
          <w:sz w:val="24"/>
          <w:szCs w:val="24"/>
        </w:rPr>
        <w:t xml:space="preserve">kontrolované osoby </w:t>
      </w:r>
      <w:r w:rsidRPr="00510879">
        <w:rPr>
          <w:sz w:val="24"/>
          <w:szCs w:val="24"/>
        </w:rPr>
        <w:t>dodržel</w:t>
      </w:r>
      <w:r w:rsidR="00510879" w:rsidRPr="00510879">
        <w:rPr>
          <w:sz w:val="24"/>
          <w:szCs w:val="24"/>
        </w:rPr>
        <w:t>y</w:t>
      </w:r>
      <w:r w:rsidRPr="00510879">
        <w:rPr>
          <w:sz w:val="24"/>
          <w:szCs w:val="24"/>
        </w:rPr>
        <w:t xml:space="preserve"> postupy stanovené právními předpisy, zejména</w:t>
      </w:r>
      <w:r w:rsidR="00E61429">
        <w:rPr>
          <w:sz w:val="24"/>
          <w:szCs w:val="24"/>
        </w:rPr>
        <w:t xml:space="preserve"> </w:t>
      </w:r>
      <w:r w:rsidRPr="00510879">
        <w:rPr>
          <w:sz w:val="24"/>
          <w:szCs w:val="24"/>
        </w:rPr>
        <w:t>zákonem č. 134/2016 Sb.</w:t>
      </w:r>
      <w:r w:rsidR="00F47282">
        <w:rPr>
          <w:rStyle w:val="Znakapoznpodarou"/>
          <w:sz w:val="24"/>
          <w:szCs w:val="24"/>
        </w:rPr>
        <w:footnoteReference w:id="8"/>
      </w:r>
      <w:r w:rsidRPr="00510879">
        <w:rPr>
          <w:sz w:val="24"/>
          <w:szCs w:val="24"/>
        </w:rPr>
        <w:t xml:space="preserve">, resp. </w:t>
      </w:r>
      <w:r w:rsidR="00665E46">
        <w:rPr>
          <w:sz w:val="24"/>
          <w:szCs w:val="24"/>
        </w:rPr>
        <w:t xml:space="preserve">č. </w:t>
      </w:r>
      <w:r w:rsidRPr="00510879">
        <w:rPr>
          <w:sz w:val="24"/>
          <w:szCs w:val="24"/>
        </w:rPr>
        <w:t>137/2006 Sb., a soulad fakturace se</w:t>
      </w:r>
      <w:r w:rsidR="008A60D3">
        <w:rPr>
          <w:sz w:val="24"/>
          <w:szCs w:val="24"/>
        </w:rPr>
        <w:t xml:space="preserve"> </w:t>
      </w:r>
      <w:r w:rsidRPr="00510879">
        <w:rPr>
          <w:sz w:val="24"/>
          <w:szCs w:val="24"/>
        </w:rPr>
        <w:t>smlouvou, správnost</w:t>
      </w:r>
      <w:r w:rsidR="00E61429">
        <w:rPr>
          <w:sz w:val="24"/>
          <w:szCs w:val="24"/>
        </w:rPr>
        <w:t xml:space="preserve"> </w:t>
      </w:r>
      <w:r w:rsidRPr="00510879">
        <w:rPr>
          <w:sz w:val="24"/>
          <w:szCs w:val="24"/>
        </w:rPr>
        <w:t>zaúčtování pořízení majetku na</w:t>
      </w:r>
      <w:r w:rsidR="008A60D3">
        <w:rPr>
          <w:sz w:val="24"/>
          <w:szCs w:val="24"/>
        </w:rPr>
        <w:t xml:space="preserve"> </w:t>
      </w:r>
      <w:r w:rsidRPr="00510879">
        <w:rPr>
          <w:sz w:val="24"/>
          <w:szCs w:val="24"/>
        </w:rPr>
        <w:t>příslušné majetkové účty, ve</w:t>
      </w:r>
      <w:r w:rsidR="008A60D3">
        <w:rPr>
          <w:sz w:val="24"/>
          <w:szCs w:val="24"/>
        </w:rPr>
        <w:t xml:space="preserve"> </w:t>
      </w:r>
      <w:r w:rsidRPr="00510879">
        <w:rPr>
          <w:sz w:val="24"/>
          <w:szCs w:val="24"/>
        </w:rPr>
        <w:t>správném ocenění a v období časově a věcně souvisejícím.</w:t>
      </w:r>
      <w:r w:rsidRPr="00F11B4E">
        <w:rPr>
          <w:sz w:val="24"/>
          <w:szCs w:val="24"/>
        </w:rPr>
        <w:t xml:space="preserve"> </w:t>
      </w:r>
    </w:p>
    <w:p w14:paraId="15DB952C" w14:textId="19036D38" w:rsidR="0002660F" w:rsidRPr="00510879" w:rsidRDefault="0002660F" w:rsidP="00471E8C">
      <w:pPr>
        <w:spacing w:before="120" w:after="120" w:line="264" w:lineRule="auto"/>
        <w:jc w:val="both"/>
        <w:rPr>
          <w:sz w:val="24"/>
          <w:szCs w:val="24"/>
        </w:rPr>
      </w:pPr>
      <w:r w:rsidRPr="00510879">
        <w:rPr>
          <w:sz w:val="24"/>
          <w:szCs w:val="24"/>
        </w:rPr>
        <w:t xml:space="preserve">V oblasti </w:t>
      </w:r>
      <w:r w:rsidRPr="00510879">
        <w:rPr>
          <w:b/>
          <w:sz w:val="24"/>
          <w:szCs w:val="24"/>
        </w:rPr>
        <w:t>úbytků majetku</w:t>
      </w:r>
      <w:r w:rsidRPr="00510879">
        <w:rPr>
          <w:sz w:val="24"/>
          <w:szCs w:val="24"/>
        </w:rPr>
        <w:t xml:space="preserve"> NKÚ prověřil, zda </w:t>
      </w:r>
      <w:r w:rsidR="00BF65F4">
        <w:rPr>
          <w:sz w:val="24"/>
          <w:szCs w:val="24"/>
        </w:rPr>
        <w:t>SPH a LSL</w:t>
      </w:r>
      <w:r w:rsidR="00BF65F4" w:rsidRPr="00510879">
        <w:rPr>
          <w:sz w:val="24"/>
          <w:szCs w:val="24"/>
        </w:rPr>
        <w:t xml:space="preserve"> </w:t>
      </w:r>
      <w:r w:rsidRPr="00510879">
        <w:rPr>
          <w:sz w:val="24"/>
          <w:szCs w:val="24"/>
        </w:rPr>
        <w:t>dodržel</w:t>
      </w:r>
      <w:r w:rsidR="00510879">
        <w:rPr>
          <w:sz w:val="24"/>
          <w:szCs w:val="24"/>
        </w:rPr>
        <w:t>y</w:t>
      </w:r>
      <w:r w:rsidRPr="00510879">
        <w:rPr>
          <w:sz w:val="24"/>
          <w:szCs w:val="24"/>
        </w:rPr>
        <w:t xml:space="preserve"> postupy stanoven</w:t>
      </w:r>
      <w:r w:rsidR="001D3A0E">
        <w:rPr>
          <w:sz w:val="24"/>
          <w:szCs w:val="24"/>
        </w:rPr>
        <w:t>é</w:t>
      </w:r>
      <w:r w:rsidRPr="00510879">
        <w:rPr>
          <w:sz w:val="24"/>
          <w:szCs w:val="24"/>
        </w:rPr>
        <w:t xml:space="preserve"> právními předpisy. Kontrolou NKÚ bylo prověřeno nakládání s majetkem </w:t>
      </w:r>
      <w:r w:rsidR="00E61429">
        <w:rPr>
          <w:sz w:val="24"/>
          <w:szCs w:val="24"/>
        </w:rPr>
        <w:t>–</w:t>
      </w:r>
      <w:r w:rsidRPr="00510879">
        <w:rPr>
          <w:sz w:val="24"/>
          <w:szCs w:val="24"/>
        </w:rPr>
        <w:t xml:space="preserve"> změna příslušnosti hospodařit s majetkem státu, bezúplatný převod vlastnictví, prodej dlouhodobého hmotného majetku a likvidace dlouhodobého hmotného majetku.</w:t>
      </w:r>
    </w:p>
    <w:p w14:paraId="23F675AE" w14:textId="11F333C2" w:rsidR="0002660F" w:rsidRDefault="0002660F" w:rsidP="00471E8C">
      <w:pPr>
        <w:spacing w:before="120" w:after="120" w:line="264" w:lineRule="auto"/>
        <w:jc w:val="both"/>
        <w:rPr>
          <w:sz w:val="24"/>
          <w:szCs w:val="24"/>
        </w:rPr>
      </w:pPr>
      <w:r w:rsidRPr="00510879">
        <w:rPr>
          <w:sz w:val="24"/>
          <w:szCs w:val="24"/>
        </w:rPr>
        <w:t xml:space="preserve">V oblasti </w:t>
      </w:r>
      <w:r w:rsidRPr="00510879">
        <w:rPr>
          <w:b/>
          <w:sz w:val="24"/>
          <w:szCs w:val="24"/>
        </w:rPr>
        <w:t>nákladů</w:t>
      </w:r>
      <w:r w:rsidRPr="00510879">
        <w:rPr>
          <w:sz w:val="24"/>
          <w:szCs w:val="24"/>
        </w:rPr>
        <w:t xml:space="preserve"> NKÚ ověřil, zda </w:t>
      </w:r>
      <w:r w:rsidR="00510879" w:rsidRPr="00510879">
        <w:rPr>
          <w:sz w:val="24"/>
          <w:szCs w:val="24"/>
        </w:rPr>
        <w:t>kontrolované osoby</w:t>
      </w:r>
      <w:r w:rsidRPr="00510879">
        <w:rPr>
          <w:sz w:val="24"/>
          <w:szCs w:val="24"/>
        </w:rPr>
        <w:t xml:space="preserve"> vynaložil</w:t>
      </w:r>
      <w:r w:rsidR="00510879" w:rsidRPr="00510879">
        <w:rPr>
          <w:sz w:val="24"/>
          <w:szCs w:val="24"/>
        </w:rPr>
        <w:t>y</w:t>
      </w:r>
      <w:r w:rsidRPr="00510879">
        <w:rPr>
          <w:sz w:val="24"/>
          <w:szCs w:val="24"/>
        </w:rPr>
        <w:t xml:space="preserve"> peněžní </w:t>
      </w:r>
      <w:r w:rsidRPr="00050FF4">
        <w:rPr>
          <w:sz w:val="24"/>
          <w:szCs w:val="24"/>
        </w:rPr>
        <w:t xml:space="preserve">prostředky </w:t>
      </w:r>
      <w:r w:rsidR="00050FF4" w:rsidRPr="00050FF4">
        <w:rPr>
          <w:sz w:val="24"/>
          <w:szCs w:val="24"/>
        </w:rPr>
        <w:t>na vybrané náklady</w:t>
      </w:r>
      <w:r w:rsidRPr="00050FF4">
        <w:rPr>
          <w:sz w:val="24"/>
          <w:szCs w:val="24"/>
        </w:rPr>
        <w:t xml:space="preserve"> účelně</w:t>
      </w:r>
      <w:r w:rsidR="00050FF4" w:rsidRPr="00050FF4">
        <w:rPr>
          <w:sz w:val="24"/>
          <w:szCs w:val="24"/>
        </w:rPr>
        <w:t>,</w:t>
      </w:r>
      <w:r w:rsidRPr="00050FF4">
        <w:rPr>
          <w:sz w:val="24"/>
          <w:szCs w:val="24"/>
        </w:rPr>
        <w:t xml:space="preserve"> hospodárně</w:t>
      </w:r>
      <w:r w:rsidR="00050FF4" w:rsidRPr="00050FF4">
        <w:rPr>
          <w:sz w:val="24"/>
          <w:szCs w:val="24"/>
        </w:rPr>
        <w:t xml:space="preserve"> a v souladu s právními předpisy.</w:t>
      </w:r>
      <w:r w:rsidRPr="00050FF4">
        <w:rPr>
          <w:sz w:val="24"/>
          <w:szCs w:val="24"/>
        </w:rPr>
        <w:t xml:space="preserve"> Dále</w:t>
      </w:r>
      <w:r w:rsidRPr="00510879">
        <w:rPr>
          <w:sz w:val="24"/>
          <w:szCs w:val="24"/>
        </w:rPr>
        <w:t xml:space="preserve"> bylo prověřováno, zda dodržel</w:t>
      </w:r>
      <w:r w:rsidR="00510879" w:rsidRPr="00510879">
        <w:rPr>
          <w:sz w:val="24"/>
          <w:szCs w:val="24"/>
        </w:rPr>
        <w:t>y</w:t>
      </w:r>
      <w:r w:rsidRPr="00510879">
        <w:rPr>
          <w:sz w:val="24"/>
          <w:szCs w:val="24"/>
        </w:rPr>
        <w:t xml:space="preserve"> postupy stanovené právními předpisy, zejména zákonem č.</w:t>
      </w:r>
      <w:r w:rsidR="00665E46">
        <w:rPr>
          <w:sz w:val="24"/>
          <w:szCs w:val="24"/>
        </w:rPr>
        <w:t> </w:t>
      </w:r>
      <w:r w:rsidRPr="00510879">
        <w:rPr>
          <w:sz w:val="24"/>
          <w:szCs w:val="24"/>
        </w:rPr>
        <w:t>134/2016 Sb.</w:t>
      </w:r>
      <w:r w:rsidR="00050FF4">
        <w:rPr>
          <w:sz w:val="24"/>
          <w:szCs w:val="24"/>
        </w:rPr>
        <w:t>,</w:t>
      </w:r>
      <w:r w:rsidRPr="00510879">
        <w:rPr>
          <w:sz w:val="24"/>
          <w:szCs w:val="24"/>
        </w:rPr>
        <w:t xml:space="preserve"> resp. </w:t>
      </w:r>
      <w:r w:rsidR="00665E46">
        <w:rPr>
          <w:sz w:val="24"/>
          <w:szCs w:val="24"/>
        </w:rPr>
        <w:t xml:space="preserve">č. </w:t>
      </w:r>
      <w:r w:rsidRPr="00510879">
        <w:rPr>
          <w:sz w:val="24"/>
          <w:szCs w:val="24"/>
        </w:rPr>
        <w:t>13</w:t>
      </w:r>
      <w:r w:rsidR="001D3A0E">
        <w:rPr>
          <w:sz w:val="24"/>
          <w:szCs w:val="24"/>
        </w:rPr>
        <w:t>7</w:t>
      </w:r>
      <w:r w:rsidRPr="00510879">
        <w:rPr>
          <w:sz w:val="24"/>
          <w:szCs w:val="24"/>
        </w:rPr>
        <w:t>/2006 Sb.</w:t>
      </w:r>
      <w:r w:rsidR="00F47282">
        <w:rPr>
          <w:rStyle w:val="Znakapoznpodarou"/>
          <w:sz w:val="24"/>
          <w:szCs w:val="24"/>
        </w:rPr>
        <w:footnoteReference w:id="9"/>
      </w:r>
      <w:r w:rsidR="001D3A0E">
        <w:rPr>
          <w:sz w:val="24"/>
          <w:szCs w:val="24"/>
        </w:rPr>
        <w:t>,</w:t>
      </w:r>
      <w:r w:rsidRPr="00510879">
        <w:rPr>
          <w:sz w:val="24"/>
          <w:szCs w:val="24"/>
        </w:rPr>
        <w:t xml:space="preserve"> a soulad fakturace se</w:t>
      </w:r>
      <w:r w:rsidR="008A60D3">
        <w:rPr>
          <w:sz w:val="24"/>
          <w:szCs w:val="24"/>
        </w:rPr>
        <w:t xml:space="preserve"> </w:t>
      </w:r>
      <w:r w:rsidRPr="00510879">
        <w:rPr>
          <w:sz w:val="24"/>
          <w:szCs w:val="24"/>
        </w:rPr>
        <w:t>smlouvou, správnost</w:t>
      </w:r>
      <w:r w:rsidR="00E61429">
        <w:rPr>
          <w:sz w:val="24"/>
          <w:szCs w:val="24"/>
        </w:rPr>
        <w:t xml:space="preserve"> </w:t>
      </w:r>
      <w:r w:rsidRPr="00510879">
        <w:rPr>
          <w:sz w:val="24"/>
          <w:szCs w:val="24"/>
        </w:rPr>
        <w:t>zaúčtování na</w:t>
      </w:r>
      <w:r w:rsidR="008A60D3">
        <w:rPr>
          <w:sz w:val="24"/>
          <w:szCs w:val="24"/>
        </w:rPr>
        <w:t xml:space="preserve"> </w:t>
      </w:r>
      <w:r w:rsidRPr="00510879">
        <w:rPr>
          <w:sz w:val="24"/>
          <w:szCs w:val="24"/>
        </w:rPr>
        <w:t>příslušné účty, ve</w:t>
      </w:r>
      <w:r w:rsidR="008A60D3">
        <w:rPr>
          <w:sz w:val="24"/>
          <w:szCs w:val="24"/>
        </w:rPr>
        <w:t xml:space="preserve"> </w:t>
      </w:r>
      <w:r w:rsidRPr="00510879">
        <w:rPr>
          <w:sz w:val="24"/>
          <w:szCs w:val="24"/>
        </w:rPr>
        <w:t>správném ocenění a v období časově a věcně souvisejícím.</w:t>
      </w:r>
    </w:p>
    <w:p w14:paraId="410D4CA2" w14:textId="5D3EC96F" w:rsidR="00E74220" w:rsidRPr="00050FF4" w:rsidRDefault="008A60D3" w:rsidP="00471E8C">
      <w:pPr>
        <w:spacing w:before="120" w:after="120" w:line="264" w:lineRule="auto"/>
        <w:jc w:val="both"/>
        <w:rPr>
          <w:sz w:val="24"/>
        </w:rPr>
      </w:pPr>
      <w:r>
        <w:rPr>
          <w:sz w:val="24"/>
        </w:rPr>
        <w:t>Dále</w:t>
      </w:r>
      <w:r w:rsidR="00510879">
        <w:rPr>
          <w:sz w:val="24"/>
        </w:rPr>
        <w:t xml:space="preserve"> NKÚ na vybraném vzorku</w:t>
      </w:r>
      <w:r w:rsidR="00E61429" w:rsidRPr="00E61429">
        <w:rPr>
          <w:b/>
          <w:sz w:val="24"/>
        </w:rPr>
        <w:t xml:space="preserve"> </w:t>
      </w:r>
      <w:r w:rsidR="00E61429" w:rsidRPr="00510879">
        <w:rPr>
          <w:b/>
          <w:sz w:val="24"/>
        </w:rPr>
        <w:t>výnosů</w:t>
      </w:r>
      <w:r w:rsidR="00510879">
        <w:rPr>
          <w:sz w:val="24"/>
        </w:rPr>
        <w:t xml:space="preserve"> prověřil, zda kontrolované osoby SPH a LSL stanovovaly u</w:t>
      </w:r>
      <w:r w:rsidR="008F4345">
        <w:rPr>
          <w:sz w:val="24"/>
        </w:rPr>
        <w:t> </w:t>
      </w:r>
      <w:r w:rsidR="00510879">
        <w:rPr>
          <w:sz w:val="24"/>
        </w:rPr>
        <w:t xml:space="preserve">nájemného ceny v místě a čase obvyklé a zda tak nedocházelo k neodůvodněnému snižování výnosů z majetku státu. </w:t>
      </w:r>
      <w:r w:rsidR="003904C2" w:rsidRPr="00050FF4">
        <w:rPr>
          <w:sz w:val="24"/>
        </w:rPr>
        <w:t xml:space="preserve">U LSL byly </w:t>
      </w:r>
      <w:r w:rsidR="00FC7632">
        <w:rPr>
          <w:sz w:val="24"/>
        </w:rPr>
        <w:t xml:space="preserve">rovněž </w:t>
      </w:r>
      <w:r w:rsidR="003904C2" w:rsidRPr="00050FF4">
        <w:rPr>
          <w:sz w:val="24"/>
        </w:rPr>
        <w:t>prověřeny vybrané výnosy (z lovů, prodeje dříví, paliva a</w:t>
      </w:r>
      <w:r w:rsidR="008F4345" w:rsidRPr="00050FF4">
        <w:rPr>
          <w:sz w:val="24"/>
        </w:rPr>
        <w:t> </w:t>
      </w:r>
      <w:r w:rsidR="003904C2" w:rsidRPr="00050FF4">
        <w:rPr>
          <w:sz w:val="24"/>
        </w:rPr>
        <w:t>vánočních stromků).</w:t>
      </w:r>
    </w:p>
    <w:p w14:paraId="3641B413" w14:textId="4CC289DB" w:rsidR="00510879" w:rsidRDefault="00510879" w:rsidP="00471E8C">
      <w:pPr>
        <w:spacing w:before="120" w:after="120" w:line="264" w:lineRule="auto"/>
        <w:jc w:val="both"/>
        <w:rPr>
          <w:rFonts w:cstheme="minorHAnsi"/>
          <w:sz w:val="24"/>
        </w:rPr>
      </w:pPr>
      <w:r w:rsidRPr="00170A10">
        <w:rPr>
          <w:rFonts w:cstheme="minorHAnsi"/>
          <w:sz w:val="24"/>
        </w:rPr>
        <w:t xml:space="preserve">NKÚ prověřil, zda KPR postupovala jako správce </w:t>
      </w:r>
      <w:r w:rsidRPr="00B16836">
        <w:rPr>
          <w:rFonts w:cstheme="minorHAnsi"/>
          <w:b/>
          <w:sz w:val="24"/>
        </w:rPr>
        <w:t>programů reprodukce majetku</w:t>
      </w:r>
      <w:r w:rsidRPr="00170A10">
        <w:rPr>
          <w:rFonts w:cstheme="minorHAnsi"/>
          <w:sz w:val="24"/>
        </w:rPr>
        <w:t xml:space="preserve"> v souladu s vyhláškou č. 560/2006 Sb.</w:t>
      </w:r>
      <w:r w:rsidRPr="00170A10">
        <w:rPr>
          <w:rStyle w:val="Znakapoznpodarou"/>
          <w:rFonts w:cstheme="minorHAnsi"/>
          <w:sz w:val="24"/>
        </w:rPr>
        <w:footnoteReference w:id="10"/>
      </w:r>
      <w:r w:rsidRPr="00170A10">
        <w:rPr>
          <w:rFonts w:cstheme="minorHAnsi"/>
          <w:sz w:val="24"/>
        </w:rPr>
        <w:t xml:space="preserve"> a zda řídila tyto programy tak, aby byly naplněny jejich cíle.</w:t>
      </w:r>
      <w:r>
        <w:rPr>
          <w:rFonts w:cstheme="minorHAnsi"/>
          <w:sz w:val="24"/>
        </w:rPr>
        <w:t xml:space="preserve"> U</w:t>
      </w:r>
      <w:r w:rsidR="008F4345">
        <w:rPr>
          <w:rFonts w:cstheme="minorHAnsi"/>
          <w:sz w:val="24"/>
        </w:rPr>
        <w:t> </w:t>
      </w:r>
      <w:r w:rsidRPr="009541E7">
        <w:rPr>
          <w:sz w:val="24"/>
          <w:szCs w:val="24"/>
        </w:rPr>
        <w:t xml:space="preserve">SPH </w:t>
      </w:r>
      <w:r>
        <w:rPr>
          <w:sz w:val="24"/>
          <w:szCs w:val="24"/>
        </w:rPr>
        <w:t xml:space="preserve">a LSL bylo kontrolou prověřeno, zda </w:t>
      </w:r>
      <w:r w:rsidRPr="009541E7">
        <w:rPr>
          <w:sz w:val="24"/>
          <w:szCs w:val="24"/>
        </w:rPr>
        <w:t>dodržel</w:t>
      </w:r>
      <w:r>
        <w:rPr>
          <w:sz w:val="24"/>
          <w:szCs w:val="24"/>
        </w:rPr>
        <w:t>y</w:t>
      </w:r>
      <w:r w:rsidRPr="009541E7">
        <w:rPr>
          <w:sz w:val="24"/>
          <w:szCs w:val="24"/>
        </w:rPr>
        <w:t xml:space="preserve"> postupy vyplývající z vyhlášky č. 560/2006 Sb. a</w:t>
      </w:r>
      <w:r w:rsidR="00CD6F87">
        <w:rPr>
          <w:sz w:val="24"/>
          <w:szCs w:val="24"/>
        </w:rPr>
        <w:t> </w:t>
      </w:r>
      <w:r w:rsidRPr="009541E7">
        <w:rPr>
          <w:sz w:val="24"/>
          <w:szCs w:val="24"/>
        </w:rPr>
        <w:t>zda byly splněny podmínky pro čerpání prostředků státního rozpočtu stanoven</w:t>
      </w:r>
      <w:r>
        <w:rPr>
          <w:sz w:val="24"/>
          <w:szCs w:val="24"/>
        </w:rPr>
        <w:t>é</w:t>
      </w:r>
      <w:r w:rsidRPr="009541E7">
        <w:rPr>
          <w:sz w:val="24"/>
          <w:szCs w:val="24"/>
        </w:rPr>
        <w:t xml:space="preserve"> správcem programu.</w:t>
      </w:r>
    </w:p>
    <w:p w14:paraId="11A612D9" w14:textId="5C25F42A" w:rsidR="003904C2" w:rsidRPr="00050FF4" w:rsidRDefault="003904C2" w:rsidP="00471E8C">
      <w:pPr>
        <w:spacing w:before="120" w:after="120" w:line="264" w:lineRule="auto"/>
        <w:jc w:val="both"/>
        <w:rPr>
          <w:sz w:val="24"/>
        </w:rPr>
      </w:pPr>
      <w:r w:rsidRPr="00050FF4">
        <w:rPr>
          <w:sz w:val="24"/>
        </w:rPr>
        <w:t xml:space="preserve">NKÚ ověřil, zda kontrolované osoby provedly za rok 2021 </w:t>
      </w:r>
      <w:r w:rsidRPr="00FC7632">
        <w:rPr>
          <w:b/>
          <w:sz w:val="24"/>
        </w:rPr>
        <w:t>inventarizaci</w:t>
      </w:r>
      <w:r w:rsidRPr="00050FF4">
        <w:rPr>
          <w:sz w:val="24"/>
        </w:rPr>
        <w:t xml:space="preserve"> v souladu s právními předpisy</w:t>
      </w:r>
      <w:r w:rsidR="00460B12">
        <w:rPr>
          <w:sz w:val="24"/>
        </w:rPr>
        <w:t>. U</w:t>
      </w:r>
      <w:r w:rsidRPr="00050FF4">
        <w:rPr>
          <w:sz w:val="24"/>
        </w:rPr>
        <w:t xml:space="preserve"> SPH a LSL rovněž </w:t>
      </w:r>
      <w:r w:rsidR="00460B12">
        <w:rPr>
          <w:sz w:val="24"/>
        </w:rPr>
        <w:t xml:space="preserve">NKÚ </w:t>
      </w:r>
      <w:r w:rsidRPr="00050FF4">
        <w:rPr>
          <w:sz w:val="24"/>
        </w:rPr>
        <w:t xml:space="preserve">prověřil </w:t>
      </w:r>
      <w:r w:rsidRPr="00FC7632">
        <w:rPr>
          <w:b/>
          <w:sz w:val="24"/>
        </w:rPr>
        <w:t xml:space="preserve">soulad údajů katastru nemovitostí </w:t>
      </w:r>
      <w:r w:rsidR="00E61429">
        <w:rPr>
          <w:b/>
          <w:sz w:val="24"/>
        </w:rPr>
        <w:t>s </w:t>
      </w:r>
      <w:r w:rsidRPr="00FC7632">
        <w:rPr>
          <w:b/>
          <w:sz w:val="24"/>
        </w:rPr>
        <w:t>majetkovou evidenc</w:t>
      </w:r>
      <w:r w:rsidR="00E61429">
        <w:rPr>
          <w:b/>
          <w:sz w:val="24"/>
        </w:rPr>
        <w:t>í</w:t>
      </w:r>
      <w:r w:rsidR="00460B12">
        <w:rPr>
          <w:sz w:val="24"/>
        </w:rPr>
        <w:t xml:space="preserve"> a zda kontrolované osoby odstranily nedostatky zjištěné KA č. 12/05</w:t>
      </w:r>
      <w:r w:rsidRPr="00050FF4">
        <w:rPr>
          <w:sz w:val="24"/>
        </w:rPr>
        <w:t>.</w:t>
      </w:r>
    </w:p>
    <w:p w14:paraId="2B2DCF6C" w14:textId="3714E8F1" w:rsidR="008143AD" w:rsidRDefault="001766D3" w:rsidP="00471E8C">
      <w:pPr>
        <w:spacing w:before="120" w:after="120" w:line="264" w:lineRule="auto"/>
        <w:jc w:val="both"/>
        <w:rPr>
          <w:sz w:val="24"/>
        </w:rPr>
      </w:pPr>
      <w:r w:rsidRPr="00B16836">
        <w:rPr>
          <w:b/>
          <w:sz w:val="24"/>
        </w:rPr>
        <w:t>Hodnota kontrolovaného majetku činila 1 474 466 </w:t>
      </w:r>
      <w:r w:rsidR="0090291B" w:rsidRPr="00B16836">
        <w:rPr>
          <w:b/>
          <w:sz w:val="24"/>
        </w:rPr>
        <w:t>tis.</w:t>
      </w:r>
      <w:r w:rsidRPr="00B16836">
        <w:rPr>
          <w:b/>
          <w:sz w:val="24"/>
        </w:rPr>
        <w:t xml:space="preserve"> Kč.</w:t>
      </w:r>
      <w:r w:rsidRPr="006C71A8">
        <w:rPr>
          <w:sz w:val="24"/>
        </w:rPr>
        <w:t xml:space="preserve"> </w:t>
      </w:r>
      <w:r w:rsidRPr="00B16836">
        <w:rPr>
          <w:b/>
          <w:sz w:val="24"/>
        </w:rPr>
        <w:t xml:space="preserve">Objem kontrolovaných peněžních prostředků </w:t>
      </w:r>
      <w:r w:rsidR="00927801">
        <w:rPr>
          <w:b/>
          <w:sz w:val="24"/>
        </w:rPr>
        <w:t>–</w:t>
      </w:r>
      <w:r w:rsidR="000A33F4" w:rsidRPr="006C71A8">
        <w:rPr>
          <w:sz w:val="24"/>
        </w:rPr>
        <w:t xml:space="preserve"> </w:t>
      </w:r>
      <w:r w:rsidRPr="00B16836">
        <w:rPr>
          <w:b/>
          <w:sz w:val="24"/>
        </w:rPr>
        <w:t>náklady</w:t>
      </w:r>
      <w:r w:rsidRPr="006C71A8">
        <w:rPr>
          <w:sz w:val="24"/>
        </w:rPr>
        <w:t xml:space="preserve"> za kontrolované období činil</w:t>
      </w:r>
      <w:r w:rsidR="00E95C43">
        <w:rPr>
          <w:sz w:val="24"/>
        </w:rPr>
        <w:t>y</w:t>
      </w:r>
      <w:r w:rsidRPr="006C71A8">
        <w:rPr>
          <w:sz w:val="24"/>
        </w:rPr>
        <w:t xml:space="preserve"> celkem </w:t>
      </w:r>
      <w:r w:rsidRPr="00B16836">
        <w:rPr>
          <w:b/>
          <w:sz w:val="24"/>
        </w:rPr>
        <w:t>635 206 </w:t>
      </w:r>
      <w:r w:rsidR="0090291B" w:rsidRPr="00B16836">
        <w:rPr>
          <w:b/>
          <w:sz w:val="24"/>
        </w:rPr>
        <w:t>tis.</w:t>
      </w:r>
      <w:r w:rsidRPr="00B16836">
        <w:rPr>
          <w:b/>
          <w:sz w:val="24"/>
        </w:rPr>
        <w:t xml:space="preserve"> Kč</w:t>
      </w:r>
      <w:r w:rsidR="00F4219E" w:rsidRPr="006C71A8">
        <w:rPr>
          <w:sz w:val="24"/>
        </w:rPr>
        <w:t xml:space="preserve"> </w:t>
      </w:r>
      <w:r w:rsidRPr="006C71A8">
        <w:rPr>
          <w:sz w:val="24"/>
        </w:rPr>
        <w:t>a</w:t>
      </w:r>
      <w:r w:rsidR="00E95C43">
        <w:rPr>
          <w:sz w:val="24"/>
        </w:rPr>
        <w:t> </w:t>
      </w:r>
      <w:r w:rsidRPr="00B16836">
        <w:rPr>
          <w:b/>
          <w:sz w:val="24"/>
        </w:rPr>
        <w:t>výnosy</w:t>
      </w:r>
      <w:r w:rsidRPr="006C71A8">
        <w:rPr>
          <w:sz w:val="24"/>
        </w:rPr>
        <w:t xml:space="preserve"> za kontrolované období činil</w:t>
      </w:r>
      <w:r w:rsidR="00E95C43">
        <w:rPr>
          <w:sz w:val="24"/>
        </w:rPr>
        <w:t>y</w:t>
      </w:r>
      <w:r w:rsidRPr="006C71A8">
        <w:rPr>
          <w:sz w:val="24"/>
        </w:rPr>
        <w:t xml:space="preserve"> </w:t>
      </w:r>
      <w:r w:rsidRPr="00B16836">
        <w:rPr>
          <w:b/>
          <w:sz w:val="24"/>
        </w:rPr>
        <w:t>43 545 </w:t>
      </w:r>
      <w:r w:rsidR="0090291B" w:rsidRPr="00B16836">
        <w:rPr>
          <w:b/>
          <w:sz w:val="24"/>
        </w:rPr>
        <w:t>tis.</w:t>
      </w:r>
      <w:r w:rsidRPr="00B16836">
        <w:rPr>
          <w:b/>
          <w:sz w:val="24"/>
        </w:rPr>
        <w:t xml:space="preserve"> Kč</w:t>
      </w:r>
      <w:r w:rsidR="00F4219E" w:rsidRPr="00B20B23">
        <w:rPr>
          <w:b/>
          <w:sz w:val="24"/>
        </w:rPr>
        <w:t>.</w:t>
      </w:r>
    </w:p>
    <w:p w14:paraId="177B2BBE" w14:textId="77777777" w:rsidR="00B53558" w:rsidRDefault="00FA3A52" w:rsidP="00471E8C">
      <w:pPr>
        <w:spacing w:before="120" w:after="120" w:line="264" w:lineRule="auto"/>
        <w:jc w:val="both"/>
        <w:rPr>
          <w:sz w:val="24"/>
        </w:rPr>
      </w:pPr>
      <w:r w:rsidRPr="00B16836">
        <w:rPr>
          <w:b/>
          <w:sz w:val="24"/>
        </w:rPr>
        <w:t>Kontrolováno bylo období od roku 201</w:t>
      </w:r>
      <w:r w:rsidR="00E81388" w:rsidRPr="00B16836">
        <w:rPr>
          <w:b/>
          <w:sz w:val="24"/>
        </w:rPr>
        <w:t>9</w:t>
      </w:r>
      <w:r w:rsidRPr="00B16836">
        <w:rPr>
          <w:b/>
          <w:sz w:val="24"/>
        </w:rPr>
        <w:t xml:space="preserve"> do roku 202</w:t>
      </w:r>
      <w:r w:rsidR="00E81388" w:rsidRPr="00B16836">
        <w:rPr>
          <w:b/>
          <w:sz w:val="24"/>
        </w:rPr>
        <w:t>1</w:t>
      </w:r>
      <w:r w:rsidRPr="00B20B23">
        <w:rPr>
          <w:b/>
          <w:sz w:val="24"/>
        </w:rPr>
        <w:t>,</w:t>
      </w:r>
      <w:r w:rsidRPr="006C71A8">
        <w:rPr>
          <w:sz w:val="24"/>
        </w:rPr>
        <w:t xml:space="preserve"> v případě věcných souvislostí období předcházející a následující.</w:t>
      </w:r>
    </w:p>
    <w:p w14:paraId="6B49D2C4" w14:textId="77777777" w:rsidR="00B53558" w:rsidRDefault="003904C2" w:rsidP="00471E8C">
      <w:pPr>
        <w:spacing w:before="360" w:after="120" w:line="240" w:lineRule="auto"/>
        <w:ind w:left="567" w:hanging="567"/>
        <w:jc w:val="both"/>
        <w:rPr>
          <w:rFonts w:cstheme="minorHAnsi"/>
          <w:bCs/>
          <w:sz w:val="20"/>
          <w:szCs w:val="20"/>
        </w:rPr>
      </w:pPr>
      <w:r>
        <w:rPr>
          <w:rFonts w:cstheme="minorHAnsi"/>
          <w:b/>
          <w:bCs/>
          <w:sz w:val="20"/>
          <w:szCs w:val="20"/>
        </w:rPr>
        <w:t>P</w:t>
      </w:r>
      <w:r w:rsidR="00FA3A52" w:rsidRPr="00D150C8">
        <w:rPr>
          <w:rFonts w:cstheme="minorHAnsi"/>
          <w:b/>
          <w:bCs/>
          <w:sz w:val="20"/>
          <w:szCs w:val="20"/>
        </w:rPr>
        <w:t>ozn.:</w:t>
      </w:r>
      <w:r w:rsidR="00FA3A52" w:rsidRPr="00D150C8">
        <w:rPr>
          <w:rFonts w:cstheme="minorHAnsi"/>
          <w:bCs/>
          <w:sz w:val="20"/>
          <w:szCs w:val="20"/>
        </w:rPr>
        <w:t xml:space="preserve"> </w:t>
      </w:r>
      <w:r w:rsidR="00FA3A52" w:rsidRPr="00D150C8">
        <w:rPr>
          <w:rFonts w:cstheme="minorHAnsi"/>
          <w:bCs/>
          <w:sz w:val="20"/>
          <w:szCs w:val="20"/>
        </w:rPr>
        <w:tab/>
        <w:t>Právní předpisy uvedené v tomto kontrolním závěru jsou aplikovány ve znění účinném pro kontrolované období.</w:t>
      </w:r>
    </w:p>
    <w:p w14:paraId="0A2792A1" w14:textId="77777777" w:rsidR="006814F6" w:rsidRDefault="00471E8C" w:rsidP="00F43218">
      <w:pPr>
        <w:pStyle w:val="Nadpis1"/>
        <w:keepLines/>
        <w:numPr>
          <w:ilvl w:val="0"/>
          <w:numId w:val="0"/>
        </w:numPr>
        <w:overflowPunct/>
        <w:autoSpaceDE/>
        <w:autoSpaceDN/>
        <w:adjustRightInd/>
        <w:spacing w:before="600" w:after="240"/>
        <w:textAlignment w:val="auto"/>
        <w:rPr>
          <w:sz w:val="28"/>
          <w:szCs w:val="28"/>
        </w:rPr>
      </w:pPr>
      <w:r>
        <w:rPr>
          <w:sz w:val="28"/>
          <w:szCs w:val="28"/>
        </w:rPr>
        <w:lastRenderedPageBreak/>
        <w:t xml:space="preserve">IV. </w:t>
      </w:r>
      <w:r w:rsidR="00FA3A52" w:rsidRPr="00DC4AB1">
        <w:rPr>
          <w:sz w:val="28"/>
          <w:szCs w:val="28"/>
        </w:rPr>
        <w:t>Podrobné skutečnosti zjištěné kontrolou</w:t>
      </w:r>
    </w:p>
    <w:p w14:paraId="2B30F3D8" w14:textId="77777777" w:rsidR="003D50A2" w:rsidRPr="006C71A8" w:rsidRDefault="003D50A2" w:rsidP="00F43218">
      <w:pPr>
        <w:pStyle w:val="Nadpis1"/>
        <w:numPr>
          <w:ilvl w:val="0"/>
          <w:numId w:val="0"/>
        </w:numPr>
        <w:spacing w:before="120" w:after="240"/>
        <w:jc w:val="left"/>
      </w:pPr>
      <w:r w:rsidRPr="006C71A8">
        <w:t>A. Kancelář prezidenta republiky</w:t>
      </w:r>
    </w:p>
    <w:p w14:paraId="100778A4" w14:textId="77777777" w:rsidR="003358ED" w:rsidRPr="006C71A8" w:rsidRDefault="00F43218" w:rsidP="00F43218">
      <w:pPr>
        <w:pStyle w:val="Nadpis1"/>
        <w:numPr>
          <w:ilvl w:val="0"/>
          <w:numId w:val="0"/>
        </w:numPr>
        <w:spacing w:before="240"/>
        <w:jc w:val="left"/>
      </w:pPr>
      <w:r>
        <w:t xml:space="preserve">1. </w:t>
      </w:r>
      <w:r w:rsidR="002F3F39">
        <w:t>F</w:t>
      </w:r>
      <w:r w:rsidR="00BD7A3A" w:rsidRPr="006C71A8">
        <w:t>inancování</w:t>
      </w:r>
      <w:r w:rsidR="002F3F39">
        <w:t xml:space="preserve"> programů reprodukce majetku</w:t>
      </w:r>
    </w:p>
    <w:p w14:paraId="09ABF6E2" w14:textId="0FC6FC05" w:rsidR="00B82515" w:rsidRPr="00B539B7" w:rsidRDefault="00B82515" w:rsidP="00F43218">
      <w:pPr>
        <w:pStyle w:val="Textpoznpodarou"/>
        <w:spacing w:before="120" w:after="120" w:line="264" w:lineRule="auto"/>
        <w:jc w:val="both"/>
        <w:rPr>
          <w:rFonts w:asciiTheme="minorHAnsi" w:hAnsiTheme="minorHAnsi" w:cstheme="minorHAnsi"/>
          <w:sz w:val="24"/>
          <w:lang w:eastAsia="cs-CZ"/>
        </w:rPr>
      </w:pPr>
      <w:r w:rsidRPr="00CF6109">
        <w:rPr>
          <w:rFonts w:asciiTheme="minorHAnsi" w:hAnsiTheme="minorHAnsi" w:cstheme="minorHAnsi"/>
          <w:sz w:val="24"/>
        </w:rPr>
        <w:t xml:space="preserve">V letech 2019–2021 byla </w:t>
      </w:r>
      <w:r w:rsidR="00DA533F" w:rsidRPr="00CF6109">
        <w:rPr>
          <w:rFonts w:asciiTheme="minorHAnsi" w:hAnsiTheme="minorHAnsi" w:cstheme="minorHAnsi"/>
          <w:sz w:val="24"/>
        </w:rPr>
        <w:t xml:space="preserve">KPR </w:t>
      </w:r>
      <w:r w:rsidR="003358ED" w:rsidRPr="00CF6109">
        <w:rPr>
          <w:rFonts w:asciiTheme="minorHAnsi" w:hAnsiTheme="minorHAnsi" w:cstheme="minorHAnsi"/>
          <w:sz w:val="24"/>
        </w:rPr>
        <w:t>správcem dvou programů reprodukce majetku</w:t>
      </w:r>
      <w:r w:rsidR="00CF6109" w:rsidRPr="00CF6109">
        <w:rPr>
          <w:rFonts w:asciiTheme="minorHAnsi" w:hAnsiTheme="minorHAnsi" w:cstheme="minorHAnsi"/>
          <w:sz w:val="24"/>
        </w:rPr>
        <w:t>, a to Programu 101 01</w:t>
      </w:r>
      <w:r w:rsidR="0067000D">
        <w:rPr>
          <w:rFonts w:asciiTheme="minorHAnsi" w:hAnsiTheme="minorHAnsi" w:cstheme="minorHAnsi"/>
          <w:sz w:val="24"/>
        </w:rPr>
        <w:t> </w:t>
      </w:r>
      <w:r w:rsidR="0067000D" w:rsidRPr="00CF6109">
        <w:rPr>
          <w:rFonts w:asciiTheme="minorHAnsi" w:hAnsiTheme="minorHAnsi" w:cstheme="minorHAnsi"/>
          <w:sz w:val="24"/>
        </w:rPr>
        <w:t>–</w:t>
      </w:r>
      <w:r w:rsidR="00CF6109" w:rsidRPr="00CF6109">
        <w:rPr>
          <w:rFonts w:asciiTheme="minorHAnsi" w:hAnsiTheme="minorHAnsi" w:cstheme="minorHAnsi"/>
          <w:sz w:val="24"/>
        </w:rPr>
        <w:t xml:space="preserve"> „</w:t>
      </w:r>
      <w:r w:rsidR="00CF6109" w:rsidRPr="00BD7F34">
        <w:rPr>
          <w:rFonts w:asciiTheme="minorHAnsi" w:hAnsiTheme="minorHAnsi" w:cstheme="minorHAnsi"/>
          <w:i/>
          <w:sz w:val="24"/>
        </w:rPr>
        <w:t xml:space="preserve">Reprodukce majetku Kanceláře prezidenta republiky </w:t>
      </w:r>
      <w:r w:rsidR="0067000D" w:rsidRPr="00BD7F34">
        <w:rPr>
          <w:rFonts w:asciiTheme="minorHAnsi" w:hAnsiTheme="minorHAnsi" w:cstheme="minorHAnsi"/>
          <w:i/>
          <w:sz w:val="24"/>
        </w:rPr>
        <w:t>–</w:t>
      </w:r>
      <w:r w:rsidR="00CF6109" w:rsidRPr="00BD7F34">
        <w:rPr>
          <w:rFonts w:asciiTheme="minorHAnsi" w:hAnsiTheme="minorHAnsi" w:cstheme="minorHAnsi"/>
          <w:i/>
          <w:sz w:val="24"/>
        </w:rPr>
        <w:t xml:space="preserve"> od roku 2009</w:t>
      </w:r>
      <w:r w:rsidR="00CF6109" w:rsidRPr="00CF6109">
        <w:rPr>
          <w:rFonts w:asciiTheme="minorHAnsi" w:hAnsiTheme="minorHAnsi" w:cstheme="minorHAnsi"/>
          <w:sz w:val="24"/>
        </w:rPr>
        <w:t>“ (dále také „Program 101 01“) a Programu 001 01 </w:t>
      </w:r>
      <w:r w:rsidR="0067000D" w:rsidRPr="00CF6109">
        <w:rPr>
          <w:rFonts w:asciiTheme="minorHAnsi" w:hAnsiTheme="minorHAnsi" w:cstheme="minorHAnsi"/>
          <w:sz w:val="24"/>
        </w:rPr>
        <w:t xml:space="preserve">– </w:t>
      </w:r>
      <w:r w:rsidR="00CF6109" w:rsidRPr="00CF6109">
        <w:rPr>
          <w:rFonts w:asciiTheme="minorHAnsi" w:hAnsiTheme="minorHAnsi" w:cstheme="minorHAnsi"/>
          <w:sz w:val="24"/>
        </w:rPr>
        <w:t>„</w:t>
      </w:r>
      <w:r w:rsidR="00CF6109" w:rsidRPr="00BD7F34">
        <w:rPr>
          <w:rFonts w:asciiTheme="minorHAnsi" w:hAnsiTheme="minorHAnsi" w:cstheme="minorHAnsi"/>
          <w:i/>
          <w:sz w:val="24"/>
        </w:rPr>
        <w:t>Pořízení a reprodukce majetku Kanceláře prezidenta republiky – od roku 2020</w:t>
      </w:r>
      <w:r w:rsidR="00CF6109" w:rsidRPr="00CF6109">
        <w:rPr>
          <w:rFonts w:asciiTheme="minorHAnsi" w:hAnsiTheme="minorHAnsi" w:cstheme="minorHAnsi"/>
          <w:sz w:val="24"/>
        </w:rPr>
        <w:t>“ (dále také „Program 001 01“). N</w:t>
      </w:r>
      <w:r w:rsidRPr="00CF6109">
        <w:rPr>
          <w:rFonts w:asciiTheme="minorHAnsi" w:hAnsiTheme="minorHAnsi" w:cstheme="minorHAnsi"/>
          <w:sz w:val="24"/>
        </w:rPr>
        <w:t xml:space="preserve">a jejich realizaci čerpala KPR </w:t>
      </w:r>
      <w:r w:rsidR="00D7351C">
        <w:rPr>
          <w:rFonts w:asciiTheme="minorHAnsi" w:hAnsiTheme="minorHAnsi" w:cstheme="minorHAnsi"/>
          <w:sz w:val="24"/>
        </w:rPr>
        <w:t xml:space="preserve">v kontrolovaném období </w:t>
      </w:r>
      <w:r w:rsidRPr="00CF6109">
        <w:rPr>
          <w:rFonts w:asciiTheme="minorHAnsi" w:hAnsiTheme="minorHAnsi" w:cstheme="minorHAnsi"/>
          <w:sz w:val="24"/>
        </w:rPr>
        <w:t>peněžní prostředky v</w:t>
      </w:r>
      <w:r w:rsidR="00D7351C">
        <w:rPr>
          <w:rFonts w:asciiTheme="minorHAnsi" w:hAnsiTheme="minorHAnsi" w:cstheme="minorHAnsi"/>
          <w:sz w:val="24"/>
        </w:rPr>
        <w:t xml:space="preserve"> celkové</w:t>
      </w:r>
      <w:r w:rsidRPr="00CF6109">
        <w:rPr>
          <w:rFonts w:asciiTheme="minorHAnsi" w:hAnsiTheme="minorHAnsi" w:cstheme="minorHAnsi"/>
          <w:sz w:val="24"/>
        </w:rPr>
        <w:t xml:space="preserve"> výši </w:t>
      </w:r>
      <w:r w:rsidRPr="00BD7F34">
        <w:rPr>
          <w:rFonts w:asciiTheme="minorHAnsi" w:hAnsiTheme="minorHAnsi" w:cstheme="minorHAnsi"/>
          <w:b/>
          <w:sz w:val="24"/>
        </w:rPr>
        <w:t>209 204 tis. Kč</w:t>
      </w:r>
      <w:r w:rsidRPr="00B20B23">
        <w:rPr>
          <w:rFonts w:asciiTheme="minorHAnsi" w:hAnsiTheme="minorHAnsi" w:cstheme="minorHAnsi"/>
          <w:b/>
          <w:sz w:val="24"/>
        </w:rPr>
        <w:t>.</w:t>
      </w:r>
      <w:r w:rsidR="00EC7164">
        <w:rPr>
          <w:rFonts w:asciiTheme="minorHAnsi" w:hAnsiTheme="minorHAnsi" w:cstheme="minorHAnsi"/>
          <w:sz w:val="24"/>
        </w:rPr>
        <w:t xml:space="preserve"> </w:t>
      </w:r>
      <w:r w:rsidR="00792BD1">
        <w:rPr>
          <w:rFonts w:asciiTheme="minorHAnsi" w:hAnsiTheme="minorHAnsi" w:cstheme="minorHAnsi"/>
          <w:sz w:val="24"/>
          <w:lang w:eastAsia="cs-CZ"/>
        </w:rPr>
        <w:t>Tyto programy</w:t>
      </w:r>
      <w:r w:rsidR="009B5BC6" w:rsidRPr="00B539B7">
        <w:rPr>
          <w:rFonts w:asciiTheme="minorHAnsi" w:hAnsiTheme="minorHAnsi" w:cstheme="minorHAnsi"/>
          <w:sz w:val="24"/>
          <w:lang w:eastAsia="cs-CZ"/>
        </w:rPr>
        <w:t xml:space="preserve"> se dále členily</w:t>
      </w:r>
      <w:r w:rsidR="008B2AA2" w:rsidRPr="00B539B7">
        <w:rPr>
          <w:rFonts w:asciiTheme="minorHAnsi" w:hAnsiTheme="minorHAnsi" w:cstheme="minorHAnsi"/>
          <w:sz w:val="24"/>
          <w:lang w:eastAsia="cs-CZ"/>
        </w:rPr>
        <w:t xml:space="preserve"> </w:t>
      </w:r>
      <w:r w:rsidR="009B5BC6" w:rsidRPr="00B539B7">
        <w:rPr>
          <w:rFonts w:asciiTheme="minorHAnsi" w:hAnsiTheme="minorHAnsi" w:cstheme="minorHAnsi"/>
          <w:sz w:val="24"/>
          <w:lang w:eastAsia="cs-CZ"/>
        </w:rPr>
        <w:t xml:space="preserve">na jednotlivé akce. </w:t>
      </w:r>
      <w:r w:rsidR="00343B75">
        <w:rPr>
          <w:rFonts w:asciiTheme="minorHAnsi" w:hAnsiTheme="minorHAnsi" w:cstheme="minorHAnsi"/>
          <w:sz w:val="24"/>
          <w:lang w:eastAsia="cs-CZ"/>
        </w:rPr>
        <w:t>Dosažení</w:t>
      </w:r>
      <w:r w:rsidR="008B2AA2" w:rsidRPr="00B539B7">
        <w:rPr>
          <w:rFonts w:asciiTheme="minorHAnsi" w:hAnsiTheme="minorHAnsi" w:cstheme="minorHAnsi"/>
          <w:sz w:val="24"/>
          <w:lang w:eastAsia="cs-CZ"/>
        </w:rPr>
        <w:t xml:space="preserve"> cílů akcí </w:t>
      </w:r>
      <w:r w:rsidR="00C23C62">
        <w:rPr>
          <w:rFonts w:asciiTheme="minorHAnsi" w:hAnsiTheme="minorHAnsi" w:cstheme="minorHAnsi"/>
          <w:sz w:val="24"/>
          <w:lang w:eastAsia="cs-CZ"/>
        </w:rPr>
        <w:t xml:space="preserve">KPR </w:t>
      </w:r>
      <w:r w:rsidR="008B2AA2" w:rsidRPr="00B539B7">
        <w:rPr>
          <w:rFonts w:asciiTheme="minorHAnsi" w:hAnsiTheme="minorHAnsi" w:cstheme="minorHAnsi"/>
          <w:sz w:val="24"/>
          <w:lang w:eastAsia="cs-CZ"/>
        </w:rPr>
        <w:t>hodnotí na základě</w:t>
      </w:r>
      <w:r w:rsidR="0067000D">
        <w:rPr>
          <w:rFonts w:asciiTheme="minorHAnsi" w:hAnsiTheme="minorHAnsi" w:cstheme="minorHAnsi"/>
          <w:sz w:val="24"/>
          <w:lang w:eastAsia="cs-CZ"/>
        </w:rPr>
        <w:t xml:space="preserve"> </w:t>
      </w:r>
      <w:r w:rsidR="008B2AA2" w:rsidRPr="00B539B7">
        <w:rPr>
          <w:rFonts w:asciiTheme="minorHAnsi" w:hAnsiTheme="minorHAnsi" w:cstheme="minorHAnsi"/>
          <w:sz w:val="24"/>
          <w:lang w:eastAsia="cs-CZ"/>
        </w:rPr>
        <w:t>naplnění</w:t>
      </w:r>
      <w:r w:rsidR="009B5BC6" w:rsidRPr="00B539B7">
        <w:rPr>
          <w:rFonts w:asciiTheme="minorHAnsi" w:hAnsiTheme="minorHAnsi" w:cstheme="minorHAnsi"/>
          <w:sz w:val="24"/>
          <w:lang w:eastAsia="cs-CZ"/>
        </w:rPr>
        <w:t xml:space="preserve"> </w:t>
      </w:r>
      <w:r w:rsidR="00EC7164" w:rsidRPr="00B539B7">
        <w:rPr>
          <w:rFonts w:asciiTheme="minorHAnsi" w:hAnsiTheme="minorHAnsi" w:cstheme="minorHAnsi"/>
          <w:sz w:val="24"/>
          <w:lang w:eastAsia="cs-CZ"/>
        </w:rPr>
        <w:t>indikátor</w:t>
      </w:r>
      <w:r w:rsidR="008B2AA2" w:rsidRPr="00B539B7">
        <w:rPr>
          <w:rFonts w:asciiTheme="minorHAnsi" w:hAnsiTheme="minorHAnsi" w:cstheme="minorHAnsi"/>
          <w:sz w:val="24"/>
          <w:lang w:eastAsia="cs-CZ"/>
        </w:rPr>
        <w:t>ů</w:t>
      </w:r>
      <w:r w:rsidR="00CF7555">
        <w:rPr>
          <w:rStyle w:val="Znakapoznpodarou"/>
          <w:rFonts w:asciiTheme="minorHAnsi" w:hAnsiTheme="minorHAnsi" w:cstheme="minorHAnsi"/>
          <w:sz w:val="24"/>
          <w:lang w:eastAsia="cs-CZ"/>
        </w:rPr>
        <w:footnoteReference w:id="11"/>
      </w:r>
      <w:r w:rsidR="008B2AA2" w:rsidRPr="00B539B7">
        <w:rPr>
          <w:rFonts w:asciiTheme="minorHAnsi" w:hAnsiTheme="minorHAnsi" w:cstheme="minorHAnsi"/>
          <w:sz w:val="24"/>
          <w:lang w:eastAsia="cs-CZ"/>
        </w:rPr>
        <w:t>, které</w:t>
      </w:r>
      <w:r w:rsidR="00EC7164" w:rsidRPr="00B539B7">
        <w:rPr>
          <w:rFonts w:asciiTheme="minorHAnsi" w:hAnsiTheme="minorHAnsi" w:cstheme="minorHAnsi"/>
          <w:sz w:val="24"/>
          <w:lang w:eastAsia="cs-CZ"/>
        </w:rPr>
        <w:t xml:space="preserve"> </w:t>
      </w:r>
      <w:r w:rsidR="00991967" w:rsidRPr="00B539B7">
        <w:rPr>
          <w:rFonts w:asciiTheme="minorHAnsi" w:hAnsiTheme="minorHAnsi" w:cstheme="minorHAnsi"/>
          <w:sz w:val="24"/>
          <w:lang w:eastAsia="cs-CZ"/>
        </w:rPr>
        <w:t xml:space="preserve">se </w:t>
      </w:r>
      <w:r w:rsidR="00EC7164" w:rsidRPr="00B539B7">
        <w:rPr>
          <w:rFonts w:asciiTheme="minorHAnsi" w:hAnsiTheme="minorHAnsi" w:cstheme="minorHAnsi"/>
          <w:sz w:val="24"/>
          <w:lang w:eastAsia="cs-CZ"/>
        </w:rPr>
        <w:t xml:space="preserve">dále </w:t>
      </w:r>
      <w:r w:rsidR="00991967" w:rsidRPr="00B539B7">
        <w:rPr>
          <w:rFonts w:asciiTheme="minorHAnsi" w:hAnsiTheme="minorHAnsi" w:cstheme="minorHAnsi"/>
          <w:sz w:val="24"/>
          <w:lang w:eastAsia="cs-CZ"/>
        </w:rPr>
        <w:t>člení na dílčí parametry</w:t>
      </w:r>
      <w:r w:rsidR="0090291B">
        <w:rPr>
          <w:rStyle w:val="Znakapoznpodarou"/>
          <w:rFonts w:asciiTheme="minorHAnsi" w:hAnsiTheme="minorHAnsi" w:cstheme="minorHAnsi"/>
          <w:sz w:val="24"/>
          <w:lang w:eastAsia="cs-CZ"/>
        </w:rPr>
        <w:footnoteReference w:id="12"/>
      </w:r>
      <w:r w:rsidR="00703C42">
        <w:rPr>
          <w:rFonts w:asciiTheme="minorHAnsi" w:hAnsiTheme="minorHAnsi" w:cstheme="minorHAnsi"/>
          <w:sz w:val="24"/>
          <w:lang w:eastAsia="cs-CZ"/>
        </w:rPr>
        <w:t>.</w:t>
      </w:r>
    </w:p>
    <w:p w14:paraId="252B04A2" w14:textId="6B79AF3A" w:rsidR="009F0E3F" w:rsidRPr="009F0E3F" w:rsidRDefault="00EC23E2" w:rsidP="00F43218">
      <w:pPr>
        <w:spacing w:before="120" w:after="120" w:line="264" w:lineRule="auto"/>
        <w:jc w:val="both"/>
        <w:rPr>
          <w:rFonts w:eastAsia="Times New Roman" w:cstheme="minorHAnsi"/>
          <w:b/>
          <w:sz w:val="24"/>
          <w:szCs w:val="20"/>
        </w:rPr>
      </w:pPr>
      <w:r w:rsidRPr="00B539B7">
        <w:rPr>
          <w:rFonts w:eastAsia="Times New Roman" w:cstheme="minorHAnsi"/>
          <w:sz w:val="24"/>
          <w:szCs w:val="20"/>
        </w:rPr>
        <w:t xml:space="preserve">NKÚ </w:t>
      </w:r>
      <w:r w:rsidR="00A54893" w:rsidRPr="00B539B7">
        <w:rPr>
          <w:rFonts w:eastAsia="Times New Roman" w:cstheme="minorHAnsi"/>
          <w:sz w:val="24"/>
          <w:szCs w:val="20"/>
        </w:rPr>
        <w:t>prověřil dvě akce</w:t>
      </w:r>
      <w:r w:rsidR="00A54893" w:rsidRPr="00703C42">
        <w:rPr>
          <w:rFonts w:eastAsia="Times New Roman" w:cstheme="minorHAnsi"/>
          <w:sz w:val="24"/>
          <w:szCs w:val="20"/>
          <w:vertAlign w:val="superscript"/>
        </w:rPr>
        <w:footnoteReference w:id="13"/>
      </w:r>
      <w:r w:rsidRPr="00B539B7">
        <w:rPr>
          <w:rFonts w:eastAsia="Times New Roman" w:cstheme="minorHAnsi"/>
          <w:sz w:val="24"/>
          <w:szCs w:val="20"/>
        </w:rPr>
        <w:t xml:space="preserve"> z Programu 101 01, u kterých zjistil, </w:t>
      </w:r>
      <w:r w:rsidR="00220262" w:rsidRPr="00B539B7">
        <w:rPr>
          <w:rFonts w:eastAsia="Times New Roman" w:cstheme="minorHAnsi"/>
          <w:sz w:val="24"/>
          <w:szCs w:val="20"/>
        </w:rPr>
        <w:t xml:space="preserve">že </w:t>
      </w:r>
      <w:r w:rsidR="00220262" w:rsidRPr="00333A34">
        <w:rPr>
          <w:rFonts w:eastAsia="Times New Roman" w:cstheme="minorHAnsi"/>
          <w:sz w:val="24"/>
          <w:szCs w:val="20"/>
        </w:rPr>
        <w:t>KPR stanovila u obou</w:t>
      </w:r>
      <w:r w:rsidR="008B2AA2" w:rsidRPr="00333A34">
        <w:rPr>
          <w:rFonts w:eastAsia="Times New Roman" w:cstheme="minorHAnsi"/>
          <w:sz w:val="24"/>
          <w:szCs w:val="20"/>
        </w:rPr>
        <w:t xml:space="preserve"> kontrolovaných</w:t>
      </w:r>
      <w:r w:rsidR="00220262" w:rsidRPr="00333A34">
        <w:rPr>
          <w:rFonts w:eastAsia="Times New Roman" w:cstheme="minorHAnsi"/>
          <w:sz w:val="24"/>
          <w:szCs w:val="20"/>
        </w:rPr>
        <w:t xml:space="preserve"> akcí </w:t>
      </w:r>
      <w:r w:rsidR="006D407B">
        <w:rPr>
          <w:rFonts w:eastAsia="Times New Roman" w:cstheme="minorHAnsi"/>
          <w:sz w:val="24"/>
          <w:szCs w:val="20"/>
        </w:rPr>
        <w:t>hodnoty indikátorů v procentech</w:t>
      </w:r>
      <w:r w:rsidR="006D407B">
        <w:rPr>
          <w:rStyle w:val="Znakapoznpodarou"/>
          <w:rFonts w:eastAsia="Times New Roman" w:cstheme="minorHAnsi"/>
          <w:sz w:val="24"/>
          <w:szCs w:val="20"/>
        </w:rPr>
        <w:footnoteReference w:id="14"/>
      </w:r>
      <w:r w:rsidR="006D407B">
        <w:rPr>
          <w:rFonts w:eastAsia="Times New Roman" w:cstheme="minorHAnsi"/>
          <w:sz w:val="24"/>
          <w:szCs w:val="20"/>
        </w:rPr>
        <w:t>, aniž by bylo zřejmé, z jakého základu se procenta vypočítávají. Současně KPR stanovila parametry</w:t>
      </w:r>
      <w:r w:rsidR="00C23C62">
        <w:rPr>
          <w:rStyle w:val="Znakapoznpodarou"/>
          <w:rFonts w:eastAsia="Times New Roman" w:cstheme="minorHAnsi"/>
          <w:sz w:val="24"/>
          <w:szCs w:val="20"/>
        </w:rPr>
        <w:footnoteReference w:id="15"/>
      </w:r>
      <w:r w:rsidR="006D407B">
        <w:rPr>
          <w:rFonts w:eastAsia="Times New Roman" w:cstheme="minorHAnsi"/>
          <w:sz w:val="24"/>
          <w:szCs w:val="20"/>
        </w:rPr>
        <w:t xml:space="preserve"> akcí jako součást indikátorů </w:t>
      </w:r>
      <w:r w:rsidR="0067000D" w:rsidRPr="0067000D">
        <w:rPr>
          <w:rFonts w:eastAsia="Times New Roman" w:cstheme="minorHAnsi"/>
          <w:sz w:val="24"/>
          <w:szCs w:val="20"/>
        </w:rPr>
        <w:t>ve čtverečních metrech</w:t>
      </w:r>
      <w:r w:rsidR="006D407B" w:rsidRPr="006D407B">
        <w:rPr>
          <w:rFonts w:eastAsia="Times New Roman" w:cstheme="minorHAnsi"/>
          <w:sz w:val="24"/>
          <w:szCs w:val="20"/>
        </w:rPr>
        <w:t>.</w:t>
      </w:r>
      <w:r w:rsidR="009F0E3F">
        <w:rPr>
          <w:rFonts w:eastAsia="Times New Roman" w:cstheme="minorHAnsi"/>
          <w:sz w:val="24"/>
          <w:szCs w:val="20"/>
        </w:rPr>
        <w:t xml:space="preserve"> </w:t>
      </w:r>
      <w:r w:rsidR="009F0E3F" w:rsidRPr="009F0E3F">
        <w:rPr>
          <w:rFonts w:eastAsia="Times New Roman" w:cstheme="minorHAnsi"/>
          <w:b/>
          <w:sz w:val="24"/>
          <w:szCs w:val="20"/>
        </w:rPr>
        <w:t xml:space="preserve">Z důvodu nastavení indikátorů a parametrů v rozdílných měrných jednotkách nebylo možné vyhodnotit jejich naplnění a </w:t>
      </w:r>
      <w:r w:rsidR="009F0E3F">
        <w:rPr>
          <w:rFonts w:eastAsia="Times New Roman" w:cstheme="minorHAnsi"/>
          <w:b/>
          <w:sz w:val="24"/>
          <w:szCs w:val="20"/>
        </w:rPr>
        <w:t xml:space="preserve">tím naplnění </w:t>
      </w:r>
      <w:r w:rsidR="009F0E3F" w:rsidRPr="009F0E3F">
        <w:rPr>
          <w:rFonts w:eastAsia="Times New Roman" w:cstheme="minorHAnsi"/>
          <w:b/>
          <w:sz w:val="24"/>
          <w:szCs w:val="20"/>
        </w:rPr>
        <w:t xml:space="preserve">cílů Programu 101 01. </w:t>
      </w:r>
    </w:p>
    <w:p w14:paraId="7E5D8E18" w14:textId="77777777" w:rsidR="00554D69" w:rsidRDefault="00554D69" w:rsidP="00F43218">
      <w:pPr>
        <w:spacing w:before="120" w:after="120" w:line="264" w:lineRule="auto"/>
        <w:jc w:val="both"/>
        <w:rPr>
          <w:b/>
          <w:sz w:val="24"/>
        </w:rPr>
      </w:pPr>
      <w:r w:rsidRPr="00BD7A3A">
        <w:rPr>
          <w:sz w:val="24"/>
        </w:rPr>
        <w:t xml:space="preserve">U Programu 001 01 </w:t>
      </w:r>
      <w:r w:rsidR="00A54893">
        <w:rPr>
          <w:sz w:val="24"/>
        </w:rPr>
        <w:t xml:space="preserve">prověřil </w:t>
      </w:r>
      <w:r w:rsidR="00FC7632">
        <w:rPr>
          <w:sz w:val="24"/>
        </w:rPr>
        <w:t xml:space="preserve">NKÚ </w:t>
      </w:r>
      <w:r w:rsidR="00A54893">
        <w:rPr>
          <w:sz w:val="24"/>
        </w:rPr>
        <w:t>jednu akci</w:t>
      </w:r>
      <w:r w:rsidR="00A54893">
        <w:rPr>
          <w:rStyle w:val="Znakapoznpodarou"/>
          <w:sz w:val="24"/>
        </w:rPr>
        <w:footnoteReference w:id="16"/>
      </w:r>
      <w:r w:rsidR="003752DA">
        <w:rPr>
          <w:sz w:val="24"/>
        </w:rPr>
        <w:t xml:space="preserve">, </w:t>
      </w:r>
      <w:r w:rsidR="00865D77">
        <w:rPr>
          <w:sz w:val="24"/>
        </w:rPr>
        <w:t xml:space="preserve">u které </w:t>
      </w:r>
      <w:r w:rsidR="00A54893">
        <w:rPr>
          <w:sz w:val="24"/>
        </w:rPr>
        <w:t xml:space="preserve">zjistil, že </w:t>
      </w:r>
      <w:r w:rsidR="003752DA">
        <w:rPr>
          <w:b/>
          <w:sz w:val="24"/>
        </w:rPr>
        <w:t>KPR</w:t>
      </w:r>
      <w:r w:rsidR="00865D77" w:rsidRPr="00865D77">
        <w:rPr>
          <w:b/>
          <w:sz w:val="24"/>
        </w:rPr>
        <w:t xml:space="preserve"> nenastavila </w:t>
      </w:r>
      <w:r w:rsidR="009F0E3F">
        <w:rPr>
          <w:b/>
          <w:sz w:val="24"/>
        </w:rPr>
        <w:t xml:space="preserve">žádný </w:t>
      </w:r>
      <w:r w:rsidRPr="00865D77">
        <w:rPr>
          <w:b/>
          <w:sz w:val="24"/>
        </w:rPr>
        <w:t>indikátor</w:t>
      </w:r>
      <w:r w:rsidR="00865D77" w:rsidRPr="00865D77">
        <w:rPr>
          <w:b/>
          <w:sz w:val="24"/>
        </w:rPr>
        <w:t xml:space="preserve"> k vyhodnocení naplnění cíle akce</w:t>
      </w:r>
      <w:r w:rsidRPr="00B20B23">
        <w:rPr>
          <w:b/>
          <w:sz w:val="24"/>
        </w:rPr>
        <w:t>.</w:t>
      </w:r>
      <w:r w:rsidRPr="00BD7A3A">
        <w:rPr>
          <w:sz w:val="24"/>
        </w:rPr>
        <w:t xml:space="preserve"> </w:t>
      </w:r>
      <w:r w:rsidR="00865D77" w:rsidRPr="00115A61">
        <w:rPr>
          <w:b/>
          <w:sz w:val="24"/>
        </w:rPr>
        <w:t>Z</w:t>
      </w:r>
      <w:r w:rsidRPr="00115A61">
        <w:rPr>
          <w:b/>
          <w:sz w:val="24"/>
        </w:rPr>
        <w:t> tohoto důvodu nelze vyhodnotit naplnění cílů Programu 001 01.</w:t>
      </w:r>
    </w:p>
    <w:p w14:paraId="6621275A" w14:textId="77777777" w:rsidR="00BF65F4" w:rsidRPr="00BF65F4" w:rsidRDefault="00F43218" w:rsidP="00F43218">
      <w:pPr>
        <w:pStyle w:val="Nadpis1"/>
        <w:numPr>
          <w:ilvl w:val="0"/>
          <w:numId w:val="0"/>
        </w:numPr>
        <w:spacing w:before="240" w:line="264" w:lineRule="auto"/>
        <w:jc w:val="left"/>
      </w:pPr>
      <w:r>
        <w:t xml:space="preserve">2. </w:t>
      </w:r>
      <w:r w:rsidR="00BF65F4" w:rsidRPr="00BF65F4">
        <w:t>Veřejné zakázky</w:t>
      </w:r>
    </w:p>
    <w:p w14:paraId="20EF929F" w14:textId="696966AB" w:rsidR="00BF65F4" w:rsidRDefault="00BF65F4" w:rsidP="00F43218">
      <w:pPr>
        <w:spacing w:after="120" w:line="264" w:lineRule="auto"/>
        <w:jc w:val="both"/>
        <w:rPr>
          <w:sz w:val="24"/>
          <w:szCs w:val="24"/>
        </w:rPr>
      </w:pPr>
      <w:r w:rsidRPr="008C59CC">
        <w:rPr>
          <w:sz w:val="24"/>
        </w:rPr>
        <w:t xml:space="preserve">NKÚ prověřil, zda KPR postupovala při výběru dodavatelů dle zákona č. 134/2016 Sb., resp. </w:t>
      </w:r>
      <w:r w:rsidR="00C91110">
        <w:rPr>
          <w:sz w:val="24"/>
        </w:rPr>
        <w:t>č.</w:t>
      </w:r>
      <w:r w:rsidR="0067000D">
        <w:rPr>
          <w:sz w:val="24"/>
        </w:rPr>
        <w:t> </w:t>
      </w:r>
      <w:r w:rsidRPr="008C59CC">
        <w:rPr>
          <w:sz w:val="24"/>
        </w:rPr>
        <w:t>137/2006</w:t>
      </w:r>
      <w:r w:rsidR="0067000D">
        <w:rPr>
          <w:sz w:val="24"/>
        </w:rPr>
        <w:t> </w:t>
      </w:r>
      <w:r w:rsidRPr="008C59CC">
        <w:rPr>
          <w:sz w:val="24"/>
        </w:rPr>
        <w:t>Sb. NKÚ ke kontrole vybral všechny veřejné zakázky, které byly ze strany KPR v kontrolovaném období let 2019</w:t>
      </w:r>
      <w:r w:rsidR="0067000D" w:rsidRPr="00CF6109">
        <w:rPr>
          <w:rFonts w:cstheme="minorHAnsi"/>
          <w:sz w:val="24"/>
        </w:rPr>
        <w:t>–</w:t>
      </w:r>
      <w:r w:rsidRPr="008C59CC">
        <w:rPr>
          <w:sz w:val="24"/>
        </w:rPr>
        <w:t>2021 realizovány. Celkem se jednalo o</w:t>
      </w:r>
      <w:r w:rsidR="0067000D">
        <w:rPr>
          <w:sz w:val="24"/>
        </w:rPr>
        <w:t> </w:t>
      </w:r>
      <w:r w:rsidRPr="008C59CC">
        <w:rPr>
          <w:sz w:val="24"/>
        </w:rPr>
        <w:t>čtyři veřejné zakázky, z nichž tři byly realizovány jako veřejné zakázky malého rozsahu a</w:t>
      </w:r>
      <w:r w:rsidR="0067000D">
        <w:rPr>
          <w:sz w:val="24"/>
        </w:rPr>
        <w:t> </w:t>
      </w:r>
      <w:r w:rsidRPr="008C59CC">
        <w:rPr>
          <w:sz w:val="24"/>
        </w:rPr>
        <w:t xml:space="preserve">jedna jako podlimitní </w:t>
      </w:r>
      <w:r w:rsidRPr="00CD6F87">
        <w:rPr>
          <w:sz w:val="24"/>
          <w:szCs w:val="24"/>
        </w:rPr>
        <w:t xml:space="preserve">veřejná zakázka na služby. NKÚ u výše uvedených zakázek </w:t>
      </w:r>
      <w:r w:rsidR="00FC7632">
        <w:rPr>
          <w:sz w:val="24"/>
          <w:szCs w:val="24"/>
        </w:rPr>
        <w:t>neshledal nedostatky.</w:t>
      </w:r>
    </w:p>
    <w:p w14:paraId="21D898F5" w14:textId="77777777" w:rsidR="00BD7A3A" w:rsidRPr="00F43218" w:rsidRDefault="00F43218" w:rsidP="00F43218">
      <w:pPr>
        <w:pStyle w:val="Nadpis1"/>
        <w:numPr>
          <w:ilvl w:val="0"/>
          <w:numId w:val="0"/>
        </w:numPr>
        <w:spacing w:before="0"/>
        <w:jc w:val="left"/>
        <w:rPr>
          <w:color w:val="000000" w:themeColor="text1"/>
        </w:rPr>
      </w:pPr>
      <w:r>
        <w:rPr>
          <w:color w:val="auto"/>
        </w:rPr>
        <w:lastRenderedPageBreak/>
        <w:t xml:space="preserve">3. </w:t>
      </w:r>
      <w:r w:rsidR="009A6F37" w:rsidRPr="00F43218">
        <w:rPr>
          <w:color w:val="000000" w:themeColor="text1"/>
        </w:rPr>
        <w:t>H</w:t>
      </w:r>
      <w:r w:rsidR="00310C2F" w:rsidRPr="00F43218">
        <w:rPr>
          <w:color w:val="000000" w:themeColor="text1"/>
        </w:rPr>
        <w:t>ospodaření s</w:t>
      </w:r>
      <w:r w:rsidR="00CD281E" w:rsidRPr="00F43218">
        <w:rPr>
          <w:color w:val="000000" w:themeColor="text1"/>
        </w:rPr>
        <w:t> </w:t>
      </w:r>
      <w:r w:rsidR="00310C2F" w:rsidRPr="00F43218">
        <w:rPr>
          <w:color w:val="000000" w:themeColor="text1"/>
        </w:rPr>
        <w:t>majetkem</w:t>
      </w:r>
      <w:r w:rsidR="00CD281E" w:rsidRPr="00F43218">
        <w:rPr>
          <w:color w:val="000000" w:themeColor="text1"/>
        </w:rPr>
        <w:t xml:space="preserve"> a peněžními prostředky</w:t>
      </w:r>
    </w:p>
    <w:p w14:paraId="0D70B584" w14:textId="17F5585E" w:rsidR="00664E1B" w:rsidRPr="00F43218" w:rsidRDefault="007F7D15" w:rsidP="00F43218">
      <w:pPr>
        <w:spacing w:before="120" w:after="120" w:line="264" w:lineRule="auto"/>
        <w:jc w:val="both"/>
        <w:rPr>
          <w:color w:val="000000" w:themeColor="text1"/>
          <w:sz w:val="24"/>
        </w:rPr>
      </w:pPr>
      <w:r w:rsidRPr="00F43218">
        <w:rPr>
          <w:color w:val="000000" w:themeColor="text1"/>
          <w:sz w:val="24"/>
        </w:rPr>
        <w:t xml:space="preserve">V rámci kontroly hospodaření KPR s majetkem státu </w:t>
      </w:r>
      <w:r w:rsidR="008224A3" w:rsidRPr="00F43218">
        <w:rPr>
          <w:color w:val="000000" w:themeColor="text1"/>
          <w:sz w:val="24"/>
        </w:rPr>
        <w:t xml:space="preserve">a peněžními prostředky </w:t>
      </w:r>
      <w:r w:rsidRPr="00F43218">
        <w:rPr>
          <w:color w:val="000000" w:themeColor="text1"/>
          <w:sz w:val="24"/>
        </w:rPr>
        <w:t>prověřil</w:t>
      </w:r>
      <w:r w:rsidR="006E66BE" w:rsidRPr="006E66BE">
        <w:rPr>
          <w:color w:val="000000" w:themeColor="text1"/>
          <w:sz w:val="24"/>
        </w:rPr>
        <w:t xml:space="preserve"> </w:t>
      </w:r>
      <w:r w:rsidR="006E66BE" w:rsidRPr="00F43218">
        <w:rPr>
          <w:color w:val="000000" w:themeColor="text1"/>
          <w:sz w:val="24"/>
        </w:rPr>
        <w:t>NKÚ</w:t>
      </w:r>
      <w:r w:rsidR="00DA533F" w:rsidRPr="00F43218">
        <w:rPr>
          <w:color w:val="000000" w:themeColor="text1"/>
          <w:sz w:val="24"/>
        </w:rPr>
        <w:t xml:space="preserve">, zda </w:t>
      </w:r>
      <w:r w:rsidR="00310C2F" w:rsidRPr="00F43218">
        <w:rPr>
          <w:color w:val="000000" w:themeColor="text1"/>
          <w:sz w:val="24"/>
        </w:rPr>
        <w:t>byl</w:t>
      </w:r>
      <w:r w:rsidR="00BF7BEA">
        <w:rPr>
          <w:color w:val="000000" w:themeColor="text1"/>
          <w:sz w:val="24"/>
        </w:rPr>
        <w:t>y</w:t>
      </w:r>
      <w:r w:rsidR="00310C2F" w:rsidRPr="00F43218">
        <w:rPr>
          <w:color w:val="000000" w:themeColor="text1"/>
          <w:sz w:val="24"/>
        </w:rPr>
        <w:t xml:space="preserve"> </w:t>
      </w:r>
      <w:r w:rsidR="00FC7632" w:rsidRPr="00F43218">
        <w:rPr>
          <w:color w:val="000000" w:themeColor="text1"/>
          <w:sz w:val="24"/>
        </w:rPr>
        <w:t xml:space="preserve">oběžný </w:t>
      </w:r>
      <w:r w:rsidR="00310C2F" w:rsidRPr="00F43218">
        <w:rPr>
          <w:color w:val="000000" w:themeColor="text1"/>
          <w:sz w:val="24"/>
        </w:rPr>
        <w:t xml:space="preserve">majetek </w:t>
      </w:r>
      <w:r w:rsidR="008224A3" w:rsidRPr="00F43218">
        <w:rPr>
          <w:color w:val="000000" w:themeColor="text1"/>
          <w:sz w:val="24"/>
        </w:rPr>
        <w:t xml:space="preserve">a služby </w:t>
      </w:r>
      <w:r w:rsidR="00310C2F" w:rsidRPr="00F43218">
        <w:rPr>
          <w:color w:val="000000" w:themeColor="text1"/>
          <w:sz w:val="24"/>
        </w:rPr>
        <w:t>pořízen</w:t>
      </w:r>
      <w:r w:rsidR="008224A3" w:rsidRPr="00F43218">
        <w:rPr>
          <w:color w:val="000000" w:themeColor="text1"/>
          <w:sz w:val="24"/>
        </w:rPr>
        <w:t>y</w:t>
      </w:r>
      <w:r w:rsidR="00310C2F" w:rsidRPr="00F43218">
        <w:rPr>
          <w:color w:val="000000" w:themeColor="text1"/>
          <w:sz w:val="24"/>
        </w:rPr>
        <w:t xml:space="preserve"> k plnění úkolů KPR, zda KPR </w:t>
      </w:r>
      <w:r w:rsidR="00DA533F" w:rsidRPr="00F43218">
        <w:rPr>
          <w:color w:val="000000" w:themeColor="text1"/>
          <w:sz w:val="24"/>
        </w:rPr>
        <w:t>postupovala v souladu s právními předpisy</w:t>
      </w:r>
      <w:r w:rsidR="00DA533F" w:rsidRPr="00F43218">
        <w:rPr>
          <w:rStyle w:val="Znakapoznpodarou"/>
          <w:color w:val="000000" w:themeColor="text1"/>
          <w:sz w:val="24"/>
        </w:rPr>
        <w:footnoteReference w:id="17"/>
      </w:r>
      <w:r w:rsidR="00310C2F" w:rsidRPr="00F43218">
        <w:rPr>
          <w:color w:val="000000" w:themeColor="text1"/>
          <w:sz w:val="24"/>
        </w:rPr>
        <w:t xml:space="preserve"> </w:t>
      </w:r>
      <w:r w:rsidR="00DA533F" w:rsidRPr="00F43218">
        <w:rPr>
          <w:color w:val="000000" w:themeColor="text1"/>
          <w:sz w:val="24"/>
        </w:rPr>
        <w:t>a zda KPR</w:t>
      </w:r>
      <w:r w:rsidR="00BB22FC" w:rsidRPr="00F43218">
        <w:rPr>
          <w:color w:val="000000" w:themeColor="text1"/>
          <w:sz w:val="24"/>
        </w:rPr>
        <w:t xml:space="preserve"> o majetku účtovala a </w:t>
      </w:r>
      <w:r w:rsidR="00DC5E8D" w:rsidRPr="00F43218">
        <w:rPr>
          <w:color w:val="000000" w:themeColor="text1"/>
          <w:sz w:val="24"/>
        </w:rPr>
        <w:t>evidovala jej</w:t>
      </w:r>
      <w:r w:rsidR="00DA533F" w:rsidRPr="00F43218">
        <w:rPr>
          <w:color w:val="000000" w:themeColor="text1"/>
          <w:sz w:val="24"/>
        </w:rPr>
        <w:t xml:space="preserve"> v </w:t>
      </w:r>
      <w:r w:rsidR="00CD281E" w:rsidRPr="00F43218">
        <w:rPr>
          <w:color w:val="000000" w:themeColor="text1"/>
          <w:sz w:val="24"/>
        </w:rPr>
        <w:t>účetnictví</w:t>
      </w:r>
      <w:r w:rsidR="00A14340" w:rsidRPr="00F43218">
        <w:rPr>
          <w:rStyle w:val="Znakapoznpodarou"/>
          <w:color w:val="000000" w:themeColor="text1"/>
          <w:sz w:val="24"/>
        </w:rPr>
        <w:footnoteReference w:id="18"/>
      </w:r>
      <w:r w:rsidR="00DA533F" w:rsidRPr="00F43218">
        <w:rPr>
          <w:color w:val="000000" w:themeColor="text1"/>
          <w:sz w:val="24"/>
        </w:rPr>
        <w:t xml:space="preserve">. </w:t>
      </w:r>
    </w:p>
    <w:p w14:paraId="37F03982" w14:textId="77777777" w:rsidR="00664E1B" w:rsidRPr="00F43218" w:rsidRDefault="00664E1B" w:rsidP="00F43218">
      <w:pPr>
        <w:spacing w:before="120" w:after="120" w:line="264" w:lineRule="auto"/>
        <w:jc w:val="both"/>
        <w:rPr>
          <w:color w:val="000000" w:themeColor="text1"/>
          <w:sz w:val="24"/>
        </w:rPr>
      </w:pPr>
      <w:r w:rsidRPr="00F43218">
        <w:rPr>
          <w:color w:val="000000" w:themeColor="text1"/>
          <w:sz w:val="24"/>
        </w:rPr>
        <w:t xml:space="preserve">NKÚ prověřil vynaložení peněžních prostředků státního rozpočtu v souvislosti s úhradou </w:t>
      </w:r>
      <w:r w:rsidR="00C31872" w:rsidRPr="00F43218">
        <w:rPr>
          <w:color w:val="000000" w:themeColor="text1"/>
          <w:sz w:val="24"/>
        </w:rPr>
        <w:t>právního zastoupení prezidenta republiky v </w:t>
      </w:r>
      <w:r w:rsidR="002F3F39" w:rsidRPr="00F43218">
        <w:rPr>
          <w:color w:val="000000" w:themeColor="text1"/>
          <w:sz w:val="24"/>
        </w:rPr>
        <w:t xml:space="preserve">soudním </w:t>
      </w:r>
      <w:r w:rsidR="00C31872" w:rsidRPr="00F43218">
        <w:rPr>
          <w:color w:val="000000" w:themeColor="text1"/>
          <w:sz w:val="24"/>
        </w:rPr>
        <w:t xml:space="preserve">sporu </w:t>
      </w:r>
      <w:r w:rsidRPr="00F43218">
        <w:rPr>
          <w:color w:val="000000" w:themeColor="text1"/>
          <w:sz w:val="24"/>
        </w:rPr>
        <w:t xml:space="preserve">a zjistil, že </w:t>
      </w:r>
      <w:r w:rsidRPr="00F43218">
        <w:rPr>
          <w:b/>
          <w:color w:val="000000" w:themeColor="text1"/>
          <w:sz w:val="24"/>
        </w:rPr>
        <w:t xml:space="preserve">KPR uhradila </w:t>
      </w:r>
      <w:r w:rsidR="00C31872" w:rsidRPr="00F43218">
        <w:rPr>
          <w:b/>
          <w:color w:val="000000" w:themeColor="text1"/>
          <w:sz w:val="24"/>
        </w:rPr>
        <w:t>z</w:t>
      </w:r>
      <w:r w:rsidR="00892CFA" w:rsidRPr="00F43218">
        <w:rPr>
          <w:b/>
          <w:color w:val="000000" w:themeColor="text1"/>
          <w:sz w:val="24"/>
        </w:rPr>
        <w:t> </w:t>
      </w:r>
      <w:r w:rsidR="00C31872" w:rsidRPr="00F43218">
        <w:rPr>
          <w:b/>
          <w:color w:val="000000" w:themeColor="text1"/>
          <w:sz w:val="24"/>
        </w:rPr>
        <w:t>prostředků</w:t>
      </w:r>
      <w:r w:rsidRPr="00F43218">
        <w:rPr>
          <w:b/>
          <w:color w:val="000000" w:themeColor="text1"/>
          <w:sz w:val="24"/>
        </w:rPr>
        <w:t xml:space="preserve"> státního rozpočtu částku ve výši 149 tis. Kč</w:t>
      </w:r>
      <w:r w:rsidR="00A14340" w:rsidRPr="00F43218">
        <w:rPr>
          <w:rStyle w:val="Znakapoznpodarou"/>
          <w:color w:val="000000" w:themeColor="text1"/>
          <w:sz w:val="24"/>
        </w:rPr>
        <w:t>1</w:t>
      </w:r>
      <w:r w:rsidRPr="00F43218">
        <w:rPr>
          <w:b/>
          <w:color w:val="000000" w:themeColor="text1"/>
          <w:sz w:val="24"/>
        </w:rPr>
        <w:t xml:space="preserve">, která měla být uhrazena </w:t>
      </w:r>
      <w:r w:rsidR="00CD281E" w:rsidRPr="00F43218">
        <w:rPr>
          <w:b/>
          <w:color w:val="000000" w:themeColor="text1"/>
          <w:sz w:val="24"/>
        </w:rPr>
        <w:t>z vlastních prostředků zastupované osoby</w:t>
      </w:r>
      <w:r w:rsidRPr="00F43218">
        <w:rPr>
          <w:b/>
          <w:color w:val="000000" w:themeColor="text1"/>
          <w:sz w:val="24"/>
        </w:rPr>
        <w:t>.</w:t>
      </w:r>
      <w:r w:rsidRPr="00F43218">
        <w:rPr>
          <w:color w:val="000000" w:themeColor="text1"/>
          <w:sz w:val="24"/>
        </w:rPr>
        <w:t xml:space="preserve"> </w:t>
      </w:r>
      <w:r w:rsidR="00CD281E" w:rsidRPr="00F43218">
        <w:rPr>
          <w:color w:val="000000" w:themeColor="text1"/>
          <w:sz w:val="24"/>
        </w:rPr>
        <w:t xml:space="preserve">Tímto jednáním </w:t>
      </w:r>
      <w:r w:rsidR="009A5DA8" w:rsidRPr="00F43218">
        <w:rPr>
          <w:color w:val="000000" w:themeColor="text1"/>
          <w:sz w:val="24"/>
        </w:rPr>
        <w:t>byly u KPR zjištěny skutečnosti nasvědčující porušení rozpočtové kázně dle ustanovení § 44 odst. 1 písm. f) zákona č.</w:t>
      </w:r>
      <w:r w:rsidR="008F4345" w:rsidRPr="00F43218">
        <w:rPr>
          <w:color w:val="000000" w:themeColor="text1"/>
          <w:sz w:val="24"/>
        </w:rPr>
        <w:t> </w:t>
      </w:r>
      <w:r w:rsidR="009A5DA8" w:rsidRPr="00F43218">
        <w:rPr>
          <w:color w:val="000000" w:themeColor="text1"/>
          <w:sz w:val="24"/>
        </w:rPr>
        <w:t>218/2000 Sb.</w:t>
      </w:r>
      <w:r w:rsidR="003564A1" w:rsidRPr="00F43218">
        <w:rPr>
          <w:color w:val="000000" w:themeColor="text1"/>
          <w:sz w:val="24"/>
        </w:rPr>
        <w:t xml:space="preserve"> a v tomto případě</w:t>
      </w:r>
      <w:r w:rsidR="008224A3" w:rsidRPr="00F43218">
        <w:rPr>
          <w:color w:val="000000" w:themeColor="text1"/>
          <w:sz w:val="24"/>
        </w:rPr>
        <w:t xml:space="preserve"> </w:t>
      </w:r>
      <w:r w:rsidR="008224A3" w:rsidRPr="00F43218">
        <w:rPr>
          <w:b/>
          <w:color w:val="000000" w:themeColor="text1"/>
          <w:sz w:val="24"/>
        </w:rPr>
        <w:t>KPR</w:t>
      </w:r>
      <w:r w:rsidR="003564A1" w:rsidRPr="00F43218">
        <w:rPr>
          <w:b/>
          <w:color w:val="000000" w:themeColor="text1"/>
          <w:sz w:val="24"/>
        </w:rPr>
        <w:t xml:space="preserve"> nepostupovala hospodárně</w:t>
      </w:r>
      <w:r w:rsidR="003564A1" w:rsidRPr="00B20B23">
        <w:rPr>
          <w:b/>
          <w:color w:val="000000" w:themeColor="text1"/>
          <w:sz w:val="24"/>
        </w:rPr>
        <w:t>.</w:t>
      </w:r>
    </w:p>
    <w:p w14:paraId="15DAFEAE" w14:textId="3A4BC825" w:rsidR="00AB4B31" w:rsidRPr="00F43218" w:rsidRDefault="00BB22FC" w:rsidP="00F43218">
      <w:pPr>
        <w:spacing w:before="120" w:after="120" w:line="264" w:lineRule="auto"/>
        <w:jc w:val="both"/>
        <w:rPr>
          <w:color w:val="000000" w:themeColor="text1"/>
          <w:sz w:val="24"/>
        </w:rPr>
      </w:pPr>
      <w:r w:rsidRPr="00F43218">
        <w:rPr>
          <w:color w:val="000000" w:themeColor="text1"/>
          <w:sz w:val="24"/>
        </w:rPr>
        <w:t>NKÚ prověřil pět účetních dokladů souvisejících s účtováním pohybů oběžných aktiv, resp.</w:t>
      </w:r>
      <w:r w:rsidR="00F31597" w:rsidRPr="00F43218">
        <w:rPr>
          <w:color w:val="000000" w:themeColor="text1"/>
          <w:sz w:val="24"/>
        </w:rPr>
        <w:t> </w:t>
      </w:r>
      <w:r w:rsidRPr="00F43218">
        <w:rPr>
          <w:color w:val="000000" w:themeColor="text1"/>
          <w:sz w:val="24"/>
        </w:rPr>
        <w:t xml:space="preserve">zásob. Na základě zákona o státních vyznamenáních prezident republiky uděluje nebo propůjčuje </w:t>
      </w:r>
      <w:r w:rsidR="00DA533F" w:rsidRPr="00F43218">
        <w:rPr>
          <w:color w:val="000000" w:themeColor="text1"/>
          <w:sz w:val="24"/>
        </w:rPr>
        <w:t>státní vyznamenání</w:t>
      </w:r>
      <w:r w:rsidR="007C6555" w:rsidRPr="00F43218">
        <w:rPr>
          <w:color w:val="000000" w:themeColor="text1"/>
          <w:sz w:val="24"/>
        </w:rPr>
        <w:t xml:space="preserve">. </w:t>
      </w:r>
      <w:r w:rsidR="00AB4B31" w:rsidRPr="00F43218">
        <w:rPr>
          <w:color w:val="000000" w:themeColor="text1"/>
          <w:sz w:val="24"/>
        </w:rPr>
        <w:t>Řády propůjčené českým občanům</w:t>
      </w:r>
      <w:r w:rsidR="00B82515" w:rsidRPr="00F43218">
        <w:rPr>
          <w:rStyle w:val="Znakapoznpodarou"/>
          <w:color w:val="000000" w:themeColor="text1"/>
          <w:sz w:val="24"/>
        </w:rPr>
        <w:footnoteReference w:id="19"/>
      </w:r>
      <w:r w:rsidR="00B82515" w:rsidRPr="00F43218">
        <w:rPr>
          <w:color w:val="000000" w:themeColor="text1"/>
          <w:sz w:val="24"/>
        </w:rPr>
        <w:t xml:space="preserve"> </w:t>
      </w:r>
      <w:r w:rsidR="003D732B" w:rsidRPr="00F43218">
        <w:rPr>
          <w:color w:val="000000" w:themeColor="text1"/>
          <w:sz w:val="24"/>
        </w:rPr>
        <w:t>jsou i nadále</w:t>
      </w:r>
      <w:r w:rsidR="007C6555" w:rsidRPr="00F43218">
        <w:rPr>
          <w:color w:val="000000" w:themeColor="text1"/>
          <w:sz w:val="24"/>
        </w:rPr>
        <w:t xml:space="preserve"> majetkem </w:t>
      </w:r>
      <w:r w:rsidR="003D732B" w:rsidRPr="00F43218">
        <w:rPr>
          <w:color w:val="000000" w:themeColor="text1"/>
          <w:sz w:val="24"/>
        </w:rPr>
        <w:t>státu</w:t>
      </w:r>
      <w:r w:rsidR="00AB4B31" w:rsidRPr="00F43218">
        <w:rPr>
          <w:color w:val="000000" w:themeColor="text1"/>
          <w:sz w:val="24"/>
        </w:rPr>
        <w:t xml:space="preserve">. </w:t>
      </w:r>
      <w:r w:rsidR="00AB4B31" w:rsidRPr="00F43218">
        <w:rPr>
          <w:b/>
          <w:color w:val="000000" w:themeColor="text1"/>
          <w:sz w:val="24"/>
        </w:rPr>
        <w:t>KPR n</w:t>
      </w:r>
      <w:r w:rsidR="003564A1" w:rsidRPr="00F43218">
        <w:rPr>
          <w:b/>
          <w:color w:val="000000" w:themeColor="text1"/>
          <w:sz w:val="24"/>
        </w:rPr>
        <w:t xml:space="preserve">evedla </w:t>
      </w:r>
      <w:r w:rsidR="00C23C62" w:rsidRPr="00F43218">
        <w:rPr>
          <w:b/>
          <w:color w:val="000000" w:themeColor="text1"/>
          <w:sz w:val="24"/>
        </w:rPr>
        <w:t>v </w:t>
      </w:r>
      <w:r w:rsidR="009A5DA8" w:rsidRPr="00F43218">
        <w:rPr>
          <w:b/>
          <w:color w:val="000000" w:themeColor="text1"/>
          <w:sz w:val="24"/>
        </w:rPr>
        <w:t>účetnictví</w:t>
      </w:r>
      <w:r w:rsidR="00C23C62" w:rsidRPr="00F43218">
        <w:rPr>
          <w:b/>
          <w:color w:val="000000" w:themeColor="text1"/>
          <w:sz w:val="24"/>
        </w:rPr>
        <w:t xml:space="preserve"> </w:t>
      </w:r>
      <w:r w:rsidR="00AB4B31" w:rsidRPr="00F43218">
        <w:rPr>
          <w:b/>
          <w:color w:val="000000" w:themeColor="text1"/>
          <w:sz w:val="24"/>
        </w:rPr>
        <w:t>propůjčená státní vyznamenání v </w:t>
      </w:r>
      <w:r w:rsidR="00BF7BEA">
        <w:rPr>
          <w:b/>
          <w:color w:val="000000" w:themeColor="text1"/>
          <w:sz w:val="24"/>
        </w:rPr>
        <w:t>hodnotě</w:t>
      </w:r>
      <w:r w:rsidR="00AB4B31" w:rsidRPr="00F43218">
        <w:rPr>
          <w:b/>
          <w:color w:val="000000" w:themeColor="text1"/>
          <w:sz w:val="24"/>
        </w:rPr>
        <w:t xml:space="preserve"> 6 357 966,36 Kč</w:t>
      </w:r>
      <w:r w:rsidR="00AB4B31" w:rsidRPr="00F43218">
        <w:rPr>
          <w:rStyle w:val="Znakapoznpodarou"/>
          <w:color w:val="000000" w:themeColor="text1"/>
          <w:sz w:val="24"/>
        </w:rPr>
        <w:footnoteReference w:id="20"/>
      </w:r>
      <w:r w:rsidR="003564A1" w:rsidRPr="00F43218">
        <w:rPr>
          <w:b/>
          <w:color w:val="000000" w:themeColor="text1"/>
          <w:sz w:val="24"/>
        </w:rPr>
        <w:t>, a proto je ani nevykázala v účetní závěrce</w:t>
      </w:r>
      <w:r w:rsidR="00C23C62" w:rsidRPr="00F43218">
        <w:rPr>
          <w:color w:val="000000" w:themeColor="text1"/>
          <w:sz w:val="24"/>
        </w:rPr>
        <w:t xml:space="preserve"> </w:t>
      </w:r>
      <w:r w:rsidR="003564A1" w:rsidRPr="00F43218">
        <w:rPr>
          <w:b/>
          <w:color w:val="000000" w:themeColor="text1"/>
          <w:sz w:val="24"/>
        </w:rPr>
        <w:t>k 31. 12. 2021.</w:t>
      </w:r>
    </w:p>
    <w:p w14:paraId="0D691382" w14:textId="77777777" w:rsidR="00BB22FC" w:rsidRPr="006C71A8" w:rsidRDefault="00F43218" w:rsidP="00F43218">
      <w:pPr>
        <w:pStyle w:val="Nadpis1"/>
        <w:numPr>
          <w:ilvl w:val="0"/>
          <w:numId w:val="0"/>
        </w:numPr>
        <w:spacing w:before="240"/>
        <w:jc w:val="left"/>
      </w:pPr>
      <w:r>
        <w:t xml:space="preserve">4. </w:t>
      </w:r>
      <w:r w:rsidR="009A5DA8" w:rsidRPr="004D0952">
        <w:t>Vedení účetnictví a provedení inventarizace</w:t>
      </w:r>
      <w:r w:rsidR="00BB22FC" w:rsidRPr="006C71A8">
        <w:t xml:space="preserve"> </w:t>
      </w:r>
    </w:p>
    <w:p w14:paraId="131E21D8" w14:textId="0849FD8D" w:rsidR="00BB22FC" w:rsidRPr="008224A3" w:rsidRDefault="00351939" w:rsidP="00F43218">
      <w:pPr>
        <w:spacing w:before="120" w:after="120" w:line="264" w:lineRule="auto"/>
        <w:jc w:val="both"/>
        <w:rPr>
          <w:sz w:val="24"/>
        </w:rPr>
      </w:pPr>
      <w:r w:rsidRPr="008224A3">
        <w:rPr>
          <w:sz w:val="24"/>
        </w:rPr>
        <w:t>NKÚ</w:t>
      </w:r>
      <w:r>
        <w:rPr>
          <w:sz w:val="24"/>
        </w:rPr>
        <w:t xml:space="preserve"> </w:t>
      </w:r>
      <w:r w:rsidR="00A14340">
        <w:rPr>
          <w:sz w:val="24"/>
        </w:rPr>
        <w:t>zařadil do kontrolního vzorku</w:t>
      </w:r>
      <w:r w:rsidRPr="00BC29AE">
        <w:rPr>
          <w:sz w:val="24"/>
        </w:rPr>
        <w:t xml:space="preserve"> </w:t>
      </w:r>
      <w:r w:rsidR="00BC29AE" w:rsidRPr="00BC29AE">
        <w:rPr>
          <w:sz w:val="24"/>
        </w:rPr>
        <w:t xml:space="preserve">66 </w:t>
      </w:r>
      <w:r w:rsidRPr="00BC29AE">
        <w:rPr>
          <w:sz w:val="24"/>
        </w:rPr>
        <w:t>účetních dokladů</w:t>
      </w:r>
      <w:r w:rsidR="00160A38" w:rsidRPr="008F4345">
        <w:rPr>
          <w:sz w:val="24"/>
        </w:rPr>
        <w:t xml:space="preserve">, </w:t>
      </w:r>
      <w:r w:rsidR="00160A38" w:rsidRPr="008224A3">
        <w:rPr>
          <w:sz w:val="24"/>
        </w:rPr>
        <w:t>které se týka</w:t>
      </w:r>
      <w:r w:rsidR="008224A3">
        <w:rPr>
          <w:sz w:val="24"/>
        </w:rPr>
        <w:t>ly</w:t>
      </w:r>
      <w:r w:rsidR="00160A38" w:rsidRPr="008224A3">
        <w:rPr>
          <w:sz w:val="24"/>
        </w:rPr>
        <w:t xml:space="preserve"> účtování </w:t>
      </w:r>
      <w:r w:rsidR="00A14340">
        <w:rPr>
          <w:sz w:val="24"/>
        </w:rPr>
        <w:t xml:space="preserve">vybraných </w:t>
      </w:r>
      <w:r w:rsidR="00160A38" w:rsidRPr="008224A3">
        <w:rPr>
          <w:sz w:val="24"/>
        </w:rPr>
        <w:t>nákladů</w:t>
      </w:r>
      <w:r w:rsidR="006C54AB">
        <w:rPr>
          <w:sz w:val="24"/>
        </w:rPr>
        <w:t xml:space="preserve"> (cestovné, služby, transfery)</w:t>
      </w:r>
      <w:r w:rsidR="00160A38" w:rsidRPr="008224A3">
        <w:rPr>
          <w:sz w:val="24"/>
        </w:rPr>
        <w:t>.</w:t>
      </w:r>
    </w:p>
    <w:p w14:paraId="0605171E" w14:textId="5076B661" w:rsidR="00A01835" w:rsidRPr="009A5DA8" w:rsidRDefault="00BC5653" w:rsidP="00F43218">
      <w:pPr>
        <w:spacing w:before="120" w:after="120" w:line="264" w:lineRule="auto"/>
        <w:jc w:val="both"/>
        <w:rPr>
          <w:sz w:val="24"/>
        </w:rPr>
      </w:pPr>
      <w:r>
        <w:rPr>
          <w:sz w:val="24"/>
        </w:rPr>
        <w:t xml:space="preserve">NKÚ zjistil, že </w:t>
      </w:r>
      <w:r w:rsidR="00351939" w:rsidRPr="00BC5653">
        <w:rPr>
          <w:b/>
          <w:sz w:val="24"/>
        </w:rPr>
        <w:t>KPR v</w:t>
      </w:r>
      <w:r w:rsidR="00BC29AE" w:rsidRPr="00BC5653">
        <w:rPr>
          <w:b/>
          <w:sz w:val="24"/>
        </w:rPr>
        <w:t xml:space="preserve">e 12 případech </w:t>
      </w:r>
      <w:r w:rsidRPr="00BC5653">
        <w:rPr>
          <w:b/>
          <w:sz w:val="24"/>
        </w:rPr>
        <w:t xml:space="preserve">nesprávně </w:t>
      </w:r>
      <w:r w:rsidR="00BC29AE" w:rsidRPr="00BC5653">
        <w:rPr>
          <w:b/>
          <w:sz w:val="24"/>
        </w:rPr>
        <w:t xml:space="preserve">účtovala o nákladech za testování zaměstnanců KPR a dalších osob na onemocnění </w:t>
      </w:r>
      <w:r w:rsidR="00343B75">
        <w:rPr>
          <w:b/>
          <w:sz w:val="24"/>
        </w:rPr>
        <w:t>covid</w:t>
      </w:r>
      <w:r w:rsidR="00384535">
        <w:rPr>
          <w:b/>
          <w:sz w:val="24"/>
        </w:rPr>
        <w:t>em</w:t>
      </w:r>
      <w:r w:rsidR="00BC29AE" w:rsidRPr="00BC5653">
        <w:rPr>
          <w:b/>
          <w:sz w:val="24"/>
        </w:rPr>
        <w:t xml:space="preserve">-19 </w:t>
      </w:r>
      <w:r w:rsidR="000219A1" w:rsidRPr="00BC5653">
        <w:rPr>
          <w:b/>
          <w:sz w:val="24"/>
        </w:rPr>
        <w:t xml:space="preserve">na účtu 518 – </w:t>
      </w:r>
      <w:r w:rsidR="000219A1" w:rsidRPr="00BC5653">
        <w:rPr>
          <w:b/>
          <w:i/>
          <w:sz w:val="24"/>
        </w:rPr>
        <w:t>Ostatní služby</w:t>
      </w:r>
      <w:r w:rsidR="000219A1" w:rsidRPr="00BC5653">
        <w:rPr>
          <w:b/>
          <w:sz w:val="24"/>
        </w:rPr>
        <w:t xml:space="preserve"> </w:t>
      </w:r>
      <w:r w:rsidR="00F93842" w:rsidRPr="00BC5653">
        <w:rPr>
          <w:b/>
          <w:sz w:val="24"/>
        </w:rPr>
        <w:t>v částce 90 944 Kč</w:t>
      </w:r>
      <w:r>
        <w:rPr>
          <w:b/>
          <w:sz w:val="24"/>
        </w:rPr>
        <w:t xml:space="preserve">. </w:t>
      </w:r>
      <w:r w:rsidR="003752DA">
        <w:rPr>
          <w:sz w:val="24"/>
        </w:rPr>
        <w:t>V</w:t>
      </w:r>
      <w:r w:rsidR="00DC5E8D">
        <w:rPr>
          <w:sz w:val="24"/>
        </w:rPr>
        <w:t xml:space="preserve"> souladu </w:t>
      </w:r>
      <w:r w:rsidR="00BC29AE" w:rsidRPr="00BC5653">
        <w:rPr>
          <w:sz w:val="24"/>
        </w:rPr>
        <w:t>s vyhlášk</w:t>
      </w:r>
      <w:r w:rsidR="003752DA">
        <w:rPr>
          <w:sz w:val="24"/>
        </w:rPr>
        <w:t>ou</w:t>
      </w:r>
      <w:r w:rsidR="00BC29AE" w:rsidRPr="00BC5653">
        <w:rPr>
          <w:sz w:val="24"/>
        </w:rPr>
        <w:t xml:space="preserve"> č. 410/2009 Sb.</w:t>
      </w:r>
      <w:r w:rsidR="00C91110">
        <w:rPr>
          <w:rStyle w:val="Znakapoznpodarou"/>
          <w:sz w:val="24"/>
        </w:rPr>
        <w:footnoteReference w:id="21"/>
      </w:r>
      <w:r w:rsidR="00BC29AE">
        <w:rPr>
          <w:sz w:val="24"/>
        </w:rPr>
        <w:t xml:space="preserve"> </w:t>
      </w:r>
      <w:r>
        <w:rPr>
          <w:sz w:val="24"/>
        </w:rPr>
        <w:t>měly být n</w:t>
      </w:r>
      <w:r w:rsidR="000219A1">
        <w:rPr>
          <w:sz w:val="24"/>
        </w:rPr>
        <w:t>áklady vykázány na</w:t>
      </w:r>
      <w:r w:rsidR="007C6555" w:rsidRPr="00BD7A3A">
        <w:rPr>
          <w:sz w:val="24"/>
        </w:rPr>
        <w:t xml:space="preserve"> účtu 527 – </w:t>
      </w:r>
      <w:r w:rsidR="007C6555" w:rsidRPr="00BD7A3A">
        <w:rPr>
          <w:i/>
          <w:sz w:val="24"/>
        </w:rPr>
        <w:t>Zákonné sociální náklady</w:t>
      </w:r>
      <w:r w:rsidR="007C6555" w:rsidRPr="00BD7A3A">
        <w:rPr>
          <w:sz w:val="24"/>
        </w:rPr>
        <w:t xml:space="preserve">. </w:t>
      </w:r>
      <w:r w:rsidR="00A01835" w:rsidRPr="009A5DA8">
        <w:rPr>
          <w:sz w:val="24"/>
        </w:rPr>
        <w:t xml:space="preserve">KPR </w:t>
      </w:r>
      <w:r w:rsidRPr="009A5DA8">
        <w:rPr>
          <w:sz w:val="24"/>
        </w:rPr>
        <w:t xml:space="preserve">v některých případech účtovala nesprávně na účtu </w:t>
      </w:r>
      <w:r w:rsidR="00BF7BEA">
        <w:rPr>
          <w:sz w:val="24"/>
        </w:rPr>
        <w:br/>
      </w:r>
      <w:r w:rsidRPr="009A5DA8">
        <w:rPr>
          <w:sz w:val="24"/>
        </w:rPr>
        <w:t xml:space="preserve">518 – </w:t>
      </w:r>
      <w:r w:rsidRPr="009A5DA8">
        <w:rPr>
          <w:i/>
          <w:sz w:val="24"/>
        </w:rPr>
        <w:t>Ostatní služby</w:t>
      </w:r>
      <w:r w:rsidRPr="009A5DA8">
        <w:rPr>
          <w:sz w:val="24"/>
        </w:rPr>
        <w:t xml:space="preserve"> a</w:t>
      </w:r>
      <w:r w:rsidR="00351939" w:rsidRPr="009A5DA8">
        <w:rPr>
          <w:sz w:val="24"/>
        </w:rPr>
        <w:t xml:space="preserve"> v účetní závěrce k 31. 12. 2021 vykázala nesprávné zůstatky na </w:t>
      </w:r>
      <w:r w:rsidR="00A01835" w:rsidRPr="009A5DA8">
        <w:rPr>
          <w:sz w:val="24"/>
        </w:rPr>
        <w:t>účtech</w:t>
      </w:r>
      <w:r w:rsidRPr="009A5DA8">
        <w:rPr>
          <w:sz w:val="24"/>
        </w:rPr>
        <w:t xml:space="preserve"> 518 a</w:t>
      </w:r>
      <w:r w:rsidR="005074E2">
        <w:rPr>
          <w:sz w:val="24"/>
        </w:rPr>
        <w:t> </w:t>
      </w:r>
      <w:r w:rsidRPr="009A5DA8">
        <w:rPr>
          <w:sz w:val="24"/>
        </w:rPr>
        <w:t>527</w:t>
      </w:r>
      <w:r w:rsidR="00A01835" w:rsidRPr="009A5DA8">
        <w:rPr>
          <w:sz w:val="24"/>
        </w:rPr>
        <w:t>.</w:t>
      </w:r>
    </w:p>
    <w:p w14:paraId="0C547D7E" w14:textId="77777777" w:rsidR="008224A3" w:rsidRDefault="001B3575" w:rsidP="00F43218">
      <w:pPr>
        <w:spacing w:before="120" w:after="120" w:line="264" w:lineRule="auto"/>
        <w:jc w:val="both"/>
        <w:rPr>
          <w:sz w:val="24"/>
        </w:rPr>
      </w:pPr>
      <w:r w:rsidRPr="00A01835">
        <w:rPr>
          <w:sz w:val="24"/>
        </w:rPr>
        <w:t>NKÚ ověřil</w:t>
      </w:r>
      <w:r w:rsidR="00652AA2">
        <w:rPr>
          <w:sz w:val="24"/>
        </w:rPr>
        <w:t xml:space="preserve">, zda KPR provedla za rok 2021 inventarizaci v souladu s právními předpisy. </w:t>
      </w:r>
      <w:r w:rsidR="00652AA2" w:rsidRPr="0018437F">
        <w:rPr>
          <w:b/>
          <w:sz w:val="24"/>
        </w:rPr>
        <w:t>NKÚ zjistil formální nedostatky v dokumentaci k provedení inventarizace majetku a závazků</w:t>
      </w:r>
      <w:r w:rsidR="008224A3">
        <w:rPr>
          <w:b/>
          <w:sz w:val="24"/>
        </w:rPr>
        <w:t>.</w:t>
      </w:r>
      <w:r w:rsidR="00652AA2">
        <w:rPr>
          <w:sz w:val="24"/>
        </w:rPr>
        <w:t xml:space="preserve"> </w:t>
      </w:r>
      <w:r w:rsidR="008224A3">
        <w:rPr>
          <w:sz w:val="24"/>
        </w:rPr>
        <w:t xml:space="preserve"> </w:t>
      </w:r>
    </w:p>
    <w:p w14:paraId="205F08F7" w14:textId="77777777" w:rsidR="00AD521D" w:rsidRPr="006C71A8" w:rsidRDefault="00AD521D" w:rsidP="00F43218">
      <w:pPr>
        <w:pStyle w:val="Nadpis1"/>
        <w:numPr>
          <w:ilvl w:val="0"/>
          <w:numId w:val="0"/>
        </w:numPr>
        <w:spacing w:before="240"/>
        <w:jc w:val="left"/>
      </w:pPr>
      <w:r w:rsidRPr="006C71A8">
        <w:lastRenderedPageBreak/>
        <w:t>B. Správa Pražského hradu</w:t>
      </w:r>
    </w:p>
    <w:p w14:paraId="78E7BC6D" w14:textId="77777777" w:rsidR="002053DC" w:rsidRPr="00160A38" w:rsidRDefault="00F43218" w:rsidP="00F43218">
      <w:pPr>
        <w:pStyle w:val="Nadpis1"/>
        <w:numPr>
          <w:ilvl w:val="0"/>
          <w:numId w:val="0"/>
        </w:numPr>
        <w:spacing w:before="0"/>
        <w:jc w:val="left"/>
      </w:pPr>
      <w:r>
        <w:t xml:space="preserve">1. </w:t>
      </w:r>
      <w:r w:rsidR="00160A38" w:rsidRPr="00160A38">
        <w:t>Dvakrát vynaložené peněžní prostředky za stejný předmět plnění</w:t>
      </w:r>
    </w:p>
    <w:p w14:paraId="6D34937C" w14:textId="5E978C3C" w:rsidR="002053DC" w:rsidRPr="00F0294E" w:rsidRDefault="002053DC" w:rsidP="00F0294E">
      <w:pPr>
        <w:spacing w:before="120" w:after="120" w:line="264" w:lineRule="auto"/>
        <w:jc w:val="both"/>
        <w:rPr>
          <w:rFonts w:ascii="Calibri" w:hAnsi="Calibri" w:cs="Calibri"/>
          <w:b/>
          <w:sz w:val="24"/>
          <w:szCs w:val="24"/>
          <w:lang w:eastAsia="cs-CZ"/>
        </w:rPr>
      </w:pPr>
      <w:r w:rsidRPr="00F0294E">
        <w:rPr>
          <w:rFonts w:ascii="Calibri" w:hAnsi="Calibri" w:cs="Calibri"/>
          <w:b/>
          <w:sz w:val="24"/>
          <w:szCs w:val="24"/>
          <w:lang w:eastAsia="cs-CZ"/>
        </w:rPr>
        <w:t xml:space="preserve">NKÚ zjistil, že SPH </w:t>
      </w:r>
      <w:r w:rsidRPr="00F0294E">
        <w:rPr>
          <w:rFonts w:ascii="Calibri" w:hAnsi="Calibri" w:cs="Calibri"/>
          <w:sz w:val="24"/>
          <w:szCs w:val="24"/>
          <w:lang w:eastAsia="cs-CZ"/>
        </w:rPr>
        <w:t>neplnila úkoly</w:t>
      </w:r>
      <w:r w:rsidRPr="00B20B23">
        <w:rPr>
          <w:rFonts w:ascii="Calibri" w:hAnsi="Calibri" w:cs="Calibri"/>
          <w:sz w:val="24"/>
          <w:szCs w:val="24"/>
          <w:lang w:eastAsia="cs-CZ"/>
        </w:rPr>
        <w:t xml:space="preserve"> </w:t>
      </w:r>
      <w:r w:rsidRPr="00F0294E">
        <w:rPr>
          <w:rFonts w:ascii="Calibri" w:hAnsi="Calibri" w:cs="Calibri"/>
          <w:sz w:val="24"/>
          <w:szCs w:val="24"/>
          <w:lang w:eastAsia="cs-CZ"/>
        </w:rPr>
        <w:t>v rámci akce „</w:t>
      </w:r>
      <w:r w:rsidRPr="00F0294E">
        <w:rPr>
          <w:rFonts w:ascii="Calibri" w:hAnsi="Calibri" w:cs="Calibri"/>
          <w:i/>
          <w:sz w:val="24"/>
          <w:szCs w:val="24"/>
          <w:lang w:eastAsia="cs-CZ"/>
        </w:rPr>
        <w:t xml:space="preserve">Nejvyšší </w:t>
      </w:r>
      <w:r w:rsidR="00197A2B">
        <w:rPr>
          <w:rFonts w:ascii="Calibri" w:hAnsi="Calibri" w:cs="Calibri"/>
          <w:i/>
          <w:sz w:val="24"/>
          <w:szCs w:val="24"/>
          <w:lang w:eastAsia="cs-CZ"/>
        </w:rPr>
        <w:t>p</w:t>
      </w:r>
      <w:r w:rsidRPr="00F0294E">
        <w:rPr>
          <w:rFonts w:ascii="Calibri" w:hAnsi="Calibri" w:cs="Calibri"/>
          <w:i/>
          <w:sz w:val="24"/>
          <w:szCs w:val="24"/>
          <w:lang w:eastAsia="cs-CZ"/>
        </w:rPr>
        <w:t>urkrabství Pražského hradu</w:t>
      </w:r>
      <w:r w:rsidRPr="00F0294E">
        <w:rPr>
          <w:rFonts w:ascii="Calibri" w:hAnsi="Calibri" w:cs="Calibri"/>
          <w:sz w:val="24"/>
          <w:szCs w:val="24"/>
          <w:lang w:eastAsia="cs-CZ"/>
        </w:rPr>
        <w:t>“</w:t>
      </w:r>
      <w:r w:rsidRPr="00B20B23">
        <w:rPr>
          <w:rFonts w:ascii="Calibri" w:hAnsi="Calibri" w:cs="Calibri"/>
          <w:sz w:val="24"/>
          <w:szCs w:val="24"/>
          <w:lang w:eastAsia="cs-CZ"/>
        </w:rPr>
        <w:t xml:space="preserve"> </w:t>
      </w:r>
      <w:r w:rsidRPr="00F0294E">
        <w:rPr>
          <w:rFonts w:ascii="Calibri" w:hAnsi="Calibri" w:cs="Calibri"/>
          <w:sz w:val="24"/>
          <w:szCs w:val="24"/>
          <w:lang w:eastAsia="cs-CZ"/>
        </w:rPr>
        <w:t>nejhospodárnějším způsobem</w:t>
      </w:r>
      <w:r w:rsidRPr="00F0294E">
        <w:rPr>
          <w:rFonts w:ascii="Calibri" w:hAnsi="Calibri" w:cs="Calibri"/>
          <w:sz w:val="24"/>
          <w:szCs w:val="24"/>
          <w:vertAlign w:val="superscript"/>
          <w:lang w:eastAsia="cs-CZ"/>
        </w:rPr>
        <w:footnoteReference w:id="22"/>
      </w:r>
      <w:r w:rsidRPr="00F0294E">
        <w:rPr>
          <w:rFonts w:ascii="Calibri" w:hAnsi="Calibri" w:cs="Calibri"/>
          <w:sz w:val="24"/>
          <w:szCs w:val="24"/>
          <w:lang w:eastAsia="cs-CZ"/>
        </w:rPr>
        <w:t xml:space="preserve">, </w:t>
      </w:r>
      <w:r w:rsidR="00494995">
        <w:rPr>
          <w:rFonts w:ascii="Calibri" w:hAnsi="Calibri" w:cs="Calibri"/>
          <w:sz w:val="24"/>
          <w:szCs w:val="24"/>
          <w:lang w:eastAsia="cs-CZ"/>
        </w:rPr>
        <w:t>když</w:t>
      </w:r>
      <w:r w:rsidRPr="00F0294E">
        <w:rPr>
          <w:rFonts w:ascii="Calibri" w:hAnsi="Calibri" w:cs="Calibri"/>
          <w:sz w:val="24"/>
          <w:szCs w:val="24"/>
          <w:lang w:eastAsia="cs-CZ"/>
        </w:rPr>
        <w:t xml:space="preserve"> </w:t>
      </w:r>
      <w:r w:rsidRPr="00F0294E">
        <w:rPr>
          <w:rFonts w:ascii="Calibri" w:hAnsi="Calibri" w:cs="Calibri"/>
          <w:b/>
          <w:sz w:val="24"/>
          <w:szCs w:val="24"/>
          <w:lang w:eastAsia="cs-CZ"/>
        </w:rPr>
        <w:t>uhradila dvěma zhotovitelům částku ve výši 83 373,84 Kč za stejný předmět plnění.</w:t>
      </w:r>
    </w:p>
    <w:p w14:paraId="150AFFD9" w14:textId="67EFCE62" w:rsidR="002053DC" w:rsidRPr="00F0294E" w:rsidRDefault="002053DC" w:rsidP="00F0294E">
      <w:pPr>
        <w:spacing w:before="120" w:after="120" w:line="264" w:lineRule="auto"/>
        <w:jc w:val="both"/>
        <w:rPr>
          <w:rFonts w:ascii="Calibri" w:hAnsi="Calibri" w:cs="Calibri"/>
          <w:sz w:val="24"/>
          <w:szCs w:val="24"/>
        </w:rPr>
      </w:pPr>
      <w:r w:rsidRPr="00F0294E">
        <w:rPr>
          <w:rFonts w:ascii="Calibri" w:hAnsi="Calibri" w:cs="Calibri"/>
          <w:sz w:val="24"/>
          <w:szCs w:val="24"/>
        </w:rPr>
        <w:t xml:space="preserve">Dne 29. 3. 2017 uzavřela SPH se zhotovitelem díla celkové rekonstrukce a modernizace Nejvyššího </w:t>
      </w:r>
      <w:r w:rsidR="00A74230">
        <w:rPr>
          <w:rFonts w:ascii="Calibri" w:hAnsi="Calibri" w:cs="Calibri"/>
          <w:sz w:val="24"/>
          <w:szCs w:val="24"/>
        </w:rPr>
        <w:t>p</w:t>
      </w:r>
      <w:r w:rsidRPr="00F0294E">
        <w:rPr>
          <w:rFonts w:ascii="Calibri" w:hAnsi="Calibri" w:cs="Calibri"/>
          <w:sz w:val="24"/>
          <w:szCs w:val="24"/>
        </w:rPr>
        <w:t>urkrabství Pražského hradu smlouvu o dílo. Dne 22. 11. 2019 uzavřela SPH se</w:t>
      </w:r>
      <w:r w:rsidR="005203E4">
        <w:rPr>
          <w:rFonts w:ascii="Calibri" w:hAnsi="Calibri" w:cs="Calibri"/>
          <w:sz w:val="24"/>
          <w:szCs w:val="24"/>
        </w:rPr>
        <w:t xml:space="preserve"> </w:t>
      </w:r>
      <w:r w:rsidRPr="00F0294E">
        <w:rPr>
          <w:rFonts w:ascii="Calibri" w:hAnsi="Calibri" w:cs="Calibri"/>
          <w:sz w:val="24"/>
          <w:szCs w:val="24"/>
        </w:rPr>
        <w:t xml:space="preserve">zhotovitelem </w:t>
      </w:r>
      <w:r w:rsidR="005203E4">
        <w:rPr>
          <w:rFonts w:ascii="Calibri" w:hAnsi="Calibri" w:cs="Calibri"/>
          <w:sz w:val="24"/>
          <w:szCs w:val="24"/>
        </w:rPr>
        <w:t>d</w:t>
      </w:r>
      <w:r w:rsidRPr="00F0294E">
        <w:rPr>
          <w:rFonts w:ascii="Calibri" w:hAnsi="Calibri" w:cs="Calibri"/>
          <w:sz w:val="24"/>
          <w:szCs w:val="24"/>
        </w:rPr>
        <w:t>odatek č. 5</w:t>
      </w:r>
      <w:r w:rsidR="00A14340" w:rsidRPr="00F0294E">
        <w:rPr>
          <w:rFonts w:ascii="Calibri" w:hAnsi="Calibri" w:cs="Calibri"/>
          <w:sz w:val="24"/>
          <w:szCs w:val="24"/>
        </w:rPr>
        <w:t xml:space="preserve">, kterým se </w:t>
      </w:r>
      <w:r w:rsidRPr="00F0294E">
        <w:rPr>
          <w:rFonts w:ascii="Calibri" w:hAnsi="Calibri" w:cs="Calibri"/>
          <w:sz w:val="24"/>
          <w:szCs w:val="24"/>
        </w:rPr>
        <w:t xml:space="preserve">rozšířil </w:t>
      </w:r>
      <w:r w:rsidR="00A14340" w:rsidRPr="00F0294E">
        <w:rPr>
          <w:rFonts w:ascii="Calibri" w:hAnsi="Calibri" w:cs="Calibri"/>
          <w:sz w:val="24"/>
          <w:szCs w:val="24"/>
        </w:rPr>
        <w:t xml:space="preserve">předmět plnění </w:t>
      </w:r>
      <w:r w:rsidRPr="00F0294E">
        <w:rPr>
          <w:rFonts w:ascii="Calibri" w:hAnsi="Calibri" w:cs="Calibri"/>
          <w:sz w:val="24"/>
          <w:szCs w:val="24"/>
        </w:rPr>
        <w:t>o vyvolané vícepráce ve výši 83 373,84 Kč včetně DPH. Zhotovitel vyfakturoval vícepráce v hodnotě 83 373,84 Kč včetně DPH a SPH tyto vícepráce uhradila dne 17. 12. 2019.</w:t>
      </w:r>
    </w:p>
    <w:p w14:paraId="6205EECA" w14:textId="0C97512B" w:rsidR="002053DC" w:rsidRPr="00F0294E" w:rsidRDefault="002053DC" w:rsidP="00F0294E">
      <w:pPr>
        <w:spacing w:before="120" w:after="120" w:line="264" w:lineRule="auto"/>
        <w:jc w:val="both"/>
        <w:rPr>
          <w:rFonts w:ascii="Calibri" w:hAnsi="Calibri" w:cs="Calibri"/>
          <w:sz w:val="24"/>
          <w:szCs w:val="24"/>
        </w:rPr>
      </w:pPr>
      <w:r w:rsidRPr="00F0294E">
        <w:rPr>
          <w:rFonts w:ascii="Calibri" w:hAnsi="Calibri" w:cs="Calibri"/>
          <w:sz w:val="24"/>
          <w:szCs w:val="24"/>
        </w:rPr>
        <w:t>Dne 10. 9. 2018 uzavřela SPH se</w:t>
      </w:r>
      <w:r w:rsidR="005203E4">
        <w:rPr>
          <w:rFonts w:ascii="Calibri" w:hAnsi="Calibri" w:cs="Calibri"/>
          <w:sz w:val="24"/>
          <w:szCs w:val="24"/>
        </w:rPr>
        <w:t xml:space="preserve"> </w:t>
      </w:r>
      <w:r w:rsidRPr="00F0294E">
        <w:rPr>
          <w:rFonts w:ascii="Calibri" w:hAnsi="Calibri" w:cs="Calibri"/>
          <w:sz w:val="24"/>
          <w:szCs w:val="24"/>
        </w:rPr>
        <w:t xml:space="preserve">zhotovitelem díla restaurování tří malovaných dřevěných trámových záklopových stropů v objektu Nejvyššího </w:t>
      </w:r>
      <w:r w:rsidR="005203E4">
        <w:rPr>
          <w:rFonts w:ascii="Calibri" w:hAnsi="Calibri" w:cs="Calibri"/>
          <w:sz w:val="24"/>
          <w:szCs w:val="24"/>
        </w:rPr>
        <w:t>p</w:t>
      </w:r>
      <w:r w:rsidRPr="00F0294E">
        <w:rPr>
          <w:rFonts w:ascii="Calibri" w:hAnsi="Calibri" w:cs="Calibri"/>
          <w:sz w:val="24"/>
          <w:szCs w:val="24"/>
        </w:rPr>
        <w:t>urkrabství Pražského hradu smlouvu o dílo. Dne 6. 2. 2019 uzavřela SPH se</w:t>
      </w:r>
      <w:r w:rsidR="005203E4">
        <w:rPr>
          <w:rFonts w:ascii="Calibri" w:hAnsi="Calibri" w:cs="Calibri"/>
          <w:sz w:val="24"/>
          <w:szCs w:val="24"/>
        </w:rPr>
        <w:t xml:space="preserve"> </w:t>
      </w:r>
      <w:r w:rsidRPr="00F0294E">
        <w:rPr>
          <w:rFonts w:ascii="Calibri" w:hAnsi="Calibri" w:cs="Calibri"/>
          <w:sz w:val="24"/>
          <w:szCs w:val="24"/>
        </w:rPr>
        <w:t xml:space="preserve">zhotovitelem </w:t>
      </w:r>
      <w:r w:rsidR="005203E4">
        <w:rPr>
          <w:rFonts w:ascii="Calibri" w:hAnsi="Calibri" w:cs="Calibri"/>
          <w:sz w:val="24"/>
          <w:szCs w:val="24"/>
        </w:rPr>
        <w:t>d</w:t>
      </w:r>
      <w:r w:rsidRPr="00F0294E">
        <w:rPr>
          <w:rFonts w:ascii="Calibri" w:hAnsi="Calibri" w:cs="Calibri"/>
          <w:sz w:val="24"/>
          <w:szCs w:val="24"/>
        </w:rPr>
        <w:t>odatek č. 1 na totožné vícepráce ve výši 83 373,84 Kč včetně DPH, které zhotovitel vyfakturoval</w:t>
      </w:r>
      <w:r w:rsidR="00C02F9D">
        <w:rPr>
          <w:rFonts w:ascii="Calibri" w:hAnsi="Calibri" w:cs="Calibri"/>
          <w:sz w:val="24"/>
          <w:szCs w:val="24"/>
        </w:rPr>
        <w:t>,</w:t>
      </w:r>
      <w:r w:rsidRPr="00F0294E">
        <w:rPr>
          <w:rFonts w:ascii="Calibri" w:hAnsi="Calibri" w:cs="Calibri"/>
          <w:sz w:val="24"/>
          <w:szCs w:val="24"/>
        </w:rPr>
        <w:t xml:space="preserve"> a SPH tyto vícepráce uhradila dne 18. 3.</w:t>
      </w:r>
      <w:r w:rsidR="005203E4">
        <w:rPr>
          <w:rFonts w:ascii="Calibri" w:hAnsi="Calibri" w:cs="Calibri"/>
          <w:sz w:val="24"/>
          <w:szCs w:val="24"/>
        </w:rPr>
        <w:t> </w:t>
      </w:r>
      <w:r w:rsidRPr="00F0294E">
        <w:rPr>
          <w:rFonts w:ascii="Calibri" w:hAnsi="Calibri" w:cs="Calibri"/>
          <w:sz w:val="24"/>
          <w:szCs w:val="24"/>
        </w:rPr>
        <w:t>2019.</w:t>
      </w:r>
    </w:p>
    <w:p w14:paraId="18A695C0" w14:textId="77777777" w:rsidR="008C6B6E" w:rsidRPr="00F0294E" w:rsidRDefault="008C6B6E" w:rsidP="00F0294E">
      <w:pPr>
        <w:spacing w:before="120" w:after="120" w:line="264" w:lineRule="auto"/>
        <w:jc w:val="both"/>
        <w:rPr>
          <w:rFonts w:ascii="Calibri" w:hAnsi="Calibri" w:cs="Calibri"/>
          <w:sz w:val="24"/>
          <w:szCs w:val="24"/>
        </w:rPr>
      </w:pPr>
      <w:r w:rsidRPr="00F0294E">
        <w:rPr>
          <w:rFonts w:ascii="Calibri" w:hAnsi="Calibri" w:cs="Calibri"/>
          <w:sz w:val="24"/>
          <w:szCs w:val="24"/>
        </w:rPr>
        <w:t>Na základě kontrolního zjištění NKÚ vyzvala SPH druhého zhotovitele k vrácení částky ve</w:t>
      </w:r>
      <w:r w:rsidR="00F0294E">
        <w:rPr>
          <w:rFonts w:ascii="Calibri" w:hAnsi="Calibri" w:cs="Calibri"/>
          <w:sz w:val="24"/>
          <w:szCs w:val="24"/>
        </w:rPr>
        <w:t xml:space="preserve"> </w:t>
      </w:r>
      <w:r w:rsidRPr="00F0294E">
        <w:rPr>
          <w:rFonts w:ascii="Calibri" w:hAnsi="Calibri" w:cs="Calibri"/>
          <w:sz w:val="24"/>
          <w:szCs w:val="24"/>
        </w:rPr>
        <w:t>výši 83 373,84 Kč, kterou SPH duplicitně vyplatila. Dne 22. 7. 2022 vrátil zhotovitel částku na bankovní účet SPH.</w:t>
      </w:r>
      <w:r w:rsidRPr="00F0294E">
        <w:rPr>
          <w:rFonts w:ascii="Calibri" w:hAnsi="Calibri" w:cs="Calibri"/>
          <w:b/>
          <w:sz w:val="24"/>
          <w:szCs w:val="24"/>
        </w:rPr>
        <w:t xml:space="preserve"> </w:t>
      </w:r>
    </w:p>
    <w:p w14:paraId="49CB9C79" w14:textId="77777777" w:rsidR="00D01856" w:rsidRPr="006C71A8" w:rsidRDefault="00F0294E" w:rsidP="00F0294E">
      <w:pPr>
        <w:pStyle w:val="Nadpis1"/>
        <w:numPr>
          <w:ilvl w:val="0"/>
          <w:numId w:val="0"/>
        </w:numPr>
        <w:spacing w:before="240"/>
        <w:jc w:val="left"/>
      </w:pPr>
      <w:r>
        <w:t xml:space="preserve">2. </w:t>
      </w:r>
      <w:r w:rsidR="00D01856" w:rsidRPr="004D0952">
        <w:t>Veřejné zakázky</w:t>
      </w:r>
    </w:p>
    <w:p w14:paraId="233EB0DD" w14:textId="77777777" w:rsidR="00B0489B" w:rsidRPr="00C61AF7" w:rsidRDefault="00B0489B" w:rsidP="00F0294E">
      <w:pPr>
        <w:spacing w:before="120" w:after="120" w:line="264" w:lineRule="auto"/>
        <w:jc w:val="both"/>
        <w:rPr>
          <w:sz w:val="24"/>
          <w:szCs w:val="24"/>
          <w:lang w:eastAsia="cs-CZ"/>
        </w:rPr>
      </w:pPr>
      <w:r w:rsidRPr="00C61AF7">
        <w:rPr>
          <w:sz w:val="24"/>
          <w:szCs w:val="24"/>
          <w:lang w:eastAsia="cs-CZ"/>
        </w:rPr>
        <w:t xml:space="preserve">NKÚ </w:t>
      </w:r>
      <w:r w:rsidR="000E13F7" w:rsidRPr="00C61AF7">
        <w:rPr>
          <w:sz w:val="24"/>
          <w:szCs w:val="24"/>
          <w:lang w:eastAsia="cs-CZ"/>
        </w:rPr>
        <w:t xml:space="preserve">ke kontrole vybral </w:t>
      </w:r>
      <w:r w:rsidR="00AE1E9E" w:rsidRPr="00C61AF7">
        <w:rPr>
          <w:sz w:val="24"/>
          <w:szCs w:val="24"/>
          <w:lang w:eastAsia="cs-CZ"/>
        </w:rPr>
        <w:t xml:space="preserve">celkem </w:t>
      </w:r>
      <w:r w:rsidRPr="00C61AF7">
        <w:rPr>
          <w:sz w:val="24"/>
          <w:szCs w:val="24"/>
          <w:lang w:eastAsia="cs-CZ"/>
        </w:rPr>
        <w:t>sedm případů nadlimitních a</w:t>
      </w:r>
      <w:r w:rsidR="000E13F7" w:rsidRPr="00C61AF7">
        <w:rPr>
          <w:sz w:val="24"/>
          <w:szCs w:val="24"/>
          <w:lang w:eastAsia="cs-CZ"/>
        </w:rPr>
        <w:t> </w:t>
      </w:r>
      <w:r w:rsidRPr="00C61AF7">
        <w:rPr>
          <w:sz w:val="24"/>
          <w:szCs w:val="24"/>
          <w:lang w:eastAsia="cs-CZ"/>
        </w:rPr>
        <w:t>podlimitních veřejných zakázek a</w:t>
      </w:r>
      <w:r w:rsidR="006C54AB">
        <w:rPr>
          <w:sz w:val="24"/>
          <w:szCs w:val="24"/>
          <w:lang w:eastAsia="cs-CZ"/>
        </w:rPr>
        <w:t> </w:t>
      </w:r>
      <w:r w:rsidRPr="00C61AF7">
        <w:rPr>
          <w:sz w:val="24"/>
          <w:szCs w:val="24"/>
          <w:lang w:eastAsia="cs-CZ"/>
        </w:rPr>
        <w:t xml:space="preserve">25 veřejných zakázek malého rozsahu. </w:t>
      </w:r>
    </w:p>
    <w:p w14:paraId="3713DF22" w14:textId="66790C77" w:rsidR="00AE69C1" w:rsidRDefault="00B0489B" w:rsidP="00F0294E">
      <w:pPr>
        <w:spacing w:before="120" w:after="120" w:line="264" w:lineRule="auto"/>
        <w:jc w:val="both"/>
        <w:rPr>
          <w:sz w:val="24"/>
          <w:szCs w:val="24"/>
        </w:rPr>
      </w:pPr>
      <w:r w:rsidRPr="00B0489B">
        <w:rPr>
          <w:sz w:val="24"/>
          <w:szCs w:val="24"/>
          <w:lang w:eastAsia="cs-CZ"/>
        </w:rPr>
        <w:t xml:space="preserve">V oblasti veřejných zakázek NKÚ zjistil </w:t>
      </w:r>
      <w:r w:rsidR="001D3263">
        <w:rPr>
          <w:sz w:val="24"/>
          <w:szCs w:val="24"/>
          <w:lang w:eastAsia="cs-CZ"/>
        </w:rPr>
        <w:t>v </w:t>
      </w:r>
      <w:r w:rsidRPr="00B0489B">
        <w:rPr>
          <w:b/>
          <w:sz w:val="24"/>
          <w:szCs w:val="24"/>
          <w:lang w:eastAsia="cs-CZ"/>
        </w:rPr>
        <w:t>jedno</w:t>
      </w:r>
      <w:r w:rsidR="001D3263">
        <w:rPr>
          <w:b/>
          <w:sz w:val="24"/>
          <w:szCs w:val="24"/>
          <w:lang w:eastAsia="cs-CZ"/>
        </w:rPr>
        <w:t xml:space="preserve">m případě </w:t>
      </w:r>
      <w:r w:rsidR="00AE1E9E">
        <w:rPr>
          <w:b/>
          <w:sz w:val="24"/>
          <w:szCs w:val="24"/>
          <w:lang w:eastAsia="cs-CZ"/>
        </w:rPr>
        <w:t xml:space="preserve">podlimitní veřejné zakázky </w:t>
      </w:r>
      <w:r w:rsidR="001D3263">
        <w:rPr>
          <w:b/>
          <w:sz w:val="24"/>
          <w:szCs w:val="24"/>
          <w:lang w:eastAsia="cs-CZ"/>
        </w:rPr>
        <w:t>nesoulad</w:t>
      </w:r>
      <w:r w:rsidRPr="00B0489B">
        <w:rPr>
          <w:b/>
          <w:sz w:val="24"/>
          <w:szCs w:val="24"/>
          <w:lang w:eastAsia="cs-CZ"/>
        </w:rPr>
        <w:t xml:space="preserve"> se zákon</w:t>
      </w:r>
      <w:r w:rsidR="001D3263">
        <w:rPr>
          <w:b/>
          <w:sz w:val="24"/>
          <w:szCs w:val="24"/>
          <w:lang w:eastAsia="cs-CZ"/>
        </w:rPr>
        <w:t>em</w:t>
      </w:r>
      <w:r w:rsidRPr="00B0489B">
        <w:rPr>
          <w:b/>
          <w:sz w:val="24"/>
          <w:szCs w:val="24"/>
          <w:lang w:eastAsia="cs-CZ"/>
        </w:rPr>
        <w:t xml:space="preserve"> </w:t>
      </w:r>
      <w:r w:rsidR="004131A5">
        <w:rPr>
          <w:b/>
          <w:sz w:val="24"/>
          <w:szCs w:val="24"/>
          <w:lang w:eastAsia="cs-CZ"/>
        </w:rPr>
        <w:t>č. 134/2016 Sb.</w:t>
      </w:r>
      <w:r w:rsidR="001D3263" w:rsidRPr="00B20B23">
        <w:rPr>
          <w:b/>
          <w:sz w:val="24"/>
          <w:szCs w:val="24"/>
          <w:lang w:eastAsia="cs-CZ"/>
        </w:rPr>
        <w:t>,</w:t>
      </w:r>
      <w:r w:rsidR="001D3263">
        <w:rPr>
          <w:sz w:val="24"/>
          <w:szCs w:val="24"/>
          <w:lang w:eastAsia="cs-CZ"/>
        </w:rPr>
        <w:t xml:space="preserve"> když SPH</w:t>
      </w:r>
      <w:r w:rsidRPr="00B0489B">
        <w:rPr>
          <w:sz w:val="24"/>
          <w:szCs w:val="24"/>
        </w:rPr>
        <w:t xml:space="preserve"> nestanovila předpokládanou hodnotu veřejné zakázky dle</w:t>
      </w:r>
      <w:r w:rsidR="005203E4">
        <w:rPr>
          <w:sz w:val="24"/>
          <w:szCs w:val="24"/>
        </w:rPr>
        <w:t xml:space="preserve"> </w:t>
      </w:r>
      <w:r w:rsidRPr="00B0489B">
        <w:rPr>
          <w:sz w:val="24"/>
          <w:szCs w:val="24"/>
        </w:rPr>
        <w:t>kontrolního rozpočtu z projektové dokumentace.</w:t>
      </w:r>
      <w:r w:rsidR="009B38EE">
        <w:rPr>
          <w:sz w:val="24"/>
          <w:szCs w:val="24"/>
        </w:rPr>
        <w:t xml:space="preserve"> </w:t>
      </w:r>
    </w:p>
    <w:p w14:paraId="1063F4D2" w14:textId="77777777" w:rsidR="002053DC" w:rsidRPr="006C71A8" w:rsidRDefault="00F0294E" w:rsidP="00F0294E">
      <w:pPr>
        <w:pStyle w:val="Nadpis1"/>
        <w:numPr>
          <w:ilvl w:val="0"/>
          <w:numId w:val="0"/>
        </w:numPr>
        <w:spacing w:before="240"/>
        <w:jc w:val="left"/>
      </w:pPr>
      <w:r>
        <w:t xml:space="preserve">3. </w:t>
      </w:r>
      <w:r w:rsidR="002F3F39">
        <w:t>F</w:t>
      </w:r>
      <w:r w:rsidR="002053DC" w:rsidRPr="004D0952">
        <w:t>inancování</w:t>
      </w:r>
      <w:r w:rsidR="002F3F39">
        <w:t xml:space="preserve"> programů reprodukce majetku</w:t>
      </w:r>
    </w:p>
    <w:p w14:paraId="65B3CB1E" w14:textId="77777777" w:rsidR="002053DC" w:rsidRPr="00823206" w:rsidRDefault="002053DC" w:rsidP="00F0294E">
      <w:pPr>
        <w:spacing w:before="120" w:after="120" w:line="264" w:lineRule="auto"/>
        <w:jc w:val="both"/>
        <w:rPr>
          <w:rFonts w:ascii="Calibri" w:hAnsi="Calibri" w:cs="Calibri"/>
          <w:sz w:val="24"/>
          <w:szCs w:val="24"/>
        </w:rPr>
      </w:pPr>
      <w:r w:rsidRPr="009541E7">
        <w:rPr>
          <w:sz w:val="24"/>
          <w:szCs w:val="24"/>
        </w:rPr>
        <w:t xml:space="preserve">NKÚ </w:t>
      </w:r>
      <w:r>
        <w:rPr>
          <w:sz w:val="24"/>
          <w:szCs w:val="24"/>
        </w:rPr>
        <w:t>zkontroloval</w:t>
      </w:r>
      <w:r w:rsidRPr="009541E7">
        <w:rPr>
          <w:sz w:val="24"/>
          <w:szCs w:val="24"/>
        </w:rPr>
        <w:t xml:space="preserve"> dvě akce</w:t>
      </w:r>
      <w:r w:rsidRPr="00703C42">
        <w:rPr>
          <w:rStyle w:val="Znakapoznpodarou"/>
          <w:sz w:val="24"/>
        </w:rPr>
        <w:footnoteReference w:id="23"/>
      </w:r>
      <w:r w:rsidRPr="009541E7">
        <w:rPr>
          <w:sz w:val="24"/>
          <w:szCs w:val="24"/>
        </w:rPr>
        <w:t xml:space="preserve">. </w:t>
      </w:r>
      <w:r w:rsidRPr="009541E7">
        <w:rPr>
          <w:rFonts w:ascii="Calibri" w:hAnsi="Calibri" w:cs="Calibri"/>
          <w:sz w:val="24"/>
          <w:szCs w:val="24"/>
        </w:rPr>
        <w:t>Na základě investičních záměrů, které k oběma akcím vyhotovila SPH, stanovila KPR v ř</w:t>
      </w:r>
      <w:r w:rsidR="006C54AB">
        <w:rPr>
          <w:rFonts w:ascii="Calibri" w:hAnsi="Calibri" w:cs="Calibri"/>
          <w:sz w:val="24"/>
          <w:szCs w:val="24"/>
        </w:rPr>
        <w:t>í</w:t>
      </w:r>
      <w:r w:rsidRPr="009541E7">
        <w:rPr>
          <w:rFonts w:ascii="Calibri" w:hAnsi="Calibri" w:cs="Calibri"/>
          <w:sz w:val="24"/>
          <w:szCs w:val="24"/>
        </w:rPr>
        <w:t>d</w:t>
      </w:r>
      <w:r w:rsidR="006C54AB">
        <w:rPr>
          <w:rFonts w:ascii="Calibri" w:hAnsi="Calibri" w:cs="Calibri"/>
          <w:sz w:val="24"/>
          <w:szCs w:val="24"/>
        </w:rPr>
        <w:t>i</w:t>
      </w:r>
      <w:r w:rsidRPr="009541E7">
        <w:rPr>
          <w:rFonts w:ascii="Calibri" w:hAnsi="Calibri" w:cs="Calibri"/>
          <w:sz w:val="24"/>
          <w:szCs w:val="24"/>
        </w:rPr>
        <w:t>cích dokumentech</w:t>
      </w:r>
      <w:r w:rsidRPr="00703C42">
        <w:rPr>
          <w:rStyle w:val="Znakapoznpodarou"/>
          <w:rFonts w:ascii="Calibri" w:hAnsi="Calibri" w:cs="Calibri"/>
          <w:sz w:val="24"/>
        </w:rPr>
        <w:footnoteReference w:id="24"/>
      </w:r>
      <w:r w:rsidRPr="009541E7">
        <w:rPr>
          <w:rFonts w:ascii="Calibri" w:hAnsi="Calibri" w:cs="Calibri"/>
          <w:sz w:val="24"/>
          <w:szCs w:val="24"/>
        </w:rPr>
        <w:t xml:space="preserve"> termíny, indikátory, parametry akce a</w:t>
      </w:r>
      <w:r>
        <w:rPr>
          <w:rFonts w:ascii="Calibri" w:hAnsi="Calibri" w:cs="Calibri"/>
          <w:sz w:val="24"/>
          <w:szCs w:val="24"/>
        </w:rPr>
        <w:t> </w:t>
      </w:r>
      <w:r w:rsidRPr="009541E7">
        <w:rPr>
          <w:rFonts w:ascii="Calibri" w:hAnsi="Calibri" w:cs="Calibri"/>
          <w:sz w:val="24"/>
          <w:szCs w:val="24"/>
        </w:rPr>
        <w:t xml:space="preserve">účast státního rozpočtu. </w:t>
      </w:r>
      <w:r>
        <w:rPr>
          <w:sz w:val="24"/>
          <w:szCs w:val="24"/>
        </w:rPr>
        <w:t>U jedné kontrolované akce</w:t>
      </w:r>
      <w:r w:rsidRPr="00823206">
        <w:rPr>
          <w:rFonts w:ascii="Calibri" w:hAnsi="Calibri" w:cs="Calibri"/>
          <w:sz w:val="24"/>
          <w:szCs w:val="24"/>
        </w:rPr>
        <w:t xml:space="preserve"> </w:t>
      </w:r>
      <w:r w:rsidRPr="00823206">
        <w:rPr>
          <w:rFonts w:cstheme="minorHAnsi"/>
          <w:color w:val="000000"/>
          <w:sz w:val="24"/>
          <w:szCs w:val="24"/>
          <w:lang w:eastAsia="cs-CZ"/>
        </w:rPr>
        <w:t xml:space="preserve">stanovila KPR </w:t>
      </w:r>
      <w:r>
        <w:rPr>
          <w:rFonts w:cstheme="minorHAnsi"/>
          <w:color w:val="000000"/>
          <w:sz w:val="24"/>
          <w:szCs w:val="24"/>
          <w:lang w:eastAsia="cs-CZ"/>
        </w:rPr>
        <w:t xml:space="preserve">indikátory </w:t>
      </w:r>
      <w:r w:rsidRPr="00AD2AF5">
        <w:rPr>
          <w:rFonts w:cstheme="minorHAnsi"/>
          <w:color w:val="000000"/>
          <w:sz w:val="24"/>
          <w:szCs w:val="24"/>
          <w:lang w:eastAsia="cs-CZ"/>
        </w:rPr>
        <w:t>„</w:t>
      </w:r>
      <w:r w:rsidRPr="00AD2AF5">
        <w:rPr>
          <w:rFonts w:ascii="Calibri" w:hAnsi="Calibri" w:cs="Arial"/>
          <w:i/>
          <w:sz w:val="24"/>
          <w:szCs w:val="24"/>
        </w:rPr>
        <w:t>Trvalá péče o areál PH</w:t>
      </w:r>
      <w:r w:rsidR="00F64587">
        <w:rPr>
          <w:rFonts w:ascii="Calibri" w:hAnsi="Calibri" w:cs="Arial"/>
          <w:i/>
          <w:sz w:val="24"/>
          <w:szCs w:val="24"/>
        </w:rPr>
        <w:t> –</w:t>
      </w:r>
      <w:r w:rsidRPr="00AD2AF5">
        <w:rPr>
          <w:rFonts w:ascii="Calibri" w:hAnsi="Calibri" w:cs="Arial"/>
          <w:i/>
          <w:sz w:val="24"/>
          <w:szCs w:val="24"/>
        </w:rPr>
        <w:t xml:space="preserve"> rekonstrukce objektů</w:t>
      </w:r>
      <w:r w:rsidRPr="00AD2AF5">
        <w:rPr>
          <w:rFonts w:ascii="Calibri" w:hAnsi="Calibri" w:cs="Arial"/>
          <w:sz w:val="24"/>
          <w:szCs w:val="24"/>
        </w:rPr>
        <w:t>“</w:t>
      </w:r>
      <w:r>
        <w:rPr>
          <w:rFonts w:ascii="Calibri" w:hAnsi="Calibri" w:cs="Arial"/>
          <w:sz w:val="24"/>
          <w:szCs w:val="24"/>
        </w:rPr>
        <w:t xml:space="preserve"> a</w:t>
      </w:r>
      <w:r w:rsidRPr="00823206">
        <w:rPr>
          <w:rFonts w:cstheme="minorHAnsi"/>
          <w:color w:val="000000"/>
          <w:sz w:val="24"/>
          <w:szCs w:val="24"/>
          <w:lang w:eastAsia="cs-CZ"/>
        </w:rPr>
        <w:t xml:space="preserve"> </w:t>
      </w:r>
      <w:r w:rsidRPr="00AD2AF5">
        <w:rPr>
          <w:rFonts w:cstheme="minorHAnsi"/>
          <w:color w:val="000000"/>
          <w:sz w:val="24"/>
          <w:szCs w:val="24"/>
          <w:lang w:eastAsia="cs-CZ"/>
        </w:rPr>
        <w:t>„</w:t>
      </w:r>
      <w:r w:rsidRPr="00AD2AF5">
        <w:rPr>
          <w:rFonts w:cstheme="minorHAnsi"/>
          <w:i/>
          <w:color w:val="000000"/>
          <w:sz w:val="24"/>
          <w:szCs w:val="24"/>
          <w:lang w:eastAsia="cs-CZ"/>
        </w:rPr>
        <w:t>Zvýšení kvality prostředí vytvoření nových víceúčelových ploch</w:t>
      </w:r>
      <w:r w:rsidRPr="00AD2AF5">
        <w:rPr>
          <w:rFonts w:cstheme="minorHAnsi"/>
          <w:color w:val="000000"/>
          <w:sz w:val="24"/>
          <w:szCs w:val="24"/>
          <w:lang w:eastAsia="cs-CZ"/>
        </w:rPr>
        <w:t>“</w:t>
      </w:r>
      <w:r w:rsidRPr="00823206">
        <w:rPr>
          <w:rFonts w:cstheme="minorHAnsi"/>
          <w:color w:val="000000"/>
          <w:sz w:val="24"/>
          <w:szCs w:val="24"/>
          <w:lang w:eastAsia="cs-CZ"/>
        </w:rPr>
        <w:t>.</w:t>
      </w:r>
      <w:r w:rsidRPr="00823206">
        <w:rPr>
          <w:rFonts w:ascii="Calibri" w:hAnsi="Calibri" w:cs="Calibri"/>
          <w:sz w:val="24"/>
          <w:szCs w:val="24"/>
        </w:rPr>
        <w:t xml:space="preserve"> </w:t>
      </w:r>
      <w:r>
        <w:rPr>
          <w:rFonts w:ascii="Calibri" w:hAnsi="Calibri" w:cs="Calibri"/>
          <w:sz w:val="24"/>
          <w:szCs w:val="24"/>
        </w:rPr>
        <w:t>U druhé akce</w:t>
      </w:r>
      <w:r w:rsidRPr="00823206">
        <w:rPr>
          <w:rFonts w:ascii="Calibri" w:hAnsi="Calibri" w:cs="Calibri"/>
          <w:sz w:val="24"/>
          <w:szCs w:val="24"/>
        </w:rPr>
        <w:t xml:space="preserve"> stanovila KPR </w:t>
      </w:r>
      <w:r>
        <w:rPr>
          <w:rFonts w:ascii="Calibri" w:hAnsi="Calibri" w:cs="Calibri"/>
          <w:sz w:val="24"/>
          <w:szCs w:val="24"/>
        </w:rPr>
        <w:t xml:space="preserve">indikátor </w:t>
      </w:r>
      <w:r w:rsidRPr="00AD2AF5">
        <w:rPr>
          <w:rFonts w:ascii="Calibri" w:hAnsi="Calibri" w:cs="Calibri"/>
          <w:sz w:val="24"/>
          <w:szCs w:val="24"/>
        </w:rPr>
        <w:t>„</w:t>
      </w:r>
      <w:r w:rsidRPr="00AD2AF5">
        <w:rPr>
          <w:rFonts w:ascii="Calibri" w:hAnsi="Calibri" w:cs="Calibri"/>
          <w:i/>
          <w:sz w:val="24"/>
          <w:szCs w:val="24"/>
        </w:rPr>
        <w:t>Trvalá péče o areál Pražského hradu a zvýšení kvality prostředí – rekonstrukce stávajících objektů</w:t>
      </w:r>
      <w:r w:rsidRPr="00AD2AF5">
        <w:rPr>
          <w:rFonts w:ascii="Calibri" w:hAnsi="Calibri" w:cs="Calibri"/>
          <w:sz w:val="24"/>
          <w:szCs w:val="24"/>
        </w:rPr>
        <w:t>“.</w:t>
      </w:r>
      <w:r w:rsidRPr="00823206">
        <w:rPr>
          <w:rFonts w:ascii="Calibri" w:hAnsi="Calibri" w:cs="Calibri"/>
          <w:sz w:val="24"/>
          <w:szCs w:val="24"/>
        </w:rPr>
        <w:t xml:space="preserve"> </w:t>
      </w:r>
      <w:r w:rsidRPr="000E39A7">
        <w:rPr>
          <w:rFonts w:ascii="Calibri" w:hAnsi="Calibri" w:cs="Calibri"/>
          <w:sz w:val="24"/>
          <w:szCs w:val="24"/>
        </w:rPr>
        <w:t>Měrná jednotka byla stanovena v procentech.</w:t>
      </w:r>
      <w:r>
        <w:rPr>
          <w:rFonts w:ascii="Calibri" w:hAnsi="Calibri" w:cs="Calibri"/>
          <w:b/>
          <w:sz w:val="24"/>
          <w:szCs w:val="24"/>
        </w:rPr>
        <w:t xml:space="preserve"> </w:t>
      </w:r>
      <w:r w:rsidRPr="00823206">
        <w:rPr>
          <w:rFonts w:ascii="Calibri" w:hAnsi="Calibri" w:cs="Calibri"/>
          <w:sz w:val="24"/>
          <w:szCs w:val="24"/>
        </w:rPr>
        <w:t>SP</w:t>
      </w:r>
      <w:r>
        <w:rPr>
          <w:rFonts w:ascii="Calibri" w:hAnsi="Calibri" w:cs="Calibri"/>
          <w:sz w:val="24"/>
          <w:szCs w:val="24"/>
        </w:rPr>
        <w:t>H v závěrečném vyhodnocení akcí uvedla, že splnila stanovené indikátory.</w:t>
      </w:r>
    </w:p>
    <w:p w14:paraId="3D842BE5" w14:textId="77777777" w:rsidR="00CF5202" w:rsidRPr="008C6B6E" w:rsidRDefault="00F0294E" w:rsidP="00F0294E">
      <w:pPr>
        <w:pStyle w:val="Nadpis1"/>
        <w:numPr>
          <w:ilvl w:val="0"/>
          <w:numId w:val="0"/>
        </w:numPr>
        <w:spacing w:before="0"/>
        <w:jc w:val="left"/>
      </w:pPr>
      <w:r>
        <w:lastRenderedPageBreak/>
        <w:t xml:space="preserve">4. </w:t>
      </w:r>
      <w:r w:rsidR="00CF5202" w:rsidRPr="008C6B6E">
        <w:t xml:space="preserve">Nedostatky </w:t>
      </w:r>
      <w:r w:rsidR="00765669" w:rsidRPr="008C6B6E">
        <w:t>při pořizování</w:t>
      </w:r>
      <w:r w:rsidR="00B0489B" w:rsidRPr="008C6B6E">
        <w:t xml:space="preserve"> </w:t>
      </w:r>
      <w:r w:rsidR="00765669" w:rsidRPr="008C6B6E">
        <w:t>a nakládání s</w:t>
      </w:r>
      <w:r w:rsidR="00194A22" w:rsidRPr="008C6B6E">
        <w:t> </w:t>
      </w:r>
      <w:r w:rsidR="00765669" w:rsidRPr="008C6B6E">
        <w:t>majetkem</w:t>
      </w:r>
      <w:r w:rsidR="00194A22" w:rsidRPr="008C6B6E">
        <w:t>, vedení účetnictví a inventarizac</w:t>
      </w:r>
      <w:r w:rsidR="00D26C18">
        <w:t>e</w:t>
      </w:r>
    </w:p>
    <w:p w14:paraId="1294BC8C" w14:textId="77777777" w:rsidR="008C6B6E" w:rsidRDefault="008C6B6E" w:rsidP="00682E31">
      <w:pPr>
        <w:spacing w:before="120" w:after="120" w:line="264" w:lineRule="auto"/>
        <w:jc w:val="both"/>
        <w:rPr>
          <w:sz w:val="24"/>
          <w:szCs w:val="24"/>
        </w:rPr>
      </w:pPr>
      <w:bookmarkStart w:id="3" w:name="_Hlk114483417"/>
      <w:r w:rsidRPr="000E39A7">
        <w:rPr>
          <w:sz w:val="24"/>
          <w:szCs w:val="24"/>
        </w:rPr>
        <w:t xml:space="preserve">NKÚ </w:t>
      </w:r>
      <w:r w:rsidRPr="006C54AB">
        <w:rPr>
          <w:b/>
          <w:sz w:val="24"/>
          <w:szCs w:val="24"/>
        </w:rPr>
        <w:t>prověřil 18 případů nabytí majetku, práv a povinností</w:t>
      </w:r>
      <w:r w:rsidRPr="000E39A7">
        <w:rPr>
          <w:sz w:val="24"/>
          <w:szCs w:val="24"/>
        </w:rPr>
        <w:t xml:space="preserve"> v celkové hodnotě 340 279 tis. Kč</w:t>
      </w:r>
      <w:r w:rsidR="00F11B4E">
        <w:rPr>
          <w:sz w:val="24"/>
          <w:szCs w:val="24"/>
        </w:rPr>
        <w:t xml:space="preserve">, </w:t>
      </w:r>
      <w:r w:rsidRPr="006C54AB">
        <w:rPr>
          <w:b/>
          <w:sz w:val="24"/>
          <w:szCs w:val="24"/>
        </w:rPr>
        <w:t>100 případů úbytků majetku</w:t>
      </w:r>
      <w:r w:rsidRPr="000E39A7">
        <w:rPr>
          <w:sz w:val="24"/>
          <w:szCs w:val="24"/>
        </w:rPr>
        <w:t xml:space="preserve"> v celkové hodnotě 29 762 tis. Kč</w:t>
      </w:r>
      <w:r w:rsidR="00F11B4E">
        <w:rPr>
          <w:sz w:val="24"/>
          <w:szCs w:val="24"/>
        </w:rPr>
        <w:t xml:space="preserve"> a </w:t>
      </w:r>
      <w:r w:rsidRPr="006C54AB">
        <w:rPr>
          <w:b/>
          <w:sz w:val="24"/>
          <w:szCs w:val="24"/>
        </w:rPr>
        <w:t>97 případů vynaložení peněžních prostředků na náklady</w:t>
      </w:r>
      <w:r>
        <w:rPr>
          <w:sz w:val="24"/>
          <w:szCs w:val="24"/>
        </w:rPr>
        <w:t xml:space="preserve"> v celkové hodnotě 122 929 tis. Kč. Jednalo se o náklady na opravy a udržování a vybrané služby.</w:t>
      </w:r>
    </w:p>
    <w:p w14:paraId="6F11FDDB" w14:textId="77777777" w:rsidR="008C6B6E" w:rsidRDefault="008C6B6E" w:rsidP="00682E31">
      <w:pPr>
        <w:spacing w:before="120" w:after="0" w:line="264" w:lineRule="auto"/>
        <w:jc w:val="both"/>
        <w:rPr>
          <w:sz w:val="24"/>
          <w:szCs w:val="24"/>
        </w:rPr>
      </w:pPr>
      <w:r>
        <w:rPr>
          <w:sz w:val="24"/>
          <w:szCs w:val="24"/>
        </w:rPr>
        <w:t>Ve výše uvedených oblastech zjistil NKÚ</w:t>
      </w:r>
      <w:r w:rsidRPr="00B0489B">
        <w:rPr>
          <w:sz w:val="24"/>
          <w:szCs w:val="24"/>
        </w:rPr>
        <w:t xml:space="preserve"> </w:t>
      </w:r>
      <w:r w:rsidRPr="00B0489B">
        <w:rPr>
          <w:b/>
          <w:sz w:val="24"/>
          <w:szCs w:val="24"/>
        </w:rPr>
        <w:t>nedostatky v oblasti účetnictví</w:t>
      </w:r>
      <w:r w:rsidRPr="00B20B23">
        <w:rPr>
          <w:b/>
          <w:sz w:val="24"/>
          <w:szCs w:val="24"/>
        </w:rPr>
        <w:t>:</w:t>
      </w:r>
    </w:p>
    <w:p w14:paraId="2044A0D7" w14:textId="77777777" w:rsidR="008C6B6E" w:rsidRPr="00AD7E4A" w:rsidRDefault="008C6B6E" w:rsidP="00682E31">
      <w:pPr>
        <w:pStyle w:val="Odstavecseseznamem"/>
        <w:numPr>
          <w:ilvl w:val="0"/>
          <w:numId w:val="36"/>
        </w:numPr>
        <w:spacing w:after="0" w:line="264" w:lineRule="auto"/>
        <w:ind w:left="284" w:hanging="284"/>
        <w:contextualSpacing w:val="0"/>
        <w:jc w:val="both"/>
        <w:rPr>
          <w:rFonts w:cstheme="minorHAnsi"/>
          <w:sz w:val="24"/>
          <w:szCs w:val="24"/>
        </w:rPr>
      </w:pPr>
      <w:r w:rsidRPr="00F14C5B">
        <w:rPr>
          <w:b/>
          <w:sz w:val="24"/>
          <w:szCs w:val="24"/>
        </w:rPr>
        <w:t>v</w:t>
      </w:r>
      <w:r w:rsidRPr="00AD7E4A">
        <w:rPr>
          <w:rFonts w:cstheme="minorHAnsi"/>
          <w:sz w:val="24"/>
          <w:szCs w:val="24"/>
        </w:rPr>
        <w:t> </w:t>
      </w:r>
      <w:r w:rsidRPr="00AD7E4A">
        <w:rPr>
          <w:rFonts w:cstheme="minorHAnsi"/>
          <w:b/>
          <w:sz w:val="24"/>
          <w:szCs w:val="24"/>
        </w:rPr>
        <w:t>pěti případech nezaúčtovala SPH dlouhodobý hmotný majetek a</w:t>
      </w:r>
      <w:r>
        <w:rPr>
          <w:rFonts w:cstheme="minorHAnsi"/>
          <w:b/>
          <w:sz w:val="24"/>
          <w:szCs w:val="24"/>
        </w:rPr>
        <w:t> </w:t>
      </w:r>
      <w:r w:rsidRPr="00AD7E4A">
        <w:rPr>
          <w:rFonts w:cstheme="minorHAnsi"/>
          <w:b/>
          <w:sz w:val="24"/>
          <w:szCs w:val="24"/>
        </w:rPr>
        <w:t>postoupení práv a</w:t>
      </w:r>
      <w:r w:rsidR="00AF79FC">
        <w:rPr>
          <w:rFonts w:cstheme="minorHAnsi"/>
          <w:b/>
          <w:sz w:val="24"/>
          <w:szCs w:val="24"/>
        </w:rPr>
        <w:t> </w:t>
      </w:r>
      <w:r w:rsidRPr="00AD7E4A">
        <w:rPr>
          <w:rFonts w:cstheme="minorHAnsi"/>
          <w:b/>
          <w:sz w:val="24"/>
          <w:szCs w:val="24"/>
        </w:rPr>
        <w:t>povinností v celkové výši 158 204 tis. Kč do období, s nímž tyto skutečnosti časově a</w:t>
      </w:r>
      <w:r w:rsidR="00937721">
        <w:rPr>
          <w:rFonts w:cstheme="minorHAnsi"/>
          <w:b/>
          <w:sz w:val="24"/>
          <w:szCs w:val="24"/>
        </w:rPr>
        <w:t> </w:t>
      </w:r>
      <w:r w:rsidRPr="00AD7E4A">
        <w:rPr>
          <w:rFonts w:cstheme="minorHAnsi"/>
          <w:b/>
          <w:sz w:val="24"/>
          <w:szCs w:val="24"/>
        </w:rPr>
        <w:t>věcně souvisely</w:t>
      </w:r>
      <w:r w:rsidRPr="00703C42">
        <w:rPr>
          <w:rStyle w:val="Znakapoznpodarou"/>
          <w:rFonts w:cstheme="minorHAnsi"/>
          <w:sz w:val="24"/>
        </w:rPr>
        <w:footnoteReference w:id="25"/>
      </w:r>
      <w:r w:rsidRPr="00AD7E4A">
        <w:rPr>
          <w:rFonts w:cstheme="minorHAnsi"/>
          <w:sz w:val="24"/>
          <w:szCs w:val="24"/>
        </w:rPr>
        <w:t xml:space="preserve">. </w:t>
      </w:r>
      <w:r w:rsidRPr="00A014AF">
        <w:rPr>
          <w:rFonts w:cstheme="minorHAnsi"/>
          <w:bCs/>
          <w:sz w:val="24"/>
          <w:szCs w:val="24"/>
        </w:rPr>
        <w:t>Časová prodleva při zařazování dlouhodobého majetku do majetkové evidence a zaúčtování na majetkové účty rovněž ovlivnila výši odpisů a oprávek k dlouhodobému hmotnému majetku</w:t>
      </w:r>
      <w:r w:rsidR="00A014AF">
        <w:t>,</w:t>
      </w:r>
    </w:p>
    <w:p w14:paraId="03DB0956" w14:textId="77777777" w:rsidR="008C6B6E" w:rsidRPr="00CF5202" w:rsidRDefault="008C6B6E" w:rsidP="00682E31">
      <w:pPr>
        <w:pStyle w:val="Odstavecseseznamem"/>
        <w:numPr>
          <w:ilvl w:val="0"/>
          <w:numId w:val="36"/>
        </w:numPr>
        <w:spacing w:after="120" w:line="264" w:lineRule="auto"/>
        <w:ind w:left="284" w:hanging="284"/>
        <w:contextualSpacing w:val="0"/>
        <w:jc w:val="both"/>
        <w:rPr>
          <w:sz w:val="24"/>
          <w:szCs w:val="24"/>
        </w:rPr>
      </w:pPr>
      <w:r w:rsidRPr="00545048">
        <w:rPr>
          <w:rFonts w:cstheme="minorHAnsi"/>
          <w:b/>
          <w:sz w:val="24"/>
          <w:szCs w:val="24"/>
        </w:rPr>
        <w:t xml:space="preserve">ve dvou </w:t>
      </w:r>
      <w:r w:rsidRPr="00AD7E4A">
        <w:rPr>
          <w:rFonts w:cstheme="minorHAnsi"/>
          <w:b/>
          <w:sz w:val="24"/>
          <w:szCs w:val="24"/>
        </w:rPr>
        <w:t xml:space="preserve">případech </w:t>
      </w:r>
      <w:r w:rsidRPr="00A014AF">
        <w:rPr>
          <w:rFonts w:cstheme="minorHAnsi"/>
          <w:b/>
          <w:sz w:val="24"/>
          <w:szCs w:val="24"/>
        </w:rPr>
        <w:t>nebyla pořizovací cena technického zhodnocení cenou</w:t>
      </w:r>
      <w:r w:rsidRPr="00AD7E4A">
        <w:rPr>
          <w:rFonts w:cstheme="minorHAnsi"/>
          <w:b/>
          <w:sz w:val="24"/>
          <w:szCs w:val="24"/>
        </w:rPr>
        <w:t>, za kterou byl majetek pořízen</w:t>
      </w:r>
      <w:r w:rsidRPr="00703C42">
        <w:rPr>
          <w:rStyle w:val="Znakapoznpodarou"/>
          <w:rFonts w:cstheme="minorHAnsi"/>
          <w:sz w:val="24"/>
        </w:rPr>
        <w:footnoteReference w:id="26"/>
      </w:r>
      <w:r w:rsidRPr="00AD7E4A">
        <w:rPr>
          <w:rFonts w:cstheme="minorHAnsi"/>
          <w:sz w:val="24"/>
          <w:szCs w:val="24"/>
        </w:rPr>
        <w:t>.</w:t>
      </w:r>
      <w:r>
        <w:rPr>
          <w:rFonts w:cstheme="minorHAnsi"/>
          <w:sz w:val="24"/>
          <w:szCs w:val="24"/>
        </w:rPr>
        <w:t xml:space="preserve"> SPH zahrnula </w:t>
      </w:r>
      <w:r w:rsidR="00A46B6B">
        <w:rPr>
          <w:rFonts w:cstheme="minorHAnsi"/>
          <w:sz w:val="24"/>
          <w:szCs w:val="24"/>
        </w:rPr>
        <w:t xml:space="preserve">do </w:t>
      </w:r>
      <w:r w:rsidR="00A014AF">
        <w:rPr>
          <w:rFonts w:cstheme="minorHAnsi"/>
          <w:sz w:val="24"/>
          <w:szCs w:val="24"/>
        </w:rPr>
        <w:t>ocenění</w:t>
      </w:r>
      <w:r>
        <w:rPr>
          <w:rFonts w:cstheme="minorHAnsi"/>
          <w:sz w:val="24"/>
          <w:szCs w:val="24"/>
        </w:rPr>
        <w:t xml:space="preserve"> technického zhodnocení náklady týkající se jiného objektu a náklady na opravy a údržbu v celkové výši 495 tis. Kč.</w:t>
      </w:r>
    </w:p>
    <w:p w14:paraId="0501E8AF" w14:textId="77777777" w:rsidR="008C6B6E" w:rsidRPr="00682E31" w:rsidRDefault="008C6B6E" w:rsidP="00682E31">
      <w:pPr>
        <w:spacing w:before="120" w:after="120" w:line="264" w:lineRule="auto"/>
        <w:jc w:val="both"/>
        <w:rPr>
          <w:rFonts w:cstheme="minorHAnsi"/>
          <w:color w:val="000000" w:themeColor="text1"/>
          <w:sz w:val="24"/>
          <w:szCs w:val="24"/>
        </w:rPr>
      </w:pPr>
      <w:r w:rsidRPr="00682E31">
        <w:rPr>
          <w:rFonts w:cstheme="minorHAnsi"/>
          <w:color w:val="000000" w:themeColor="text1"/>
          <w:sz w:val="24"/>
          <w:szCs w:val="24"/>
        </w:rPr>
        <w:t>NKÚ zjistil, že</w:t>
      </w:r>
      <w:r w:rsidRPr="00682E31">
        <w:rPr>
          <w:rFonts w:cstheme="minorHAnsi"/>
          <w:b/>
          <w:color w:val="000000" w:themeColor="text1"/>
          <w:sz w:val="24"/>
          <w:szCs w:val="24"/>
        </w:rPr>
        <w:t xml:space="preserve"> v jednom případě SPH nepostupovala dle </w:t>
      </w:r>
      <w:r w:rsidRPr="00682E31">
        <w:rPr>
          <w:b/>
          <w:bCs/>
          <w:iCs/>
          <w:color w:val="000000" w:themeColor="text1"/>
          <w:sz w:val="24"/>
          <w:szCs w:val="24"/>
        </w:rPr>
        <w:t>zákona č. 219/2000 Sb.</w:t>
      </w:r>
      <w:r w:rsidRPr="00682E31">
        <w:rPr>
          <w:rStyle w:val="Znakapoznpodarou"/>
          <w:bCs/>
          <w:color w:val="000000" w:themeColor="text1"/>
          <w:sz w:val="24"/>
        </w:rPr>
        <w:footnoteReference w:id="27"/>
      </w:r>
      <w:r w:rsidRPr="00682E31">
        <w:rPr>
          <w:rFonts w:cstheme="minorHAnsi"/>
          <w:b/>
          <w:color w:val="000000" w:themeColor="text1"/>
          <w:sz w:val="24"/>
          <w:szCs w:val="24"/>
        </w:rPr>
        <w:t xml:space="preserve">, jelikož vedoucí zaměstnanec písemně nerozhodl o nepotřebnosti majetku. </w:t>
      </w:r>
    </w:p>
    <w:p w14:paraId="35483D25" w14:textId="77777777" w:rsidR="008C6B6E" w:rsidRPr="00682E31" w:rsidRDefault="008C6B6E" w:rsidP="00682E31">
      <w:pPr>
        <w:spacing w:before="120" w:after="120" w:line="264" w:lineRule="auto"/>
        <w:ind w:hanging="11"/>
        <w:jc w:val="both"/>
        <w:rPr>
          <w:color w:val="000000" w:themeColor="text1"/>
          <w:sz w:val="24"/>
          <w:szCs w:val="24"/>
        </w:rPr>
      </w:pPr>
      <w:r w:rsidRPr="00682E31">
        <w:rPr>
          <w:color w:val="000000" w:themeColor="text1"/>
          <w:sz w:val="24"/>
          <w:szCs w:val="24"/>
          <w:lang w:eastAsia="cs-CZ"/>
        </w:rPr>
        <w:t xml:space="preserve">NKÚ dále prověřil, zda SPH provedla za rok 2021 inventarizaci v souladu s právními předpisy. </w:t>
      </w:r>
      <w:r w:rsidRPr="00682E31">
        <w:rPr>
          <w:color w:val="000000" w:themeColor="text1"/>
          <w:sz w:val="24"/>
          <w:szCs w:val="24"/>
        </w:rPr>
        <w:t xml:space="preserve">V nastavení vnitřních předpisů k provedení inventarizace byly zjištěny formální nedostatky. </w:t>
      </w:r>
    </w:p>
    <w:p w14:paraId="2F5E776E" w14:textId="77777777" w:rsidR="008C6B6E" w:rsidRPr="00682E31" w:rsidRDefault="008C6B6E" w:rsidP="00682E31">
      <w:pPr>
        <w:spacing w:before="120" w:after="120" w:line="264" w:lineRule="auto"/>
        <w:jc w:val="both"/>
        <w:rPr>
          <w:rFonts w:cstheme="minorHAnsi"/>
          <w:color w:val="000000" w:themeColor="text1"/>
          <w:sz w:val="24"/>
        </w:rPr>
      </w:pPr>
      <w:r w:rsidRPr="00682E31">
        <w:rPr>
          <w:rFonts w:cstheme="majorBidi"/>
          <w:b/>
          <w:color w:val="000000" w:themeColor="text1"/>
          <w:sz w:val="24"/>
        </w:rPr>
        <w:t>SPH při inventarizaci k 31. 12. 2021 nepostupovala v některých případech v souladu se zákonem o účetnictví</w:t>
      </w:r>
      <w:r w:rsidRPr="00682E31">
        <w:rPr>
          <w:rStyle w:val="Znakapoznpodarou"/>
          <w:rFonts w:cstheme="minorHAnsi"/>
          <w:bCs/>
          <w:color w:val="000000" w:themeColor="text1"/>
          <w:sz w:val="24"/>
        </w:rPr>
        <w:footnoteReference w:id="28"/>
      </w:r>
      <w:r w:rsidR="0094061C" w:rsidRPr="00682E31">
        <w:rPr>
          <w:rFonts w:cstheme="majorBidi"/>
          <w:b/>
          <w:color w:val="000000" w:themeColor="text1"/>
          <w:sz w:val="24"/>
        </w:rPr>
        <w:t>.</w:t>
      </w:r>
      <w:r w:rsidRPr="00682E31">
        <w:rPr>
          <w:rFonts w:cstheme="majorBidi"/>
          <w:b/>
          <w:color w:val="000000" w:themeColor="text1"/>
          <w:sz w:val="24"/>
        </w:rPr>
        <w:t xml:space="preserve"> </w:t>
      </w:r>
      <w:r w:rsidRPr="00682E31">
        <w:rPr>
          <w:rFonts w:cstheme="majorBidi"/>
          <w:color w:val="000000" w:themeColor="text1"/>
          <w:sz w:val="24"/>
        </w:rPr>
        <w:t>SPH v důsledku nesprávného účtování vykázala v účetní závěrce k 31. 12. 2021 zůstatky na nesprávných účtech</w:t>
      </w:r>
      <w:r w:rsidR="00A014AF" w:rsidRPr="00682E31">
        <w:rPr>
          <w:rFonts w:cstheme="majorBidi"/>
          <w:color w:val="000000" w:themeColor="text1"/>
          <w:sz w:val="24"/>
        </w:rPr>
        <w:t>.</w:t>
      </w:r>
      <w:r w:rsidRPr="00682E31">
        <w:rPr>
          <w:rFonts w:cstheme="minorHAnsi"/>
          <w:color w:val="000000" w:themeColor="text1"/>
          <w:sz w:val="24"/>
        </w:rPr>
        <w:t xml:space="preserve"> </w:t>
      </w:r>
    </w:p>
    <w:bookmarkEnd w:id="3"/>
    <w:p w14:paraId="56187945" w14:textId="77777777" w:rsidR="001C522F" w:rsidRPr="004D0952" w:rsidRDefault="003B0A65" w:rsidP="003B0A65">
      <w:pPr>
        <w:pStyle w:val="Nadpis1"/>
        <w:numPr>
          <w:ilvl w:val="0"/>
          <w:numId w:val="0"/>
        </w:numPr>
        <w:spacing w:before="240"/>
        <w:jc w:val="left"/>
      </w:pPr>
      <w:r>
        <w:t xml:space="preserve">5. </w:t>
      </w:r>
      <w:r w:rsidR="001C522F" w:rsidRPr="004D0952">
        <w:t>Výnosy</w:t>
      </w:r>
    </w:p>
    <w:p w14:paraId="03F142C2" w14:textId="4DCB4A9D" w:rsidR="001C522F" w:rsidRDefault="001C522F" w:rsidP="003B0A65">
      <w:pPr>
        <w:spacing w:before="120" w:after="120" w:line="264" w:lineRule="auto"/>
        <w:ind w:hanging="11"/>
        <w:jc w:val="both"/>
        <w:rPr>
          <w:b/>
          <w:sz w:val="24"/>
          <w:szCs w:val="24"/>
        </w:rPr>
      </w:pPr>
      <w:r w:rsidRPr="00A014AF">
        <w:rPr>
          <w:sz w:val="24"/>
          <w:szCs w:val="24"/>
        </w:rPr>
        <w:t xml:space="preserve">V oblasti výnosů prověřil NKÚ zejména </w:t>
      </w:r>
      <w:r w:rsidRPr="00B04CDA">
        <w:rPr>
          <w:b/>
          <w:sz w:val="24"/>
          <w:szCs w:val="24"/>
        </w:rPr>
        <w:t>výnosy z pronájmu</w:t>
      </w:r>
      <w:r w:rsidRPr="00B20B23">
        <w:rPr>
          <w:b/>
          <w:sz w:val="24"/>
          <w:szCs w:val="24"/>
        </w:rPr>
        <w:t>.</w:t>
      </w:r>
      <w:r w:rsidRPr="00A014AF">
        <w:rPr>
          <w:sz w:val="24"/>
          <w:szCs w:val="24"/>
        </w:rPr>
        <w:t xml:space="preserve"> V let</w:t>
      </w:r>
      <w:r>
        <w:rPr>
          <w:sz w:val="24"/>
          <w:szCs w:val="24"/>
        </w:rPr>
        <w:t xml:space="preserve">ech </w:t>
      </w:r>
      <w:r w:rsidR="0008614B">
        <w:rPr>
          <w:sz w:val="24"/>
          <w:szCs w:val="24"/>
        </w:rPr>
        <w:t>2019</w:t>
      </w:r>
      <w:r w:rsidR="00EC5AE2">
        <w:rPr>
          <w:rFonts w:cstheme="minorHAnsi"/>
        </w:rPr>
        <w:t>–</w:t>
      </w:r>
      <w:r w:rsidR="0008614B">
        <w:rPr>
          <w:sz w:val="24"/>
          <w:szCs w:val="24"/>
        </w:rPr>
        <w:t>2021</w:t>
      </w:r>
      <w:r>
        <w:rPr>
          <w:sz w:val="24"/>
          <w:szCs w:val="24"/>
        </w:rPr>
        <w:t xml:space="preserve"> přenechala SPH majetek do</w:t>
      </w:r>
      <w:r w:rsidR="002E06D7">
        <w:rPr>
          <w:sz w:val="24"/>
          <w:szCs w:val="24"/>
        </w:rPr>
        <w:t xml:space="preserve"> </w:t>
      </w:r>
      <w:r>
        <w:rPr>
          <w:sz w:val="24"/>
          <w:szCs w:val="24"/>
        </w:rPr>
        <w:t xml:space="preserve">dočasného užívání jiným subjektům v souladu s právními předpisy. V kontrolovaném období </w:t>
      </w:r>
      <w:r w:rsidR="0008614B">
        <w:rPr>
          <w:sz w:val="24"/>
          <w:szCs w:val="24"/>
        </w:rPr>
        <w:t xml:space="preserve">let </w:t>
      </w:r>
      <w:r>
        <w:rPr>
          <w:sz w:val="24"/>
          <w:szCs w:val="24"/>
        </w:rPr>
        <w:t>2019</w:t>
      </w:r>
      <w:r w:rsidR="00EC5AE2">
        <w:rPr>
          <w:rFonts w:cstheme="minorHAnsi"/>
        </w:rPr>
        <w:t>–</w:t>
      </w:r>
      <w:r>
        <w:rPr>
          <w:sz w:val="24"/>
          <w:szCs w:val="24"/>
        </w:rPr>
        <w:t xml:space="preserve">2021 pronajímala </w:t>
      </w:r>
      <w:r w:rsidR="006C54AB">
        <w:rPr>
          <w:sz w:val="24"/>
          <w:szCs w:val="24"/>
        </w:rPr>
        <w:t xml:space="preserve">SPH </w:t>
      </w:r>
      <w:r>
        <w:rPr>
          <w:sz w:val="24"/>
          <w:szCs w:val="24"/>
        </w:rPr>
        <w:t>nemovitosti ke komerčnímu využití</w:t>
      </w:r>
      <w:r w:rsidR="003B0A65">
        <w:rPr>
          <w:sz w:val="24"/>
          <w:szCs w:val="24"/>
        </w:rPr>
        <w:t> </w:t>
      </w:r>
      <w:r>
        <w:rPr>
          <w:sz w:val="24"/>
          <w:szCs w:val="24"/>
        </w:rPr>
        <w:t xml:space="preserve">– dlouhodobé pronájmy; reprezentativní prostory Pražského hradu na krátkodobé pronájmy; služební byty, které jsou ve vlastnictví SPH. NKÚ prověřil smlouvy o nájmu nebytových prostor, které SPH uzavřela s 13 nájemci; osm smluv týkajících se pronájmů reprezentačních prostor a dále smlouvy, které SPH uzavřela se sedmi zaměstnanci. Vybraný vzorek výnosů z pronájmu </w:t>
      </w:r>
      <w:r w:rsidR="00A46B6B">
        <w:rPr>
          <w:sz w:val="24"/>
          <w:szCs w:val="24"/>
        </w:rPr>
        <w:t xml:space="preserve">byl </w:t>
      </w:r>
      <w:r>
        <w:rPr>
          <w:sz w:val="24"/>
          <w:szCs w:val="24"/>
        </w:rPr>
        <w:t>v celkové výši 23 997 290,92 Kč.</w:t>
      </w:r>
      <w:r>
        <w:t xml:space="preserve"> </w:t>
      </w:r>
      <w:r w:rsidRPr="00CE1343">
        <w:rPr>
          <w:b/>
          <w:sz w:val="24"/>
          <w:szCs w:val="24"/>
        </w:rPr>
        <w:t>NKÚ</w:t>
      </w:r>
      <w:r w:rsidR="00B04CDA">
        <w:rPr>
          <w:b/>
          <w:sz w:val="24"/>
          <w:szCs w:val="24"/>
        </w:rPr>
        <w:t xml:space="preserve"> nezjistil</w:t>
      </w:r>
      <w:r w:rsidRPr="00CE1343">
        <w:rPr>
          <w:b/>
          <w:sz w:val="24"/>
          <w:szCs w:val="24"/>
        </w:rPr>
        <w:t xml:space="preserve"> </w:t>
      </w:r>
      <w:r w:rsidR="00B04CDA">
        <w:rPr>
          <w:b/>
          <w:sz w:val="24"/>
          <w:szCs w:val="24"/>
        </w:rPr>
        <w:t xml:space="preserve">na kontrolním vzorku </w:t>
      </w:r>
      <w:r w:rsidRPr="00CE1343">
        <w:rPr>
          <w:b/>
          <w:sz w:val="24"/>
          <w:szCs w:val="24"/>
        </w:rPr>
        <w:t>nedostatky.</w:t>
      </w:r>
    </w:p>
    <w:p w14:paraId="599AB529" w14:textId="77777777" w:rsidR="00194A22" w:rsidRPr="006C71A8" w:rsidRDefault="00B13E29" w:rsidP="00B13E29">
      <w:pPr>
        <w:pStyle w:val="Nadpis1"/>
        <w:numPr>
          <w:ilvl w:val="0"/>
          <w:numId w:val="0"/>
        </w:numPr>
        <w:spacing w:before="240"/>
        <w:jc w:val="left"/>
      </w:pPr>
      <w:r>
        <w:t xml:space="preserve">6. </w:t>
      </w:r>
      <w:r w:rsidR="00194A22" w:rsidRPr="006C71A8">
        <w:t>Nesoulad údajů katastru nemovitostí s majetkovou evidencí</w:t>
      </w:r>
    </w:p>
    <w:p w14:paraId="1F24D7F0" w14:textId="1F26B3BB" w:rsidR="00194A22" w:rsidRPr="00543892" w:rsidRDefault="004B56D2" w:rsidP="00B13E29">
      <w:pPr>
        <w:spacing w:before="120" w:after="120" w:line="264" w:lineRule="auto"/>
        <w:jc w:val="both"/>
        <w:rPr>
          <w:rFonts w:cstheme="minorHAnsi"/>
          <w:bCs/>
          <w:sz w:val="24"/>
          <w:szCs w:val="24"/>
        </w:rPr>
      </w:pPr>
      <w:r>
        <w:rPr>
          <w:rFonts w:cstheme="minorHAnsi"/>
          <w:bCs/>
          <w:iCs/>
          <w:sz w:val="24"/>
          <w:szCs w:val="24"/>
        </w:rPr>
        <w:t xml:space="preserve">V rámci kontroly nápravných opatření ke KA č. 12/05 </w:t>
      </w:r>
      <w:r w:rsidR="00460B12">
        <w:rPr>
          <w:rFonts w:cstheme="minorHAnsi"/>
          <w:bCs/>
          <w:iCs/>
          <w:sz w:val="24"/>
          <w:szCs w:val="24"/>
        </w:rPr>
        <w:t xml:space="preserve">prověřil NKÚ soulad údajů katastru nemovitostí s majetkovou evidencí. </w:t>
      </w:r>
      <w:r w:rsidR="00194A22" w:rsidRPr="004D0952">
        <w:rPr>
          <w:rFonts w:cstheme="minorHAnsi"/>
          <w:bCs/>
          <w:iCs/>
          <w:sz w:val="24"/>
          <w:szCs w:val="24"/>
        </w:rPr>
        <w:t>SPH k 31. 12. 2021 nevykázala ve</w:t>
      </w:r>
      <w:r w:rsidR="00EC5AE2">
        <w:rPr>
          <w:rFonts w:cstheme="minorHAnsi"/>
          <w:bCs/>
          <w:iCs/>
          <w:sz w:val="24"/>
          <w:szCs w:val="24"/>
        </w:rPr>
        <w:t xml:space="preserve"> </w:t>
      </w:r>
      <w:r w:rsidR="00194A22" w:rsidRPr="004D0952">
        <w:rPr>
          <w:rFonts w:cstheme="minorHAnsi"/>
          <w:bCs/>
          <w:iCs/>
          <w:sz w:val="24"/>
          <w:szCs w:val="24"/>
        </w:rPr>
        <w:t xml:space="preserve">své majetkové evidenci pod samostatnými inventárními čísly 16 samostatných staveb v katastrálních územích Lány </w:t>
      </w:r>
      <w:r w:rsidR="00194A22" w:rsidRPr="004D0952">
        <w:rPr>
          <w:rFonts w:cstheme="minorHAnsi"/>
          <w:bCs/>
          <w:iCs/>
          <w:sz w:val="24"/>
          <w:szCs w:val="24"/>
        </w:rPr>
        <w:lastRenderedPageBreak/>
        <w:t>a Hradčany.</w:t>
      </w:r>
      <w:r w:rsidR="00194A22" w:rsidRPr="00B0489B">
        <w:rPr>
          <w:rFonts w:cstheme="minorHAnsi"/>
          <w:bCs/>
          <w:iCs/>
          <w:sz w:val="24"/>
          <w:szCs w:val="24"/>
        </w:rPr>
        <w:t xml:space="preserve"> </w:t>
      </w:r>
      <w:r w:rsidR="00194A22" w:rsidRPr="00B0489B">
        <w:rPr>
          <w:rFonts w:cstheme="minorHAnsi"/>
          <w:b/>
          <w:bCs/>
          <w:iCs/>
          <w:sz w:val="24"/>
          <w:szCs w:val="24"/>
        </w:rPr>
        <w:t>SPH</w:t>
      </w:r>
      <w:r w:rsidR="00194A22" w:rsidRPr="00B0489B">
        <w:rPr>
          <w:rFonts w:cstheme="minorHAnsi"/>
          <w:b/>
          <w:bCs/>
          <w:sz w:val="24"/>
          <w:szCs w:val="24"/>
        </w:rPr>
        <w:t xml:space="preserve"> nepostupovala v</w:t>
      </w:r>
      <w:r w:rsidR="00194A22">
        <w:rPr>
          <w:rFonts w:cstheme="minorHAnsi"/>
          <w:b/>
          <w:bCs/>
          <w:sz w:val="24"/>
          <w:szCs w:val="24"/>
        </w:rPr>
        <w:t> </w:t>
      </w:r>
      <w:r w:rsidR="00194A22" w:rsidRPr="00B0489B">
        <w:rPr>
          <w:rFonts w:cstheme="minorHAnsi"/>
          <w:b/>
          <w:bCs/>
          <w:sz w:val="24"/>
          <w:szCs w:val="24"/>
        </w:rPr>
        <w:t>souladu se zákonem č. 219/2000 Sb.</w:t>
      </w:r>
      <w:r w:rsidR="00194A22" w:rsidRPr="000D66CD">
        <w:rPr>
          <w:rStyle w:val="Znakapoznpodarou"/>
          <w:rFonts w:cstheme="minorHAnsi"/>
          <w:bCs/>
          <w:sz w:val="24"/>
        </w:rPr>
        <w:footnoteReference w:id="29"/>
      </w:r>
      <w:r w:rsidR="00194A22" w:rsidRPr="00B0489B">
        <w:rPr>
          <w:rFonts w:cstheme="minorHAnsi"/>
          <w:b/>
          <w:bCs/>
          <w:sz w:val="24"/>
          <w:szCs w:val="24"/>
        </w:rPr>
        <w:t xml:space="preserve">, jelikož nevedla veškerý majetek, </w:t>
      </w:r>
      <w:r w:rsidR="00194A22" w:rsidRPr="00543892">
        <w:rPr>
          <w:rFonts w:cstheme="minorHAnsi"/>
          <w:bCs/>
          <w:sz w:val="24"/>
          <w:szCs w:val="24"/>
        </w:rPr>
        <w:t>ke</w:t>
      </w:r>
      <w:r w:rsidR="002E06D7">
        <w:rPr>
          <w:rFonts w:cstheme="minorHAnsi"/>
          <w:bCs/>
          <w:sz w:val="24"/>
          <w:szCs w:val="24"/>
        </w:rPr>
        <w:t xml:space="preserve"> </w:t>
      </w:r>
      <w:r w:rsidR="00194A22" w:rsidRPr="00543892">
        <w:rPr>
          <w:rFonts w:cstheme="minorHAnsi"/>
          <w:bCs/>
          <w:sz w:val="24"/>
          <w:szCs w:val="24"/>
        </w:rPr>
        <w:t xml:space="preserve">kterému měla příslušnost hospodařit, ve svém účetnictví a </w:t>
      </w:r>
      <w:r w:rsidR="00194A22" w:rsidRPr="00543892">
        <w:rPr>
          <w:rFonts w:cstheme="minorHAnsi"/>
          <w:b/>
          <w:bCs/>
          <w:sz w:val="24"/>
          <w:szCs w:val="24"/>
        </w:rPr>
        <w:t>neprovedla jeho inventarizaci</w:t>
      </w:r>
      <w:r w:rsidR="00194A22" w:rsidRPr="00B20B23">
        <w:rPr>
          <w:rFonts w:cstheme="minorHAnsi"/>
          <w:b/>
          <w:bCs/>
          <w:sz w:val="24"/>
          <w:szCs w:val="24"/>
        </w:rPr>
        <w:t>.</w:t>
      </w:r>
      <w:r w:rsidR="00194A22" w:rsidRPr="00543892">
        <w:rPr>
          <w:rFonts w:cstheme="minorHAnsi"/>
          <w:bCs/>
          <w:sz w:val="24"/>
          <w:szCs w:val="24"/>
        </w:rPr>
        <w:t xml:space="preserve"> </w:t>
      </w:r>
    </w:p>
    <w:p w14:paraId="637CD732" w14:textId="61B430ED" w:rsidR="00194A22" w:rsidRPr="00B0489B" w:rsidRDefault="00194A22" w:rsidP="00B13E29">
      <w:pPr>
        <w:spacing w:before="120" w:after="120" w:line="264" w:lineRule="auto"/>
        <w:jc w:val="both"/>
        <w:rPr>
          <w:rFonts w:cstheme="minorHAnsi"/>
          <w:bCs/>
          <w:iCs/>
          <w:sz w:val="24"/>
          <w:szCs w:val="24"/>
        </w:rPr>
      </w:pPr>
      <w:r w:rsidRPr="00B0489B">
        <w:rPr>
          <w:rFonts w:cstheme="minorHAnsi"/>
          <w:sz w:val="24"/>
          <w:szCs w:val="24"/>
        </w:rPr>
        <w:t xml:space="preserve">Na </w:t>
      </w:r>
      <w:r w:rsidRPr="00B0489B">
        <w:rPr>
          <w:rFonts w:cstheme="minorHAnsi"/>
          <w:bCs/>
          <w:iCs/>
          <w:sz w:val="24"/>
          <w:szCs w:val="24"/>
        </w:rPr>
        <w:t>základě</w:t>
      </w:r>
      <w:r w:rsidRPr="00B0489B">
        <w:rPr>
          <w:rFonts w:cstheme="minorHAnsi"/>
          <w:sz w:val="24"/>
          <w:szCs w:val="24"/>
        </w:rPr>
        <w:t xml:space="preserve"> smluv o převodu majetku mezi Úřadem pro zastupování státu ve věcech majetkových a SPH došlo ke změně příslušnosti hospodařit s majetkem státu ve</w:t>
      </w:r>
      <w:r w:rsidR="00EC5AE2">
        <w:rPr>
          <w:rFonts w:cstheme="minorHAnsi"/>
          <w:sz w:val="24"/>
          <w:szCs w:val="24"/>
        </w:rPr>
        <w:t xml:space="preserve"> </w:t>
      </w:r>
      <w:r w:rsidRPr="00B0489B">
        <w:rPr>
          <w:rFonts w:cstheme="minorHAnsi"/>
          <w:sz w:val="24"/>
          <w:szCs w:val="24"/>
        </w:rPr>
        <w:t>prospěch SPH</w:t>
      </w:r>
      <w:r>
        <w:rPr>
          <w:rFonts w:cstheme="minorHAnsi"/>
          <w:sz w:val="24"/>
          <w:szCs w:val="24"/>
        </w:rPr>
        <w:t>.</w:t>
      </w:r>
      <w:r w:rsidRPr="00B0489B">
        <w:rPr>
          <w:rFonts w:cstheme="minorHAnsi"/>
          <w:sz w:val="24"/>
          <w:szCs w:val="24"/>
        </w:rPr>
        <w:t xml:space="preserve"> Jednalo se o převod bytových jednotek včetně pozemků, resp. spoluvlastnických podílů na</w:t>
      </w:r>
      <w:r w:rsidR="00EC5AE2">
        <w:rPr>
          <w:rFonts w:cstheme="minorHAnsi"/>
          <w:sz w:val="24"/>
          <w:szCs w:val="24"/>
        </w:rPr>
        <w:t xml:space="preserve"> </w:t>
      </w:r>
      <w:r w:rsidRPr="00B0489B">
        <w:rPr>
          <w:rFonts w:cstheme="minorHAnsi"/>
          <w:sz w:val="24"/>
          <w:szCs w:val="24"/>
        </w:rPr>
        <w:t xml:space="preserve">pozemcích. </w:t>
      </w:r>
      <w:r w:rsidRPr="00B0489B">
        <w:rPr>
          <w:rFonts w:cstheme="minorHAnsi"/>
          <w:b/>
          <w:sz w:val="24"/>
          <w:szCs w:val="24"/>
        </w:rPr>
        <w:t xml:space="preserve">V šesti případech </w:t>
      </w:r>
      <w:r w:rsidRPr="00D3471E">
        <w:rPr>
          <w:rFonts w:cstheme="minorHAnsi"/>
          <w:b/>
          <w:sz w:val="24"/>
          <w:szCs w:val="24"/>
        </w:rPr>
        <w:t>zaúčtovala SPH na účet 021</w:t>
      </w:r>
      <w:r w:rsidRPr="00B0489B">
        <w:rPr>
          <w:rFonts w:cstheme="minorHAnsi"/>
          <w:b/>
          <w:sz w:val="24"/>
          <w:szCs w:val="24"/>
        </w:rPr>
        <w:t xml:space="preserve"> – </w:t>
      </w:r>
      <w:r w:rsidRPr="00B0489B">
        <w:rPr>
          <w:rFonts w:cstheme="minorHAnsi"/>
          <w:b/>
          <w:i/>
          <w:sz w:val="24"/>
          <w:szCs w:val="24"/>
        </w:rPr>
        <w:t xml:space="preserve">Stavby </w:t>
      </w:r>
      <w:r w:rsidRPr="00B0489B">
        <w:rPr>
          <w:rFonts w:cstheme="minorHAnsi"/>
          <w:b/>
          <w:sz w:val="24"/>
          <w:szCs w:val="24"/>
        </w:rPr>
        <w:t xml:space="preserve">jako pořizovací cenu převáděné bytové jednotky hodnotu veškerého převáděného majetku, </w:t>
      </w:r>
      <w:r w:rsidRPr="00543892">
        <w:rPr>
          <w:rFonts w:cstheme="minorHAnsi"/>
          <w:sz w:val="24"/>
          <w:szCs w:val="24"/>
        </w:rPr>
        <w:t>tedy celkovou hodnotu bytové jednotky včetně hodnoty podílu na</w:t>
      </w:r>
      <w:r w:rsidR="00EC5AE2">
        <w:rPr>
          <w:rFonts w:cstheme="minorHAnsi"/>
          <w:sz w:val="24"/>
          <w:szCs w:val="24"/>
        </w:rPr>
        <w:t xml:space="preserve"> </w:t>
      </w:r>
      <w:r w:rsidRPr="00543892">
        <w:rPr>
          <w:rFonts w:cstheme="minorHAnsi"/>
          <w:sz w:val="24"/>
          <w:szCs w:val="24"/>
        </w:rPr>
        <w:t>pozemcích. V účetnictví SPH však pozemky (resp. spoluvlastnické podíly na pozemcích) nebyly k bytovým jednotkám vykázány odděleně</w:t>
      </w:r>
      <w:r w:rsidRPr="00B20B23">
        <w:rPr>
          <w:rFonts w:cstheme="minorHAnsi"/>
          <w:sz w:val="24"/>
          <w:szCs w:val="24"/>
        </w:rPr>
        <w:t>.</w:t>
      </w:r>
      <w:r w:rsidRPr="00B0489B">
        <w:rPr>
          <w:rFonts w:cstheme="minorHAnsi"/>
          <w:sz w:val="24"/>
          <w:szCs w:val="24"/>
        </w:rPr>
        <w:t xml:space="preserve"> Ocenění pozemků (podílu na pozemcích) bylo zahrnuto do vstupní ceny bytových jednotek a SPH je </w:t>
      </w:r>
      <w:r>
        <w:rPr>
          <w:rFonts w:cstheme="minorHAnsi"/>
          <w:sz w:val="24"/>
          <w:szCs w:val="24"/>
        </w:rPr>
        <w:t xml:space="preserve">nesprávně </w:t>
      </w:r>
      <w:r w:rsidRPr="00B0489B">
        <w:rPr>
          <w:rFonts w:cstheme="minorHAnsi"/>
          <w:sz w:val="24"/>
          <w:szCs w:val="24"/>
        </w:rPr>
        <w:t xml:space="preserve">odepisovala. </w:t>
      </w:r>
    </w:p>
    <w:p w14:paraId="47587E2B" w14:textId="3B9092C9" w:rsidR="00C20BDC" w:rsidRDefault="0008614B" w:rsidP="00B13E29">
      <w:pPr>
        <w:spacing w:before="120" w:after="120" w:line="264" w:lineRule="auto"/>
        <w:jc w:val="both"/>
        <w:rPr>
          <w:rFonts w:cstheme="minorHAnsi"/>
          <w:bCs/>
          <w:sz w:val="24"/>
          <w:szCs w:val="24"/>
        </w:rPr>
      </w:pPr>
      <w:r w:rsidRPr="00B0489B">
        <w:rPr>
          <w:rFonts w:cstheme="minorHAnsi"/>
          <w:b/>
          <w:bCs/>
          <w:sz w:val="24"/>
          <w:szCs w:val="24"/>
        </w:rPr>
        <w:t>SPH nezjistila při provádění inventur</w:t>
      </w:r>
      <w:r w:rsidR="000D66CD" w:rsidRPr="000D66CD">
        <w:rPr>
          <w:rFonts w:cstheme="minorHAnsi"/>
          <w:bCs/>
          <w:sz w:val="24"/>
          <w:szCs w:val="24"/>
          <w:vertAlign w:val="superscript"/>
        </w:rPr>
        <w:t>27</w:t>
      </w:r>
      <w:r w:rsidRPr="00B0489B">
        <w:rPr>
          <w:rFonts w:cstheme="minorHAnsi"/>
          <w:b/>
          <w:bCs/>
          <w:sz w:val="24"/>
          <w:szCs w:val="24"/>
        </w:rPr>
        <w:t xml:space="preserve"> existenci 16 samostatných staveb.</w:t>
      </w:r>
      <w:r w:rsidRPr="00B0489B">
        <w:rPr>
          <w:rFonts w:cstheme="minorHAnsi"/>
          <w:bCs/>
          <w:sz w:val="24"/>
          <w:szCs w:val="24"/>
        </w:rPr>
        <w:t xml:space="preserve"> </w:t>
      </w:r>
      <w:r w:rsidRPr="00543892">
        <w:rPr>
          <w:rFonts w:cstheme="minorHAnsi"/>
          <w:bCs/>
          <w:sz w:val="24"/>
          <w:szCs w:val="24"/>
        </w:rPr>
        <w:t>Časová prodleva při</w:t>
      </w:r>
      <w:r w:rsidR="00EC5AE2">
        <w:rPr>
          <w:rFonts w:cstheme="minorHAnsi"/>
          <w:bCs/>
          <w:sz w:val="24"/>
          <w:szCs w:val="24"/>
        </w:rPr>
        <w:t xml:space="preserve"> </w:t>
      </w:r>
      <w:r w:rsidRPr="00543892">
        <w:rPr>
          <w:rFonts w:cstheme="minorHAnsi"/>
          <w:bCs/>
          <w:sz w:val="24"/>
          <w:szCs w:val="24"/>
        </w:rPr>
        <w:t>zařazování dlouhodobého majetku do majetkové evidence rovněž ovlivnila výši odpisů a oprávek k dlouhodobému hmotnému majetku</w:t>
      </w:r>
      <w:r w:rsidRPr="000D66CD">
        <w:rPr>
          <w:rStyle w:val="Znakapoznpodarou"/>
          <w:rFonts w:cstheme="minorHAnsi"/>
          <w:bCs/>
          <w:sz w:val="24"/>
        </w:rPr>
        <w:footnoteReference w:id="30"/>
      </w:r>
      <w:r w:rsidRPr="008F4345">
        <w:rPr>
          <w:rFonts w:cstheme="minorHAnsi"/>
          <w:bCs/>
          <w:sz w:val="24"/>
          <w:szCs w:val="24"/>
        </w:rPr>
        <w:t xml:space="preserve">. </w:t>
      </w:r>
    </w:p>
    <w:p w14:paraId="28ED0BC4" w14:textId="77777777" w:rsidR="00D209AB" w:rsidRPr="006C71A8" w:rsidRDefault="00F64587" w:rsidP="00F64587">
      <w:pPr>
        <w:pStyle w:val="Nadpis1"/>
        <w:numPr>
          <w:ilvl w:val="0"/>
          <w:numId w:val="0"/>
        </w:numPr>
        <w:spacing w:before="240"/>
        <w:jc w:val="left"/>
      </w:pPr>
      <w:r>
        <w:t xml:space="preserve">7. </w:t>
      </w:r>
      <w:r w:rsidR="00D209AB" w:rsidRPr="006C71A8">
        <w:t>Vnitřní kontrolní systém</w:t>
      </w:r>
    </w:p>
    <w:p w14:paraId="28E9375F" w14:textId="64A97DCE" w:rsidR="0087021D" w:rsidRDefault="00B91765" w:rsidP="00F64587">
      <w:pPr>
        <w:spacing w:before="120" w:after="120" w:line="264" w:lineRule="auto"/>
        <w:ind w:hanging="11"/>
        <w:jc w:val="both"/>
        <w:rPr>
          <w:rFonts w:cstheme="minorHAnsi"/>
          <w:sz w:val="24"/>
          <w:szCs w:val="24"/>
        </w:rPr>
      </w:pPr>
      <w:r w:rsidRPr="00543892">
        <w:rPr>
          <w:rFonts w:cs="Arial"/>
          <w:sz w:val="24"/>
          <w:szCs w:val="24"/>
        </w:rPr>
        <w:t xml:space="preserve">NKÚ ověřil, zda SPH </w:t>
      </w:r>
      <w:r w:rsidR="00B07B5E" w:rsidRPr="00543892">
        <w:rPr>
          <w:rFonts w:cs="Arial"/>
          <w:sz w:val="24"/>
          <w:szCs w:val="24"/>
        </w:rPr>
        <w:t xml:space="preserve">zavedla </w:t>
      </w:r>
      <w:r w:rsidRPr="00543892">
        <w:rPr>
          <w:rFonts w:cs="Arial"/>
          <w:sz w:val="24"/>
          <w:szCs w:val="24"/>
        </w:rPr>
        <w:t>v kontrolovaném období vnitřní kontrolní systém v </w:t>
      </w:r>
      <w:r w:rsidRPr="00543892">
        <w:rPr>
          <w:rFonts w:cs="Arial"/>
          <w:bCs/>
          <w:iCs/>
          <w:sz w:val="24"/>
          <w:szCs w:val="24"/>
        </w:rPr>
        <w:t>souladu s právními předpisy</w:t>
      </w:r>
      <w:r w:rsidR="0094061C">
        <w:rPr>
          <w:rStyle w:val="Znakapoznpodarou"/>
          <w:rFonts w:cs="Arial"/>
          <w:bCs/>
          <w:iCs/>
          <w:sz w:val="24"/>
          <w:szCs w:val="24"/>
        </w:rPr>
        <w:footnoteReference w:id="31"/>
      </w:r>
      <w:r w:rsidRPr="00543892">
        <w:rPr>
          <w:rFonts w:cs="Arial"/>
          <w:bCs/>
          <w:iCs/>
          <w:sz w:val="24"/>
          <w:szCs w:val="24"/>
        </w:rPr>
        <w:t>. Dále NKÚ ověřil,</w:t>
      </w:r>
      <w:r w:rsidR="00EC5AE2">
        <w:rPr>
          <w:rFonts w:cs="Arial"/>
          <w:bCs/>
          <w:iCs/>
          <w:sz w:val="24"/>
          <w:szCs w:val="24"/>
        </w:rPr>
        <w:t xml:space="preserve"> </w:t>
      </w:r>
      <w:r w:rsidRPr="00543892">
        <w:rPr>
          <w:rFonts w:cs="Arial"/>
          <w:bCs/>
          <w:iCs/>
          <w:sz w:val="24"/>
          <w:szCs w:val="24"/>
        </w:rPr>
        <w:t xml:space="preserve">zda SPH měla v letech </w:t>
      </w:r>
      <w:r w:rsidRPr="00543892">
        <w:rPr>
          <w:rFonts w:cs="Arial"/>
          <w:sz w:val="24"/>
          <w:szCs w:val="24"/>
        </w:rPr>
        <w:t>2019</w:t>
      </w:r>
      <w:r w:rsidR="00BE667B">
        <w:rPr>
          <w:rFonts w:cstheme="minorHAnsi"/>
        </w:rPr>
        <w:t>–</w:t>
      </w:r>
      <w:r w:rsidRPr="00543892">
        <w:rPr>
          <w:rFonts w:cs="Arial"/>
          <w:sz w:val="24"/>
          <w:szCs w:val="24"/>
        </w:rPr>
        <w:t xml:space="preserve">2021 </w:t>
      </w:r>
      <w:r w:rsidRPr="00543892">
        <w:rPr>
          <w:rFonts w:cs="Arial"/>
          <w:bCs/>
          <w:iCs/>
          <w:sz w:val="24"/>
          <w:szCs w:val="24"/>
        </w:rPr>
        <w:t>přijaty vnitřní předpisy upravující kontrolní mechanizmy a vymezující povinnosti, pravomoci a odpovědnosti na příslušných stupních řízení.</w:t>
      </w:r>
      <w:r>
        <w:rPr>
          <w:rFonts w:cs="Arial"/>
          <w:bCs/>
          <w:iCs/>
          <w:sz w:val="24"/>
          <w:szCs w:val="24"/>
        </w:rPr>
        <w:t xml:space="preserve"> </w:t>
      </w:r>
      <w:r>
        <w:rPr>
          <w:rFonts w:cstheme="minorHAnsi"/>
          <w:sz w:val="24"/>
          <w:szCs w:val="24"/>
        </w:rPr>
        <w:t>NKÚ prověřil výkon předběžné ř</w:t>
      </w:r>
      <w:r w:rsidR="00697107">
        <w:rPr>
          <w:rFonts w:cstheme="minorHAnsi"/>
          <w:sz w:val="24"/>
          <w:szCs w:val="24"/>
        </w:rPr>
        <w:t>í</w:t>
      </w:r>
      <w:r>
        <w:rPr>
          <w:rFonts w:cstheme="minorHAnsi"/>
          <w:sz w:val="24"/>
          <w:szCs w:val="24"/>
        </w:rPr>
        <w:t>d</w:t>
      </w:r>
      <w:r w:rsidR="00697107">
        <w:rPr>
          <w:rFonts w:cstheme="minorHAnsi"/>
          <w:sz w:val="24"/>
          <w:szCs w:val="24"/>
        </w:rPr>
        <w:t>i</w:t>
      </w:r>
      <w:r>
        <w:rPr>
          <w:rFonts w:cstheme="minorHAnsi"/>
          <w:sz w:val="24"/>
          <w:szCs w:val="24"/>
        </w:rPr>
        <w:t>cí kontroly před vznikem závazku v rozsahu 46 připravovaných operací a výkon předběžné ř</w:t>
      </w:r>
      <w:r w:rsidR="00697107">
        <w:rPr>
          <w:rFonts w:cstheme="minorHAnsi"/>
          <w:sz w:val="24"/>
          <w:szCs w:val="24"/>
        </w:rPr>
        <w:t>í</w:t>
      </w:r>
      <w:r>
        <w:rPr>
          <w:rFonts w:cstheme="minorHAnsi"/>
          <w:sz w:val="24"/>
          <w:szCs w:val="24"/>
        </w:rPr>
        <w:t>d</w:t>
      </w:r>
      <w:r w:rsidR="00697107">
        <w:rPr>
          <w:rFonts w:cstheme="minorHAnsi"/>
          <w:sz w:val="24"/>
          <w:szCs w:val="24"/>
        </w:rPr>
        <w:t>i</w:t>
      </w:r>
      <w:r>
        <w:rPr>
          <w:rFonts w:cstheme="minorHAnsi"/>
          <w:sz w:val="24"/>
          <w:szCs w:val="24"/>
        </w:rPr>
        <w:t>cí kontroly po vzniku závazku v rozsahu 71 finančních operací.</w:t>
      </w:r>
      <w:r w:rsidR="0087021D">
        <w:rPr>
          <w:rFonts w:cstheme="minorHAnsi"/>
          <w:sz w:val="24"/>
          <w:szCs w:val="24"/>
        </w:rPr>
        <w:t xml:space="preserve"> </w:t>
      </w:r>
    </w:p>
    <w:p w14:paraId="15FDF0D6" w14:textId="77777777" w:rsidR="00B91765" w:rsidRDefault="0087021D" w:rsidP="00F64587">
      <w:pPr>
        <w:spacing w:before="120" w:after="120" w:line="264" w:lineRule="auto"/>
        <w:ind w:hanging="11"/>
        <w:jc w:val="both"/>
        <w:rPr>
          <w:rFonts w:cstheme="minorHAnsi"/>
          <w:b/>
          <w:sz w:val="24"/>
          <w:szCs w:val="24"/>
        </w:rPr>
      </w:pPr>
      <w:r w:rsidRPr="00543892">
        <w:rPr>
          <w:rFonts w:cstheme="minorHAnsi"/>
          <w:b/>
          <w:sz w:val="24"/>
          <w:szCs w:val="24"/>
        </w:rPr>
        <w:t xml:space="preserve">Na kontrolovaném vzorku operací nebyly zjištěny nedostatky. </w:t>
      </w:r>
    </w:p>
    <w:p w14:paraId="4A0CF37F" w14:textId="77777777" w:rsidR="00AD521D" w:rsidRPr="006C71A8" w:rsidRDefault="00AD521D" w:rsidP="00F64587">
      <w:pPr>
        <w:pStyle w:val="Nadpis1"/>
        <w:numPr>
          <w:ilvl w:val="0"/>
          <w:numId w:val="0"/>
        </w:numPr>
        <w:spacing w:before="240"/>
        <w:jc w:val="left"/>
      </w:pPr>
      <w:r w:rsidRPr="006C71A8">
        <w:t>C. Lesní správa Lány</w:t>
      </w:r>
    </w:p>
    <w:p w14:paraId="6DE619FD" w14:textId="77777777" w:rsidR="00D7316B" w:rsidRPr="00B82944" w:rsidRDefault="00927801" w:rsidP="00927801">
      <w:pPr>
        <w:pStyle w:val="Nadpis1"/>
        <w:numPr>
          <w:ilvl w:val="0"/>
          <w:numId w:val="0"/>
        </w:numPr>
        <w:spacing w:before="240"/>
        <w:jc w:val="left"/>
      </w:pPr>
      <w:r>
        <w:t xml:space="preserve">1. </w:t>
      </w:r>
      <w:r w:rsidR="007C0018" w:rsidRPr="00B82944">
        <w:t>Vynakládání peněžních prostředků a zadávání v</w:t>
      </w:r>
      <w:r w:rsidR="00D7316B" w:rsidRPr="00B82944">
        <w:t>eřejn</w:t>
      </w:r>
      <w:r w:rsidR="007C0018" w:rsidRPr="00B82944">
        <w:t>ých</w:t>
      </w:r>
      <w:r w:rsidR="00D7316B" w:rsidRPr="00B82944">
        <w:t xml:space="preserve"> zakáz</w:t>
      </w:r>
      <w:r w:rsidR="007C0018" w:rsidRPr="00B82944">
        <w:t>e</w:t>
      </w:r>
      <w:r w:rsidR="00D7316B" w:rsidRPr="00B82944">
        <w:t>k</w:t>
      </w:r>
    </w:p>
    <w:p w14:paraId="2F7FEA5C" w14:textId="554C335B" w:rsidR="00D7316B" w:rsidRPr="00792137" w:rsidRDefault="00D7316B" w:rsidP="00F64587">
      <w:pPr>
        <w:spacing w:before="120" w:after="120" w:line="264" w:lineRule="auto"/>
        <w:jc w:val="both"/>
        <w:rPr>
          <w:sz w:val="24"/>
        </w:rPr>
      </w:pPr>
      <w:r w:rsidRPr="006C54AB">
        <w:rPr>
          <w:b/>
          <w:sz w:val="24"/>
        </w:rPr>
        <w:t>NKÚ prověřil postup LSL při zadávání</w:t>
      </w:r>
      <w:r w:rsidRPr="00D7316B">
        <w:rPr>
          <w:sz w:val="24"/>
        </w:rPr>
        <w:t xml:space="preserve"> </w:t>
      </w:r>
      <w:r w:rsidRPr="006C54AB">
        <w:rPr>
          <w:b/>
          <w:sz w:val="24"/>
        </w:rPr>
        <w:t>24 veřejných zakázek</w:t>
      </w:r>
      <w:r w:rsidRPr="00B20B23">
        <w:rPr>
          <w:b/>
          <w:sz w:val="24"/>
        </w:rPr>
        <w:t>.</w:t>
      </w:r>
      <w:r w:rsidRPr="00D7316B">
        <w:rPr>
          <w:sz w:val="24"/>
        </w:rPr>
        <w:t xml:space="preserve"> Jednalo se především o veřejné zakázky na </w:t>
      </w:r>
      <w:r w:rsidR="006454AF" w:rsidRPr="00D7316B">
        <w:rPr>
          <w:sz w:val="24"/>
        </w:rPr>
        <w:t>dodávky sadebního materiálu</w:t>
      </w:r>
      <w:r w:rsidR="006454AF">
        <w:rPr>
          <w:sz w:val="24"/>
        </w:rPr>
        <w:t>,</w:t>
      </w:r>
      <w:r w:rsidR="006454AF" w:rsidRPr="00D7316B">
        <w:rPr>
          <w:sz w:val="24"/>
        </w:rPr>
        <w:t xml:space="preserve"> zajištění právních služeb</w:t>
      </w:r>
      <w:r w:rsidR="006454AF">
        <w:rPr>
          <w:sz w:val="24"/>
        </w:rPr>
        <w:t>,</w:t>
      </w:r>
      <w:r w:rsidR="006454AF" w:rsidRPr="00D7316B">
        <w:rPr>
          <w:sz w:val="24"/>
        </w:rPr>
        <w:t xml:space="preserve"> </w:t>
      </w:r>
      <w:r w:rsidRPr="00D7316B">
        <w:rPr>
          <w:sz w:val="24"/>
        </w:rPr>
        <w:t>těžbu dř</w:t>
      </w:r>
      <w:r w:rsidR="006C54AB">
        <w:rPr>
          <w:sz w:val="24"/>
        </w:rPr>
        <w:t>íví</w:t>
      </w:r>
      <w:r w:rsidRPr="00D7316B">
        <w:rPr>
          <w:sz w:val="24"/>
        </w:rPr>
        <w:t xml:space="preserve">, pořez řeziva, zajištění technického dozoru nad prováděním rekonstrukcí nemovitého majetku. </w:t>
      </w:r>
      <w:r w:rsidRPr="00F51221">
        <w:rPr>
          <w:b/>
          <w:sz w:val="24"/>
        </w:rPr>
        <w:t xml:space="preserve">NKÚ shledal nedostatky u </w:t>
      </w:r>
      <w:r w:rsidR="00E76B4B">
        <w:rPr>
          <w:b/>
          <w:sz w:val="24"/>
        </w:rPr>
        <w:t xml:space="preserve">pěti </w:t>
      </w:r>
      <w:r w:rsidRPr="00F51221">
        <w:rPr>
          <w:b/>
          <w:sz w:val="24"/>
        </w:rPr>
        <w:t>veřejných zakázek</w:t>
      </w:r>
      <w:r w:rsidR="00B82944" w:rsidRPr="00792137">
        <w:rPr>
          <w:sz w:val="24"/>
        </w:rPr>
        <w:t xml:space="preserve"> týkajících se dodávek sadebního materiálu a zajištění právních služeb</w:t>
      </w:r>
      <w:r w:rsidRPr="00792137">
        <w:rPr>
          <w:sz w:val="24"/>
        </w:rPr>
        <w:t>.</w:t>
      </w:r>
    </w:p>
    <w:p w14:paraId="594E912E" w14:textId="77777777" w:rsidR="000902BC" w:rsidRPr="000902BC" w:rsidRDefault="00A11288" w:rsidP="00F64587">
      <w:pPr>
        <w:keepNext/>
        <w:spacing w:before="120" w:after="120" w:line="264" w:lineRule="auto"/>
        <w:jc w:val="both"/>
        <w:rPr>
          <w:b/>
          <w:sz w:val="24"/>
        </w:rPr>
      </w:pPr>
      <w:r>
        <w:rPr>
          <w:b/>
          <w:sz w:val="24"/>
        </w:rPr>
        <w:t>Veřejné zakázky na dodávku sadebního materiálu</w:t>
      </w:r>
    </w:p>
    <w:p w14:paraId="36246FAC" w14:textId="675B1CFF" w:rsidR="003403F6" w:rsidRDefault="003403F6" w:rsidP="00F64587">
      <w:pPr>
        <w:spacing w:before="120" w:after="120" w:line="264" w:lineRule="auto"/>
        <w:jc w:val="both"/>
        <w:rPr>
          <w:rFonts w:eastAsia="Calibri"/>
          <w:sz w:val="24"/>
        </w:rPr>
      </w:pPr>
      <w:r w:rsidRPr="000902BC">
        <w:rPr>
          <w:rFonts w:eastAsia="Calibri"/>
          <w:sz w:val="24"/>
        </w:rPr>
        <w:t xml:space="preserve">NKÚ zjistil, že </w:t>
      </w:r>
      <w:r w:rsidRPr="00F51221">
        <w:rPr>
          <w:rFonts w:eastAsia="Calibri"/>
          <w:b/>
          <w:sz w:val="24"/>
        </w:rPr>
        <w:t>LSL</w:t>
      </w:r>
      <w:r w:rsidRPr="000902BC">
        <w:rPr>
          <w:rFonts w:eastAsia="Calibri"/>
          <w:sz w:val="24"/>
        </w:rPr>
        <w:t xml:space="preserve"> </w:t>
      </w:r>
      <w:r w:rsidR="00E93306" w:rsidRPr="000902BC">
        <w:rPr>
          <w:rFonts w:eastAsia="Calibri"/>
          <w:sz w:val="24"/>
        </w:rPr>
        <w:t>uzavírala v letech 2019</w:t>
      </w:r>
      <w:r w:rsidR="00BE667B">
        <w:rPr>
          <w:rFonts w:cstheme="minorHAnsi"/>
        </w:rPr>
        <w:t>–</w:t>
      </w:r>
      <w:r w:rsidR="00E93306" w:rsidRPr="000902BC">
        <w:rPr>
          <w:rFonts w:eastAsia="Calibri"/>
          <w:sz w:val="24"/>
        </w:rPr>
        <w:t xml:space="preserve">2021 smlouvy na dodávky sadebního materiálu </w:t>
      </w:r>
      <w:r w:rsidR="00E93306" w:rsidRPr="00F51221">
        <w:rPr>
          <w:rFonts w:eastAsia="Calibri"/>
          <w:sz w:val="24"/>
        </w:rPr>
        <w:t>a</w:t>
      </w:r>
      <w:r w:rsidR="0083445E" w:rsidRPr="00F51221">
        <w:rPr>
          <w:rFonts w:eastAsia="Calibri"/>
          <w:b/>
          <w:sz w:val="24"/>
        </w:rPr>
        <w:t> v</w:t>
      </w:r>
      <w:r w:rsidR="00D7316B" w:rsidRPr="00F51221">
        <w:rPr>
          <w:rFonts w:eastAsia="Calibri"/>
          <w:b/>
          <w:sz w:val="24"/>
        </w:rPr>
        <w:t>e čtyřech</w:t>
      </w:r>
      <w:r w:rsidRPr="00F51221">
        <w:rPr>
          <w:rFonts w:eastAsia="Calibri"/>
          <w:b/>
          <w:sz w:val="24"/>
        </w:rPr>
        <w:t xml:space="preserve"> případech nedodržela postup </w:t>
      </w:r>
      <w:r w:rsidR="007C2E86">
        <w:rPr>
          <w:rFonts w:eastAsia="Calibri"/>
          <w:b/>
          <w:sz w:val="24"/>
        </w:rPr>
        <w:t>dle zákona</w:t>
      </w:r>
      <w:r w:rsidRPr="00F51221">
        <w:rPr>
          <w:rFonts w:eastAsia="Calibri"/>
          <w:b/>
          <w:sz w:val="24"/>
        </w:rPr>
        <w:t xml:space="preserve"> č. 134/2016 Sb.</w:t>
      </w:r>
      <w:r w:rsidR="00A11288">
        <w:rPr>
          <w:rFonts w:eastAsia="Calibri"/>
          <w:sz w:val="24"/>
        </w:rPr>
        <w:t xml:space="preserve"> </w:t>
      </w:r>
    </w:p>
    <w:p w14:paraId="2EDCEAC8" w14:textId="77777777" w:rsidR="002D15B6" w:rsidRPr="00F64587" w:rsidRDefault="002D15B6" w:rsidP="00F64587">
      <w:pPr>
        <w:spacing w:after="40" w:line="240" w:lineRule="auto"/>
        <w:ind w:left="1418" w:hanging="1418"/>
        <w:jc w:val="both"/>
        <w:rPr>
          <w:rFonts w:eastAsia="Calibri"/>
          <w:b/>
          <w:sz w:val="24"/>
        </w:rPr>
      </w:pPr>
      <w:r w:rsidRPr="00F64587">
        <w:rPr>
          <w:rFonts w:eastAsia="Calibri"/>
          <w:b/>
          <w:sz w:val="24"/>
        </w:rPr>
        <w:lastRenderedPageBreak/>
        <w:t>Tabulka č.</w:t>
      </w:r>
      <w:r w:rsidR="00F64587" w:rsidRPr="00F64587">
        <w:rPr>
          <w:rFonts w:eastAsia="Calibri"/>
          <w:b/>
          <w:sz w:val="24"/>
        </w:rPr>
        <w:t> </w:t>
      </w:r>
      <w:r w:rsidR="00792137" w:rsidRPr="00F64587">
        <w:rPr>
          <w:rFonts w:eastAsia="Calibri"/>
          <w:b/>
          <w:sz w:val="24"/>
        </w:rPr>
        <w:t>9</w:t>
      </w:r>
      <w:r w:rsidRPr="00F64587">
        <w:rPr>
          <w:rFonts w:eastAsia="Calibri"/>
          <w:b/>
          <w:sz w:val="24"/>
        </w:rPr>
        <w:t xml:space="preserve">: </w:t>
      </w:r>
      <w:r w:rsidR="00F64587" w:rsidRPr="00F64587">
        <w:rPr>
          <w:rFonts w:eastAsia="Calibri"/>
          <w:b/>
          <w:sz w:val="24"/>
        </w:rPr>
        <w:tab/>
      </w:r>
      <w:r w:rsidRPr="00F64587">
        <w:rPr>
          <w:rFonts w:eastAsia="Calibri"/>
          <w:b/>
          <w:sz w:val="24"/>
        </w:rPr>
        <w:t>Podrobnosti ke smlouvám na dodávky sadebního materiálu, jejichž plnění probíhalo v letech 2020 a 2021</w:t>
      </w:r>
    </w:p>
    <w:tbl>
      <w:tblPr>
        <w:tblStyle w:val="Mkatabulky"/>
        <w:tblW w:w="5000" w:type="pct"/>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843"/>
        <w:gridCol w:w="2063"/>
        <w:gridCol w:w="973"/>
        <w:gridCol w:w="1379"/>
        <w:gridCol w:w="2273"/>
        <w:gridCol w:w="1531"/>
      </w:tblGrid>
      <w:tr w:rsidR="002D778E" w:rsidRPr="006C54AB" w14:paraId="6F4C9659" w14:textId="77777777" w:rsidTr="002D778E">
        <w:trPr>
          <w:trHeight w:val="255"/>
          <w:jc w:val="center"/>
        </w:trPr>
        <w:tc>
          <w:tcPr>
            <w:tcW w:w="458" w:type="pct"/>
            <w:shd w:val="clear" w:color="auto" w:fill="E5F1FF"/>
            <w:vAlign w:val="center"/>
          </w:tcPr>
          <w:p w14:paraId="6C27D791" w14:textId="77777777" w:rsidR="002D15B6" w:rsidRPr="006C54AB" w:rsidRDefault="002D15B6" w:rsidP="00F64587">
            <w:pPr>
              <w:jc w:val="center"/>
              <w:rPr>
                <w:rFonts w:eastAsia="Calibri"/>
                <w:b/>
                <w:sz w:val="18"/>
                <w:szCs w:val="20"/>
              </w:rPr>
            </w:pPr>
            <w:r w:rsidRPr="006C54AB">
              <w:rPr>
                <w:rFonts w:eastAsia="Calibri"/>
                <w:b/>
                <w:sz w:val="18"/>
                <w:szCs w:val="20"/>
              </w:rPr>
              <w:t>Číslo smlouvy</w:t>
            </w:r>
          </w:p>
        </w:tc>
        <w:tc>
          <w:tcPr>
            <w:tcW w:w="1140" w:type="pct"/>
            <w:shd w:val="clear" w:color="auto" w:fill="E5F1FF"/>
            <w:vAlign w:val="center"/>
          </w:tcPr>
          <w:p w14:paraId="4F85B881" w14:textId="77777777" w:rsidR="002D15B6" w:rsidRPr="006C54AB" w:rsidRDefault="002D15B6" w:rsidP="00F64587">
            <w:pPr>
              <w:jc w:val="center"/>
              <w:rPr>
                <w:rFonts w:eastAsia="Calibri"/>
                <w:b/>
                <w:sz w:val="18"/>
                <w:szCs w:val="20"/>
              </w:rPr>
            </w:pPr>
            <w:r w:rsidRPr="006C54AB">
              <w:rPr>
                <w:rFonts w:eastAsia="Calibri"/>
                <w:b/>
                <w:sz w:val="18"/>
                <w:szCs w:val="20"/>
              </w:rPr>
              <w:t>Období platnosti smlouvy</w:t>
            </w:r>
          </w:p>
        </w:tc>
        <w:tc>
          <w:tcPr>
            <w:tcW w:w="538" w:type="pct"/>
            <w:shd w:val="clear" w:color="auto" w:fill="E5F1FF"/>
            <w:vAlign w:val="center"/>
          </w:tcPr>
          <w:p w14:paraId="58041D2E" w14:textId="77777777" w:rsidR="002D15B6" w:rsidRPr="006C54AB" w:rsidRDefault="002D15B6" w:rsidP="00F64587">
            <w:pPr>
              <w:jc w:val="center"/>
              <w:rPr>
                <w:rFonts w:eastAsia="Calibri"/>
                <w:b/>
                <w:sz w:val="18"/>
                <w:szCs w:val="20"/>
              </w:rPr>
            </w:pPr>
            <w:r w:rsidRPr="006C54AB">
              <w:rPr>
                <w:rFonts w:eastAsia="Calibri"/>
                <w:b/>
                <w:sz w:val="18"/>
                <w:szCs w:val="20"/>
              </w:rPr>
              <w:t>Druh VZ</w:t>
            </w:r>
          </w:p>
        </w:tc>
        <w:tc>
          <w:tcPr>
            <w:tcW w:w="762" w:type="pct"/>
            <w:shd w:val="clear" w:color="auto" w:fill="E5F1FF"/>
            <w:vAlign w:val="center"/>
          </w:tcPr>
          <w:p w14:paraId="30E05244" w14:textId="77777777" w:rsidR="002D15B6" w:rsidRPr="006C54AB" w:rsidRDefault="002D15B6" w:rsidP="00F64587">
            <w:pPr>
              <w:jc w:val="center"/>
              <w:rPr>
                <w:rFonts w:eastAsia="Calibri"/>
                <w:b/>
                <w:sz w:val="18"/>
                <w:szCs w:val="20"/>
              </w:rPr>
            </w:pPr>
            <w:r w:rsidRPr="006C54AB">
              <w:rPr>
                <w:rFonts w:eastAsia="Calibri"/>
                <w:b/>
                <w:sz w:val="18"/>
                <w:szCs w:val="20"/>
              </w:rPr>
              <w:t>Předpokládaná hodnota VZ</w:t>
            </w:r>
            <w:r w:rsidRPr="006C54AB">
              <w:rPr>
                <w:rFonts w:eastAsia="Calibri"/>
                <w:b/>
                <w:sz w:val="18"/>
                <w:szCs w:val="20"/>
              </w:rPr>
              <w:br/>
              <w:t>(v Kč bez DPH)</w:t>
            </w:r>
          </w:p>
        </w:tc>
        <w:tc>
          <w:tcPr>
            <w:tcW w:w="1255" w:type="pct"/>
            <w:shd w:val="clear" w:color="auto" w:fill="E5F1FF"/>
            <w:vAlign w:val="center"/>
          </w:tcPr>
          <w:p w14:paraId="28C0CB67" w14:textId="280BB6AA" w:rsidR="002D15B6" w:rsidRPr="006C54AB" w:rsidRDefault="002D15B6" w:rsidP="00F64587">
            <w:pPr>
              <w:jc w:val="center"/>
              <w:rPr>
                <w:rFonts w:eastAsia="Calibri"/>
                <w:b/>
                <w:sz w:val="18"/>
                <w:szCs w:val="20"/>
              </w:rPr>
            </w:pPr>
            <w:r w:rsidRPr="006C54AB">
              <w:rPr>
                <w:rFonts w:eastAsia="Calibri"/>
                <w:b/>
                <w:sz w:val="18"/>
                <w:szCs w:val="20"/>
              </w:rPr>
              <w:t>Hodnota smlouvy</w:t>
            </w:r>
            <w:r w:rsidRPr="006C54AB">
              <w:rPr>
                <w:rFonts w:eastAsia="Calibri"/>
                <w:b/>
                <w:sz w:val="18"/>
                <w:szCs w:val="20"/>
              </w:rPr>
              <w:br/>
              <w:t>(</w:t>
            </w:r>
            <w:r w:rsidR="00BE667B">
              <w:rPr>
                <w:rFonts w:eastAsia="Calibri"/>
                <w:b/>
                <w:sz w:val="18"/>
                <w:szCs w:val="20"/>
              </w:rPr>
              <w:t>v </w:t>
            </w:r>
            <w:r w:rsidRPr="006C54AB">
              <w:rPr>
                <w:rFonts w:eastAsia="Calibri"/>
                <w:b/>
                <w:sz w:val="18"/>
                <w:szCs w:val="20"/>
              </w:rPr>
              <w:t>Kč bez DPH)</w:t>
            </w:r>
          </w:p>
        </w:tc>
        <w:tc>
          <w:tcPr>
            <w:tcW w:w="846" w:type="pct"/>
            <w:shd w:val="clear" w:color="auto" w:fill="E5F1FF"/>
            <w:vAlign w:val="center"/>
          </w:tcPr>
          <w:p w14:paraId="0747F9F3" w14:textId="77777777" w:rsidR="002D15B6" w:rsidRPr="006C54AB" w:rsidRDefault="002D15B6" w:rsidP="00F64587">
            <w:pPr>
              <w:jc w:val="center"/>
              <w:rPr>
                <w:rFonts w:eastAsia="Calibri"/>
                <w:b/>
                <w:sz w:val="18"/>
                <w:szCs w:val="20"/>
              </w:rPr>
            </w:pPr>
            <w:r w:rsidRPr="006C54AB">
              <w:rPr>
                <w:rFonts w:eastAsia="Calibri"/>
                <w:b/>
                <w:sz w:val="18"/>
                <w:szCs w:val="20"/>
              </w:rPr>
              <w:t>Plnění</w:t>
            </w:r>
            <w:r w:rsidRPr="006C54AB">
              <w:rPr>
                <w:rFonts w:eastAsia="Calibri"/>
                <w:b/>
                <w:sz w:val="18"/>
                <w:szCs w:val="20"/>
              </w:rPr>
              <w:br/>
              <w:t>(v Kč</w:t>
            </w:r>
            <w:r w:rsidR="002D778E">
              <w:rPr>
                <w:rFonts w:eastAsia="Calibri"/>
                <w:b/>
                <w:sz w:val="18"/>
                <w:szCs w:val="20"/>
              </w:rPr>
              <w:t xml:space="preserve"> </w:t>
            </w:r>
            <w:r w:rsidRPr="006C54AB">
              <w:rPr>
                <w:rFonts w:eastAsia="Calibri"/>
                <w:b/>
                <w:sz w:val="18"/>
                <w:szCs w:val="20"/>
              </w:rPr>
              <w:t>bez DPH)</w:t>
            </w:r>
          </w:p>
        </w:tc>
      </w:tr>
      <w:tr w:rsidR="002D778E" w:rsidRPr="006C54AB" w14:paraId="7805223F" w14:textId="77777777" w:rsidTr="002D778E">
        <w:trPr>
          <w:trHeight w:val="255"/>
          <w:jc w:val="center"/>
        </w:trPr>
        <w:tc>
          <w:tcPr>
            <w:tcW w:w="458" w:type="pct"/>
            <w:shd w:val="clear" w:color="auto" w:fill="auto"/>
            <w:vAlign w:val="center"/>
          </w:tcPr>
          <w:p w14:paraId="6830C193" w14:textId="1586BD74" w:rsidR="002D15B6" w:rsidRPr="006C54AB" w:rsidRDefault="002D15B6" w:rsidP="00F64587">
            <w:pPr>
              <w:jc w:val="center"/>
              <w:rPr>
                <w:rFonts w:eastAsia="Calibri"/>
                <w:sz w:val="18"/>
                <w:szCs w:val="20"/>
              </w:rPr>
            </w:pPr>
            <w:r w:rsidRPr="006C54AB">
              <w:rPr>
                <w:sz w:val="18"/>
                <w:szCs w:val="20"/>
              </w:rPr>
              <w:t>1</w:t>
            </w:r>
          </w:p>
        </w:tc>
        <w:tc>
          <w:tcPr>
            <w:tcW w:w="1140" w:type="pct"/>
            <w:shd w:val="clear" w:color="auto" w:fill="auto"/>
            <w:vAlign w:val="center"/>
          </w:tcPr>
          <w:p w14:paraId="317F1E50" w14:textId="7F0F18C9" w:rsidR="002D15B6" w:rsidRPr="006C54AB" w:rsidRDefault="002D15B6" w:rsidP="00D330C6">
            <w:pPr>
              <w:ind w:left="-57"/>
              <w:jc w:val="right"/>
              <w:rPr>
                <w:rFonts w:eastAsia="Calibri"/>
                <w:sz w:val="18"/>
                <w:szCs w:val="20"/>
              </w:rPr>
            </w:pPr>
            <w:r w:rsidRPr="006C54AB">
              <w:rPr>
                <w:sz w:val="18"/>
                <w:szCs w:val="20"/>
              </w:rPr>
              <w:t>20.</w:t>
            </w:r>
            <w:r w:rsidR="00BE667B">
              <w:rPr>
                <w:sz w:val="18"/>
                <w:szCs w:val="20"/>
              </w:rPr>
              <w:t> </w:t>
            </w:r>
            <w:r w:rsidRPr="006C54AB">
              <w:rPr>
                <w:sz w:val="18"/>
                <w:szCs w:val="20"/>
              </w:rPr>
              <w:t>3.</w:t>
            </w:r>
            <w:r w:rsidR="00BE667B">
              <w:rPr>
                <w:sz w:val="18"/>
                <w:szCs w:val="20"/>
              </w:rPr>
              <w:t> </w:t>
            </w:r>
            <w:r w:rsidRPr="006C54AB">
              <w:rPr>
                <w:sz w:val="18"/>
                <w:szCs w:val="20"/>
              </w:rPr>
              <w:t>2020</w:t>
            </w:r>
            <w:r w:rsidRPr="006C54AB">
              <w:rPr>
                <w:rFonts w:eastAsia="Calibri"/>
                <w:sz w:val="18"/>
                <w:szCs w:val="20"/>
              </w:rPr>
              <w:t>–</w:t>
            </w:r>
            <w:r w:rsidRPr="006C54AB">
              <w:rPr>
                <w:sz w:val="18"/>
                <w:szCs w:val="20"/>
              </w:rPr>
              <w:t>4.</w:t>
            </w:r>
            <w:r w:rsidR="00BE667B">
              <w:rPr>
                <w:sz w:val="18"/>
                <w:szCs w:val="20"/>
              </w:rPr>
              <w:t> </w:t>
            </w:r>
            <w:r w:rsidRPr="006C54AB">
              <w:rPr>
                <w:sz w:val="18"/>
                <w:szCs w:val="20"/>
              </w:rPr>
              <w:t>12.</w:t>
            </w:r>
            <w:r w:rsidR="00BE667B">
              <w:rPr>
                <w:sz w:val="18"/>
                <w:szCs w:val="20"/>
              </w:rPr>
              <w:t> </w:t>
            </w:r>
            <w:r w:rsidRPr="006C54AB">
              <w:rPr>
                <w:sz w:val="18"/>
                <w:szCs w:val="20"/>
              </w:rPr>
              <w:t>2020</w:t>
            </w:r>
          </w:p>
        </w:tc>
        <w:tc>
          <w:tcPr>
            <w:tcW w:w="538" w:type="pct"/>
            <w:shd w:val="clear" w:color="auto" w:fill="auto"/>
            <w:vAlign w:val="center"/>
          </w:tcPr>
          <w:p w14:paraId="74BAAAD7" w14:textId="77777777" w:rsidR="002D15B6" w:rsidRPr="006C54AB" w:rsidRDefault="002D15B6" w:rsidP="002D778E">
            <w:pPr>
              <w:jc w:val="center"/>
              <w:rPr>
                <w:rFonts w:eastAsia="Calibri"/>
                <w:sz w:val="18"/>
                <w:szCs w:val="20"/>
              </w:rPr>
            </w:pPr>
            <w:r w:rsidRPr="006C54AB">
              <w:rPr>
                <w:sz w:val="18"/>
                <w:szCs w:val="20"/>
              </w:rPr>
              <w:t>VZMR</w:t>
            </w:r>
          </w:p>
        </w:tc>
        <w:tc>
          <w:tcPr>
            <w:tcW w:w="762" w:type="pct"/>
            <w:shd w:val="clear" w:color="auto" w:fill="auto"/>
            <w:vAlign w:val="center"/>
          </w:tcPr>
          <w:p w14:paraId="3838FAC2" w14:textId="77777777" w:rsidR="002D15B6" w:rsidRPr="006C54AB" w:rsidRDefault="002D15B6" w:rsidP="00D330C6">
            <w:pPr>
              <w:ind w:right="57"/>
              <w:jc w:val="right"/>
              <w:rPr>
                <w:rFonts w:eastAsia="Calibri"/>
                <w:sz w:val="18"/>
                <w:szCs w:val="20"/>
              </w:rPr>
            </w:pPr>
            <w:r w:rsidRPr="006C54AB">
              <w:rPr>
                <w:sz w:val="18"/>
                <w:szCs w:val="20"/>
              </w:rPr>
              <w:t>1 988 615</w:t>
            </w:r>
          </w:p>
        </w:tc>
        <w:tc>
          <w:tcPr>
            <w:tcW w:w="1255" w:type="pct"/>
            <w:shd w:val="clear" w:color="auto" w:fill="auto"/>
            <w:vAlign w:val="center"/>
          </w:tcPr>
          <w:p w14:paraId="7CF8B9AB" w14:textId="77777777" w:rsidR="002D15B6" w:rsidRPr="006C54AB" w:rsidRDefault="002D15B6" w:rsidP="00BE667B">
            <w:pPr>
              <w:ind w:right="195"/>
              <w:jc w:val="right"/>
              <w:rPr>
                <w:rFonts w:eastAsia="Calibri"/>
                <w:sz w:val="18"/>
                <w:szCs w:val="20"/>
              </w:rPr>
            </w:pPr>
            <w:r w:rsidRPr="006C54AB">
              <w:rPr>
                <w:sz w:val="18"/>
                <w:szCs w:val="20"/>
              </w:rPr>
              <w:t>2 306</w:t>
            </w:r>
            <w:r w:rsidR="006C54AB">
              <w:rPr>
                <w:sz w:val="18"/>
                <w:szCs w:val="20"/>
              </w:rPr>
              <w:t> </w:t>
            </w:r>
            <w:r w:rsidRPr="006C54AB">
              <w:rPr>
                <w:sz w:val="18"/>
                <w:szCs w:val="20"/>
              </w:rPr>
              <w:t>719</w:t>
            </w:r>
            <w:r w:rsidR="006C54AB">
              <w:rPr>
                <w:sz w:val="18"/>
                <w:szCs w:val="20"/>
              </w:rPr>
              <w:t xml:space="preserve"> </w:t>
            </w:r>
            <w:r w:rsidRPr="006C54AB">
              <w:rPr>
                <w:rFonts w:eastAsia="Calibri"/>
                <w:sz w:val="18"/>
                <w:szCs w:val="20"/>
              </w:rPr>
              <w:t>–</w:t>
            </w:r>
            <w:r w:rsidR="006C54AB">
              <w:rPr>
                <w:rFonts w:eastAsia="Calibri"/>
                <w:sz w:val="18"/>
                <w:szCs w:val="20"/>
              </w:rPr>
              <w:t xml:space="preserve"> </w:t>
            </w:r>
            <w:r w:rsidRPr="006C54AB">
              <w:rPr>
                <w:sz w:val="18"/>
                <w:szCs w:val="20"/>
              </w:rPr>
              <w:t>2 462 894</w:t>
            </w:r>
          </w:p>
        </w:tc>
        <w:tc>
          <w:tcPr>
            <w:tcW w:w="846" w:type="pct"/>
            <w:shd w:val="clear" w:color="auto" w:fill="auto"/>
            <w:vAlign w:val="center"/>
          </w:tcPr>
          <w:p w14:paraId="6CF7C31D" w14:textId="77777777" w:rsidR="002D15B6" w:rsidRPr="006C54AB" w:rsidRDefault="002D15B6" w:rsidP="00D330C6">
            <w:pPr>
              <w:ind w:right="57"/>
              <w:jc w:val="right"/>
              <w:rPr>
                <w:rFonts w:eastAsia="Calibri"/>
                <w:sz w:val="18"/>
                <w:szCs w:val="20"/>
              </w:rPr>
            </w:pPr>
            <w:r w:rsidRPr="006C54AB">
              <w:rPr>
                <w:rFonts w:eastAsia="Calibri"/>
                <w:sz w:val="18"/>
                <w:szCs w:val="20"/>
              </w:rPr>
              <w:t>1 951 335,00</w:t>
            </w:r>
          </w:p>
        </w:tc>
      </w:tr>
      <w:tr w:rsidR="002D778E" w:rsidRPr="006C54AB" w14:paraId="72AEAF2E" w14:textId="77777777" w:rsidTr="002D778E">
        <w:trPr>
          <w:trHeight w:val="255"/>
          <w:jc w:val="center"/>
        </w:trPr>
        <w:tc>
          <w:tcPr>
            <w:tcW w:w="458" w:type="pct"/>
            <w:shd w:val="clear" w:color="auto" w:fill="auto"/>
            <w:vAlign w:val="center"/>
          </w:tcPr>
          <w:p w14:paraId="77FFCEAF" w14:textId="6D1EC283" w:rsidR="002D15B6" w:rsidRPr="006C54AB" w:rsidRDefault="002D15B6" w:rsidP="00F64587">
            <w:pPr>
              <w:jc w:val="center"/>
              <w:rPr>
                <w:rFonts w:eastAsia="Calibri"/>
                <w:sz w:val="18"/>
                <w:szCs w:val="20"/>
              </w:rPr>
            </w:pPr>
            <w:r w:rsidRPr="006C54AB">
              <w:rPr>
                <w:sz w:val="18"/>
                <w:szCs w:val="20"/>
              </w:rPr>
              <w:t>2</w:t>
            </w:r>
          </w:p>
        </w:tc>
        <w:tc>
          <w:tcPr>
            <w:tcW w:w="1140" w:type="pct"/>
            <w:shd w:val="clear" w:color="auto" w:fill="auto"/>
            <w:vAlign w:val="center"/>
          </w:tcPr>
          <w:p w14:paraId="2BA8FCE5" w14:textId="4A870F19" w:rsidR="002D15B6" w:rsidRPr="006C54AB" w:rsidRDefault="002D15B6" w:rsidP="00D330C6">
            <w:pPr>
              <w:ind w:left="-57"/>
              <w:jc w:val="right"/>
              <w:rPr>
                <w:rFonts w:eastAsia="Calibri"/>
                <w:sz w:val="18"/>
                <w:szCs w:val="20"/>
              </w:rPr>
            </w:pPr>
            <w:r w:rsidRPr="006C54AB">
              <w:rPr>
                <w:sz w:val="18"/>
                <w:szCs w:val="20"/>
              </w:rPr>
              <w:t>22.</w:t>
            </w:r>
            <w:r w:rsidR="00BE667B">
              <w:rPr>
                <w:sz w:val="18"/>
                <w:szCs w:val="20"/>
              </w:rPr>
              <w:t> </w:t>
            </w:r>
            <w:r w:rsidRPr="006C54AB">
              <w:rPr>
                <w:sz w:val="18"/>
                <w:szCs w:val="20"/>
              </w:rPr>
              <w:t>10.</w:t>
            </w:r>
            <w:r w:rsidR="00BE667B">
              <w:rPr>
                <w:sz w:val="18"/>
                <w:szCs w:val="20"/>
              </w:rPr>
              <w:t> </w:t>
            </w:r>
            <w:r w:rsidRPr="006C54AB">
              <w:rPr>
                <w:sz w:val="18"/>
                <w:szCs w:val="20"/>
              </w:rPr>
              <w:t>2020</w:t>
            </w:r>
            <w:r w:rsidRPr="006C54AB">
              <w:rPr>
                <w:rFonts w:eastAsia="Calibri"/>
                <w:sz w:val="18"/>
                <w:szCs w:val="20"/>
              </w:rPr>
              <w:t>–</w:t>
            </w:r>
            <w:r w:rsidRPr="006C54AB">
              <w:rPr>
                <w:sz w:val="18"/>
                <w:szCs w:val="20"/>
              </w:rPr>
              <w:t>15.</w:t>
            </w:r>
            <w:r w:rsidR="00BE667B">
              <w:rPr>
                <w:sz w:val="18"/>
                <w:szCs w:val="20"/>
              </w:rPr>
              <w:t> </w:t>
            </w:r>
            <w:r w:rsidRPr="006C54AB">
              <w:rPr>
                <w:sz w:val="18"/>
                <w:szCs w:val="20"/>
              </w:rPr>
              <w:t>12.</w:t>
            </w:r>
            <w:r w:rsidR="00BE667B">
              <w:rPr>
                <w:sz w:val="18"/>
                <w:szCs w:val="20"/>
              </w:rPr>
              <w:t> </w:t>
            </w:r>
            <w:r w:rsidRPr="006C54AB">
              <w:rPr>
                <w:sz w:val="18"/>
                <w:szCs w:val="20"/>
              </w:rPr>
              <w:t>2020</w:t>
            </w:r>
          </w:p>
        </w:tc>
        <w:tc>
          <w:tcPr>
            <w:tcW w:w="538" w:type="pct"/>
            <w:shd w:val="clear" w:color="auto" w:fill="auto"/>
            <w:vAlign w:val="center"/>
          </w:tcPr>
          <w:p w14:paraId="0CFAB7A2" w14:textId="77777777" w:rsidR="002D15B6" w:rsidRPr="006C54AB" w:rsidRDefault="002D15B6" w:rsidP="002D778E">
            <w:pPr>
              <w:jc w:val="center"/>
              <w:rPr>
                <w:rFonts w:eastAsia="Calibri"/>
                <w:sz w:val="18"/>
                <w:szCs w:val="20"/>
              </w:rPr>
            </w:pPr>
            <w:r w:rsidRPr="006C54AB">
              <w:rPr>
                <w:sz w:val="18"/>
                <w:szCs w:val="20"/>
              </w:rPr>
              <w:t>podlimitní</w:t>
            </w:r>
          </w:p>
        </w:tc>
        <w:tc>
          <w:tcPr>
            <w:tcW w:w="762" w:type="pct"/>
            <w:shd w:val="clear" w:color="auto" w:fill="auto"/>
            <w:vAlign w:val="center"/>
          </w:tcPr>
          <w:p w14:paraId="09637E8C" w14:textId="77777777" w:rsidR="002D15B6" w:rsidRPr="006C54AB" w:rsidRDefault="002D15B6" w:rsidP="00D330C6">
            <w:pPr>
              <w:ind w:right="57"/>
              <w:jc w:val="right"/>
              <w:rPr>
                <w:rFonts w:eastAsia="Calibri"/>
                <w:sz w:val="18"/>
                <w:szCs w:val="20"/>
              </w:rPr>
            </w:pPr>
            <w:r w:rsidRPr="006C54AB">
              <w:rPr>
                <w:sz w:val="18"/>
                <w:szCs w:val="20"/>
              </w:rPr>
              <w:t>920 000</w:t>
            </w:r>
          </w:p>
        </w:tc>
        <w:tc>
          <w:tcPr>
            <w:tcW w:w="1255" w:type="pct"/>
            <w:shd w:val="clear" w:color="auto" w:fill="auto"/>
            <w:vAlign w:val="center"/>
          </w:tcPr>
          <w:p w14:paraId="48FA7948" w14:textId="77777777" w:rsidR="002D15B6" w:rsidRPr="006C54AB" w:rsidRDefault="002D15B6" w:rsidP="00BE667B">
            <w:pPr>
              <w:ind w:right="195"/>
              <w:jc w:val="right"/>
              <w:rPr>
                <w:rFonts w:eastAsia="Calibri"/>
                <w:sz w:val="18"/>
                <w:szCs w:val="20"/>
              </w:rPr>
            </w:pPr>
            <w:r w:rsidRPr="006C54AB">
              <w:rPr>
                <w:sz w:val="18"/>
                <w:szCs w:val="20"/>
              </w:rPr>
              <w:t>966 644</w:t>
            </w:r>
          </w:p>
        </w:tc>
        <w:tc>
          <w:tcPr>
            <w:tcW w:w="846" w:type="pct"/>
            <w:shd w:val="clear" w:color="auto" w:fill="auto"/>
            <w:vAlign w:val="center"/>
          </w:tcPr>
          <w:p w14:paraId="4C0B9061" w14:textId="77777777" w:rsidR="002D15B6" w:rsidRPr="006C54AB" w:rsidRDefault="002D15B6" w:rsidP="00D330C6">
            <w:pPr>
              <w:ind w:right="57"/>
              <w:jc w:val="right"/>
              <w:rPr>
                <w:rFonts w:eastAsia="Calibri"/>
                <w:sz w:val="18"/>
                <w:szCs w:val="20"/>
              </w:rPr>
            </w:pPr>
            <w:r w:rsidRPr="006C54AB">
              <w:rPr>
                <w:rFonts w:eastAsia="Calibri"/>
                <w:sz w:val="18"/>
                <w:szCs w:val="20"/>
              </w:rPr>
              <w:t>595 045,00</w:t>
            </w:r>
          </w:p>
        </w:tc>
      </w:tr>
      <w:tr w:rsidR="002D778E" w:rsidRPr="006C54AB" w14:paraId="30047A4E" w14:textId="77777777" w:rsidTr="002D778E">
        <w:trPr>
          <w:trHeight w:val="255"/>
          <w:jc w:val="center"/>
        </w:trPr>
        <w:tc>
          <w:tcPr>
            <w:tcW w:w="458" w:type="pct"/>
            <w:shd w:val="clear" w:color="auto" w:fill="auto"/>
            <w:vAlign w:val="center"/>
          </w:tcPr>
          <w:p w14:paraId="32835EAA" w14:textId="5018FE58" w:rsidR="002D15B6" w:rsidRPr="006C54AB" w:rsidRDefault="002D15B6" w:rsidP="00F64587">
            <w:pPr>
              <w:jc w:val="center"/>
              <w:rPr>
                <w:rFonts w:eastAsia="Calibri"/>
                <w:sz w:val="18"/>
                <w:szCs w:val="20"/>
              </w:rPr>
            </w:pPr>
            <w:r w:rsidRPr="006C54AB">
              <w:rPr>
                <w:rFonts w:eastAsia="Calibri"/>
                <w:sz w:val="18"/>
                <w:szCs w:val="20"/>
              </w:rPr>
              <w:t>3</w:t>
            </w:r>
          </w:p>
        </w:tc>
        <w:tc>
          <w:tcPr>
            <w:tcW w:w="1140" w:type="pct"/>
            <w:shd w:val="clear" w:color="auto" w:fill="auto"/>
            <w:vAlign w:val="center"/>
          </w:tcPr>
          <w:p w14:paraId="74D36969" w14:textId="12EDD365" w:rsidR="002D15B6" w:rsidRPr="006C54AB" w:rsidRDefault="002D15B6" w:rsidP="00D330C6">
            <w:pPr>
              <w:ind w:left="-57"/>
              <w:jc w:val="right"/>
              <w:rPr>
                <w:rFonts w:eastAsia="Calibri"/>
                <w:sz w:val="18"/>
                <w:szCs w:val="20"/>
              </w:rPr>
            </w:pPr>
            <w:r w:rsidRPr="006C54AB">
              <w:rPr>
                <w:rFonts w:eastAsia="Calibri"/>
                <w:sz w:val="18"/>
                <w:szCs w:val="20"/>
              </w:rPr>
              <w:t>14.</w:t>
            </w:r>
            <w:r w:rsidR="00D330C6">
              <w:rPr>
                <w:rFonts w:eastAsia="Calibri"/>
                <w:sz w:val="18"/>
                <w:szCs w:val="20"/>
              </w:rPr>
              <w:t> </w:t>
            </w:r>
            <w:r w:rsidRPr="006C54AB">
              <w:rPr>
                <w:rFonts w:eastAsia="Calibri"/>
                <w:sz w:val="18"/>
                <w:szCs w:val="20"/>
              </w:rPr>
              <w:t>12.</w:t>
            </w:r>
            <w:r w:rsidR="00D330C6">
              <w:rPr>
                <w:rFonts w:eastAsia="Calibri"/>
                <w:sz w:val="18"/>
                <w:szCs w:val="20"/>
              </w:rPr>
              <w:t> </w:t>
            </w:r>
            <w:r w:rsidRPr="006C54AB">
              <w:rPr>
                <w:rFonts w:eastAsia="Calibri"/>
                <w:sz w:val="18"/>
                <w:szCs w:val="20"/>
              </w:rPr>
              <w:t>2020–15.</w:t>
            </w:r>
            <w:r w:rsidR="00D330C6">
              <w:rPr>
                <w:rFonts w:eastAsia="Calibri"/>
                <w:sz w:val="18"/>
                <w:szCs w:val="20"/>
              </w:rPr>
              <w:t> </w:t>
            </w:r>
            <w:r w:rsidRPr="006C54AB">
              <w:rPr>
                <w:rFonts w:eastAsia="Calibri"/>
                <w:sz w:val="18"/>
                <w:szCs w:val="20"/>
              </w:rPr>
              <w:t>4.</w:t>
            </w:r>
            <w:r w:rsidR="00D330C6">
              <w:rPr>
                <w:rFonts w:eastAsia="Calibri"/>
                <w:sz w:val="18"/>
                <w:szCs w:val="20"/>
              </w:rPr>
              <w:t> </w:t>
            </w:r>
            <w:r w:rsidRPr="006C54AB">
              <w:rPr>
                <w:rFonts w:eastAsia="Calibri"/>
                <w:sz w:val="18"/>
                <w:szCs w:val="20"/>
              </w:rPr>
              <w:t>2021</w:t>
            </w:r>
          </w:p>
        </w:tc>
        <w:tc>
          <w:tcPr>
            <w:tcW w:w="538" w:type="pct"/>
            <w:shd w:val="clear" w:color="auto" w:fill="auto"/>
            <w:vAlign w:val="center"/>
          </w:tcPr>
          <w:p w14:paraId="6D7FD030" w14:textId="77777777" w:rsidR="002D15B6" w:rsidRPr="006C54AB" w:rsidRDefault="002D15B6" w:rsidP="002D778E">
            <w:pPr>
              <w:jc w:val="center"/>
              <w:rPr>
                <w:rFonts w:eastAsia="Calibri"/>
                <w:sz w:val="18"/>
                <w:szCs w:val="20"/>
              </w:rPr>
            </w:pPr>
            <w:r w:rsidRPr="006C54AB">
              <w:rPr>
                <w:rFonts w:eastAsia="Calibri"/>
                <w:sz w:val="18"/>
                <w:szCs w:val="20"/>
              </w:rPr>
              <w:t>VZMR</w:t>
            </w:r>
          </w:p>
        </w:tc>
        <w:tc>
          <w:tcPr>
            <w:tcW w:w="762" w:type="pct"/>
            <w:shd w:val="clear" w:color="auto" w:fill="auto"/>
            <w:vAlign w:val="center"/>
          </w:tcPr>
          <w:p w14:paraId="5B62A2C5" w14:textId="77777777" w:rsidR="002D15B6" w:rsidRPr="006C54AB" w:rsidRDefault="002D15B6" w:rsidP="00D330C6">
            <w:pPr>
              <w:ind w:right="57"/>
              <w:jc w:val="right"/>
              <w:rPr>
                <w:rFonts w:eastAsia="Calibri"/>
                <w:sz w:val="18"/>
                <w:szCs w:val="20"/>
              </w:rPr>
            </w:pPr>
            <w:r w:rsidRPr="006C54AB">
              <w:rPr>
                <w:rFonts w:eastAsia="Calibri"/>
                <w:sz w:val="18"/>
                <w:szCs w:val="20"/>
              </w:rPr>
              <w:t>1 960 000</w:t>
            </w:r>
          </w:p>
        </w:tc>
        <w:tc>
          <w:tcPr>
            <w:tcW w:w="1255" w:type="pct"/>
            <w:shd w:val="clear" w:color="auto" w:fill="auto"/>
            <w:vAlign w:val="center"/>
          </w:tcPr>
          <w:p w14:paraId="720B379B" w14:textId="77777777" w:rsidR="002D15B6" w:rsidRPr="006C54AB" w:rsidRDefault="002D15B6" w:rsidP="00F64587">
            <w:pPr>
              <w:jc w:val="right"/>
              <w:rPr>
                <w:rFonts w:eastAsia="Calibri"/>
                <w:sz w:val="18"/>
                <w:szCs w:val="20"/>
              </w:rPr>
            </w:pPr>
            <w:r w:rsidRPr="006C54AB">
              <w:rPr>
                <w:rFonts w:eastAsia="Calibri"/>
                <w:sz w:val="18"/>
                <w:szCs w:val="20"/>
              </w:rPr>
              <w:t>2 115 430,70–2 153 892,50</w:t>
            </w:r>
          </w:p>
        </w:tc>
        <w:tc>
          <w:tcPr>
            <w:tcW w:w="846" w:type="pct"/>
            <w:shd w:val="clear" w:color="auto" w:fill="auto"/>
            <w:vAlign w:val="center"/>
          </w:tcPr>
          <w:p w14:paraId="33611F8F" w14:textId="77777777" w:rsidR="002D15B6" w:rsidRPr="006C54AB" w:rsidRDefault="002D15B6" w:rsidP="00D330C6">
            <w:pPr>
              <w:ind w:right="57"/>
              <w:jc w:val="right"/>
              <w:rPr>
                <w:rFonts w:eastAsia="Calibri"/>
                <w:sz w:val="18"/>
                <w:szCs w:val="20"/>
              </w:rPr>
            </w:pPr>
            <w:r w:rsidRPr="006C54AB">
              <w:rPr>
                <w:rFonts w:eastAsia="Calibri"/>
                <w:sz w:val="18"/>
                <w:szCs w:val="20"/>
              </w:rPr>
              <w:t>1 305 912,50</w:t>
            </w:r>
          </w:p>
        </w:tc>
      </w:tr>
      <w:tr w:rsidR="002D778E" w:rsidRPr="006C54AB" w14:paraId="6EAB4AE4" w14:textId="77777777" w:rsidTr="002D778E">
        <w:trPr>
          <w:trHeight w:val="255"/>
          <w:jc w:val="center"/>
        </w:trPr>
        <w:tc>
          <w:tcPr>
            <w:tcW w:w="458" w:type="pct"/>
            <w:shd w:val="clear" w:color="auto" w:fill="auto"/>
            <w:vAlign w:val="center"/>
          </w:tcPr>
          <w:p w14:paraId="36D4D582" w14:textId="69E25F64" w:rsidR="002D15B6" w:rsidRPr="006C54AB" w:rsidRDefault="002D15B6" w:rsidP="00F64587">
            <w:pPr>
              <w:jc w:val="center"/>
              <w:rPr>
                <w:rFonts w:eastAsia="Calibri"/>
                <w:sz w:val="18"/>
                <w:szCs w:val="20"/>
              </w:rPr>
            </w:pPr>
            <w:r w:rsidRPr="006C54AB">
              <w:rPr>
                <w:rFonts w:eastAsia="Calibri"/>
                <w:sz w:val="18"/>
                <w:szCs w:val="20"/>
              </w:rPr>
              <w:t>4</w:t>
            </w:r>
          </w:p>
        </w:tc>
        <w:tc>
          <w:tcPr>
            <w:tcW w:w="1140" w:type="pct"/>
            <w:shd w:val="clear" w:color="auto" w:fill="auto"/>
            <w:vAlign w:val="center"/>
          </w:tcPr>
          <w:p w14:paraId="1E0FA788" w14:textId="34E3355E" w:rsidR="002D15B6" w:rsidRPr="006C54AB" w:rsidRDefault="002D15B6" w:rsidP="00D330C6">
            <w:pPr>
              <w:ind w:left="-57"/>
              <w:jc w:val="right"/>
              <w:rPr>
                <w:rFonts w:eastAsia="Calibri"/>
                <w:sz w:val="18"/>
                <w:szCs w:val="20"/>
              </w:rPr>
            </w:pPr>
            <w:r w:rsidRPr="006C54AB">
              <w:rPr>
                <w:rFonts w:eastAsia="Calibri"/>
                <w:sz w:val="18"/>
                <w:szCs w:val="20"/>
              </w:rPr>
              <w:t>12.</w:t>
            </w:r>
            <w:r w:rsidR="00D330C6">
              <w:rPr>
                <w:rFonts w:eastAsia="Calibri"/>
                <w:sz w:val="18"/>
                <w:szCs w:val="20"/>
              </w:rPr>
              <w:t> </w:t>
            </w:r>
            <w:r w:rsidRPr="006C54AB">
              <w:rPr>
                <w:rFonts w:eastAsia="Calibri"/>
                <w:sz w:val="18"/>
                <w:szCs w:val="20"/>
              </w:rPr>
              <w:t>10.</w:t>
            </w:r>
            <w:r w:rsidR="00D330C6">
              <w:rPr>
                <w:rFonts w:eastAsia="Calibri"/>
                <w:sz w:val="18"/>
                <w:szCs w:val="20"/>
              </w:rPr>
              <w:t> </w:t>
            </w:r>
            <w:r w:rsidRPr="006C54AB">
              <w:rPr>
                <w:rFonts w:eastAsia="Calibri"/>
                <w:sz w:val="18"/>
                <w:szCs w:val="20"/>
              </w:rPr>
              <w:t>2021–10.</w:t>
            </w:r>
            <w:r w:rsidR="00D330C6">
              <w:rPr>
                <w:rFonts w:eastAsia="Calibri"/>
                <w:sz w:val="18"/>
                <w:szCs w:val="20"/>
              </w:rPr>
              <w:t> </w:t>
            </w:r>
            <w:r w:rsidRPr="006C54AB">
              <w:rPr>
                <w:rFonts w:eastAsia="Calibri"/>
                <w:sz w:val="18"/>
                <w:szCs w:val="20"/>
              </w:rPr>
              <w:t>12.</w:t>
            </w:r>
            <w:r w:rsidR="00D330C6">
              <w:rPr>
                <w:rFonts w:eastAsia="Calibri"/>
                <w:sz w:val="18"/>
                <w:szCs w:val="20"/>
              </w:rPr>
              <w:t> </w:t>
            </w:r>
            <w:r w:rsidRPr="006C54AB">
              <w:rPr>
                <w:rFonts w:eastAsia="Calibri"/>
                <w:sz w:val="18"/>
                <w:szCs w:val="20"/>
              </w:rPr>
              <w:t>2021</w:t>
            </w:r>
          </w:p>
        </w:tc>
        <w:tc>
          <w:tcPr>
            <w:tcW w:w="538" w:type="pct"/>
            <w:shd w:val="clear" w:color="auto" w:fill="auto"/>
            <w:vAlign w:val="center"/>
          </w:tcPr>
          <w:p w14:paraId="599AD4F0" w14:textId="77777777" w:rsidR="002D15B6" w:rsidRPr="006C54AB" w:rsidRDefault="002D15B6" w:rsidP="00BE667B">
            <w:pPr>
              <w:jc w:val="center"/>
              <w:rPr>
                <w:rFonts w:eastAsia="Calibri"/>
                <w:sz w:val="18"/>
                <w:szCs w:val="20"/>
              </w:rPr>
            </w:pPr>
            <w:r w:rsidRPr="006C54AB">
              <w:rPr>
                <w:rFonts w:eastAsia="Calibri"/>
                <w:sz w:val="18"/>
                <w:szCs w:val="20"/>
              </w:rPr>
              <w:t>VZMR</w:t>
            </w:r>
          </w:p>
        </w:tc>
        <w:tc>
          <w:tcPr>
            <w:tcW w:w="762" w:type="pct"/>
            <w:shd w:val="clear" w:color="auto" w:fill="auto"/>
            <w:vAlign w:val="center"/>
          </w:tcPr>
          <w:p w14:paraId="23E7CE6F" w14:textId="77777777" w:rsidR="002D15B6" w:rsidRPr="006C54AB" w:rsidRDefault="002D15B6" w:rsidP="00D330C6">
            <w:pPr>
              <w:ind w:right="57"/>
              <w:jc w:val="right"/>
              <w:rPr>
                <w:rFonts w:eastAsia="Calibri"/>
                <w:sz w:val="18"/>
                <w:szCs w:val="20"/>
              </w:rPr>
            </w:pPr>
            <w:r w:rsidRPr="006C54AB">
              <w:rPr>
                <w:rFonts w:eastAsia="Calibri"/>
                <w:sz w:val="18"/>
                <w:szCs w:val="20"/>
              </w:rPr>
              <w:t>1 940 000</w:t>
            </w:r>
          </w:p>
        </w:tc>
        <w:tc>
          <w:tcPr>
            <w:tcW w:w="1255" w:type="pct"/>
            <w:shd w:val="clear" w:color="auto" w:fill="auto"/>
            <w:vAlign w:val="center"/>
          </w:tcPr>
          <w:p w14:paraId="0EE74A99" w14:textId="77777777" w:rsidR="002D15B6" w:rsidRPr="006C54AB" w:rsidRDefault="002D15B6" w:rsidP="00BE667B">
            <w:pPr>
              <w:ind w:right="195"/>
              <w:jc w:val="right"/>
              <w:rPr>
                <w:rFonts w:eastAsia="Calibri"/>
                <w:sz w:val="18"/>
                <w:szCs w:val="20"/>
              </w:rPr>
            </w:pPr>
            <w:r w:rsidRPr="006C54AB">
              <w:rPr>
                <w:rFonts w:eastAsia="Calibri"/>
                <w:sz w:val="18"/>
                <w:szCs w:val="20"/>
              </w:rPr>
              <w:t>2 007 190</w:t>
            </w:r>
          </w:p>
        </w:tc>
        <w:tc>
          <w:tcPr>
            <w:tcW w:w="846" w:type="pct"/>
            <w:shd w:val="clear" w:color="auto" w:fill="auto"/>
            <w:vAlign w:val="center"/>
          </w:tcPr>
          <w:p w14:paraId="5A2593FE" w14:textId="77777777" w:rsidR="002D15B6" w:rsidRPr="006C54AB" w:rsidRDefault="002D15B6" w:rsidP="00D330C6">
            <w:pPr>
              <w:ind w:right="57"/>
              <w:jc w:val="right"/>
              <w:rPr>
                <w:rFonts w:eastAsia="Calibri"/>
                <w:sz w:val="18"/>
                <w:szCs w:val="20"/>
              </w:rPr>
            </w:pPr>
            <w:r w:rsidRPr="006C54AB">
              <w:rPr>
                <w:rFonts w:eastAsia="Calibri"/>
                <w:sz w:val="18"/>
                <w:szCs w:val="20"/>
              </w:rPr>
              <w:t>1 132 615,00</w:t>
            </w:r>
          </w:p>
        </w:tc>
      </w:tr>
      <w:tr w:rsidR="002D778E" w:rsidRPr="006C54AB" w14:paraId="2A61F7E6" w14:textId="77777777" w:rsidTr="002D778E">
        <w:trPr>
          <w:trHeight w:val="255"/>
          <w:jc w:val="center"/>
        </w:trPr>
        <w:tc>
          <w:tcPr>
            <w:tcW w:w="2136" w:type="pct"/>
            <w:gridSpan w:val="3"/>
            <w:shd w:val="clear" w:color="auto" w:fill="F2F2F2" w:themeFill="background1" w:themeFillShade="F2"/>
            <w:vAlign w:val="center"/>
          </w:tcPr>
          <w:p w14:paraId="3C6501F1" w14:textId="77777777" w:rsidR="002D15B6" w:rsidRPr="006C54AB" w:rsidRDefault="002D15B6" w:rsidP="00BE667B">
            <w:pPr>
              <w:jc w:val="both"/>
              <w:rPr>
                <w:rFonts w:eastAsia="Calibri"/>
                <w:sz w:val="18"/>
                <w:szCs w:val="20"/>
              </w:rPr>
            </w:pPr>
            <w:r w:rsidRPr="006C54AB">
              <w:rPr>
                <w:rFonts w:eastAsia="Calibri"/>
                <w:sz w:val="18"/>
                <w:szCs w:val="20"/>
              </w:rPr>
              <w:t xml:space="preserve">Celkem </w:t>
            </w:r>
          </w:p>
        </w:tc>
        <w:tc>
          <w:tcPr>
            <w:tcW w:w="762" w:type="pct"/>
            <w:shd w:val="clear" w:color="auto" w:fill="F2F2F2" w:themeFill="background1" w:themeFillShade="F2"/>
            <w:vAlign w:val="center"/>
          </w:tcPr>
          <w:p w14:paraId="0A0850CC" w14:textId="77777777" w:rsidR="002D15B6" w:rsidRPr="006C54AB" w:rsidRDefault="002D15B6" w:rsidP="00D330C6">
            <w:pPr>
              <w:ind w:right="57"/>
              <w:jc w:val="right"/>
              <w:rPr>
                <w:rFonts w:eastAsia="Calibri"/>
                <w:sz w:val="18"/>
                <w:szCs w:val="20"/>
              </w:rPr>
            </w:pPr>
            <w:r w:rsidRPr="006C54AB">
              <w:rPr>
                <w:rFonts w:eastAsia="Calibri"/>
                <w:sz w:val="18"/>
                <w:szCs w:val="20"/>
              </w:rPr>
              <w:t>6 808 615</w:t>
            </w:r>
          </w:p>
        </w:tc>
        <w:tc>
          <w:tcPr>
            <w:tcW w:w="1255" w:type="pct"/>
            <w:shd w:val="clear" w:color="auto" w:fill="F2F2F2" w:themeFill="background1" w:themeFillShade="F2"/>
            <w:vAlign w:val="center"/>
          </w:tcPr>
          <w:p w14:paraId="7C105834" w14:textId="77777777" w:rsidR="002D15B6" w:rsidRPr="006C54AB" w:rsidRDefault="002D15B6" w:rsidP="00BE667B">
            <w:pPr>
              <w:ind w:right="195"/>
              <w:jc w:val="right"/>
              <w:rPr>
                <w:rFonts w:eastAsia="Calibri"/>
                <w:sz w:val="18"/>
                <w:szCs w:val="20"/>
              </w:rPr>
            </w:pPr>
            <w:r w:rsidRPr="006C54AB">
              <w:rPr>
                <w:rFonts w:eastAsia="Calibri"/>
                <w:sz w:val="18"/>
                <w:szCs w:val="20"/>
              </w:rPr>
              <w:t>---</w:t>
            </w:r>
          </w:p>
        </w:tc>
        <w:tc>
          <w:tcPr>
            <w:tcW w:w="846" w:type="pct"/>
            <w:shd w:val="clear" w:color="auto" w:fill="F2F2F2" w:themeFill="background1" w:themeFillShade="F2"/>
            <w:vAlign w:val="center"/>
          </w:tcPr>
          <w:p w14:paraId="1A14C8A4" w14:textId="77777777" w:rsidR="002D15B6" w:rsidRPr="006C54AB" w:rsidRDefault="002D15B6" w:rsidP="00D330C6">
            <w:pPr>
              <w:ind w:right="57"/>
              <w:jc w:val="right"/>
              <w:rPr>
                <w:rFonts w:eastAsia="Calibri"/>
                <w:sz w:val="18"/>
                <w:szCs w:val="20"/>
              </w:rPr>
            </w:pPr>
            <w:r w:rsidRPr="006C54AB">
              <w:rPr>
                <w:rFonts w:eastAsia="Calibri"/>
                <w:sz w:val="18"/>
                <w:szCs w:val="20"/>
              </w:rPr>
              <w:t>4 984 907,50</w:t>
            </w:r>
          </w:p>
        </w:tc>
      </w:tr>
    </w:tbl>
    <w:p w14:paraId="0B6FEE80" w14:textId="5F90ACD1" w:rsidR="002D15B6" w:rsidRPr="002D778E" w:rsidRDefault="002D15B6" w:rsidP="002D778E">
      <w:pPr>
        <w:spacing w:before="40" w:after="0" w:line="240" w:lineRule="auto"/>
        <w:jc w:val="both"/>
        <w:rPr>
          <w:rFonts w:eastAsia="Calibri"/>
          <w:sz w:val="20"/>
          <w:szCs w:val="20"/>
        </w:rPr>
      </w:pPr>
      <w:r w:rsidRPr="002D778E">
        <w:rPr>
          <w:rFonts w:eastAsia="Calibri"/>
          <w:b/>
          <w:sz w:val="20"/>
          <w:szCs w:val="20"/>
        </w:rPr>
        <w:t xml:space="preserve">Zdroj: </w:t>
      </w:r>
      <w:r w:rsidR="00D330C6">
        <w:rPr>
          <w:rFonts w:eastAsia="Calibri"/>
          <w:sz w:val="20"/>
          <w:szCs w:val="20"/>
        </w:rPr>
        <w:t>vypracoval NKÚ podle</w:t>
      </w:r>
      <w:r w:rsidRPr="002D778E">
        <w:rPr>
          <w:rFonts w:eastAsia="Calibri"/>
          <w:sz w:val="20"/>
          <w:szCs w:val="20"/>
        </w:rPr>
        <w:t xml:space="preserve"> dokumentace poskytnuté LSL</w:t>
      </w:r>
      <w:r w:rsidR="00D330C6">
        <w:rPr>
          <w:rFonts w:eastAsia="Calibri"/>
          <w:sz w:val="20"/>
          <w:szCs w:val="20"/>
        </w:rPr>
        <w:t>.</w:t>
      </w:r>
    </w:p>
    <w:p w14:paraId="601D63F6" w14:textId="4C42BC72" w:rsidR="00D35A70" w:rsidRPr="002D778E" w:rsidRDefault="00D35A70" w:rsidP="002D778E">
      <w:pPr>
        <w:spacing w:after="120" w:line="240" w:lineRule="auto"/>
        <w:jc w:val="both"/>
        <w:rPr>
          <w:rFonts w:eastAsia="Calibri"/>
          <w:sz w:val="20"/>
          <w:szCs w:val="20"/>
        </w:rPr>
      </w:pPr>
      <w:r w:rsidRPr="002D778E">
        <w:rPr>
          <w:rFonts w:eastAsia="Calibri"/>
          <w:b/>
          <w:sz w:val="20"/>
          <w:szCs w:val="20"/>
        </w:rPr>
        <w:t>Pozn</w:t>
      </w:r>
      <w:r w:rsidR="00D330C6">
        <w:rPr>
          <w:rFonts w:eastAsia="Calibri"/>
          <w:b/>
          <w:sz w:val="20"/>
          <w:szCs w:val="20"/>
        </w:rPr>
        <w:t>.</w:t>
      </w:r>
      <w:r w:rsidRPr="002D778E">
        <w:rPr>
          <w:rFonts w:eastAsia="Calibri"/>
          <w:b/>
          <w:sz w:val="20"/>
          <w:szCs w:val="20"/>
        </w:rPr>
        <w:t xml:space="preserve">: </w:t>
      </w:r>
      <w:r w:rsidRPr="002D778E">
        <w:rPr>
          <w:rFonts w:eastAsia="Calibri"/>
          <w:sz w:val="20"/>
          <w:szCs w:val="20"/>
        </w:rPr>
        <w:t>VZMR = veřejná zakázka malého rozsahu, VZ = veřejná zakázka</w:t>
      </w:r>
      <w:r w:rsidR="00D330C6">
        <w:rPr>
          <w:rFonts w:eastAsia="Calibri"/>
          <w:sz w:val="20"/>
          <w:szCs w:val="20"/>
        </w:rPr>
        <w:t>.</w:t>
      </w:r>
    </w:p>
    <w:p w14:paraId="6290CECC" w14:textId="3744382F" w:rsidR="002D15B6" w:rsidRPr="002D778E" w:rsidRDefault="00072D16" w:rsidP="002D778E">
      <w:pPr>
        <w:spacing w:before="120" w:after="120" w:line="264" w:lineRule="auto"/>
        <w:jc w:val="both"/>
        <w:rPr>
          <w:rFonts w:eastAsia="Calibri" w:cstheme="minorHAnsi"/>
          <w:strike/>
          <w:sz w:val="24"/>
          <w:szCs w:val="24"/>
        </w:rPr>
      </w:pPr>
      <w:r w:rsidRPr="002D778E">
        <w:rPr>
          <w:rFonts w:eastAsia="Calibri"/>
          <w:sz w:val="24"/>
          <w:szCs w:val="24"/>
        </w:rPr>
        <w:t xml:space="preserve">NKÚ zjistil, že </w:t>
      </w:r>
      <w:r w:rsidR="001C6077" w:rsidRPr="002D778E">
        <w:rPr>
          <w:rFonts w:eastAsia="Calibri"/>
          <w:b/>
          <w:sz w:val="24"/>
          <w:szCs w:val="24"/>
        </w:rPr>
        <w:t xml:space="preserve">LSL nedodržela postup </w:t>
      </w:r>
      <w:r w:rsidR="002D15B6" w:rsidRPr="002D778E">
        <w:rPr>
          <w:rFonts w:eastAsia="Calibri"/>
          <w:b/>
          <w:sz w:val="24"/>
          <w:szCs w:val="24"/>
        </w:rPr>
        <w:t xml:space="preserve">stanovený </w:t>
      </w:r>
      <w:r w:rsidRPr="002D778E">
        <w:rPr>
          <w:rFonts w:eastAsia="Calibri"/>
          <w:b/>
          <w:sz w:val="24"/>
          <w:szCs w:val="24"/>
        </w:rPr>
        <w:t>v</w:t>
      </w:r>
      <w:r w:rsidR="003904C2" w:rsidRPr="002D778E">
        <w:rPr>
          <w:rFonts w:eastAsia="Calibri"/>
          <w:b/>
          <w:sz w:val="24"/>
          <w:szCs w:val="24"/>
        </w:rPr>
        <w:t xml:space="preserve"> ustanoveních </w:t>
      </w:r>
      <w:r w:rsidRPr="002D778E">
        <w:rPr>
          <w:rFonts w:eastAsia="Calibri"/>
          <w:b/>
          <w:sz w:val="24"/>
          <w:szCs w:val="24"/>
        </w:rPr>
        <w:t>§ 2 odst. 3 a § 16 odst. 2 zákona č. 134/2016 Sb.</w:t>
      </w:r>
      <w:r w:rsidRPr="00B20B23">
        <w:rPr>
          <w:rFonts w:eastAsia="Calibri"/>
          <w:b/>
          <w:sz w:val="24"/>
          <w:szCs w:val="24"/>
        </w:rPr>
        <w:t>,</w:t>
      </w:r>
      <w:r w:rsidRPr="002D778E">
        <w:rPr>
          <w:rFonts w:eastAsia="Calibri"/>
          <w:sz w:val="24"/>
          <w:szCs w:val="24"/>
        </w:rPr>
        <w:t xml:space="preserve"> </w:t>
      </w:r>
      <w:r w:rsidR="002D15B6" w:rsidRPr="002D778E">
        <w:rPr>
          <w:rFonts w:eastAsia="Calibri"/>
          <w:sz w:val="24"/>
          <w:szCs w:val="24"/>
        </w:rPr>
        <w:t xml:space="preserve">když do předpokládané hodnoty veřejné zakázky nezahrnula hodnotu všech plnění, která vyplynula ze smluv </w:t>
      </w:r>
      <w:r w:rsidR="00F51221" w:rsidRPr="002D778E">
        <w:rPr>
          <w:rFonts w:eastAsia="Calibri"/>
          <w:sz w:val="24"/>
          <w:szCs w:val="24"/>
        </w:rPr>
        <w:t>uzavřených</w:t>
      </w:r>
      <w:r w:rsidR="002D15B6" w:rsidRPr="002D778E">
        <w:rPr>
          <w:rFonts w:eastAsia="Calibri"/>
          <w:sz w:val="24"/>
          <w:szCs w:val="24"/>
        </w:rPr>
        <w:t xml:space="preserve"> v roce 2020 a 2021. Jednalo se o smlouvy č. 1 a</w:t>
      </w:r>
      <w:r w:rsidRPr="002D778E">
        <w:rPr>
          <w:rFonts w:eastAsia="Calibri"/>
          <w:sz w:val="24"/>
          <w:szCs w:val="24"/>
        </w:rPr>
        <w:t> </w:t>
      </w:r>
      <w:r w:rsidR="002D15B6" w:rsidRPr="002D778E">
        <w:rPr>
          <w:rFonts w:eastAsia="Calibri"/>
          <w:sz w:val="24"/>
          <w:szCs w:val="24"/>
        </w:rPr>
        <w:t>č.</w:t>
      </w:r>
      <w:r w:rsidRPr="002D778E">
        <w:rPr>
          <w:rFonts w:eastAsia="Calibri"/>
          <w:sz w:val="24"/>
          <w:szCs w:val="24"/>
        </w:rPr>
        <w:t> </w:t>
      </w:r>
      <w:r w:rsidR="002D15B6" w:rsidRPr="002D778E">
        <w:rPr>
          <w:rFonts w:eastAsia="Calibri"/>
          <w:sz w:val="24"/>
          <w:szCs w:val="24"/>
        </w:rPr>
        <w:t>2 v celkové předpokládané hodnotě 2 908 615 Kč, které byly plněny v roce 2020 a</w:t>
      </w:r>
      <w:r w:rsidRPr="002D778E">
        <w:rPr>
          <w:rFonts w:eastAsia="Calibri"/>
          <w:sz w:val="24"/>
          <w:szCs w:val="24"/>
        </w:rPr>
        <w:t> </w:t>
      </w:r>
      <w:r w:rsidR="002D15B6" w:rsidRPr="002D778E">
        <w:rPr>
          <w:rFonts w:eastAsia="Calibri"/>
          <w:sz w:val="24"/>
          <w:szCs w:val="24"/>
        </w:rPr>
        <w:t>o</w:t>
      </w:r>
      <w:r w:rsidRPr="002D778E">
        <w:rPr>
          <w:rFonts w:eastAsia="Calibri"/>
          <w:sz w:val="24"/>
          <w:szCs w:val="24"/>
        </w:rPr>
        <w:t> </w:t>
      </w:r>
      <w:r w:rsidR="002D15B6" w:rsidRPr="002D778E">
        <w:rPr>
          <w:rFonts w:eastAsia="Calibri"/>
          <w:sz w:val="24"/>
          <w:szCs w:val="24"/>
        </w:rPr>
        <w:t>smlouvy č. 3 a č. 4 v celkové předpokládané hodnotě 3 900 000 Kč, které byly plněny v roce 2021. Podmínka věcné, časové a funkční souvislosti byla splněna, a jednalo se tudíž o jednu veřejnou zakázku v roce 2020 a jednu veřejnou zakázku v roce 2021 přesahující v jednotlivých letech limit 2</w:t>
      </w:r>
      <w:r w:rsidR="006454AF" w:rsidRPr="002D778E">
        <w:rPr>
          <w:rFonts w:eastAsia="Calibri"/>
          <w:sz w:val="24"/>
          <w:szCs w:val="24"/>
        </w:rPr>
        <w:t> </w:t>
      </w:r>
      <w:r w:rsidR="002D15B6" w:rsidRPr="002D778E">
        <w:rPr>
          <w:rFonts w:eastAsia="Calibri"/>
          <w:sz w:val="24"/>
          <w:szCs w:val="24"/>
        </w:rPr>
        <w:t>000</w:t>
      </w:r>
      <w:r w:rsidR="006454AF" w:rsidRPr="002D778E">
        <w:rPr>
          <w:rFonts w:eastAsia="Calibri"/>
          <w:sz w:val="24"/>
          <w:szCs w:val="24"/>
        </w:rPr>
        <w:t> </w:t>
      </w:r>
      <w:r w:rsidR="002D15B6" w:rsidRPr="002D778E">
        <w:rPr>
          <w:rFonts w:eastAsia="Calibri"/>
          <w:sz w:val="24"/>
          <w:szCs w:val="24"/>
        </w:rPr>
        <w:t>000 Kč pro zakázky malého rozsahu.</w:t>
      </w:r>
      <w:r w:rsidR="006D1B9D" w:rsidRPr="002D778E">
        <w:rPr>
          <w:rFonts w:eastAsia="Calibri"/>
          <w:sz w:val="24"/>
          <w:szCs w:val="24"/>
        </w:rPr>
        <w:t xml:space="preserve"> </w:t>
      </w:r>
      <w:r w:rsidRPr="002D778E">
        <w:rPr>
          <w:rFonts w:eastAsia="Calibri"/>
          <w:b/>
          <w:sz w:val="24"/>
          <w:szCs w:val="24"/>
        </w:rPr>
        <w:t xml:space="preserve">LSL v letech 2020 a 2021 </w:t>
      </w:r>
      <w:r w:rsidR="0047142F" w:rsidRPr="002D778E">
        <w:rPr>
          <w:rFonts w:eastAsia="Calibri"/>
          <w:b/>
          <w:sz w:val="24"/>
          <w:szCs w:val="24"/>
        </w:rPr>
        <w:t xml:space="preserve">nesprávně stanovila předpokládanou hodnotu veřejných zakázek a </w:t>
      </w:r>
      <w:r w:rsidRPr="002D778E">
        <w:rPr>
          <w:rFonts w:eastAsia="Calibri"/>
          <w:b/>
          <w:sz w:val="24"/>
          <w:szCs w:val="24"/>
        </w:rPr>
        <w:t xml:space="preserve">v rozporu se zákonem </w:t>
      </w:r>
      <w:r w:rsidR="00184D5F" w:rsidRPr="002D778E">
        <w:rPr>
          <w:rFonts w:eastAsia="Calibri"/>
          <w:b/>
          <w:sz w:val="24"/>
          <w:szCs w:val="24"/>
        </w:rPr>
        <w:t>č.</w:t>
      </w:r>
      <w:r w:rsidR="00D330C6">
        <w:rPr>
          <w:rFonts w:eastAsia="Calibri"/>
          <w:b/>
          <w:sz w:val="24"/>
          <w:szCs w:val="24"/>
        </w:rPr>
        <w:t> </w:t>
      </w:r>
      <w:r w:rsidR="00184D5F" w:rsidRPr="002D778E">
        <w:rPr>
          <w:rFonts w:eastAsia="Calibri"/>
          <w:b/>
          <w:sz w:val="24"/>
          <w:szCs w:val="24"/>
        </w:rPr>
        <w:t>134/2016</w:t>
      </w:r>
      <w:r w:rsidR="00D330C6">
        <w:rPr>
          <w:rFonts w:eastAsia="Calibri"/>
          <w:b/>
          <w:sz w:val="24"/>
          <w:szCs w:val="24"/>
        </w:rPr>
        <w:t> </w:t>
      </w:r>
      <w:r w:rsidR="00184D5F" w:rsidRPr="002D778E">
        <w:rPr>
          <w:rFonts w:eastAsia="Calibri"/>
          <w:b/>
          <w:sz w:val="24"/>
          <w:szCs w:val="24"/>
        </w:rPr>
        <w:t>Sb.</w:t>
      </w:r>
      <w:r w:rsidRPr="002D778E">
        <w:rPr>
          <w:rFonts w:eastAsia="Calibri"/>
          <w:b/>
          <w:sz w:val="24"/>
          <w:szCs w:val="24"/>
        </w:rPr>
        <w:t xml:space="preserve"> rozdělila zakázky na dodávk</w:t>
      </w:r>
      <w:r w:rsidR="00F51221" w:rsidRPr="002D778E">
        <w:rPr>
          <w:rFonts w:eastAsia="Calibri"/>
          <w:b/>
          <w:sz w:val="24"/>
          <w:szCs w:val="24"/>
        </w:rPr>
        <w:t>y</w:t>
      </w:r>
      <w:r w:rsidRPr="002D778E">
        <w:rPr>
          <w:rFonts w:eastAsia="Calibri"/>
          <w:b/>
          <w:sz w:val="24"/>
          <w:szCs w:val="24"/>
        </w:rPr>
        <w:t xml:space="preserve"> sadebního materiálu. </w:t>
      </w:r>
      <w:r w:rsidR="00C43D3A" w:rsidRPr="002D778E">
        <w:rPr>
          <w:rFonts w:eastAsia="Calibri"/>
          <w:b/>
          <w:sz w:val="24"/>
          <w:szCs w:val="24"/>
        </w:rPr>
        <w:t xml:space="preserve">NKÚ zjistil skutečnosti nasvědčující porušení rozpočtové kázně </w:t>
      </w:r>
      <w:r w:rsidR="001C63B2" w:rsidRPr="002D778E">
        <w:rPr>
          <w:b/>
          <w:sz w:val="24"/>
          <w:szCs w:val="24"/>
        </w:rPr>
        <w:t>dle ustanovení § 44 odst. 1 písm. a) zákona č.</w:t>
      </w:r>
      <w:r w:rsidR="00872F3D">
        <w:rPr>
          <w:b/>
          <w:sz w:val="24"/>
          <w:szCs w:val="24"/>
        </w:rPr>
        <w:t> </w:t>
      </w:r>
      <w:r w:rsidR="001C63B2" w:rsidRPr="002D778E">
        <w:rPr>
          <w:b/>
          <w:sz w:val="24"/>
          <w:szCs w:val="24"/>
        </w:rPr>
        <w:t xml:space="preserve">218/2000 Sb. </w:t>
      </w:r>
      <w:r w:rsidR="00C43D3A" w:rsidRPr="002D778E">
        <w:rPr>
          <w:rFonts w:eastAsia="Calibri"/>
          <w:b/>
          <w:sz w:val="24"/>
          <w:szCs w:val="24"/>
        </w:rPr>
        <w:t>až do výše 4 389 862,50 Kč bez DPH</w:t>
      </w:r>
      <w:r w:rsidR="00C43D3A" w:rsidRPr="00B20B23">
        <w:rPr>
          <w:rFonts w:eastAsia="Calibri"/>
          <w:b/>
          <w:sz w:val="24"/>
          <w:szCs w:val="24"/>
        </w:rPr>
        <w:t>.</w:t>
      </w:r>
      <w:r w:rsidR="00C43D3A" w:rsidRPr="002D778E">
        <w:rPr>
          <w:rFonts w:eastAsia="Calibri"/>
          <w:sz w:val="24"/>
          <w:szCs w:val="24"/>
        </w:rPr>
        <w:t xml:space="preserve"> </w:t>
      </w:r>
    </w:p>
    <w:p w14:paraId="685A60AB" w14:textId="77777777" w:rsidR="00204B19" w:rsidRPr="002D778E" w:rsidRDefault="00204B19" w:rsidP="002D778E">
      <w:pPr>
        <w:keepNext/>
        <w:spacing w:before="120" w:after="120" w:line="264" w:lineRule="auto"/>
        <w:jc w:val="both"/>
        <w:rPr>
          <w:rFonts w:eastAsia="Calibri"/>
          <w:b/>
          <w:sz w:val="24"/>
          <w:szCs w:val="24"/>
        </w:rPr>
      </w:pPr>
      <w:r w:rsidRPr="002D778E">
        <w:rPr>
          <w:rFonts w:eastAsia="Calibri"/>
          <w:b/>
          <w:sz w:val="24"/>
          <w:szCs w:val="24"/>
        </w:rPr>
        <w:t xml:space="preserve">Právní služby spočívající v zajištění administrace veřejných zakázek </w:t>
      </w:r>
    </w:p>
    <w:p w14:paraId="6E3B63EC" w14:textId="4F2C2396" w:rsidR="00204B19" w:rsidRPr="002D778E" w:rsidRDefault="00204B19" w:rsidP="002D778E">
      <w:pPr>
        <w:spacing w:before="120" w:after="120" w:line="264" w:lineRule="auto"/>
        <w:jc w:val="both"/>
        <w:rPr>
          <w:rFonts w:eastAsia="Calibri"/>
          <w:sz w:val="24"/>
          <w:szCs w:val="24"/>
        </w:rPr>
      </w:pPr>
      <w:r w:rsidRPr="002D778E">
        <w:rPr>
          <w:rFonts w:cstheme="minorHAnsi"/>
          <w:sz w:val="24"/>
          <w:szCs w:val="24"/>
        </w:rPr>
        <w:t xml:space="preserve">LSL uhradila peněžní prostředky na zajištění administrace veřejných zakázek na služby, dodávky a stavební práce v celkové výši 3 195 500 Kč bez DPH, a to na základě smlouvy uzavřené mezi LSL a poskytovatelem těchto služeb dne 20. 3. 2018. Smlouva byla uzavřena </w:t>
      </w:r>
      <w:r w:rsidRPr="002D778E">
        <w:rPr>
          <w:rFonts w:eastAsia="Calibri"/>
          <w:sz w:val="24"/>
          <w:szCs w:val="24"/>
        </w:rPr>
        <w:t>na dobu určitou, a to od účinnosti této smlouvy do 31. 12. 2019 nebo do vyčerpání max</w:t>
      </w:r>
      <w:r w:rsidR="00872F3D">
        <w:rPr>
          <w:rFonts w:eastAsia="Calibri"/>
          <w:sz w:val="24"/>
          <w:szCs w:val="24"/>
        </w:rPr>
        <w:t>imální</w:t>
      </w:r>
      <w:r w:rsidRPr="002D778E">
        <w:rPr>
          <w:rFonts w:eastAsia="Calibri"/>
          <w:sz w:val="24"/>
          <w:szCs w:val="24"/>
        </w:rPr>
        <w:t xml:space="preserve"> celkové částky 2 000 000 Kč bez DPH podle toho, která z výše uvedených skutečností nastane dříve. </w:t>
      </w:r>
    </w:p>
    <w:p w14:paraId="777552D6" w14:textId="77777777" w:rsidR="00204B19" w:rsidRPr="002D778E" w:rsidRDefault="00204B19" w:rsidP="002D778E">
      <w:pPr>
        <w:spacing w:before="120" w:after="120" w:line="264" w:lineRule="auto"/>
        <w:jc w:val="both"/>
        <w:rPr>
          <w:rFonts w:eastAsia="Calibri"/>
          <w:sz w:val="24"/>
          <w:szCs w:val="24"/>
        </w:rPr>
      </w:pPr>
      <w:r w:rsidRPr="002D778E">
        <w:rPr>
          <w:rFonts w:eastAsia="Calibri"/>
          <w:b/>
          <w:sz w:val="24"/>
          <w:szCs w:val="24"/>
        </w:rPr>
        <w:t>LSL tak bez právního důvodu proplatila částku 1 195 500 Kč</w:t>
      </w:r>
      <w:r w:rsidRPr="00B20B23">
        <w:rPr>
          <w:rFonts w:eastAsia="Calibri"/>
          <w:b/>
          <w:sz w:val="24"/>
          <w:szCs w:val="24"/>
        </w:rPr>
        <w:t>.</w:t>
      </w:r>
      <w:r w:rsidRPr="002D778E">
        <w:rPr>
          <w:rFonts w:eastAsia="Calibri"/>
          <w:sz w:val="24"/>
          <w:szCs w:val="24"/>
        </w:rPr>
        <w:t xml:space="preserve"> </w:t>
      </w:r>
    </w:p>
    <w:p w14:paraId="6AF7D08E" w14:textId="75814619" w:rsidR="00204B19" w:rsidRPr="002D778E" w:rsidRDefault="00204B19" w:rsidP="002D778E">
      <w:pPr>
        <w:spacing w:before="120" w:after="120" w:line="264" w:lineRule="auto"/>
        <w:jc w:val="both"/>
        <w:rPr>
          <w:rFonts w:cstheme="minorHAnsi"/>
          <w:sz w:val="24"/>
          <w:szCs w:val="24"/>
        </w:rPr>
      </w:pPr>
      <w:r w:rsidRPr="002D778E">
        <w:rPr>
          <w:rFonts w:cstheme="minorHAnsi"/>
          <w:sz w:val="24"/>
          <w:szCs w:val="24"/>
        </w:rPr>
        <w:t>LSL se dále vyhnula zadání podlimitní veřejné zakázky v řízení, které předpokládá</w:t>
      </w:r>
      <w:r w:rsidR="006C54AB" w:rsidRPr="002D778E">
        <w:rPr>
          <w:rFonts w:cstheme="minorHAnsi"/>
          <w:sz w:val="24"/>
          <w:szCs w:val="24"/>
        </w:rPr>
        <w:t xml:space="preserve"> ustanovení</w:t>
      </w:r>
      <w:r w:rsidRPr="002D778E">
        <w:rPr>
          <w:rFonts w:cstheme="minorHAnsi"/>
          <w:sz w:val="24"/>
          <w:szCs w:val="24"/>
        </w:rPr>
        <w:t xml:space="preserve"> § 52 zákona č. 134/2016</w:t>
      </w:r>
      <w:r w:rsidR="006C54AB" w:rsidRPr="002D778E">
        <w:rPr>
          <w:rFonts w:cstheme="minorHAnsi"/>
          <w:sz w:val="24"/>
          <w:szCs w:val="24"/>
        </w:rPr>
        <w:t xml:space="preserve"> Sb.</w:t>
      </w:r>
      <w:r w:rsidRPr="002D778E">
        <w:rPr>
          <w:rFonts w:cstheme="minorHAnsi"/>
          <w:sz w:val="24"/>
          <w:szCs w:val="24"/>
        </w:rPr>
        <w:t>, když do předpokládané hodnoty podlimitní veřejné zakázky na právní služby nezahrnula hodnotu všech plnění, které vyplynuly z uzavřené smlouvy</w:t>
      </w:r>
      <w:r w:rsidR="00872F3D">
        <w:rPr>
          <w:rFonts w:cstheme="minorHAnsi"/>
          <w:sz w:val="24"/>
          <w:szCs w:val="24"/>
        </w:rPr>
        <w:t>,</w:t>
      </w:r>
      <w:r w:rsidRPr="002D778E">
        <w:rPr>
          <w:rFonts w:cstheme="minorHAnsi"/>
          <w:sz w:val="24"/>
          <w:szCs w:val="24"/>
        </w:rPr>
        <w:t xml:space="preserve"> a snížila tak předpokládanou hodnotu pod finanční limity stanovené v zákoně </w:t>
      </w:r>
      <w:r w:rsidR="00D35A70" w:rsidRPr="002D778E">
        <w:rPr>
          <w:rFonts w:cstheme="minorHAnsi"/>
          <w:sz w:val="24"/>
          <w:szCs w:val="24"/>
        </w:rPr>
        <w:t>č. 134/2016 Sb.</w:t>
      </w:r>
      <w:r w:rsidRPr="002D778E">
        <w:rPr>
          <w:rStyle w:val="Znakapoznpodarou"/>
          <w:rFonts w:eastAsia="Calibri"/>
          <w:sz w:val="24"/>
          <w:szCs w:val="24"/>
        </w:rPr>
        <w:footnoteReference w:id="32"/>
      </w:r>
      <w:r w:rsidRPr="002D778E">
        <w:rPr>
          <w:rFonts w:cstheme="minorHAnsi"/>
          <w:sz w:val="24"/>
          <w:szCs w:val="24"/>
        </w:rPr>
        <w:t xml:space="preserve">. </w:t>
      </w:r>
    </w:p>
    <w:p w14:paraId="4008B852" w14:textId="6B5E1A64" w:rsidR="000D049B" w:rsidRPr="002D778E" w:rsidRDefault="00204B19" w:rsidP="002D778E">
      <w:pPr>
        <w:spacing w:before="120" w:after="120" w:line="264" w:lineRule="auto"/>
        <w:jc w:val="both"/>
        <w:rPr>
          <w:rFonts w:eastAsia="Calibri" w:cstheme="minorHAnsi"/>
          <w:b/>
          <w:strike/>
          <w:sz w:val="24"/>
          <w:szCs w:val="24"/>
        </w:rPr>
      </w:pPr>
      <w:r w:rsidRPr="002D778E">
        <w:rPr>
          <w:rFonts w:cstheme="majorBidi"/>
          <w:sz w:val="24"/>
          <w:szCs w:val="24"/>
        </w:rPr>
        <w:t>Tím, že LSL nezjistila, že proplatila částku 1 195 500 Kč bez právního důvodu, neprovedla předběžnou říd</w:t>
      </w:r>
      <w:r w:rsidR="00697107" w:rsidRPr="002D778E">
        <w:rPr>
          <w:rFonts w:cstheme="majorBidi"/>
          <w:sz w:val="24"/>
          <w:szCs w:val="24"/>
        </w:rPr>
        <w:t>i</w:t>
      </w:r>
      <w:r w:rsidRPr="002D778E">
        <w:rPr>
          <w:rFonts w:cstheme="majorBidi"/>
          <w:sz w:val="24"/>
          <w:szCs w:val="24"/>
        </w:rPr>
        <w:t xml:space="preserve">cí kontrolu po vzniku závazku a nepostupovala v souladu s prováděcí vyhláškou k zákonu </w:t>
      </w:r>
      <w:r w:rsidR="00D35A70" w:rsidRPr="002D778E">
        <w:rPr>
          <w:rFonts w:cstheme="majorBidi"/>
          <w:sz w:val="24"/>
          <w:szCs w:val="24"/>
        </w:rPr>
        <w:t>č. 320/2001 Sb.</w:t>
      </w:r>
      <w:r w:rsidRPr="002D778E">
        <w:rPr>
          <w:rStyle w:val="Znakapoznpodarou"/>
          <w:sz w:val="24"/>
          <w:szCs w:val="24"/>
        </w:rPr>
        <w:footnoteReference w:id="33"/>
      </w:r>
      <w:r w:rsidRPr="002D778E">
        <w:rPr>
          <w:rFonts w:cstheme="majorBidi"/>
          <w:sz w:val="24"/>
          <w:szCs w:val="24"/>
        </w:rPr>
        <w:t xml:space="preserve"> </w:t>
      </w:r>
      <w:r w:rsidR="000D049B" w:rsidRPr="002D778E">
        <w:rPr>
          <w:rFonts w:eastAsia="Calibri"/>
          <w:b/>
          <w:sz w:val="24"/>
          <w:szCs w:val="24"/>
        </w:rPr>
        <w:t xml:space="preserve">NKÚ zjistil skutečnosti nasvědčující porušení </w:t>
      </w:r>
      <w:r w:rsidR="000D049B" w:rsidRPr="002D778E">
        <w:rPr>
          <w:rFonts w:eastAsia="Calibri"/>
          <w:b/>
          <w:sz w:val="24"/>
          <w:szCs w:val="24"/>
        </w:rPr>
        <w:lastRenderedPageBreak/>
        <w:t xml:space="preserve">rozpočtové kázně </w:t>
      </w:r>
      <w:r w:rsidR="001C63B2" w:rsidRPr="002D778E">
        <w:rPr>
          <w:b/>
          <w:sz w:val="24"/>
          <w:szCs w:val="24"/>
        </w:rPr>
        <w:t xml:space="preserve">dle ustanovení § 44 odst. 1 písm. a) zákona č. 218/2000 Sb. </w:t>
      </w:r>
      <w:r w:rsidR="000D049B" w:rsidRPr="002D778E">
        <w:rPr>
          <w:rFonts w:eastAsia="Calibri"/>
          <w:b/>
          <w:sz w:val="24"/>
          <w:szCs w:val="24"/>
        </w:rPr>
        <w:t xml:space="preserve">až do výše 1 195 500 Kč bez DPH. </w:t>
      </w:r>
    </w:p>
    <w:p w14:paraId="2993E873" w14:textId="77777777" w:rsidR="00476A1C" w:rsidRPr="004D0952" w:rsidRDefault="002D778E" w:rsidP="00872F3D">
      <w:pPr>
        <w:pStyle w:val="Nadpis1"/>
        <w:numPr>
          <w:ilvl w:val="0"/>
          <w:numId w:val="0"/>
        </w:numPr>
        <w:spacing w:before="240"/>
        <w:jc w:val="left"/>
      </w:pPr>
      <w:r>
        <w:t xml:space="preserve">2. </w:t>
      </w:r>
      <w:r w:rsidR="00476A1C" w:rsidRPr="004D0952">
        <w:t xml:space="preserve">Výnosy </w:t>
      </w:r>
    </w:p>
    <w:p w14:paraId="2A494245" w14:textId="1427538F" w:rsidR="00B82944" w:rsidRPr="00467B3C" w:rsidRDefault="00B82944" w:rsidP="002D778E">
      <w:pPr>
        <w:spacing w:before="120" w:after="120" w:line="264" w:lineRule="auto"/>
        <w:jc w:val="both"/>
        <w:rPr>
          <w:rFonts w:cstheme="minorHAnsi"/>
          <w:bCs/>
          <w:iCs/>
          <w:sz w:val="24"/>
        </w:rPr>
      </w:pPr>
      <w:r w:rsidRPr="00792137">
        <w:rPr>
          <w:rFonts w:cstheme="minorHAnsi"/>
          <w:bCs/>
          <w:iCs/>
          <w:sz w:val="24"/>
        </w:rPr>
        <w:t xml:space="preserve">Ke kontrole výnosů NKÚ vybral výnosy </w:t>
      </w:r>
      <w:r w:rsidR="00792137" w:rsidRPr="00792137">
        <w:rPr>
          <w:rFonts w:cstheme="minorHAnsi"/>
          <w:bCs/>
          <w:iCs/>
          <w:sz w:val="24"/>
        </w:rPr>
        <w:t>z prodeje dř</w:t>
      </w:r>
      <w:r w:rsidR="003904C2">
        <w:rPr>
          <w:rFonts w:cstheme="minorHAnsi"/>
          <w:bCs/>
          <w:iCs/>
          <w:sz w:val="24"/>
        </w:rPr>
        <w:t>íví</w:t>
      </w:r>
      <w:r w:rsidR="00792137" w:rsidRPr="00792137">
        <w:rPr>
          <w:rFonts w:cstheme="minorHAnsi"/>
          <w:bCs/>
          <w:iCs/>
          <w:sz w:val="24"/>
        </w:rPr>
        <w:t>, paliva a vánočních strom</w:t>
      </w:r>
      <w:r w:rsidR="003B1E5D">
        <w:rPr>
          <w:rFonts w:cstheme="minorHAnsi"/>
          <w:bCs/>
          <w:iCs/>
          <w:sz w:val="24"/>
        </w:rPr>
        <w:t>k</w:t>
      </w:r>
      <w:r w:rsidR="00792137" w:rsidRPr="00792137">
        <w:rPr>
          <w:rFonts w:cstheme="minorHAnsi"/>
          <w:bCs/>
          <w:iCs/>
          <w:sz w:val="24"/>
        </w:rPr>
        <w:t xml:space="preserve">ů </w:t>
      </w:r>
      <w:r w:rsidR="009A6F37" w:rsidRPr="00467B3C">
        <w:rPr>
          <w:rFonts w:cstheme="minorHAnsi"/>
          <w:bCs/>
          <w:iCs/>
          <w:sz w:val="24"/>
        </w:rPr>
        <w:t xml:space="preserve">a dále výnosy </w:t>
      </w:r>
      <w:r w:rsidRPr="00467B3C">
        <w:rPr>
          <w:rFonts w:cstheme="minorHAnsi"/>
          <w:bCs/>
          <w:iCs/>
          <w:sz w:val="24"/>
        </w:rPr>
        <w:t>z</w:t>
      </w:r>
      <w:r w:rsidR="009A6F37" w:rsidRPr="00467B3C">
        <w:rPr>
          <w:rFonts w:cstheme="minorHAnsi"/>
          <w:bCs/>
          <w:iCs/>
          <w:sz w:val="24"/>
        </w:rPr>
        <w:t> </w:t>
      </w:r>
      <w:r w:rsidRPr="00467B3C">
        <w:rPr>
          <w:rFonts w:cstheme="minorHAnsi"/>
          <w:bCs/>
          <w:iCs/>
          <w:sz w:val="24"/>
        </w:rPr>
        <w:t>lovů</w:t>
      </w:r>
      <w:r w:rsidR="009A6F37" w:rsidRPr="00467B3C">
        <w:rPr>
          <w:rFonts w:cstheme="minorHAnsi"/>
          <w:bCs/>
          <w:iCs/>
          <w:sz w:val="24"/>
        </w:rPr>
        <w:t xml:space="preserve"> a</w:t>
      </w:r>
      <w:r w:rsidRPr="00467B3C">
        <w:rPr>
          <w:rFonts w:cstheme="minorHAnsi"/>
          <w:bCs/>
          <w:iCs/>
          <w:sz w:val="24"/>
        </w:rPr>
        <w:t xml:space="preserve"> z pronájmu majetku. </w:t>
      </w:r>
    </w:p>
    <w:p w14:paraId="57801746" w14:textId="77777777" w:rsidR="00792137" w:rsidRPr="003B1E5D" w:rsidRDefault="00792137" w:rsidP="002D778E">
      <w:pPr>
        <w:keepNext/>
        <w:spacing w:before="240" w:after="120" w:line="264" w:lineRule="auto"/>
        <w:jc w:val="both"/>
        <w:rPr>
          <w:rFonts w:cstheme="minorHAnsi"/>
          <w:b/>
          <w:bCs/>
          <w:iCs/>
          <w:sz w:val="24"/>
        </w:rPr>
      </w:pPr>
      <w:r w:rsidRPr="003B1E5D">
        <w:rPr>
          <w:rFonts w:cstheme="minorHAnsi"/>
          <w:b/>
          <w:bCs/>
          <w:iCs/>
          <w:sz w:val="24"/>
        </w:rPr>
        <w:t xml:space="preserve">Výnosy z prodeje </w:t>
      </w:r>
      <w:r w:rsidR="003B1E5D" w:rsidRPr="003B1E5D">
        <w:rPr>
          <w:rFonts w:cstheme="minorHAnsi"/>
          <w:b/>
          <w:bCs/>
          <w:iCs/>
          <w:sz w:val="24"/>
        </w:rPr>
        <w:t>dř</w:t>
      </w:r>
      <w:r w:rsidR="003904C2">
        <w:rPr>
          <w:rFonts w:cstheme="minorHAnsi"/>
          <w:b/>
          <w:bCs/>
          <w:iCs/>
          <w:sz w:val="24"/>
        </w:rPr>
        <w:t>íví</w:t>
      </w:r>
      <w:r w:rsidR="003B1E5D" w:rsidRPr="003B1E5D">
        <w:rPr>
          <w:rFonts w:cstheme="minorHAnsi"/>
          <w:b/>
          <w:bCs/>
          <w:iCs/>
          <w:sz w:val="24"/>
        </w:rPr>
        <w:t xml:space="preserve">, </w:t>
      </w:r>
      <w:r w:rsidRPr="003B1E5D">
        <w:rPr>
          <w:rFonts w:cstheme="minorHAnsi"/>
          <w:b/>
          <w:bCs/>
          <w:iCs/>
          <w:sz w:val="24"/>
        </w:rPr>
        <w:t>paliva a vánočních stromků</w:t>
      </w:r>
    </w:p>
    <w:p w14:paraId="6809B9D6" w14:textId="77777777" w:rsidR="003B1E5D" w:rsidRDefault="003B1E5D" w:rsidP="002D778E">
      <w:pPr>
        <w:spacing w:before="120" w:after="120" w:line="264" w:lineRule="auto"/>
        <w:jc w:val="both"/>
        <w:rPr>
          <w:rFonts w:cstheme="minorHAnsi"/>
          <w:bCs/>
          <w:iCs/>
          <w:sz w:val="24"/>
        </w:rPr>
      </w:pPr>
      <w:r>
        <w:rPr>
          <w:rFonts w:cstheme="minorHAnsi"/>
          <w:bCs/>
          <w:iCs/>
          <w:sz w:val="24"/>
        </w:rPr>
        <w:t xml:space="preserve">LSL realizovala v kontrolovaném období prodej dříví pouze prostřednictvím kupních smluv uzavíraných s odběrateli. NKÚ prověřil na kontrolním vzorku smluv výši sjednaných cen, náležitosti smluv a zveřejnění v registru smluv. </w:t>
      </w:r>
      <w:r w:rsidRPr="00BE4B83">
        <w:rPr>
          <w:rFonts w:cstheme="minorHAnsi"/>
          <w:b/>
          <w:bCs/>
          <w:iCs/>
          <w:sz w:val="24"/>
        </w:rPr>
        <w:t>NKÚ neshledal, že by LSL v kontrolovaném období sjednávala prodejní ceny dříví a štěpky ve výši, která by neodpovídala cenám v místě a</w:t>
      </w:r>
      <w:r w:rsidR="003904C2" w:rsidRPr="00BE4B83">
        <w:rPr>
          <w:rFonts w:cstheme="minorHAnsi"/>
          <w:b/>
          <w:bCs/>
          <w:iCs/>
          <w:sz w:val="24"/>
        </w:rPr>
        <w:t> </w:t>
      </w:r>
      <w:r w:rsidRPr="00BE4B83">
        <w:rPr>
          <w:rFonts w:cstheme="minorHAnsi"/>
          <w:b/>
          <w:bCs/>
          <w:iCs/>
          <w:sz w:val="24"/>
        </w:rPr>
        <w:t>čase obvyklým.</w:t>
      </w:r>
      <w:r>
        <w:rPr>
          <w:rFonts w:cstheme="minorHAnsi"/>
          <w:bCs/>
          <w:iCs/>
          <w:sz w:val="24"/>
        </w:rPr>
        <w:t xml:space="preserve"> Nedostatky NKÚ shledal pouze u zveřejnění v registru </w:t>
      </w:r>
      <w:r w:rsidRPr="003904C2">
        <w:rPr>
          <w:rFonts w:cstheme="minorHAnsi"/>
          <w:bCs/>
          <w:iCs/>
          <w:sz w:val="24"/>
        </w:rPr>
        <w:t>smluv (viz bod IV.C.3).</w:t>
      </w:r>
    </w:p>
    <w:p w14:paraId="582B25AD" w14:textId="43BD57B6" w:rsidR="00C0701F" w:rsidRPr="00A02951" w:rsidRDefault="00C0701F" w:rsidP="002D778E">
      <w:pPr>
        <w:spacing w:before="120" w:after="120" w:line="264" w:lineRule="auto"/>
        <w:jc w:val="both"/>
        <w:rPr>
          <w:sz w:val="24"/>
        </w:rPr>
      </w:pPr>
      <w:r w:rsidRPr="00A02951">
        <w:rPr>
          <w:sz w:val="24"/>
        </w:rPr>
        <w:t xml:space="preserve">LSL </w:t>
      </w:r>
      <w:r>
        <w:rPr>
          <w:sz w:val="24"/>
        </w:rPr>
        <w:t>v roce 2021</w:t>
      </w:r>
      <w:r w:rsidRPr="00A02951">
        <w:rPr>
          <w:sz w:val="24"/>
        </w:rPr>
        <w:t xml:space="preserve"> zahrnula </w:t>
      </w:r>
      <w:r>
        <w:rPr>
          <w:sz w:val="24"/>
        </w:rPr>
        <w:t xml:space="preserve">nesprávně </w:t>
      </w:r>
      <w:r w:rsidRPr="00A02951">
        <w:rPr>
          <w:sz w:val="24"/>
        </w:rPr>
        <w:t xml:space="preserve">do </w:t>
      </w:r>
      <w:r>
        <w:rPr>
          <w:sz w:val="24"/>
        </w:rPr>
        <w:t>jiné</w:t>
      </w:r>
      <w:r w:rsidRPr="00A02951">
        <w:rPr>
          <w:sz w:val="24"/>
        </w:rPr>
        <w:t xml:space="preserve"> činnosti </w:t>
      </w:r>
      <w:r w:rsidRPr="00960D06">
        <w:rPr>
          <w:b/>
          <w:sz w:val="24"/>
        </w:rPr>
        <w:t>výnosy z prodeje paliva a vánočních stromků</w:t>
      </w:r>
      <w:r>
        <w:rPr>
          <w:sz w:val="24"/>
        </w:rPr>
        <w:t xml:space="preserve"> ve výši</w:t>
      </w:r>
      <w:r w:rsidRPr="00A02951">
        <w:rPr>
          <w:sz w:val="24"/>
        </w:rPr>
        <w:t xml:space="preserve"> 7 343 861,55 Kč pocházející z činnosti spočívající v zabezpečování lesního hospodářství na svěřeném území a zajištění pilařského provozu, </w:t>
      </w:r>
      <w:r>
        <w:rPr>
          <w:sz w:val="24"/>
        </w:rPr>
        <w:t xml:space="preserve">resp. z hlavní činnosti, </w:t>
      </w:r>
      <w:r w:rsidRPr="00A02951">
        <w:rPr>
          <w:sz w:val="24"/>
        </w:rPr>
        <w:t xml:space="preserve">čímž porušila zákon </w:t>
      </w:r>
      <w:r w:rsidR="000D66CD">
        <w:rPr>
          <w:sz w:val="24"/>
        </w:rPr>
        <w:t>č. 218/2000 Sb.</w:t>
      </w:r>
      <w:r w:rsidRPr="00A02951">
        <w:rPr>
          <w:rStyle w:val="Znakapoznpodarou"/>
          <w:sz w:val="24"/>
        </w:rPr>
        <w:footnoteReference w:id="34"/>
      </w:r>
      <w:r w:rsidRPr="00A02951">
        <w:rPr>
          <w:sz w:val="24"/>
        </w:rPr>
        <w:t>. NKÚ při kontrole evidence výnosů z realizovaných výkonů v</w:t>
      </w:r>
      <w:r w:rsidR="000D66CD">
        <w:rPr>
          <w:sz w:val="24"/>
        </w:rPr>
        <w:t> </w:t>
      </w:r>
      <w:r w:rsidRPr="00A02951">
        <w:rPr>
          <w:sz w:val="24"/>
        </w:rPr>
        <w:t xml:space="preserve">hlavní a jiné činnosti zjistil, že </w:t>
      </w:r>
      <w:r w:rsidRPr="00A02951">
        <w:rPr>
          <w:b/>
          <w:sz w:val="24"/>
        </w:rPr>
        <w:t>LSL v účetnictví nesprávně vykázala prodej vlastních výrobků v </w:t>
      </w:r>
      <w:r>
        <w:rPr>
          <w:b/>
          <w:sz w:val="24"/>
        </w:rPr>
        <w:t>jiné</w:t>
      </w:r>
      <w:r w:rsidRPr="00A02951">
        <w:rPr>
          <w:b/>
          <w:sz w:val="24"/>
        </w:rPr>
        <w:t xml:space="preserve"> činnosti</w:t>
      </w:r>
      <w:r w:rsidRPr="00B20B23">
        <w:rPr>
          <w:b/>
          <w:sz w:val="24"/>
        </w:rPr>
        <w:t>.</w:t>
      </w:r>
    </w:p>
    <w:p w14:paraId="0A513D03" w14:textId="77777777" w:rsidR="0057293C" w:rsidRPr="00ED2E3E" w:rsidRDefault="0057293C" w:rsidP="002D778E">
      <w:pPr>
        <w:keepNext/>
        <w:autoSpaceDE w:val="0"/>
        <w:autoSpaceDN w:val="0"/>
        <w:adjustRightInd w:val="0"/>
        <w:spacing w:before="240" w:after="120" w:line="264" w:lineRule="auto"/>
        <w:jc w:val="both"/>
        <w:rPr>
          <w:rFonts w:eastAsia="Calibri" w:cs="Calibri"/>
          <w:b/>
          <w:color w:val="000000"/>
          <w:sz w:val="24"/>
        </w:rPr>
      </w:pPr>
      <w:r>
        <w:rPr>
          <w:rFonts w:eastAsia="Calibri" w:cs="Calibri"/>
          <w:b/>
          <w:color w:val="000000"/>
          <w:sz w:val="24"/>
        </w:rPr>
        <w:t>Výnosy z lovů</w:t>
      </w:r>
    </w:p>
    <w:p w14:paraId="699E436D" w14:textId="51DAB4E3" w:rsidR="0057293C" w:rsidRDefault="0057293C" w:rsidP="002D778E">
      <w:pPr>
        <w:spacing w:before="120" w:after="120" w:line="264" w:lineRule="auto"/>
        <w:jc w:val="both"/>
        <w:rPr>
          <w:rFonts w:eastAsia="Calibri" w:cs="Calibri"/>
          <w:sz w:val="24"/>
        </w:rPr>
      </w:pPr>
      <w:r w:rsidRPr="00ED2E3E">
        <w:rPr>
          <w:rFonts w:eastAsia="Calibri" w:cs="Calibri"/>
          <w:sz w:val="24"/>
        </w:rPr>
        <w:t>Významný objem výnosů z prodeje vlastních výrobků LSL představovaly v letech 2019</w:t>
      </w:r>
      <w:r w:rsidR="00652CC6">
        <w:rPr>
          <w:rFonts w:eastAsia="Calibri" w:cs="Calibri"/>
          <w:sz w:val="24"/>
        </w:rPr>
        <w:t>–</w:t>
      </w:r>
      <w:r w:rsidRPr="00ED2E3E">
        <w:rPr>
          <w:rFonts w:eastAsia="Calibri" w:cs="Calibri"/>
          <w:sz w:val="24"/>
        </w:rPr>
        <w:t xml:space="preserve">2021 výnosy </w:t>
      </w:r>
      <w:r w:rsidRPr="003B1E5D">
        <w:rPr>
          <w:rFonts w:eastAsia="Calibri" w:cs="Calibri"/>
          <w:b/>
          <w:sz w:val="24"/>
        </w:rPr>
        <w:t>z poplatkových lovů</w:t>
      </w:r>
      <w:r w:rsidRPr="00B20B23">
        <w:rPr>
          <w:rFonts w:eastAsia="Calibri" w:cs="Calibri"/>
          <w:b/>
          <w:sz w:val="24"/>
        </w:rPr>
        <w:t>.</w:t>
      </w:r>
      <w:r>
        <w:rPr>
          <w:rFonts w:eastAsia="Calibri" w:cs="Calibri"/>
          <w:sz w:val="24"/>
        </w:rPr>
        <w:t xml:space="preserve"> Ze tří kontrolovaných dokladů (faktur) vztahujících se k poplatkovým lovům uhrazeným v hotovosti NKÚ </w:t>
      </w:r>
      <w:r w:rsidRPr="003B1E5D">
        <w:rPr>
          <w:rFonts w:eastAsia="Calibri" w:cs="Calibri"/>
          <w:sz w:val="24"/>
        </w:rPr>
        <w:t>v jednom případě</w:t>
      </w:r>
      <w:r>
        <w:rPr>
          <w:rFonts w:eastAsia="Calibri" w:cs="Calibri"/>
          <w:sz w:val="24"/>
        </w:rPr>
        <w:t xml:space="preserve"> zjistil, že </w:t>
      </w:r>
      <w:r w:rsidRPr="008C2DEA">
        <w:rPr>
          <w:rFonts w:eastAsia="Calibri" w:cs="Calibri"/>
          <w:b/>
          <w:sz w:val="24"/>
        </w:rPr>
        <w:t>LSL přijala platbu ve výši 560 000 Kč v hotovosti převyšující zákonný limit 270</w:t>
      </w:r>
      <w:r w:rsidR="007C508B">
        <w:rPr>
          <w:rFonts w:eastAsia="Calibri" w:cs="Calibri"/>
          <w:b/>
          <w:sz w:val="24"/>
        </w:rPr>
        <w:t> </w:t>
      </w:r>
      <w:r w:rsidRPr="008C2DEA">
        <w:rPr>
          <w:rFonts w:eastAsia="Calibri" w:cs="Calibri"/>
          <w:b/>
          <w:sz w:val="24"/>
        </w:rPr>
        <w:t>000</w:t>
      </w:r>
      <w:r w:rsidR="007C508B">
        <w:rPr>
          <w:rFonts w:eastAsia="Calibri" w:cs="Calibri"/>
          <w:b/>
          <w:sz w:val="24"/>
        </w:rPr>
        <w:t> </w:t>
      </w:r>
      <w:r w:rsidRPr="008C2DEA">
        <w:rPr>
          <w:rFonts w:eastAsia="Calibri" w:cs="Calibri"/>
          <w:b/>
          <w:sz w:val="24"/>
        </w:rPr>
        <w:t>Kč</w:t>
      </w:r>
      <w:r w:rsidRPr="00B20B23">
        <w:rPr>
          <w:rFonts w:eastAsia="Calibri" w:cs="Calibri"/>
          <w:b/>
          <w:sz w:val="24"/>
        </w:rPr>
        <w:t>,</w:t>
      </w:r>
      <w:r>
        <w:rPr>
          <w:rFonts w:eastAsia="Calibri" w:cs="Calibri"/>
          <w:sz w:val="24"/>
        </w:rPr>
        <w:t xml:space="preserve"> a porušila tak zákon o omezení plateb v hotovosti.</w:t>
      </w:r>
      <w:r>
        <w:rPr>
          <w:rStyle w:val="Znakapoznpodarou"/>
          <w:rFonts w:eastAsia="Calibri" w:cs="Calibri"/>
          <w:sz w:val="24"/>
        </w:rPr>
        <w:footnoteReference w:id="35"/>
      </w:r>
    </w:p>
    <w:p w14:paraId="778D944C" w14:textId="781BB717" w:rsidR="00F41BF1" w:rsidRPr="00F41BF1" w:rsidRDefault="007C508B" w:rsidP="002D778E">
      <w:pPr>
        <w:spacing w:before="120" w:after="120" w:line="264" w:lineRule="auto"/>
        <w:jc w:val="both"/>
        <w:rPr>
          <w:sz w:val="24"/>
          <w:szCs w:val="24"/>
        </w:rPr>
      </w:pPr>
      <w:r>
        <w:rPr>
          <w:sz w:val="24"/>
          <w:szCs w:val="24"/>
        </w:rPr>
        <w:t xml:space="preserve">Současně NKÚ zjistil, že </w:t>
      </w:r>
      <w:r w:rsidRPr="003B1E5D">
        <w:rPr>
          <w:sz w:val="24"/>
          <w:szCs w:val="24"/>
        </w:rPr>
        <w:t>LSL provozovala i</w:t>
      </w:r>
      <w:r w:rsidRPr="007C508B">
        <w:rPr>
          <w:b/>
          <w:sz w:val="24"/>
          <w:szCs w:val="24"/>
        </w:rPr>
        <w:t xml:space="preserve"> </w:t>
      </w:r>
      <w:proofErr w:type="spellStart"/>
      <w:r w:rsidRPr="007C508B">
        <w:rPr>
          <w:b/>
          <w:sz w:val="24"/>
          <w:szCs w:val="24"/>
        </w:rPr>
        <w:t>bezpoplatkové</w:t>
      </w:r>
      <w:proofErr w:type="spellEnd"/>
      <w:r w:rsidRPr="007C508B">
        <w:rPr>
          <w:b/>
          <w:sz w:val="24"/>
          <w:szCs w:val="24"/>
        </w:rPr>
        <w:t xml:space="preserve"> lovy</w:t>
      </w:r>
      <w:r w:rsidRPr="00B20B23">
        <w:rPr>
          <w:b/>
          <w:sz w:val="24"/>
          <w:szCs w:val="24"/>
        </w:rPr>
        <w:t>.</w:t>
      </w:r>
      <w:r>
        <w:rPr>
          <w:sz w:val="24"/>
          <w:szCs w:val="24"/>
        </w:rPr>
        <w:t xml:space="preserve"> </w:t>
      </w:r>
      <w:r w:rsidR="00F41BF1" w:rsidRPr="00C850C0">
        <w:rPr>
          <w:sz w:val="24"/>
          <w:szCs w:val="24"/>
        </w:rPr>
        <w:t xml:space="preserve">Zřizovací listina LSL účinná v kontrolovaném období stanovila, že v rámci hlavní činnosti LSL je možné zabezpečovat služby spojené s provozováním myslivosti, </w:t>
      </w:r>
      <w:r w:rsidR="00F41BF1" w:rsidRPr="00F41BF1">
        <w:rPr>
          <w:sz w:val="24"/>
          <w:szCs w:val="24"/>
        </w:rPr>
        <w:t xml:space="preserve">tedy i pořádání </w:t>
      </w:r>
      <w:proofErr w:type="spellStart"/>
      <w:r w:rsidR="00F41BF1" w:rsidRPr="00F41BF1">
        <w:rPr>
          <w:sz w:val="24"/>
          <w:szCs w:val="24"/>
        </w:rPr>
        <w:t>bezpoplatkových</w:t>
      </w:r>
      <w:proofErr w:type="spellEnd"/>
      <w:r w:rsidR="00F41BF1" w:rsidRPr="00F41BF1">
        <w:rPr>
          <w:sz w:val="24"/>
          <w:szCs w:val="24"/>
        </w:rPr>
        <w:t xml:space="preserve"> lovů</w:t>
      </w:r>
      <w:r w:rsidR="00F41BF1">
        <w:rPr>
          <w:sz w:val="24"/>
          <w:szCs w:val="24"/>
        </w:rPr>
        <w:t xml:space="preserve">, </w:t>
      </w:r>
      <w:r w:rsidR="00F41BF1" w:rsidRPr="00C850C0">
        <w:rPr>
          <w:sz w:val="24"/>
          <w:szCs w:val="24"/>
        </w:rPr>
        <w:t xml:space="preserve">a to pouze pro prezidenta republiky a jeho hosty, případně pro ostatní ústavní činitele. </w:t>
      </w:r>
    </w:p>
    <w:p w14:paraId="0D7F1070" w14:textId="77777777" w:rsidR="00F41BF1" w:rsidRPr="003B1E5D" w:rsidRDefault="00F41BF1" w:rsidP="002D778E">
      <w:pPr>
        <w:spacing w:before="120" w:after="120" w:line="264" w:lineRule="auto"/>
        <w:jc w:val="both"/>
        <w:rPr>
          <w:sz w:val="24"/>
          <w:szCs w:val="24"/>
        </w:rPr>
      </w:pPr>
      <w:r>
        <w:rPr>
          <w:sz w:val="24"/>
          <w:szCs w:val="24"/>
        </w:rPr>
        <w:t xml:space="preserve">NKÚ zjistil, že </w:t>
      </w:r>
      <w:r w:rsidRPr="00B43A7E">
        <w:rPr>
          <w:b/>
          <w:sz w:val="24"/>
          <w:szCs w:val="24"/>
        </w:rPr>
        <w:t xml:space="preserve">LSL </w:t>
      </w:r>
      <w:r w:rsidRPr="003B1E5D">
        <w:rPr>
          <w:sz w:val="24"/>
          <w:szCs w:val="24"/>
        </w:rPr>
        <w:t xml:space="preserve">realizovala některé </w:t>
      </w:r>
      <w:proofErr w:type="spellStart"/>
      <w:r w:rsidRPr="003B1E5D">
        <w:rPr>
          <w:sz w:val="24"/>
          <w:szCs w:val="24"/>
        </w:rPr>
        <w:t>bezpoplatkové</w:t>
      </w:r>
      <w:proofErr w:type="spellEnd"/>
      <w:r w:rsidRPr="003B1E5D">
        <w:rPr>
          <w:sz w:val="24"/>
          <w:szCs w:val="24"/>
        </w:rPr>
        <w:t xml:space="preserve"> lovy v rozporu se zřizovací listinou a</w:t>
      </w:r>
      <w:r w:rsidR="00B43A7E" w:rsidRPr="003B1E5D">
        <w:rPr>
          <w:sz w:val="24"/>
          <w:szCs w:val="24"/>
        </w:rPr>
        <w:t> </w:t>
      </w:r>
      <w:r w:rsidRPr="00B43A7E">
        <w:rPr>
          <w:b/>
          <w:sz w:val="24"/>
          <w:szCs w:val="24"/>
        </w:rPr>
        <w:t>neodůvodněně snižovala výnos</w:t>
      </w:r>
      <w:r w:rsidR="001753D4">
        <w:rPr>
          <w:b/>
          <w:sz w:val="24"/>
          <w:szCs w:val="24"/>
        </w:rPr>
        <w:t>y</w:t>
      </w:r>
      <w:r w:rsidRPr="00B43A7E">
        <w:rPr>
          <w:b/>
          <w:sz w:val="24"/>
          <w:szCs w:val="24"/>
        </w:rPr>
        <w:t xml:space="preserve"> z majetku státu </w:t>
      </w:r>
      <w:r w:rsidRPr="003B1E5D">
        <w:rPr>
          <w:sz w:val="24"/>
          <w:szCs w:val="24"/>
        </w:rPr>
        <w:t xml:space="preserve">tím, že majetek </w:t>
      </w:r>
      <w:r w:rsidR="001D38FD" w:rsidRPr="003B1E5D">
        <w:rPr>
          <w:sz w:val="24"/>
          <w:szCs w:val="24"/>
        </w:rPr>
        <w:t>nevyužívala</w:t>
      </w:r>
      <w:r w:rsidRPr="003B1E5D">
        <w:rPr>
          <w:sz w:val="24"/>
          <w:szCs w:val="24"/>
        </w:rPr>
        <w:t xml:space="preserve"> k výkonu činností stanovených dle zřizovací listiny</w:t>
      </w:r>
      <w:r w:rsidR="007C2E86" w:rsidRPr="003B1E5D">
        <w:rPr>
          <w:sz w:val="24"/>
          <w:szCs w:val="24"/>
        </w:rPr>
        <w:t xml:space="preserve"> a v souladu se zákonem o majetku</w:t>
      </w:r>
      <w:r w:rsidR="007C2E86" w:rsidRPr="003B1E5D">
        <w:rPr>
          <w:rStyle w:val="Znakapoznpodarou"/>
          <w:sz w:val="24"/>
          <w:szCs w:val="24"/>
        </w:rPr>
        <w:footnoteReference w:id="36"/>
      </w:r>
      <w:r w:rsidRPr="003B1E5D">
        <w:rPr>
          <w:sz w:val="24"/>
          <w:szCs w:val="24"/>
        </w:rPr>
        <w:t>.</w:t>
      </w:r>
    </w:p>
    <w:p w14:paraId="5EA650A8" w14:textId="6BB4362D" w:rsidR="00F41BF1" w:rsidRDefault="00F41BF1" w:rsidP="002D778E">
      <w:pPr>
        <w:spacing w:before="120" w:after="120" w:line="264" w:lineRule="auto"/>
        <w:jc w:val="both"/>
        <w:rPr>
          <w:sz w:val="24"/>
          <w:szCs w:val="24"/>
        </w:rPr>
      </w:pPr>
      <w:r>
        <w:rPr>
          <w:sz w:val="24"/>
          <w:szCs w:val="24"/>
        </w:rPr>
        <w:t>N</w:t>
      </w:r>
      <w:r w:rsidRPr="00C850C0">
        <w:rPr>
          <w:sz w:val="24"/>
          <w:szCs w:val="24"/>
        </w:rPr>
        <w:t xml:space="preserve">ěkteré </w:t>
      </w:r>
      <w:proofErr w:type="spellStart"/>
      <w:r w:rsidRPr="00C850C0">
        <w:rPr>
          <w:sz w:val="24"/>
          <w:szCs w:val="24"/>
        </w:rPr>
        <w:t>bezpoplatkové</w:t>
      </w:r>
      <w:proofErr w:type="spellEnd"/>
      <w:r w:rsidRPr="00C850C0">
        <w:rPr>
          <w:sz w:val="24"/>
          <w:szCs w:val="24"/>
        </w:rPr>
        <w:t xml:space="preserve"> lovy, které probíhaly v období od 27. 10.  2019 do 15. 6. 2021</w:t>
      </w:r>
      <w:r w:rsidR="00652CC6">
        <w:rPr>
          <w:sz w:val="24"/>
          <w:szCs w:val="24"/>
        </w:rPr>
        <w:t>,</w:t>
      </w:r>
      <w:r w:rsidRPr="00C850C0">
        <w:rPr>
          <w:sz w:val="24"/>
          <w:szCs w:val="24"/>
        </w:rPr>
        <w:t xml:space="preserve"> nebyly uskutečněny na základě pozvání prezidenta republiky, ale uskutečnily se na základě pozvánek ředitele LSL. Celková hodnota těchto lovů činila 279 600 Kč.</w:t>
      </w:r>
      <w:r>
        <w:rPr>
          <w:sz w:val="24"/>
          <w:szCs w:val="24"/>
        </w:rPr>
        <w:t xml:space="preserve"> </w:t>
      </w:r>
      <w:r w:rsidR="006A332B" w:rsidRPr="006A332B">
        <w:rPr>
          <w:b/>
          <w:sz w:val="24"/>
          <w:szCs w:val="24"/>
        </w:rPr>
        <w:t xml:space="preserve">Mezi pozvanými hosty </w:t>
      </w:r>
      <w:r w:rsidR="006A332B" w:rsidRPr="00C32A35">
        <w:rPr>
          <w:sz w:val="24"/>
          <w:szCs w:val="24"/>
        </w:rPr>
        <w:t>byl</w:t>
      </w:r>
      <w:r w:rsidR="002F3F39">
        <w:rPr>
          <w:sz w:val="24"/>
          <w:szCs w:val="24"/>
        </w:rPr>
        <w:t>y</w:t>
      </w:r>
      <w:r w:rsidR="006A332B" w:rsidRPr="00C32A35">
        <w:rPr>
          <w:sz w:val="24"/>
          <w:szCs w:val="24"/>
        </w:rPr>
        <w:t xml:space="preserve"> </w:t>
      </w:r>
      <w:r w:rsidR="002F3F39">
        <w:rPr>
          <w:sz w:val="24"/>
          <w:szCs w:val="24"/>
        </w:rPr>
        <w:t>osoby</w:t>
      </w:r>
      <w:r w:rsidR="006A332B" w:rsidRPr="00C32A35">
        <w:rPr>
          <w:sz w:val="24"/>
          <w:szCs w:val="24"/>
        </w:rPr>
        <w:t>, kte</w:t>
      </w:r>
      <w:r w:rsidR="002F3F39">
        <w:rPr>
          <w:sz w:val="24"/>
          <w:szCs w:val="24"/>
        </w:rPr>
        <w:t>ré</w:t>
      </w:r>
      <w:r w:rsidRPr="006A332B">
        <w:rPr>
          <w:b/>
          <w:sz w:val="24"/>
          <w:szCs w:val="24"/>
        </w:rPr>
        <w:t xml:space="preserve"> nebyl</w:t>
      </w:r>
      <w:r w:rsidR="002F3F39">
        <w:rPr>
          <w:b/>
          <w:sz w:val="24"/>
          <w:szCs w:val="24"/>
        </w:rPr>
        <w:t>y</w:t>
      </w:r>
      <w:r w:rsidRPr="006A332B">
        <w:rPr>
          <w:b/>
          <w:sz w:val="24"/>
          <w:szCs w:val="24"/>
        </w:rPr>
        <w:t xml:space="preserve"> ústavními činiteli</w:t>
      </w:r>
      <w:r w:rsidRPr="00C850C0">
        <w:rPr>
          <w:sz w:val="24"/>
          <w:szCs w:val="24"/>
        </w:rPr>
        <w:t xml:space="preserve"> </w:t>
      </w:r>
      <w:r w:rsidRPr="006A332B">
        <w:rPr>
          <w:b/>
          <w:sz w:val="24"/>
          <w:szCs w:val="24"/>
        </w:rPr>
        <w:t>a</w:t>
      </w:r>
      <w:r w:rsidR="006A332B">
        <w:rPr>
          <w:b/>
          <w:sz w:val="24"/>
          <w:szCs w:val="24"/>
        </w:rPr>
        <w:t> </w:t>
      </w:r>
      <w:r w:rsidRPr="006A332B">
        <w:rPr>
          <w:b/>
          <w:sz w:val="24"/>
          <w:szCs w:val="24"/>
        </w:rPr>
        <w:t>nebyl</w:t>
      </w:r>
      <w:r w:rsidR="002F3F39">
        <w:rPr>
          <w:b/>
          <w:sz w:val="24"/>
          <w:szCs w:val="24"/>
        </w:rPr>
        <w:t>y</w:t>
      </w:r>
      <w:r w:rsidRPr="006A332B">
        <w:rPr>
          <w:b/>
          <w:sz w:val="24"/>
          <w:szCs w:val="24"/>
        </w:rPr>
        <w:t xml:space="preserve"> ani pozván</w:t>
      </w:r>
      <w:r w:rsidR="002F3F39">
        <w:rPr>
          <w:b/>
          <w:sz w:val="24"/>
          <w:szCs w:val="24"/>
        </w:rPr>
        <w:t>y</w:t>
      </w:r>
      <w:r w:rsidRPr="006A332B">
        <w:rPr>
          <w:b/>
          <w:sz w:val="24"/>
          <w:szCs w:val="24"/>
        </w:rPr>
        <w:t xml:space="preserve"> jako hosté prezidenta republiky</w:t>
      </w:r>
      <w:r w:rsidR="006A332B" w:rsidRPr="00B20B23">
        <w:rPr>
          <w:b/>
          <w:sz w:val="24"/>
          <w:szCs w:val="24"/>
        </w:rPr>
        <w:t>.</w:t>
      </w:r>
      <w:r w:rsidR="006A332B">
        <w:rPr>
          <w:sz w:val="24"/>
          <w:szCs w:val="24"/>
        </w:rPr>
        <w:t xml:space="preserve"> </w:t>
      </w:r>
    </w:p>
    <w:p w14:paraId="2D71312C" w14:textId="77777777" w:rsidR="00476A1C" w:rsidRDefault="00A11288" w:rsidP="002D778E">
      <w:pPr>
        <w:keepNext/>
        <w:autoSpaceDE w:val="0"/>
        <w:autoSpaceDN w:val="0"/>
        <w:adjustRightInd w:val="0"/>
        <w:spacing w:before="240" w:after="120" w:line="264" w:lineRule="auto"/>
        <w:jc w:val="both"/>
        <w:rPr>
          <w:rFonts w:eastAsia="Calibri"/>
          <w:b/>
          <w:sz w:val="24"/>
          <w:szCs w:val="24"/>
        </w:rPr>
      </w:pPr>
      <w:r>
        <w:rPr>
          <w:rFonts w:eastAsia="Calibri"/>
          <w:b/>
          <w:sz w:val="24"/>
          <w:szCs w:val="24"/>
        </w:rPr>
        <w:lastRenderedPageBreak/>
        <w:t>Výnosy z pronájmu majetku</w:t>
      </w:r>
    </w:p>
    <w:p w14:paraId="6A782D4A" w14:textId="138BD994" w:rsidR="00DC1AD4" w:rsidRDefault="001D00C5" w:rsidP="002D778E">
      <w:pPr>
        <w:spacing w:before="120" w:after="120" w:line="264" w:lineRule="auto"/>
        <w:jc w:val="both"/>
        <w:rPr>
          <w:rFonts w:cstheme="minorHAnsi"/>
          <w:sz w:val="24"/>
          <w:lang w:eastAsia="cs-CZ"/>
        </w:rPr>
      </w:pPr>
      <w:r w:rsidRPr="001D00C5">
        <w:rPr>
          <w:sz w:val="24"/>
        </w:rPr>
        <w:t>Nemovitý majetek v podobě domů, bytů či pozemků, který LSL dočasně nepotřebovala</w:t>
      </w:r>
      <w:r w:rsidRPr="001D00C5">
        <w:rPr>
          <w:rFonts w:cs="Calibri"/>
          <w:sz w:val="24"/>
        </w:rPr>
        <w:t xml:space="preserve"> k plnění funkcí státu nebo jiných úkolů v rámci své působnosti nebo stanoveného předmětu činnosti, případně aby</w:t>
      </w:r>
      <w:r w:rsidRPr="001D00C5">
        <w:rPr>
          <w:sz w:val="24"/>
        </w:rPr>
        <w:t xml:space="preserve"> dosáhla účelnějšího nebo hospodárnějšího využití věci při zachování hlavního účelu, pronajímala fyzickým i právnickým osobám.</w:t>
      </w:r>
      <w:r>
        <w:rPr>
          <w:sz w:val="24"/>
        </w:rPr>
        <w:t xml:space="preserve"> </w:t>
      </w:r>
      <w:r w:rsidRPr="001D00C5">
        <w:rPr>
          <w:rFonts w:cs="Calibri"/>
          <w:sz w:val="24"/>
        </w:rPr>
        <w:t>Značnou část nemovitého majetku v podobě domů a bytů LSL v kontrolovaném období pronajímala zejména vlastním zaměstnancům jako služební domy a</w:t>
      </w:r>
      <w:r w:rsidR="007C508B">
        <w:rPr>
          <w:rFonts w:cs="Calibri"/>
          <w:sz w:val="24"/>
        </w:rPr>
        <w:t> </w:t>
      </w:r>
      <w:r w:rsidRPr="001D00C5">
        <w:rPr>
          <w:rFonts w:cs="Calibri"/>
          <w:sz w:val="24"/>
        </w:rPr>
        <w:t>byty.</w:t>
      </w:r>
      <w:r>
        <w:rPr>
          <w:rFonts w:cs="Calibri"/>
          <w:sz w:val="24"/>
        </w:rPr>
        <w:t xml:space="preserve"> </w:t>
      </w:r>
      <w:r w:rsidR="00476A1C">
        <w:rPr>
          <w:rFonts w:cstheme="minorHAnsi"/>
          <w:sz w:val="24"/>
          <w:lang w:eastAsia="cs-CZ"/>
        </w:rPr>
        <w:t xml:space="preserve">NKÚ </w:t>
      </w:r>
      <w:r w:rsidR="00476A1C" w:rsidRPr="00327235">
        <w:rPr>
          <w:rFonts w:cstheme="minorHAnsi"/>
          <w:sz w:val="24"/>
          <w:lang w:eastAsia="cs-CZ"/>
        </w:rPr>
        <w:t xml:space="preserve">prověřil </w:t>
      </w:r>
      <w:r w:rsidRPr="00327235">
        <w:rPr>
          <w:rFonts w:cstheme="minorHAnsi"/>
          <w:sz w:val="24"/>
          <w:lang w:eastAsia="cs-CZ"/>
        </w:rPr>
        <w:t>nájemní</w:t>
      </w:r>
      <w:r>
        <w:rPr>
          <w:rFonts w:cstheme="minorHAnsi"/>
          <w:sz w:val="24"/>
          <w:lang w:eastAsia="cs-CZ"/>
        </w:rPr>
        <w:t xml:space="preserve"> sml</w:t>
      </w:r>
      <w:r w:rsidR="00081F7D">
        <w:rPr>
          <w:rFonts w:cstheme="minorHAnsi"/>
          <w:sz w:val="24"/>
          <w:lang w:eastAsia="cs-CZ"/>
        </w:rPr>
        <w:t>ouvy</w:t>
      </w:r>
      <w:r w:rsidR="00DC1AD4">
        <w:rPr>
          <w:rFonts w:cstheme="minorHAnsi"/>
          <w:sz w:val="24"/>
          <w:lang w:eastAsia="cs-CZ"/>
        </w:rPr>
        <w:t xml:space="preserve"> s vlastními zaměstnanci</w:t>
      </w:r>
      <w:r w:rsidR="00081F7D">
        <w:rPr>
          <w:rFonts w:cstheme="minorHAnsi"/>
          <w:sz w:val="24"/>
          <w:lang w:eastAsia="cs-CZ"/>
        </w:rPr>
        <w:t xml:space="preserve"> a</w:t>
      </w:r>
      <w:r w:rsidR="007A5582">
        <w:rPr>
          <w:rFonts w:cstheme="minorHAnsi"/>
          <w:sz w:val="24"/>
          <w:lang w:eastAsia="cs-CZ"/>
        </w:rPr>
        <w:t xml:space="preserve"> </w:t>
      </w:r>
      <w:r w:rsidR="00DC1AD4">
        <w:rPr>
          <w:rFonts w:cstheme="minorHAnsi"/>
          <w:sz w:val="24"/>
          <w:lang w:eastAsia="cs-CZ"/>
        </w:rPr>
        <w:t xml:space="preserve">s ostatními </w:t>
      </w:r>
      <w:r w:rsidR="007C508B">
        <w:rPr>
          <w:rFonts w:cstheme="minorHAnsi"/>
          <w:sz w:val="24"/>
          <w:lang w:eastAsia="cs-CZ"/>
        </w:rPr>
        <w:t xml:space="preserve">fyzickými </w:t>
      </w:r>
      <w:r w:rsidR="00DC1AD4">
        <w:rPr>
          <w:rFonts w:cstheme="minorHAnsi"/>
          <w:sz w:val="24"/>
          <w:lang w:eastAsia="cs-CZ"/>
        </w:rPr>
        <w:t>osobami</w:t>
      </w:r>
      <w:r w:rsidR="007A5582">
        <w:rPr>
          <w:rFonts w:cstheme="minorHAnsi"/>
          <w:sz w:val="24"/>
          <w:lang w:eastAsia="cs-CZ"/>
        </w:rPr>
        <w:t xml:space="preserve"> a </w:t>
      </w:r>
      <w:r w:rsidR="00081F7D">
        <w:rPr>
          <w:rFonts w:cstheme="minorHAnsi"/>
          <w:sz w:val="24"/>
          <w:lang w:eastAsia="cs-CZ"/>
        </w:rPr>
        <w:t>smlouvy na</w:t>
      </w:r>
      <w:r w:rsidR="007A5582">
        <w:rPr>
          <w:rFonts w:cstheme="minorHAnsi"/>
          <w:sz w:val="24"/>
          <w:lang w:eastAsia="cs-CZ"/>
        </w:rPr>
        <w:t xml:space="preserve"> přenechání pozemků do užívání. </w:t>
      </w:r>
      <w:r w:rsidR="00DC1AD4">
        <w:rPr>
          <w:rFonts w:cstheme="minorHAnsi"/>
          <w:sz w:val="24"/>
          <w:lang w:eastAsia="cs-CZ"/>
        </w:rPr>
        <w:t xml:space="preserve"> </w:t>
      </w:r>
    </w:p>
    <w:p w14:paraId="1F6E5497" w14:textId="5A4BE9F6" w:rsidR="00327235" w:rsidRDefault="00327235" w:rsidP="002D778E">
      <w:pPr>
        <w:spacing w:before="120" w:after="0" w:line="264" w:lineRule="auto"/>
        <w:jc w:val="both"/>
        <w:rPr>
          <w:rFonts w:cstheme="minorHAnsi"/>
          <w:sz w:val="24"/>
          <w:lang w:eastAsia="cs-CZ"/>
        </w:rPr>
      </w:pPr>
      <w:r w:rsidRPr="00B43A7E">
        <w:rPr>
          <w:rFonts w:cstheme="minorHAnsi"/>
          <w:b/>
          <w:sz w:val="24"/>
          <w:lang w:eastAsia="cs-CZ"/>
        </w:rPr>
        <w:t>NKÚ zjistil,</w:t>
      </w:r>
      <w:r w:rsidR="001D00C5" w:rsidRPr="00B43A7E">
        <w:rPr>
          <w:rFonts w:cstheme="minorHAnsi"/>
          <w:b/>
          <w:sz w:val="24"/>
          <w:lang w:eastAsia="cs-CZ"/>
        </w:rPr>
        <w:t xml:space="preserve"> že </w:t>
      </w:r>
      <w:r w:rsidR="00476A1C" w:rsidRPr="00B43A7E">
        <w:rPr>
          <w:rFonts w:cstheme="minorHAnsi"/>
          <w:b/>
          <w:sz w:val="24"/>
          <w:lang w:eastAsia="cs-CZ"/>
        </w:rPr>
        <w:t xml:space="preserve">LSL </w:t>
      </w:r>
      <w:r w:rsidRPr="00B43A7E">
        <w:rPr>
          <w:rFonts w:cstheme="minorHAnsi"/>
          <w:b/>
          <w:sz w:val="24"/>
          <w:lang w:eastAsia="cs-CZ"/>
        </w:rPr>
        <w:t>v kontrolovaném období v rozporu se zákonem o majetku</w:t>
      </w:r>
      <w:r w:rsidRPr="00703C42">
        <w:rPr>
          <w:rStyle w:val="Znakapoznpodarou"/>
          <w:rFonts w:cstheme="minorHAnsi"/>
          <w:sz w:val="24"/>
          <w:lang w:eastAsia="cs-CZ"/>
        </w:rPr>
        <w:footnoteReference w:id="37"/>
      </w:r>
      <w:r w:rsidR="00B43A7E">
        <w:rPr>
          <w:rFonts w:cstheme="minorHAnsi"/>
          <w:b/>
          <w:sz w:val="24"/>
          <w:lang w:eastAsia="cs-CZ"/>
        </w:rPr>
        <w:t xml:space="preserve"> </w:t>
      </w:r>
      <w:r w:rsidRPr="00B43A7E">
        <w:rPr>
          <w:rFonts w:cstheme="minorHAnsi"/>
          <w:b/>
          <w:sz w:val="24"/>
          <w:lang w:eastAsia="cs-CZ"/>
        </w:rPr>
        <w:t>stanovila měsíční výši nájemného u všech služebních domů a bytů ve výši, která neodpovídá výši v místě a čase obvyklé, čímž neodůvodněně snižovala výnos</w:t>
      </w:r>
      <w:r w:rsidR="007C72A1">
        <w:rPr>
          <w:rFonts w:cstheme="minorHAnsi"/>
          <w:b/>
          <w:sz w:val="24"/>
          <w:lang w:eastAsia="cs-CZ"/>
        </w:rPr>
        <w:t>y</w:t>
      </w:r>
      <w:r w:rsidRPr="00B43A7E">
        <w:rPr>
          <w:rFonts w:cstheme="minorHAnsi"/>
          <w:b/>
          <w:sz w:val="24"/>
          <w:lang w:eastAsia="cs-CZ"/>
        </w:rPr>
        <w:t xml:space="preserve"> z majetku státu</w:t>
      </w:r>
      <w:r>
        <w:rPr>
          <w:rStyle w:val="Znakapoznpodarou"/>
          <w:rFonts w:cstheme="minorHAnsi"/>
          <w:sz w:val="24"/>
          <w:lang w:eastAsia="cs-CZ"/>
        </w:rPr>
        <w:footnoteReference w:id="38"/>
      </w:r>
      <w:r>
        <w:rPr>
          <w:rFonts w:cstheme="minorHAnsi"/>
          <w:sz w:val="24"/>
          <w:lang w:eastAsia="cs-CZ"/>
        </w:rPr>
        <w:t>.</w:t>
      </w:r>
      <w:r w:rsidR="00D446CB">
        <w:rPr>
          <w:rFonts w:cstheme="minorHAnsi"/>
          <w:sz w:val="24"/>
          <w:lang w:eastAsia="cs-CZ"/>
        </w:rPr>
        <w:t xml:space="preserve"> </w:t>
      </w:r>
      <w:r w:rsidR="002328BF">
        <w:rPr>
          <w:rFonts w:cstheme="minorHAnsi"/>
          <w:sz w:val="24"/>
          <w:lang w:eastAsia="cs-CZ"/>
        </w:rPr>
        <w:t>Bylo zjištěno, že</w:t>
      </w:r>
      <w:r w:rsidR="00592592">
        <w:rPr>
          <w:rFonts w:cstheme="minorHAnsi"/>
          <w:sz w:val="24"/>
          <w:lang w:eastAsia="cs-CZ"/>
        </w:rPr>
        <w:t>:</w:t>
      </w:r>
    </w:p>
    <w:p w14:paraId="66AFDD20" w14:textId="2D5B5EE8" w:rsidR="00476A1C" w:rsidRPr="00960D06" w:rsidRDefault="00476A1C" w:rsidP="002D778E">
      <w:pPr>
        <w:pStyle w:val="Odstavecseseznamem"/>
        <w:numPr>
          <w:ilvl w:val="0"/>
          <w:numId w:val="8"/>
        </w:numPr>
        <w:spacing w:before="40" w:after="0"/>
        <w:ind w:left="284" w:hanging="284"/>
        <w:jc w:val="both"/>
        <w:rPr>
          <w:rFonts w:cstheme="minorHAnsi"/>
          <w:sz w:val="24"/>
          <w:lang w:eastAsia="cs-CZ"/>
        </w:rPr>
      </w:pPr>
      <w:r w:rsidRPr="00960D06">
        <w:rPr>
          <w:rFonts w:cstheme="minorHAnsi"/>
          <w:b/>
          <w:sz w:val="24"/>
          <w:lang w:eastAsia="cs-CZ"/>
        </w:rPr>
        <w:t xml:space="preserve">LSL v kontrolovaném období stanovila </w:t>
      </w:r>
      <w:r w:rsidR="002226EC">
        <w:rPr>
          <w:rFonts w:cstheme="minorHAnsi"/>
          <w:b/>
          <w:sz w:val="24"/>
          <w:lang w:eastAsia="cs-CZ"/>
        </w:rPr>
        <w:t xml:space="preserve">ve vnitřních předpisech </w:t>
      </w:r>
      <w:r w:rsidRPr="00960D06">
        <w:rPr>
          <w:rFonts w:cstheme="minorHAnsi"/>
          <w:b/>
          <w:sz w:val="24"/>
          <w:lang w:eastAsia="cs-CZ"/>
        </w:rPr>
        <w:t>nájemné pro zaměstnance LSL ve výši 26</w:t>
      </w:r>
      <w:r w:rsidR="007C508B" w:rsidRPr="00960D06">
        <w:rPr>
          <w:rFonts w:cstheme="minorHAnsi"/>
          <w:b/>
          <w:sz w:val="24"/>
          <w:lang w:eastAsia="cs-CZ"/>
        </w:rPr>
        <w:t> </w:t>
      </w:r>
      <w:r w:rsidRPr="00960D06">
        <w:rPr>
          <w:rFonts w:cstheme="minorHAnsi"/>
          <w:b/>
          <w:sz w:val="24"/>
          <w:lang w:eastAsia="cs-CZ"/>
        </w:rPr>
        <w:t>Kč/m</w:t>
      </w:r>
      <w:r w:rsidRPr="00960D06">
        <w:rPr>
          <w:rFonts w:cstheme="minorHAnsi"/>
          <w:b/>
          <w:sz w:val="24"/>
          <w:vertAlign w:val="superscript"/>
          <w:lang w:eastAsia="cs-CZ"/>
        </w:rPr>
        <w:t>2</w:t>
      </w:r>
      <w:r w:rsidRPr="00960D06">
        <w:rPr>
          <w:rFonts w:cstheme="minorHAnsi"/>
          <w:sz w:val="24"/>
          <w:lang w:eastAsia="cs-CZ"/>
        </w:rPr>
        <w:t xml:space="preserve"> za pronájem nemovitosti určené k</w:t>
      </w:r>
      <w:r w:rsidR="002328BF" w:rsidRPr="00960D06">
        <w:rPr>
          <w:rFonts w:cstheme="minorHAnsi"/>
          <w:sz w:val="24"/>
          <w:lang w:eastAsia="cs-CZ"/>
        </w:rPr>
        <w:t> </w:t>
      </w:r>
      <w:r w:rsidRPr="00960D06">
        <w:rPr>
          <w:rFonts w:cstheme="minorHAnsi"/>
          <w:sz w:val="24"/>
          <w:lang w:eastAsia="cs-CZ"/>
        </w:rPr>
        <w:t>bydlení</w:t>
      </w:r>
      <w:r w:rsidR="002328BF" w:rsidRPr="00960D06">
        <w:rPr>
          <w:rFonts w:cstheme="minorHAnsi"/>
          <w:sz w:val="24"/>
          <w:lang w:eastAsia="cs-CZ"/>
        </w:rPr>
        <w:t>, přestože obvyklé nájemné takové nemovitosti</w:t>
      </w:r>
      <w:r w:rsidRPr="00960D06">
        <w:rPr>
          <w:rFonts w:cstheme="minorHAnsi"/>
          <w:sz w:val="24"/>
          <w:lang w:eastAsia="cs-CZ"/>
        </w:rPr>
        <w:t xml:space="preserve"> nacházející se v okrese Kladno, resp. ve Středočeském kraji</w:t>
      </w:r>
      <w:r w:rsidR="00F96783">
        <w:rPr>
          <w:rStyle w:val="Znakapoznpodarou"/>
          <w:rFonts w:cstheme="minorHAnsi"/>
          <w:sz w:val="24"/>
          <w:lang w:eastAsia="cs-CZ"/>
        </w:rPr>
        <w:footnoteReference w:id="39"/>
      </w:r>
      <w:r w:rsidR="002328BF" w:rsidRPr="00960D06">
        <w:rPr>
          <w:rFonts w:cstheme="minorHAnsi"/>
          <w:sz w:val="24"/>
          <w:lang w:eastAsia="cs-CZ"/>
        </w:rPr>
        <w:t>, se ve stejné době pohybovalo okolo 180 Kč/m</w:t>
      </w:r>
      <w:r w:rsidR="002328BF" w:rsidRPr="00960D06">
        <w:rPr>
          <w:rFonts w:cstheme="minorHAnsi"/>
          <w:sz w:val="24"/>
          <w:vertAlign w:val="superscript"/>
          <w:lang w:eastAsia="cs-CZ"/>
        </w:rPr>
        <w:t>2</w:t>
      </w:r>
      <w:r w:rsidRPr="00960D06">
        <w:rPr>
          <w:rFonts w:cstheme="minorHAnsi"/>
          <w:sz w:val="24"/>
          <w:lang w:eastAsia="cs-CZ"/>
        </w:rPr>
        <w:t>. Reálně se výše smluvního, resp. skutečně placeného nájemného u nemovitostí pronajímaných LSL</w:t>
      </w:r>
      <w:r w:rsidR="00E8771E">
        <w:rPr>
          <w:rFonts w:cstheme="minorHAnsi"/>
          <w:sz w:val="24"/>
          <w:lang w:eastAsia="cs-CZ"/>
        </w:rPr>
        <w:t>,</w:t>
      </w:r>
      <w:r w:rsidRPr="00960D06">
        <w:rPr>
          <w:rFonts w:cstheme="minorHAnsi"/>
          <w:sz w:val="24"/>
          <w:lang w:eastAsia="cs-CZ"/>
        </w:rPr>
        <w:t xml:space="preserve"> jako </w:t>
      </w:r>
      <w:r w:rsidR="00E8771E">
        <w:rPr>
          <w:rFonts w:cstheme="minorHAnsi"/>
          <w:sz w:val="24"/>
          <w:lang w:eastAsia="cs-CZ"/>
        </w:rPr>
        <w:t xml:space="preserve">jsou </w:t>
      </w:r>
      <w:r w:rsidRPr="00960D06">
        <w:rPr>
          <w:rFonts w:cstheme="minorHAnsi"/>
          <w:sz w:val="24"/>
          <w:lang w:eastAsia="cs-CZ"/>
        </w:rPr>
        <w:t>služební byty a domy</w:t>
      </w:r>
      <w:r w:rsidR="00E8771E">
        <w:rPr>
          <w:rFonts w:cstheme="minorHAnsi"/>
          <w:sz w:val="24"/>
          <w:lang w:eastAsia="cs-CZ"/>
        </w:rPr>
        <w:t>,</w:t>
      </w:r>
      <w:r w:rsidRPr="00960D06">
        <w:rPr>
          <w:rFonts w:cstheme="minorHAnsi"/>
          <w:sz w:val="24"/>
          <w:lang w:eastAsia="cs-CZ"/>
        </w:rPr>
        <w:t xml:space="preserve"> pohybovala v kontrolovaném období </w:t>
      </w:r>
      <w:r w:rsidRPr="00960D06">
        <w:rPr>
          <w:rFonts w:cstheme="minorHAnsi"/>
          <w:b/>
          <w:sz w:val="24"/>
          <w:lang w:eastAsia="cs-CZ"/>
        </w:rPr>
        <w:t>v rozmezí od 12,46 Kč/m</w:t>
      </w:r>
      <w:r w:rsidRPr="00960D06">
        <w:rPr>
          <w:rFonts w:cstheme="minorHAnsi"/>
          <w:b/>
          <w:sz w:val="24"/>
          <w:vertAlign w:val="superscript"/>
          <w:lang w:eastAsia="cs-CZ"/>
        </w:rPr>
        <w:t>2</w:t>
      </w:r>
      <w:r w:rsidRPr="00960D06">
        <w:rPr>
          <w:rFonts w:cstheme="minorHAnsi"/>
          <w:b/>
          <w:sz w:val="24"/>
          <w:lang w:eastAsia="cs-CZ"/>
        </w:rPr>
        <w:t xml:space="preserve"> do 38,95 Kč/m</w:t>
      </w:r>
      <w:r w:rsidRPr="00960D06">
        <w:rPr>
          <w:rFonts w:cstheme="minorHAnsi"/>
          <w:b/>
          <w:sz w:val="24"/>
          <w:vertAlign w:val="superscript"/>
          <w:lang w:eastAsia="cs-CZ"/>
        </w:rPr>
        <w:t>2</w:t>
      </w:r>
      <w:r w:rsidR="00FA2CA8" w:rsidRPr="00960D06">
        <w:rPr>
          <w:rFonts w:cstheme="minorHAnsi"/>
          <w:sz w:val="24"/>
          <w:lang w:eastAsia="cs-CZ"/>
        </w:rPr>
        <w:t>. V některých případech</w:t>
      </w:r>
      <w:r w:rsidR="002328BF" w:rsidRPr="00960D06">
        <w:rPr>
          <w:rFonts w:cstheme="minorHAnsi"/>
          <w:sz w:val="24"/>
          <w:lang w:eastAsia="cs-CZ"/>
        </w:rPr>
        <w:t xml:space="preserve"> tak</w:t>
      </w:r>
      <w:r w:rsidR="00FA2CA8" w:rsidRPr="00960D06">
        <w:rPr>
          <w:rFonts w:cstheme="minorHAnsi"/>
          <w:sz w:val="24"/>
          <w:lang w:eastAsia="cs-CZ"/>
        </w:rPr>
        <w:t xml:space="preserve"> LSL dokonce stanovila nájemné nižší než ve vnitřní</w:t>
      </w:r>
      <w:r w:rsidR="002226EC">
        <w:rPr>
          <w:rFonts w:cstheme="minorHAnsi"/>
          <w:sz w:val="24"/>
          <w:lang w:eastAsia="cs-CZ"/>
        </w:rPr>
        <w:t>ch předpisech</w:t>
      </w:r>
      <w:r w:rsidR="00895B97" w:rsidRPr="00960D06">
        <w:rPr>
          <w:rFonts w:cstheme="minorHAnsi"/>
          <w:sz w:val="24"/>
          <w:lang w:eastAsia="cs-CZ"/>
        </w:rPr>
        <w:t>;</w:t>
      </w:r>
    </w:p>
    <w:p w14:paraId="03C2FE47" w14:textId="7DFA9F5E" w:rsidR="00476A1C" w:rsidRDefault="00476A1C" w:rsidP="002D778E">
      <w:pPr>
        <w:pStyle w:val="Odstavecseseznamem"/>
        <w:numPr>
          <w:ilvl w:val="0"/>
          <w:numId w:val="8"/>
        </w:numPr>
        <w:spacing w:before="40" w:after="0"/>
        <w:ind w:left="284" w:hanging="284"/>
        <w:jc w:val="both"/>
        <w:rPr>
          <w:rFonts w:cstheme="minorHAnsi"/>
          <w:sz w:val="24"/>
          <w:lang w:eastAsia="cs-CZ"/>
        </w:rPr>
      </w:pPr>
      <w:r w:rsidRPr="00895B97">
        <w:rPr>
          <w:rFonts w:cstheme="minorHAnsi"/>
          <w:b/>
          <w:sz w:val="24"/>
          <w:lang w:eastAsia="cs-CZ"/>
        </w:rPr>
        <w:t>LSL prona</w:t>
      </w:r>
      <w:r w:rsidR="00895B97">
        <w:rPr>
          <w:rFonts w:cstheme="minorHAnsi"/>
          <w:b/>
          <w:sz w:val="24"/>
          <w:lang w:eastAsia="cs-CZ"/>
        </w:rPr>
        <w:t>jala</w:t>
      </w:r>
      <w:r w:rsidRPr="00895B97">
        <w:rPr>
          <w:rFonts w:cstheme="minorHAnsi"/>
          <w:b/>
          <w:sz w:val="24"/>
          <w:lang w:eastAsia="cs-CZ"/>
        </w:rPr>
        <w:t xml:space="preserve"> svému zaměstnanci byt za méně než 25 % ceny měsíčního nájemného</w:t>
      </w:r>
      <w:r w:rsidR="002328BF">
        <w:rPr>
          <w:rFonts w:cstheme="minorHAnsi"/>
          <w:b/>
          <w:sz w:val="24"/>
          <w:lang w:eastAsia="cs-CZ"/>
        </w:rPr>
        <w:t xml:space="preserve"> za </w:t>
      </w:r>
      <w:r w:rsidR="00592592">
        <w:rPr>
          <w:rFonts w:cstheme="minorHAnsi"/>
          <w:b/>
          <w:sz w:val="24"/>
          <w:lang w:eastAsia="cs-CZ"/>
        </w:rPr>
        <w:t>1 </w:t>
      </w:r>
      <w:r w:rsidR="002328BF">
        <w:rPr>
          <w:rFonts w:cstheme="minorHAnsi"/>
          <w:b/>
          <w:sz w:val="24"/>
          <w:lang w:eastAsia="cs-CZ"/>
        </w:rPr>
        <w:t>m</w:t>
      </w:r>
      <w:r w:rsidR="002328BF" w:rsidRPr="002328BF">
        <w:rPr>
          <w:rFonts w:cstheme="minorHAnsi"/>
          <w:b/>
          <w:sz w:val="24"/>
          <w:vertAlign w:val="superscript"/>
          <w:lang w:eastAsia="cs-CZ"/>
        </w:rPr>
        <w:t>2</w:t>
      </w:r>
      <w:r w:rsidRPr="00895B97">
        <w:rPr>
          <w:rFonts w:cstheme="minorHAnsi"/>
          <w:b/>
          <w:sz w:val="24"/>
          <w:lang w:eastAsia="cs-CZ"/>
        </w:rPr>
        <w:t>, které jí za byt ve stejném domě platí nájemce, který zaměstnancem LSL není</w:t>
      </w:r>
      <w:r w:rsidR="00895B97" w:rsidRPr="00B20B23">
        <w:rPr>
          <w:rFonts w:cstheme="minorHAnsi"/>
          <w:b/>
          <w:sz w:val="24"/>
          <w:lang w:eastAsia="cs-CZ"/>
        </w:rPr>
        <w:t>;</w:t>
      </w:r>
    </w:p>
    <w:p w14:paraId="6AA1A19D" w14:textId="2554AA46" w:rsidR="00CF475C" w:rsidRPr="00895B97" w:rsidRDefault="00CF475C" w:rsidP="002D778E">
      <w:pPr>
        <w:pStyle w:val="Odstavecseseznamem"/>
        <w:numPr>
          <w:ilvl w:val="0"/>
          <w:numId w:val="8"/>
        </w:numPr>
        <w:ind w:left="284" w:hanging="284"/>
        <w:jc w:val="both"/>
        <w:rPr>
          <w:rFonts w:cstheme="minorHAnsi"/>
          <w:sz w:val="24"/>
          <w:lang w:eastAsia="cs-CZ"/>
        </w:rPr>
      </w:pPr>
      <w:r w:rsidRPr="00895B97">
        <w:rPr>
          <w:rFonts w:cstheme="minorHAnsi"/>
          <w:sz w:val="24"/>
          <w:lang w:eastAsia="cs-CZ"/>
        </w:rPr>
        <w:t>LSL zastoupená ředitelem uzavřela dne 30. 12. 2020 smlouvu o nájmu domu s ředitelem LSL. Smlouvu za obě strany podepsal dne 30. 12. 2020 ředitel LSL. LSL stanovila touto smlouvou měsíční nájemné ve výši 5 716 Kč za 242,52 m</w:t>
      </w:r>
      <w:r w:rsidRPr="00895B97">
        <w:rPr>
          <w:rFonts w:cstheme="minorHAnsi"/>
          <w:sz w:val="24"/>
          <w:vertAlign w:val="superscript"/>
          <w:lang w:eastAsia="cs-CZ"/>
        </w:rPr>
        <w:t>2</w:t>
      </w:r>
      <w:r w:rsidRPr="00895B97">
        <w:rPr>
          <w:rFonts w:cstheme="minorHAnsi"/>
          <w:sz w:val="24"/>
          <w:lang w:eastAsia="cs-CZ"/>
        </w:rPr>
        <w:t xml:space="preserve"> pronajatých prostor domu, tj. 23,57 Kč/m</w:t>
      </w:r>
      <w:r w:rsidRPr="00895B97">
        <w:rPr>
          <w:rFonts w:cstheme="minorHAnsi"/>
          <w:sz w:val="24"/>
          <w:vertAlign w:val="superscript"/>
          <w:lang w:eastAsia="cs-CZ"/>
        </w:rPr>
        <w:t>2</w:t>
      </w:r>
      <w:r w:rsidRPr="00895B97">
        <w:rPr>
          <w:rFonts w:cstheme="minorHAnsi"/>
          <w:sz w:val="24"/>
          <w:lang w:eastAsia="cs-CZ"/>
        </w:rPr>
        <w:t xml:space="preserve">. Za přilehlé pozemky nebylo nájemné stanoveno. </w:t>
      </w:r>
      <w:r w:rsidRPr="00BE3B24">
        <w:rPr>
          <w:rFonts w:cstheme="minorHAnsi"/>
          <w:b/>
          <w:sz w:val="24"/>
          <w:lang w:eastAsia="cs-CZ"/>
        </w:rPr>
        <w:t xml:space="preserve">Ředitel </w:t>
      </w:r>
      <w:r w:rsidRPr="00895B97">
        <w:rPr>
          <w:rFonts w:cstheme="minorHAnsi"/>
          <w:sz w:val="24"/>
          <w:lang w:eastAsia="cs-CZ"/>
        </w:rPr>
        <w:t>LSL jako veřejný funkcionář ve smyslu § 2 odst. 2 písm. b) zákona č. 159/2006 Sb.</w:t>
      </w:r>
      <w:r w:rsidR="002F3F39">
        <w:rPr>
          <w:rFonts w:cstheme="minorHAnsi"/>
          <w:sz w:val="24"/>
          <w:lang w:eastAsia="cs-CZ"/>
        </w:rPr>
        <w:t xml:space="preserve"> se nezdržel jednání, při kterém mohly jeho osobní zájmy ovlivnit výkon jeho funkce.</w:t>
      </w:r>
      <w:r w:rsidRPr="00895B97">
        <w:rPr>
          <w:rFonts w:cstheme="minorHAnsi"/>
          <w:sz w:val="24"/>
          <w:lang w:eastAsia="cs-CZ"/>
        </w:rPr>
        <w:t xml:space="preserve"> </w:t>
      </w:r>
    </w:p>
    <w:p w14:paraId="55C1EA3D" w14:textId="77777777" w:rsidR="007F5535" w:rsidRPr="007F5535" w:rsidRDefault="007F5535" w:rsidP="00EE2ECB">
      <w:pPr>
        <w:pStyle w:val="Nadpispklad"/>
        <w:keepNext w:val="0"/>
        <w:spacing w:after="120" w:line="264" w:lineRule="auto"/>
        <w:rPr>
          <w:b w:val="0"/>
          <w:color w:val="auto"/>
          <w:lang w:eastAsia="cs-CZ"/>
        </w:rPr>
      </w:pPr>
      <w:r w:rsidRPr="007F5535">
        <w:rPr>
          <w:b w:val="0"/>
          <w:color w:val="auto"/>
          <w:lang w:eastAsia="cs-CZ"/>
        </w:rPr>
        <w:t xml:space="preserve">NKÚ dále zjistil, že ve všech v 11 případech nájemních smluv uzavřených LSL v kontrolovaném období s fyzickými osobami, které nebyly </w:t>
      </w:r>
      <w:r>
        <w:rPr>
          <w:b w:val="0"/>
          <w:color w:val="auto"/>
          <w:lang w:eastAsia="cs-CZ"/>
        </w:rPr>
        <w:t xml:space="preserve">jejími </w:t>
      </w:r>
      <w:r w:rsidRPr="007F5535">
        <w:rPr>
          <w:b w:val="0"/>
          <w:color w:val="auto"/>
          <w:lang w:eastAsia="cs-CZ"/>
        </w:rPr>
        <w:t>zaměstnanci, stanovila LSL v rozporu se zákonem o majetku</w:t>
      </w:r>
      <w:r w:rsidR="00703C42">
        <w:rPr>
          <w:rStyle w:val="Znakapoznpodarou"/>
          <w:b w:val="0"/>
          <w:color w:val="auto"/>
          <w:lang w:eastAsia="cs-CZ"/>
        </w:rPr>
        <w:t>36</w:t>
      </w:r>
      <w:r w:rsidRPr="007F5535">
        <w:rPr>
          <w:b w:val="0"/>
          <w:color w:val="auto"/>
          <w:lang w:eastAsia="cs-CZ"/>
        </w:rPr>
        <w:t xml:space="preserve"> měsíční nájemné rovněž ve výši, která neodpovídala výši v místě a čase obvyklé.</w:t>
      </w:r>
    </w:p>
    <w:p w14:paraId="0B43F6B6" w14:textId="420EA6B4" w:rsidR="00476A1C" w:rsidRPr="00684AEB" w:rsidRDefault="007F5535" w:rsidP="00EE2ECB">
      <w:pPr>
        <w:pStyle w:val="Nadpispklad"/>
        <w:keepNext w:val="0"/>
        <w:spacing w:after="120" w:line="264" w:lineRule="auto"/>
        <w:rPr>
          <w:color w:val="auto"/>
          <w:lang w:eastAsia="cs-CZ"/>
        </w:rPr>
      </w:pPr>
      <w:r w:rsidRPr="007F5535">
        <w:rPr>
          <w:b w:val="0"/>
          <w:color w:val="auto"/>
          <w:lang w:eastAsia="cs-CZ"/>
        </w:rPr>
        <w:t>Bylo zjištěno, že</w:t>
      </w:r>
      <w:r w:rsidR="00684AEB">
        <w:rPr>
          <w:b w:val="0"/>
          <w:color w:val="auto"/>
          <w:lang w:eastAsia="cs-CZ"/>
        </w:rPr>
        <w:t xml:space="preserve"> </w:t>
      </w:r>
      <w:r w:rsidR="00684AEB" w:rsidRPr="00B20B23">
        <w:rPr>
          <w:b w:val="0"/>
          <w:color w:val="000000" w:themeColor="text1"/>
          <w:lang w:eastAsia="cs-CZ"/>
        </w:rPr>
        <w:t xml:space="preserve">u </w:t>
      </w:r>
      <w:r w:rsidR="007A5582" w:rsidRPr="00684AEB">
        <w:rPr>
          <w:b w:val="0"/>
          <w:color w:val="auto"/>
          <w:lang w:eastAsia="cs-CZ"/>
        </w:rPr>
        <w:t>nájemních smluv uzavřených s</w:t>
      </w:r>
      <w:r w:rsidR="007C508B" w:rsidRPr="00684AEB">
        <w:rPr>
          <w:b w:val="0"/>
          <w:color w:val="auto"/>
          <w:lang w:eastAsia="cs-CZ"/>
        </w:rPr>
        <w:t xml:space="preserve"> ostatními </w:t>
      </w:r>
      <w:r w:rsidR="007A5582" w:rsidRPr="00684AEB">
        <w:rPr>
          <w:b w:val="0"/>
          <w:color w:val="auto"/>
          <w:lang w:eastAsia="cs-CZ"/>
        </w:rPr>
        <w:t>fyzickými osobami bylo n</w:t>
      </w:r>
      <w:r w:rsidR="00476A1C" w:rsidRPr="00684AEB">
        <w:rPr>
          <w:b w:val="0"/>
          <w:color w:val="auto"/>
          <w:lang w:eastAsia="cs-CZ"/>
        </w:rPr>
        <w:t>ájemné</w:t>
      </w:r>
      <w:r w:rsidR="00476A1C" w:rsidRPr="00684AEB">
        <w:rPr>
          <w:color w:val="auto"/>
          <w:lang w:eastAsia="cs-CZ"/>
        </w:rPr>
        <w:t xml:space="preserve"> </w:t>
      </w:r>
      <w:r w:rsidR="00476A1C" w:rsidRPr="00684AEB">
        <w:rPr>
          <w:b w:val="0"/>
          <w:color w:val="auto"/>
          <w:lang w:eastAsia="cs-CZ"/>
        </w:rPr>
        <w:t xml:space="preserve">v kontrolovaném období </w:t>
      </w:r>
      <w:r w:rsidR="007C2E86" w:rsidRPr="00684AEB">
        <w:rPr>
          <w:b w:val="0"/>
          <w:color w:val="auto"/>
          <w:lang w:eastAsia="cs-CZ"/>
        </w:rPr>
        <w:t>nižší než obvyklé</w:t>
      </w:r>
      <w:r w:rsidR="007C508B" w:rsidRPr="00684AEB">
        <w:rPr>
          <w:color w:val="auto"/>
          <w:lang w:eastAsia="cs-CZ"/>
        </w:rPr>
        <w:t xml:space="preserve"> a pohybovalo se </w:t>
      </w:r>
      <w:r w:rsidR="00476A1C" w:rsidRPr="00684AEB">
        <w:rPr>
          <w:color w:val="auto"/>
          <w:lang w:eastAsia="cs-CZ"/>
        </w:rPr>
        <w:t>ve výši 18</w:t>
      </w:r>
      <w:r w:rsidR="007C508B" w:rsidRPr="00684AEB">
        <w:rPr>
          <w:color w:val="auto"/>
          <w:lang w:eastAsia="cs-CZ"/>
        </w:rPr>
        <w:t xml:space="preserve"> Kč </w:t>
      </w:r>
      <w:r w:rsidR="00476A1C" w:rsidRPr="00684AEB">
        <w:rPr>
          <w:color w:val="auto"/>
          <w:lang w:eastAsia="cs-CZ"/>
        </w:rPr>
        <w:t>–</w:t>
      </w:r>
      <w:r w:rsidR="007C508B" w:rsidRPr="00684AEB">
        <w:rPr>
          <w:color w:val="auto"/>
          <w:lang w:eastAsia="cs-CZ"/>
        </w:rPr>
        <w:t xml:space="preserve"> </w:t>
      </w:r>
      <w:r w:rsidR="00FA2CA8" w:rsidRPr="00684AEB">
        <w:rPr>
          <w:color w:val="auto"/>
          <w:lang w:eastAsia="cs-CZ"/>
        </w:rPr>
        <w:t>111,80</w:t>
      </w:r>
      <w:r w:rsidR="00476A1C" w:rsidRPr="00684AEB">
        <w:rPr>
          <w:color w:val="auto"/>
          <w:lang w:eastAsia="cs-CZ"/>
        </w:rPr>
        <w:t xml:space="preserve"> Kč/m</w:t>
      </w:r>
      <w:r w:rsidR="00476A1C" w:rsidRPr="00684AEB">
        <w:rPr>
          <w:color w:val="auto"/>
          <w:vertAlign w:val="superscript"/>
          <w:lang w:eastAsia="cs-CZ"/>
        </w:rPr>
        <w:t>2</w:t>
      </w:r>
      <w:r w:rsidR="007C508B" w:rsidRPr="00684AEB">
        <w:rPr>
          <w:color w:val="auto"/>
          <w:lang w:eastAsia="cs-CZ"/>
        </w:rPr>
        <w:t xml:space="preserve">, což představuje </w:t>
      </w:r>
      <w:r w:rsidR="00476A1C" w:rsidRPr="00684AEB">
        <w:rPr>
          <w:color w:val="auto"/>
          <w:lang w:eastAsia="cs-CZ"/>
        </w:rPr>
        <w:t>10,1–</w:t>
      </w:r>
      <w:r w:rsidR="00FA2CA8" w:rsidRPr="00684AEB">
        <w:rPr>
          <w:color w:val="auto"/>
          <w:lang w:eastAsia="cs-CZ"/>
        </w:rPr>
        <w:t>68,2</w:t>
      </w:r>
      <w:r w:rsidR="00476A1C" w:rsidRPr="00684AEB">
        <w:rPr>
          <w:color w:val="auto"/>
          <w:lang w:eastAsia="cs-CZ"/>
        </w:rPr>
        <w:t xml:space="preserve"> %</w:t>
      </w:r>
      <w:r w:rsidR="007C508B" w:rsidRPr="00684AEB">
        <w:rPr>
          <w:color w:val="auto"/>
          <w:lang w:eastAsia="cs-CZ"/>
        </w:rPr>
        <w:t>,</w:t>
      </w:r>
      <w:r w:rsidR="00476A1C" w:rsidRPr="00684AEB">
        <w:rPr>
          <w:color w:val="auto"/>
          <w:lang w:eastAsia="cs-CZ"/>
        </w:rPr>
        <w:t xml:space="preserve"> </w:t>
      </w:r>
      <w:r w:rsidR="00FA2CA8" w:rsidRPr="00684AEB">
        <w:rPr>
          <w:color w:val="auto"/>
          <w:lang w:eastAsia="cs-CZ"/>
        </w:rPr>
        <w:t>v porovnání s</w:t>
      </w:r>
      <w:r w:rsidR="00476A1C" w:rsidRPr="00684AEB">
        <w:rPr>
          <w:color w:val="auto"/>
          <w:lang w:eastAsia="cs-CZ"/>
        </w:rPr>
        <w:t xml:space="preserve"> výš</w:t>
      </w:r>
      <w:r w:rsidR="00592592">
        <w:rPr>
          <w:color w:val="auto"/>
          <w:lang w:eastAsia="cs-CZ"/>
        </w:rPr>
        <w:t>í</w:t>
      </w:r>
      <w:r w:rsidR="00476A1C" w:rsidRPr="00684AEB">
        <w:rPr>
          <w:color w:val="auto"/>
          <w:lang w:eastAsia="cs-CZ"/>
        </w:rPr>
        <w:t xml:space="preserve"> nájemného obvyklé</w:t>
      </w:r>
      <w:r w:rsidR="00FA2CA8" w:rsidRPr="00684AEB">
        <w:rPr>
          <w:color w:val="auto"/>
          <w:lang w:eastAsia="cs-CZ"/>
        </w:rPr>
        <w:t>ho</w:t>
      </w:r>
      <w:r w:rsidR="00476A1C" w:rsidRPr="00684AEB">
        <w:rPr>
          <w:color w:val="auto"/>
          <w:lang w:eastAsia="cs-CZ"/>
        </w:rPr>
        <w:t xml:space="preserve"> za pronájem nemovitosti </w:t>
      </w:r>
      <w:r w:rsidR="00476A1C" w:rsidRPr="00684AEB">
        <w:rPr>
          <w:color w:val="auto"/>
          <w:lang w:eastAsia="cs-CZ"/>
        </w:rPr>
        <w:lastRenderedPageBreak/>
        <w:t>určené k bydlení nacházející se v okrese Kladno, příp. Rakovník, resp. ve Středočeském kraji</w:t>
      </w:r>
      <w:r w:rsidR="00684AEB" w:rsidRPr="00684AEB">
        <w:rPr>
          <w:b w:val="0"/>
          <w:color w:val="auto"/>
          <w:vertAlign w:val="superscript"/>
          <w:lang w:eastAsia="cs-CZ"/>
        </w:rPr>
        <w:t>3</w:t>
      </w:r>
      <w:r w:rsidR="00703C42">
        <w:rPr>
          <w:b w:val="0"/>
          <w:color w:val="auto"/>
          <w:vertAlign w:val="superscript"/>
          <w:lang w:eastAsia="cs-CZ"/>
        </w:rPr>
        <w:t>8</w:t>
      </w:r>
      <w:r w:rsidR="00476A1C" w:rsidRPr="00684AEB">
        <w:rPr>
          <w:color w:val="auto"/>
          <w:lang w:eastAsia="cs-CZ"/>
        </w:rPr>
        <w:t>.</w:t>
      </w:r>
    </w:p>
    <w:p w14:paraId="495C61B5" w14:textId="7A92BB3E" w:rsidR="00476A1C" w:rsidRPr="003C140E" w:rsidRDefault="00FA2CA8" w:rsidP="00EE2ECB">
      <w:pPr>
        <w:spacing w:before="120" w:after="120" w:line="264" w:lineRule="auto"/>
        <w:jc w:val="both"/>
        <w:rPr>
          <w:b/>
          <w:sz w:val="24"/>
          <w:szCs w:val="24"/>
        </w:rPr>
      </w:pPr>
      <w:r>
        <w:rPr>
          <w:b/>
          <w:sz w:val="24"/>
          <w:szCs w:val="24"/>
        </w:rPr>
        <w:t>V</w:t>
      </w:r>
      <w:r w:rsidR="00476A1C" w:rsidRPr="00FF1AB1">
        <w:rPr>
          <w:b/>
          <w:sz w:val="24"/>
          <w:szCs w:val="24"/>
        </w:rPr>
        <w:t xml:space="preserve"> deseti případech</w:t>
      </w:r>
      <w:r w:rsidR="00592592">
        <w:rPr>
          <w:b/>
          <w:sz w:val="24"/>
          <w:szCs w:val="24"/>
        </w:rPr>
        <w:t xml:space="preserve"> </w:t>
      </w:r>
      <w:r w:rsidRPr="00FF1AB1">
        <w:rPr>
          <w:b/>
          <w:sz w:val="24"/>
          <w:szCs w:val="24"/>
        </w:rPr>
        <w:t xml:space="preserve">nájemních smluv </w:t>
      </w:r>
      <w:r>
        <w:rPr>
          <w:b/>
          <w:sz w:val="24"/>
          <w:szCs w:val="24"/>
        </w:rPr>
        <w:t>na pozemky</w:t>
      </w:r>
      <w:r w:rsidR="00C62DC9">
        <w:rPr>
          <w:b/>
          <w:sz w:val="24"/>
          <w:szCs w:val="24"/>
        </w:rPr>
        <w:t xml:space="preserve"> spojen</w:t>
      </w:r>
      <w:r w:rsidR="00592592">
        <w:rPr>
          <w:b/>
          <w:sz w:val="24"/>
          <w:szCs w:val="24"/>
        </w:rPr>
        <w:t>é</w:t>
      </w:r>
      <w:r w:rsidR="00C62DC9">
        <w:rPr>
          <w:b/>
          <w:sz w:val="24"/>
          <w:szCs w:val="24"/>
        </w:rPr>
        <w:t xml:space="preserve"> s pronajatými nemovitostmi</w:t>
      </w:r>
      <w:r>
        <w:rPr>
          <w:b/>
          <w:sz w:val="24"/>
          <w:szCs w:val="24"/>
        </w:rPr>
        <w:t xml:space="preserve"> LSL </w:t>
      </w:r>
      <w:r w:rsidR="00476A1C" w:rsidRPr="00FF1AB1">
        <w:rPr>
          <w:b/>
          <w:sz w:val="24"/>
          <w:szCs w:val="24"/>
        </w:rPr>
        <w:t>neurčila rozsah užívané plochy a výši nájemného za jejich užívání</w:t>
      </w:r>
      <w:r w:rsidR="00476A1C" w:rsidRPr="00B20B23">
        <w:rPr>
          <w:b/>
          <w:sz w:val="24"/>
          <w:szCs w:val="24"/>
        </w:rPr>
        <w:t>.</w:t>
      </w:r>
      <w:r w:rsidR="00476A1C" w:rsidRPr="00D446CB">
        <w:rPr>
          <w:sz w:val="24"/>
          <w:szCs w:val="24"/>
        </w:rPr>
        <w:t xml:space="preserve"> V případě dvou pozemků v příslušných nájemních smlouvách </w:t>
      </w:r>
      <w:r w:rsidR="007C2E86" w:rsidRPr="00D446CB">
        <w:rPr>
          <w:sz w:val="24"/>
          <w:szCs w:val="24"/>
        </w:rPr>
        <w:t xml:space="preserve">vůbec </w:t>
      </w:r>
      <w:r w:rsidR="00476A1C" w:rsidRPr="00D446CB">
        <w:rPr>
          <w:sz w:val="24"/>
          <w:szCs w:val="24"/>
        </w:rPr>
        <w:t xml:space="preserve">nesjednala s nájemcem právo užívání těchto pozemků, přestože tyto pozemky nájemci s vědomím LSL užívali. </w:t>
      </w:r>
      <w:r w:rsidR="003C140E" w:rsidRPr="00D446CB">
        <w:rPr>
          <w:sz w:val="24"/>
        </w:rPr>
        <w:t xml:space="preserve">Vzhledem k nesjednání rozsahu užívání pozemků ani výše nájemného za využívání pozemků ve všech výše uvedených případech LSL umožnila, aby </w:t>
      </w:r>
      <w:r w:rsidR="003C140E" w:rsidRPr="00FF1AB1">
        <w:rPr>
          <w:sz w:val="24"/>
        </w:rPr>
        <w:t>nájemci užívali pozemky bezúplatně</w:t>
      </w:r>
      <w:r w:rsidR="003C140E" w:rsidRPr="00D446CB">
        <w:rPr>
          <w:sz w:val="24"/>
        </w:rPr>
        <w:t>.</w:t>
      </w:r>
      <w:r w:rsidR="00FF1AB1">
        <w:rPr>
          <w:sz w:val="24"/>
        </w:rPr>
        <w:t xml:space="preserve"> </w:t>
      </w:r>
      <w:r w:rsidR="002F2F8C">
        <w:rPr>
          <w:b/>
          <w:sz w:val="24"/>
          <w:szCs w:val="24"/>
        </w:rPr>
        <w:t>LSL</w:t>
      </w:r>
      <w:r w:rsidR="00253A9A">
        <w:rPr>
          <w:b/>
          <w:sz w:val="24"/>
          <w:szCs w:val="24"/>
        </w:rPr>
        <w:t xml:space="preserve"> nestanovila výš</w:t>
      </w:r>
      <w:r>
        <w:rPr>
          <w:b/>
          <w:sz w:val="24"/>
          <w:szCs w:val="24"/>
        </w:rPr>
        <w:t>i</w:t>
      </w:r>
      <w:r w:rsidR="00253A9A">
        <w:rPr>
          <w:b/>
          <w:sz w:val="24"/>
          <w:szCs w:val="24"/>
        </w:rPr>
        <w:t xml:space="preserve"> nájemného v místě a čase obvyklé</w:t>
      </w:r>
      <w:r w:rsidR="007C2E86">
        <w:rPr>
          <w:b/>
          <w:sz w:val="24"/>
          <w:szCs w:val="24"/>
        </w:rPr>
        <w:t>ho</w:t>
      </w:r>
      <w:r w:rsidR="00253A9A">
        <w:rPr>
          <w:b/>
          <w:sz w:val="24"/>
          <w:szCs w:val="24"/>
        </w:rPr>
        <w:t xml:space="preserve"> a</w:t>
      </w:r>
      <w:r w:rsidR="002F2F8C">
        <w:rPr>
          <w:b/>
          <w:sz w:val="24"/>
          <w:szCs w:val="24"/>
        </w:rPr>
        <w:t xml:space="preserve"> </w:t>
      </w:r>
      <w:r w:rsidR="003C140E">
        <w:rPr>
          <w:b/>
          <w:sz w:val="24"/>
          <w:szCs w:val="24"/>
        </w:rPr>
        <w:t>přenechala pozemky k bez</w:t>
      </w:r>
      <w:r w:rsidR="00E4536D">
        <w:rPr>
          <w:b/>
          <w:sz w:val="24"/>
          <w:szCs w:val="24"/>
        </w:rPr>
        <w:t>ú</w:t>
      </w:r>
      <w:r w:rsidR="003C140E">
        <w:rPr>
          <w:b/>
          <w:sz w:val="24"/>
          <w:szCs w:val="24"/>
        </w:rPr>
        <w:t>platnému užívání, přestože k tomu neměla zákonný důvod, čímž neodůvodněně snižovala výnos</w:t>
      </w:r>
      <w:r w:rsidR="00BE3B24">
        <w:rPr>
          <w:b/>
          <w:sz w:val="24"/>
          <w:szCs w:val="24"/>
        </w:rPr>
        <w:t>y</w:t>
      </w:r>
      <w:r w:rsidR="003C140E">
        <w:rPr>
          <w:b/>
          <w:sz w:val="24"/>
          <w:szCs w:val="24"/>
        </w:rPr>
        <w:t xml:space="preserve"> z majetku státu</w:t>
      </w:r>
      <w:r w:rsidR="00703C42" w:rsidRPr="00703C42">
        <w:rPr>
          <w:sz w:val="24"/>
          <w:szCs w:val="24"/>
          <w:vertAlign w:val="superscript"/>
        </w:rPr>
        <w:t>37</w:t>
      </w:r>
      <w:r w:rsidR="00FF1AB1">
        <w:rPr>
          <w:b/>
          <w:sz w:val="24"/>
          <w:szCs w:val="24"/>
        </w:rPr>
        <w:t>.</w:t>
      </w:r>
    </w:p>
    <w:p w14:paraId="781D426E" w14:textId="77777777" w:rsidR="00A02951" w:rsidRDefault="00946F3D" w:rsidP="00EE2ECB">
      <w:pPr>
        <w:spacing w:before="120" w:after="120" w:line="264" w:lineRule="auto"/>
        <w:jc w:val="both"/>
        <w:rPr>
          <w:sz w:val="24"/>
        </w:rPr>
      </w:pPr>
      <w:r w:rsidRPr="00946F3D">
        <w:rPr>
          <w:sz w:val="24"/>
        </w:rPr>
        <w:t xml:space="preserve">V souvislosti </w:t>
      </w:r>
      <w:r w:rsidR="00DC1AD4">
        <w:rPr>
          <w:sz w:val="24"/>
        </w:rPr>
        <w:t xml:space="preserve">s kontrolou nájemních smluv NKÚ prověřil u 14 smluv udělení souhlasu zřizovatele s dobou nájmu delší než tři roky. </w:t>
      </w:r>
      <w:r w:rsidRPr="00946F3D">
        <w:rPr>
          <w:sz w:val="24"/>
        </w:rPr>
        <w:t xml:space="preserve">NKÚ zjistil, že </w:t>
      </w:r>
      <w:r w:rsidRPr="00A02951">
        <w:rPr>
          <w:b/>
          <w:sz w:val="24"/>
        </w:rPr>
        <w:t>LSL ve 14 případech uzavřela nájemní smlouvy na dobu delší než tři roky, aniž by měla souhlas zřizovatele</w:t>
      </w:r>
      <w:r w:rsidRPr="00B20B23">
        <w:rPr>
          <w:b/>
          <w:sz w:val="24"/>
        </w:rPr>
        <w:t>,</w:t>
      </w:r>
      <w:r w:rsidRPr="00946F3D">
        <w:rPr>
          <w:sz w:val="24"/>
        </w:rPr>
        <w:t xml:space="preserve"> čímž porušila ustanovení prvního bodu části </w:t>
      </w:r>
      <w:r w:rsidRPr="00946F3D">
        <w:rPr>
          <w:i/>
          <w:sz w:val="24"/>
        </w:rPr>
        <w:t>Předmět činnosti</w:t>
      </w:r>
      <w:r w:rsidRPr="00946F3D">
        <w:rPr>
          <w:sz w:val="24"/>
        </w:rPr>
        <w:t xml:space="preserve"> písm. a) bodu 1. zřizovací listiny LSL ve znění jejího doplňku č. 3 ze dne 18. 4. 2013.</w:t>
      </w:r>
      <w:r w:rsidR="00DC1AD4">
        <w:rPr>
          <w:sz w:val="24"/>
        </w:rPr>
        <w:t xml:space="preserve"> </w:t>
      </w:r>
    </w:p>
    <w:p w14:paraId="158A6276" w14:textId="77777777" w:rsidR="008C2DEA" w:rsidRPr="006C71A8" w:rsidRDefault="00EE2ECB" w:rsidP="00EE2ECB">
      <w:pPr>
        <w:pStyle w:val="Nadpis1"/>
        <w:numPr>
          <w:ilvl w:val="0"/>
          <w:numId w:val="0"/>
        </w:numPr>
        <w:spacing w:before="240"/>
        <w:jc w:val="left"/>
      </w:pPr>
      <w:r>
        <w:t xml:space="preserve">3. </w:t>
      </w:r>
      <w:r w:rsidR="008C2DEA" w:rsidRPr="004D0952">
        <w:t>Registr smluv</w:t>
      </w:r>
    </w:p>
    <w:p w14:paraId="78EFFCF0" w14:textId="77777777" w:rsidR="00596E64" w:rsidRDefault="004E7DBF" w:rsidP="00EE2ECB">
      <w:pPr>
        <w:spacing w:before="120" w:after="120" w:line="264" w:lineRule="auto"/>
        <w:jc w:val="both"/>
        <w:rPr>
          <w:rFonts w:cstheme="minorHAnsi"/>
          <w:sz w:val="24"/>
        </w:rPr>
      </w:pPr>
      <w:r>
        <w:rPr>
          <w:rFonts w:cstheme="minorHAnsi"/>
          <w:sz w:val="24"/>
        </w:rPr>
        <w:t>Při kontrole nájemních</w:t>
      </w:r>
      <w:r w:rsidR="007C0018">
        <w:rPr>
          <w:rFonts w:cstheme="minorHAnsi"/>
          <w:sz w:val="24"/>
        </w:rPr>
        <w:t xml:space="preserve"> a kupních smluv na dříví</w:t>
      </w:r>
      <w:r>
        <w:rPr>
          <w:rFonts w:cstheme="minorHAnsi"/>
          <w:sz w:val="24"/>
        </w:rPr>
        <w:t xml:space="preserve"> </w:t>
      </w:r>
      <w:r w:rsidR="00946F3D" w:rsidRPr="00946F3D">
        <w:rPr>
          <w:rFonts w:cstheme="minorHAnsi"/>
          <w:sz w:val="24"/>
        </w:rPr>
        <w:t>NKÚ zjistil</w:t>
      </w:r>
      <w:r w:rsidR="00596E64">
        <w:rPr>
          <w:rFonts w:cstheme="minorHAnsi"/>
          <w:sz w:val="24"/>
        </w:rPr>
        <w:t xml:space="preserve"> pochybení při zveřejnění v registru smluv. Jednalo se o neuveřejnění smluv v požadovaném formátu, pozdní </w:t>
      </w:r>
      <w:r w:rsidR="003F06BF">
        <w:rPr>
          <w:rFonts w:cstheme="minorHAnsi"/>
          <w:sz w:val="24"/>
        </w:rPr>
        <w:t xml:space="preserve">zaslání ke zveřejnění </w:t>
      </w:r>
      <w:r w:rsidR="00596E64">
        <w:rPr>
          <w:rFonts w:cstheme="minorHAnsi"/>
          <w:sz w:val="24"/>
        </w:rPr>
        <w:t xml:space="preserve">či nezveřejnění v souladu se zákonem </w:t>
      </w:r>
      <w:r w:rsidR="00703C42">
        <w:rPr>
          <w:rFonts w:cstheme="minorHAnsi"/>
          <w:sz w:val="24"/>
        </w:rPr>
        <w:t>č. 340/2015 Sb.</w:t>
      </w:r>
      <w:r w:rsidR="00596E64">
        <w:rPr>
          <w:rStyle w:val="Znakapoznpodarou"/>
          <w:rFonts w:cstheme="minorHAnsi"/>
          <w:sz w:val="24"/>
        </w:rPr>
        <w:footnoteReference w:id="40"/>
      </w:r>
      <w:r w:rsidR="00596E64">
        <w:rPr>
          <w:rFonts w:cstheme="minorHAnsi"/>
          <w:sz w:val="24"/>
        </w:rPr>
        <w:t xml:space="preserve">. </w:t>
      </w:r>
    </w:p>
    <w:p w14:paraId="29C78C9C" w14:textId="77777777" w:rsidR="002F2F8C" w:rsidRPr="00C32A35" w:rsidRDefault="00EE2ECB" w:rsidP="00EE2ECB">
      <w:pPr>
        <w:pStyle w:val="Nadpis1"/>
        <w:numPr>
          <w:ilvl w:val="0"/>
          <w:numId w:val="0"/>
        </w:numPr>
        <w:spacing w:before="240"/>
        <w:jc w:val="left"/>
      </w:pPr>
      <w:r>
        <w:t xml:space="preserve">4. </w:t>
      </w:r>
      <w:r w:rsidR="007C0018" w:rsidRPr="00C32A35">
        <w:t xml:space="preserve">Vedení účetnictví a </w:t>
      </w:r>
      <w:r w:rsidR="002F2F8C" w:rsidRPr="00C32A35">
        <w:t xml:space="preserve">inventarizace </w:t>
      </w:r>
    </w:p>
    <w:p w14:paraId="6769F53E" w14:textId="77777777" w:rsidR="001236D4" w:rsidRDefault="003750AF" w:rsidP="00EE2ECB">
      <w:pPr>
        <w:spacing w:before="120" w:after="120" w:line="264" w:lineRule="auto"/>
        <w:jc w:val="both"/>
        <w:rPr>
          <w:b/>
          <w:sz w:val="24"/>
        </w:rPr>
      </w:pPr>
      <w:r w:rsidRPr="003750AF">
        <w:rPr>
          <w:sz w:val="24"/>
          <w:szCs w:val="24"/>
        </w:rPr>
        <w:t>NKÚ ověřil správnost postupu LSL při provedení inventarizace majetku</w:t>
      </w:r>
      <w:r w:rsidR="001236D4">
        <w:rPr>
          <w:sz w:val="24"/>
          <w:szCs w:val="24"/>
        </w:rPr>
        <w:t xml:space="preserve"> a</w:t>
      </w:r>
      <w:r w:rsidRPr="003750AF">
        <w:rPr>
          <w:sz w:val="24"/>
          <w:szCs w:val="24"/>
        </w:rPr>
        <w:t xml:space="preserve"> závazků v účetní závěrce LSL k 31. 12. 2021. </w:t>
      </w:r>
      <w:r w:rsidR="002F2F8C" w:rsidRPr="00596E64">
        <w:rPr>
          <w:b/>
          <w:sz w:val="24"/>
        </w:rPr>
        <w:t>NKÚ zjistil formální nedostatky v dokumentaci k provedení inventarizace majetku a závazků</w:t>
      </w:r>
      <w:r w:rsidR="00C32A35">
        <w:rPr>
          <w:b/>
          <w:sz w:val="24"/>
        </w:rPr>
        <w:t xml:space="preserve">. </w:t>
      </w:r>
    </w:p>
    <w:p w14:paraId="66F22AAE" w14:textId="77777777" w:rsidR="006C71A8" w:rsidRPr="006C71A8" w:rsidRDefault="00EE2ECB" w:rsidP="00EE2ECB">
      <w:pPr>
        <w:pStyle w:val="Nadpis1"/>
        <w:numPr>
          <w:ilvl w:val="0"/>
          <w:numId w:val="0"/>
        </w:numPr>
        <w:spacing w:before="240"/>
        <w:jc w:val="left"/>
      </w:pPr>
      <w:r>
        <w:t xml:space="preserve">5. </w:t>
      </w:r>
      <w:r w:rsidR="006C71A8" w:rsidRPr="006C71A8">
        <w:t>Nesoulad údajů katastru nemovitostí s majetkovou evidencí</w:t>
      </w:r>
    </w:p>
    <w:p w14:paraId="735C4946" w14:textId="1C643010" w:rsidR="00FA5F09" w:rsidRPr="001C09DB" w:rsidRDefault="00460B12" w:rsidP="00EE2ECB">
      <w:pPr>
        <w:spacing w:before="120" w:after="120" w:line="264" w:lineRule="auto"/>
        <w:jc w:val="both"/>
        <w:rPr>
          <w:rFonts w:cstheme="minorHAnsi"/>
          <w:b/>
          <w:color w:val="000000" w:themeColor="text1"/>
          <w:sz w:val="24"/>
          <w:szCs w:val="24"/>
        </w:rPr>
      </w:pPr>
      <w:r>
        <w:rPr>
          <w:rFonts w:cstheme="minorHAnsi"/>
          <w:bCs/>
          <w:iCs/>
          <w:sz w:val="24"/>
          <w:szCs w:val="24"/>
        </w:rPr>
        <w:t xml:space="preserve">V rámci kontroly nápravných opatření ke KA č. 12/05 prověřil NKÚ soulad údajů katastru nemovitostí s majetkovou evidencí. </w:t>
      </w:r>
      <w:r w:rsidR="00FA5F09" w:rsidRPr="00FA5F09">
        <w:rPr>
          <w:rFonts w:cstheme="minorHAnsi"/>
          <w:sz w:val="24"/>
          <w:szCs w:val="24"/>
        </w:rPr>
        <w:t xml:space="preserve">LSL </w:t>
      </w:r>
      <w:r w:rsidR="00E80384">
        <w:rPr>
          <w:rFonts w:cstheme="minorHAnsi"/>
          <w:sz w:val="24"/>
          <w:szCs w:val="24"/>
        </w:rPr>
        <w:t>je příslušná hospodařit</w:t>
      </w:r>
      <w:r w:rsidR="00FA5F09" w:rsidRPr="00FA5F09">
        <w:rPr>
          <w:rFonts w:cstheme="minorHAnsi"/>
          <w:sz w:val="24"/>
          <w:szCs w:val="24"/>
        </w:rPr>
        <w:t xml:space="preserve"> s majetkem státu, tj. s</w:t>
      </w:r>
      <w:r w:rsidR="00C4117C">
        <w:rPr>
          <w:rFonts w:cstheme="minorHAnsi"/>
          <w:sz w:val="24"/>
          <w:szCs w:val="24"/>
        </w:rPr>
        <w:t> </w:t>
      </w:r>
      <w:r w:rsidR="00684AEB">
        <w:rPr>
          <w:rFonts w:cstheme="minorHAnsi"/>
          <w:sz w:val="24"/>
          <w:szCs w:val="24"/>
        </w:rPr>
        <w:t>nemovitostmi</w:t>
      </w:r>
      <w:r w:rsidR="00FA5F09" w:rsidRPr="00FA5F09">
        <w:rPr>
          <w:rFonts w:cstheme="minorHAnsi"/>
          <w:sz w:val="24"/>
          <w:szCs w:val="24"/>
        </w:rPr>
        <w:t xml:space="preserve"> nacházejícími se v různých katastrálních územích. NKÚ</w:t>
      </w:r>
      <w:r w:rsidR="00FA5F09" w:rsidRPr="00B20B23">
        <w:rPr>
          <w:rFonts w:cstheme="minorHAnsi"/>
          <w:sz w:val="24"/>
          <w:szCs w:val="24"/>
        </w:rPr>
        <w:t xml:space="preserve"> </w:t>
      </w:r>
      <w:r w:rsidR="00FA5F09" w:rsidRPr="00FA5F09">
        <w:rPr>
          <w:rFonts w:cstheme="minorHAnsi"/>
          <w:sz w:val="24"/>
          <w:szCs w:val="24"/>
        </w:rPr>
        <w:t>na náhodném vzorku vybraných parcelních čísel pozemků v</w:t>
      </w:r>
      <w:r w:rsidR="00522456">
        <w:rPr>
          <w:rFonts w:cstheme="minorHAnsi"/>
          <w:sz w:val="24"/>
          <w:szCs w:val="24"/>
        </w:rPr>
        <w:t> </w:t>
      </w:r>
      <w:r w:rsidR="00FA5F09" w:rsidRPr="00FA5F09">
        <w:rPr>
          <w:rFonts w:cstheme="minorHAnsi"/>
          <w:sz w:val="24"/>
          <w:szCs w:val="24"/>
        </w:rPr>
        <w:t>příslušných</w:t>
      </w:r>
      <w:r w:rsidR="00522456">
        <w:rPr>
          <w:rFonts w:cstheme="minorHAnsi"/>
          <w:sz w:val="24"/>
          <w:szCs w:val="24"/>
        </w:rPr>
        <w:t xml:space="preserve"> </w:t>
      </w:r>
      <w:r w:rsidR="00FA5F09" w:rsidRPr="00FA5F09">
        <w:rPr>
          <w:rFonts w:cstheme="minorHAnsi"/>
          <w:sz w:val="24"/>
          <w:szCs w:val="24"/>
        </w:rPr>
        <w:t>katastrálních územích prostřednictvím</w:t>
      </w:r>
      <w:r w:rsidR="00522456">
        <w:rPr>
          <w:rFonts w:cstheme="minorHAnsi"/>
          <w:sz w:val="24"/>
          <w:szCs w:val="24"/>
        </w:rPr>
        <w:t xml:space="preserve"> </w:t>
      </w:r>
      <w:r w:rsidR="00FA5F09" w:rsidRPr="00FA5F09">
        <w:rPr>
          <w:rFonts w:cstheme="minorHAnsi"/>
          <w:sz w:val="24"/>
          <w:szCs w:val="24"/>
        </w:rPr>
        <w:t>aplikace „</w:t>
      </w:r>
      <w:r w:rsidR="00FA5F09" w:rsidRPr="004C6985">
        <w:rPr>
          <w:rFonts w:cstheme="minorHAnsi"/>
          <w:i/>
          <w:sz w:val="24"/>
          <w:szCs w:val="24"/>
        </w:rPr>
        <w:t xml:space="preserve">Nahlížení do katastru </w:t>
      </w:r>
      <w:r w:rsidR="00FA5F09" w:rsidRPr="00684AEB">
        <w:rPr>
          <w:rFonts w:cstheme="minorHAnsi"/>
          <w:i/>
          <w:sz w:val="24"/>
          <w:szCs w:val="24"/>
        </w:rPr>
        <w:t>nemovitostí</w:t>
      </w:r>
      <w:r w:rsidR="00FA5F09" w:rsidRPr="00684AEB">
        <w:rPr>
          <w:rFonts w:cstheme="minorHAnsi"/>
          <w:sz w:val="24"/>
          <w:szCs w:val="24"/>
        </w:rPr>
        <w:t>“</w:t>
      </w:r>
      <w:r w:rsidR="00684AEB" w:rsidRPr="00684AEB">
        <w:rPr>
          <w:rStyle w:val="Znakapoznpodarou"/>
          <w:rFonts w:cstheme="minorHAnsi"/>
          <w:sz w:val="24"/>
          <w:szCs w:val="24"/>
        </w:rPr>
        <w:footnoteReference w:id="41"/>
      </w:r>
      <w:r w:rsidR="00FA5F09" w:rsidRPr="00684AEB">
        <w:rPr>
          <w:rFonts w:cstheme="minorHAnsi"/>
          <w:sz w:val="24"/>
          <w:szCs w:val="24"/>
        </w:rPr>
        <w:t>, ověřoval, zda jsou stavby na pozemcích v příslušnosti hospodaření LSL k datu</w:t>
      </w:r>
      <w:r w:rsidR="00FA5F09" w:rsidRPr="00FA5F09">
        <w:rPr>
          <w:rFonts w:cstheme="minorHAnsi"/>
          <w:sz w:val="24"/>
          <w:szCs w:val="24"/>
        </w:rPr>
        <w:t xml:space="preserve"> k 31. 12. 2021 součástí evidence majetku LSL</w:t>
      </w:r>
      <w:r w:rsidR="00522456">
        <w:rPr>
          <w:rFonts w:cstheme="minorHAnsi"/>
          <w:sz w:val="24"/>
          <w:szCs w:val="24"/>
        </w:rPr>
        <w:t>.</w:t>
      </w:r>
      <w:r w:rsidR="00E80384">
        <w:rPr>
          <w:rFonts w:cstheme="minorHAnsi"/>
          <w:sz w:val="24"/>
          <w:szCs w:val="24"/>
        </w:rPr>
        <w:t xml:space="preserve"> NKÚ u</w:t>
      </w:r>
      <w:r w:rsidR="00522456">
        <w:rPr>
          <w:rFonts w:cstheme="minorHAnsi"/>
          <w:sz w:val="24"/>
          <w:szCs w:val="24"/>
        </w:rPr>
        <w:t> </w:t>
      </w:r>
      <w:r w:rsidR="00FA5F09" w:rsidRPr="001C09DB">
        <w:rPr>
          <w:rFonts w:cstheme="minorHAnsi"/>
          <w:b/>
          <w:sz w:val="24"/>
          <w:szCs w:val="24"/>
        </w:rPr>
        <w:t>18</w:t>
      </w:r>
      <w:r w:rsidR="00522456">
        <w:rPr>
          <w:rFonts w:cstheme="minorHAnsi"/>
          <w:b/>
          <w:sz w:val="24"/>
          <w:szCs w:val="24"/>
        </w:rPr>
        <w:t> </w:t>
      </w:r>
      <w:r w:rsidR="00FA5F09" w:rsidRPr="001C09DB">
        <w:rPr>
          <w:rFonts w:cstheme="minorHAnsi"/>
          <w:b/>
          <w:sz w:val="24"/>
          <w:szCs w:val="24"/>
        </w:rPr>
        <w:t xml:space="preserve">položek </w:t>
      </w:r>
      <w:r w:rsidR="00E80384">
        <w:rPr>
          <w:rFonts w:cstheme="minorHAnsi"/>
          <w:b/>
          <w:sz w:val="24"/>
          <w:szCs w:val="24"/>
        </w:rPr>
        <w:t>z vybraného vzorku zjistil</w:t>
      </w:r>
      <w:r w:rsidR="00FA5F09" w:rsidRPr="001C09DB">
        <w:rPr>
          <w:rFonts w:cstheme="minorHAnsi"/>
          <w:b/>
          <w:sz w:val="24"/>
          <w:szCs w:val="24"/>
        </w:rPr>
        <w:t>, že některé stavby neměly přiděleny inventární číslo a</w:t>
      </w:r>
      <w:r w:rsidR="00522456">
        <w:rPr>
          <w:rFonts w:cstheme="minorHAnsi"/>
          <w:b/>
          <w:sz w:val="24"/>
          <w:szCs w:val="24"/>
        </w:rPr>
        <w:t> </w:t>
      </w:r>
      <w:r w:rsidR="00FA5F09" w:rsidRPr="001C09DB">
        <w:rPr>
          <w:rFonts w:cstheme="minorHAnsi"/>
          <w:b/>
          <w:sz w:val="24"/>
          <w:szCs w:val="24"/>
        </w:rPr>
        <w:t>nebyly vykázány v účetnictví LSL</w:t>
      </w:r>
      <w:r w:rsidR="005B338A" w:rsidRPr="001C09DB">
        <w:rPr>
          <w:rFonts w:cstheme="minorHAnsi"/>
          <w:b/>
          <w:color w:val="000000" w:themeColor="text1"/>
          <w:sz w:val="24"/>
          <w:szCs w:val="24"/>
        </w:rPr>
        <w:t>.</w:t>
      </w:r>
    </w:p>
    <w:p w14:paraId="3673EA22" w14:textId="4A94A310" w:rsidR="005B338A" w:rsidRDefault="00CF74D8" w:rsidP="00EE2ECB">
      <w:pPr>
        <w:spacing w:before="120" w:after="120" w:line="264" w:lineRule="auto"/>
        <w:jc w:val="both"/>
        <w:rPr>
          <w:rFonts w:cstheme="minorHAnsi"/>
          <w:sz w:val="24"/>
          <w:szCs w:val="24"/>
        </w:rPr>
      </w:pPr>
      <w:r w:rsidRPr="001C09DB">
        <w:rPr>
          <w:rFonts w:cstheme="minorHAnsi"/>
          <w:b/>
          <w:sz w:val="24"/>
          <w:szCs w:val="24"/>
        </w:rPr>
        <w:lastRenderedPageBreak/>
        <w:t>LSL postupovala</w:t>
      </w:r>
      <w:r w:rsidR="00977596" w:rsidRPr="001C09DB">
        <w:rPr>
          <w:rFonts w:cstheme="minorHAnsi"/>
          <w:b/>
          <w:sz w:val="24"/>
          <w:szCs w:val="24"/>
        </w:rPr>
        <w:t xml:space="preserve"> v šesti případech</w:t>
      </w:r>
      <w:r w:rsidRPr="001C09DB">
        <w:rPr>
          <w:rFonts w:cstheme="minorHAnsi"/>
          <w:b/>
          <w:sz w:val="24"/>
          <w:szCs w:val="24"/>
        </w:rPr>
        <w:t xml:space="preserve"> v rozporu </w:t>
      </w:r>
      <w:r w:rsidR="00703C42">
        <w:rPr>
          <w:rFonts w:cstheme="minorHAnsi"/>
          <w:b/>
          <w:sz w:val="24"/>
          <w:szCs w:val="24"/>
        </w:rPr>
        <w:t>se zákonem č. 256/2013 Sb.</w:t>
      </w:r>
      <w:r w:rsidR="005B338A">
        <w:rPr>
          <w:rStyle w:val="Znakapoznpodarou"/>
          <w:rFonts w:cstheme="minorHAnsi"/>
          <w:sz w:val="24"/>
          <w:szCs w:val="24"/>
        </w:rPr>
        <w:footnoteReference w:id="42"/>
      </w:r>
      <w:r w:rsidRPr="001C09DB">
        <w:rPr>
          <w:rFonts w:cstheme="minorHAnsi"/>
          <w:sz w:val="24"/>
          <w:szCs w:val="24"/>
        </w:rPr>
        <w:t xml:space="preserve">, </w:t>
      </w:r>
      <w:r w:rsidRPr="00770A72">
        <w:rPr>
          <w:rFonts w:cstheme="minorHAnsi"/>
          <w:sz w:val="24"/>
          <w:szCs w:val="24"/>
        </w:rPr>
        <w:t>když v zákonem stanovené lhůtě 30 dnů od vzniku změny údajů o pozemcích, které se evidují v katastru nemovitostí (změna druhu pozemků</w:t>
      </w:r>
      <w:r w:rsidR="00977596" w:rsidRPr="00770A72">
        <w:rPr>
          <w:rFonts w:cstheme="minorHAnsi"/>
          <w:sz w:val="24"/>
          <w:szCs w:val="24"/>
        </w:rPr>
        <w:t>)</w:t>
      </w:r>
      <w:r w:rsidR="006F511E">
        <w:rPr>
          <w:rFonts w:cstheme="minorHAnsi"/>
          <w:sz w:val="24"/>
          <w:szCs w:val="24"/>
        </w:rPr>
        <w:t>,</w:t>
      </w:r>
      <w:r w:rsidR="00977596" w:rsidRPr="00770A72">
        <w:rPr>
          <w:rFonts w:cstheme="minorHAnsi"/>
          <w:sz w:val="24"/>
          <w:szCs w:val="24"/>
        </w:rPr>
        <w:t xml:space="preserve"> tyto změny </w:t>
      </w:r>
      <w:r w:rsidRPr="00770A72">
        <w:rPr>
          <w:rFonts w:cstheme="minorHAnsi"/>
          <w:sz w:val="24"/>
          <w:szCs w:val="24"/>
        </w:rPr>
        <w:t>neohlásila příslušnému katastrálnímu úřadu.</w:t>
      </w:r>
      <w:r w:rsidR="001C09DB" w:rsidRPr="00770A72">
        <w:rPr>
          <w:rFonts w:cstheme="minorHAnsi"/>
          <w:sz w:val="24"/>
          <w:szCs w:val="24"/>
        </w:rPr>
        <w:t xml:space="preserve"> </w:t>
      </w:r>
    </w:p>
    <w:p w14:paraId="17E9DCD1" w14:textId="64DF7FCC" w:rsidR="00F72F17" w:rsidRDefault="005B338A" w:rsidP="00EE2ECB">
      <w:pPr>
        <w:pStyle w:val="Zkladntextodsazen2"/>
        <w:spacing w:before="120" w:line="264" w:lineRule="auto"/>
        <w:ind w:left="0"/>
        <w:jc w:val="both"/>
        <w:rPr>
          <w:rFonts w:asciiTheme="minorHAnsi" w:hAnsiTheme="minorHAnsi" w:cstheme="minorHAnsi"/>
          <w:b/>
          <w:bCs/>
        </w:rPr>
      </w:pPr>
      <w:r w:rsidRPr="009A0B4C">
        <w:rPr>
          <w:rFonts w:asciiTheme="minorHAnsi" w:hAnsiTheme="minorHAnsi" w:cstheme="minorHAnsi"/>
          <w:b/>
          <w:lang w:eastAsia="cs-CZ"/>
        </w:rPr>
        <w:t>LSL</w:t>
      </w:r>
      <w:r w:rsidRPr="009A0B4C">
        <w:rPr>
          <w:rFonts w:asciiTheme="minorHAnsi" w:hAnsiTheme="minorHAnsi" w:cstheme="minorHAnsi"/>
          <w:b/>
          <w:bCs/>
        </w:rPr>
        <w:t xml:space="preserve"> k 31.</w:t>
      </w:r>
      <w:r w:rsidR="008003F6">
        <w:rPr>
          <w:rFonts w:asciiTheme="minorHAnsi" w:hAnsiTheme="minorHAnsi" w:cstheme="minorHAnsi"/>
          <w:b/>
          <w:bCs/>
        </w:rPr>
        <w:t> </w:t>
      </w:r>
      <w:r w:rsidRPr="009A0B4C">
        <w:rPr>
          <w:rFonts w:asciiTheme="minorHAnsi" w:hAnsiTheme="minorHAnsi" w:cstheme="minorHAnsi"/>
          <w:b/>
          <w:bCs/>
        </w:rPr>
        <w:t>12.</w:t>
      </w:r>
      <w:r w:rsidR="008003F6">
        <w:rPr>
          <w:rFonts w:asciiTheme="minorHAnsi" w:hAnsiTheme="minorHAnsi" w:cstheme="minorHAnsi"/>
          <w:b/>
          <w:bCs/>
        </w:rPr>
        <w:t> </w:t>
      </w:r>
      <w:r w:rsidRPr="009A0B4C">
        <w:rPr>
          <w:rFonts w:asciiTheme="minorHAnsi" w:hAnsiTheme="minorHAnsi" w:cstheme="minorHAnsi"/>
          <w:b/>
          <w:bCs/>
        </w:rPr>
        <w:t xml:space="preserve">2021 neprovedla inventarizaci u veškerého majetku a závazků; </w:t>
      </w:r>
      <w:r w:rsidRPr="009A0B4C">
        <w:rPr>
          <w:rFonts w:asciiTheme="minorHAnsi" w:hAnsiTheme="minorHAnsi" w:cstheme="minorHAnsi"/>
          <w:bCs/>
        </w:rPr>
        <w:t>nezjistila skutečný stav u veškerého majetku a závazků a neověřila, zda zjištěný stav odpovídá stavu majetku v</w:t>
      </w:r>
      <w:r w:rsidR="0019651D">
        <w:rPr>
          <w:rFonts w:asciiTheme="minorHAnsi" w:hAnsiTheme="minorHAnsi" w:cstheme="minorHAnsi"/>
          <w:bCs/>
        </w:rPr>
        <w:t> </w:t>
      </w:r>
      <w:r w:rsidRPr="009A0B4C">
        <w:rPr>
          <w:rFonts w:asciiTheme="minorHAnsi" w:hAnsiTheme="minorHAnsi" w:cstheme="minorHAnsi"/>
          <w:bCs/>
        </w:rPr>
        <w:t>účetnictví</w:t>
      </w:r>
      <w:r w:rsidR="0019651D">
        <w:rPr>
          <w:rFonts w:asciiTheme="minorHAnsi" w:hAnsiTheme="minorHAnsi" w:cstheme="minorHAnsi"/>
          <w:bCs/>
        </w:rPr>
        <w:t>,</w:t>
      </w:r>
      <w:r w:rsidRPr="009A0B4C">
        <w:rPr>
          <w:rFonts w:asciiTheme="minorHAnsi" w:hAnsiTheme="minorHAnsi" w:cstheme="minorHAnsi"/>
          <w:bCs/>
        </w:rPr>
        <w:t xml:space="preserve"> a nevyhotovila</w:t>
      </w:r>
      <w:r w:rsidR="004C6985" w:rsidRPr="009A0B4C">
        <w:rPr>
          <w:rFonts w:asciiTheme="minorHAnsi" w:hAnsiTheme="minorHAnsi" w:cstheme="minorHAnsi"/>
          <w:bCs/>
        </w:rPr>
        <w:t xml:space="preserve"> ve všech případech</w:t>
      </w:r>
      <w:r w:rsidRPr="009A0B4C">
        <w:rPr>
          <w:rFonts w:asciiTheme="minorHAnsi" w:hAnsiTheme="minorHAnsi" w:cstheme="minorHAnsi"/>
          <w:bCs/>
        </w:rPr>
        <w:t xml:space="preserve"> průkazné inventurní soupisy dle zákona </w:t>
      </w:r>
      <w:r w:rsidR="00F01DB4">
        <w:rPr>
          <w:rFonts w:asciiTheme="minorHAnsi" w:hAnsiTheme="minorHAnsi" w:cstheme="minorHAnsi"/>
          <w:bCs/>
        </w:rPr>
        <w:t>o účetnictví</w:t>
      </w:r>
      <w:r w:rsidRPr="009A0B4C">
        <w:rPr>
          <w:rFonts w:asciiTheme="minorHAnsi" w:hAnsiTheme="minorHAnsi" w:cstheme="minorHAnsi"/>
          <w:bCs/>
        </w:rPr>
        <w:t xml:space="preserve">. </w:t>
      </w:r>
      <w:r w:rsidRPr="009A0B4C">
        <w:rPr>
          <w:rFonts w:asciiTheme="minorHAnsi" w:hAnsiTheme="minorHAnsi" w:cstheme="minorHAnsi"/>
        </w:rPr>
        <w:t>LSL v důsledku nesprávného účtování vykázala v účetní závěrce k 31.</w:t>
      </w:r>
      <w:r w:rsidR="004C6985" w:rsidRPr="009A0B4C">
        <w:rPr>
          <w:rFonts w:asciiTheme="minorHAnsi" w:hAnsiTheme="minorHAnsi" w:cstheme="minorHAnsi"/>
        </w:rPr>
        <w:t> </w:t>
      </w:r>
      <w:r w:rsidRPr="009A0B4C">
        <w:rPr>
          <w:rFonts w:asciiTheme="minorHAnsi" w:hAnsiTheme="minorHAnsi" w:cstheme="minorHAnsi"/>
        </w:rPr>
        <w:t>12.</w:t>
      </w:r>
      <w:r w:rsidR="00E81906">
        <w:rPr>
          <w:rFonts w:asciiTheme="minorHAnsi" w:hAnsiTheme="minorHAnsi" w:cstheme="minorHAnsi"/>
        </w:rPr>
        <w:t> </w:t>
      </w:r>
      <w:r w:rsidRPr="009A0B4C">
        <w:rPr>
          <w:rFonts w:asciiTheme="minorHAnsi" w:hAnsiTheme="minorHAnsi" w:cstheme="minorHAnsi"/>
        </w:rPr>
        <w:t>2021</w:t>
      </w:r>
      <w:r w:rsidR="004C6985" w:rsidRPr="009A0B4C">
        <w:rPr>
          <w:rFonts w:asciiTheme="minorHAnsi" w:hAnsiTheme="minorHAnsi" w:cstheme="minorHAnsi"/>
        </w:rPr>
        <w:t xml:space="preserve"> v některých případech</w:t>
      </w:r>
      <w:r w:rsidRPr="009A0B4C">
        <w:rPr>
          <w:rFonts w:asciiTheme="minorHAnsi" w:hAnsiTheme="minorHAnsi" w:cstheme="minorHAnsi"/>
        </w:rPr>
        <w:t xml:space="preserve"> zůstatky na nesprávných účtech</w:t>
      </w:r>
      <w:r w:rsidRPr="009A0B4C">
        <w:rPr>
          <w:rFonts w:asciiTheme="minorHAnsi" w:hAnsiTheme="minorHAnsi" w:cstheme="minorHAnsi"/>
          <w:b/>
        </w:rPr>
        <w:t xml:space="preserve">. </w:t>
      </w:r>
      <w:r w:rsidRPr="009A0B4C">
        <w:rPr>
          <w:rFonts w:asciiTheme="minorHAnsi" w:hAnsiTheme="minorHAnsi" w:cstheme="minorHAnsi"/>
          <w:b/>
          <w:bCs/>
          <w:iCs/>
        </w:rPr>
        <w:t>LSL neměla k 31.</w:t>
      </w:r>
      <w:r w:rsidR="004C6985" w:rsidRPr="009A0B4C">
        <w:rPr>
          <w:rFonts w:asciiTheme="minorHAnsi" w:hAnsiTheme="minorHAnsi" w:cstheme="minorHAnsi"/>
          <w:b/>
          <w:bCs/>
          <w:iCs/>
        </w:rPr>
        <w:t> </w:t>
      </w:r>
      <w:r w:rsidRPr="009A0B4C">
        <w:rPr>
          <w:rFonts w:asciiTheme="minorHAnsi" w:hAnsiTheme="minorHAnsi" w:cstheme="minorHAnsi"/>
          <w:b/>
          <w:bCs/>
          <w:iCs/>
        </w:rPr>
        <w:t>12.</w:t>
      </w:r>
      <w:r w:rsidR="004C6985" w:rsidRPr="009A0B4C">
        <w:rPr>
          <w:rFonts w:asciiTheme="minorHAnsi" w:hAnsiTheme="minorHAnsi" w:cstheme="minorHAnsi"/>
          <w:b/>
          <w:bCs/>
          <w:iCs/>
        </w:rPr>
        <w:t> </w:t>
      </w:r>
      <w:r w:rsidRPr="009A0B4C">
        <w:rPr>
          <w:rFonts w:asciiTheme="minorHAnsi" w:hAnsiTheme="minorHAnsi" w:cstheme="minorHAnsi"/>
          <w:b/>
          <w:bCs/>
          <w:iCs/>
        </w:rPr>
        <w:t xml:space="preserve">2021 v majetku a na inventurních soupisech všechny pozemky, ke kterým měla </w:t>
      </w:r>
      <w:r w:rsidR="00F656B8">
        <w:rPr>
          <w:rFonts w:asciiTheme="minorHAnsi" w:hAnsiTheme="minorHAnsi" w:cstheme="minorHAnsi"/>
          <w:b/>
          <w:bCs/>
          <w:iCs/>
        </w:rPr>
        <w:t>příslušnost</w:t>
      </w:r>
      <w:r w:rsidRPr="009A0B4C">
        <w:rPr>
          <w:rFonts w:asciiTheme="minorHAnsi" w:hAnsiTheme="minorHAnsi" w:cstheme="minorHAnsi"/>
          <w:b/>
          <w:bCs/>
          <w:iCs/>
        </w:rPr>
        <w:t xml:space="preserve"> hospodaření</w:t>
      </w:r>
      <w:r w:rsidRPr="009A0B4C">
        <w:rPr>
          <w:rFonts w:asciiTheme="minorHAnsi" w:hAnsiTheme="minorHAnsi" w:cstheme="minorHAnsi"/>
          <w:b/>
        </w:rPr>
        <w:t xml:space="preserve">. </w:t>
      </w:r>
      <w:r w:rsidRPr="009A0B4C">
        <w:rPr>
          <w:rFonts w:asciiTheme="minorHAnsi" w:hAnsiTheme="minorHAnsi" w:cstheme="minorHAnsi"/>
        </w:rPr>
        <w:t>LSL neohlásila příslušnému katastrálnímu úřadu změny stanovené právními předpisy.</w:t>
      </w:r>
      <w:r w:rsidRPr="009A0B4C">
        <w:rPr>
          <w:rFonts w:cstheme="minorHAnsi"/>
          <w:b/>
          <w:bCs/>
          <w:i/>
        </w:rPr>
        <w:t xml:space="preserve"> </w:t>
      </w:r>
      <w:r w:rsidRPr="009A0B4C">
        <w:rPr>
          <w:rFonts w:asciiTheme="minorHAnsi" w:hAnsiTheme="minorHAnsi" w:cstheme="minorHAnsi"/>
          <w:b/>
          <w:bCs/>
        </w:rPr>
        <w:t>LSL neúčtovala o</w:t>
      </w:r>
      <w:r w:rsidR="00254EDE" w:rsidRPr="009A0B4C">
        <w:rPr>
          <w:rFonts w:asciiTheme="minorHAnsi" w:hAnsiTheme="minorHAnsi" w:cstheme="minorHAnsi"/>
          <w:b/>
          <w:bCs/>
        </w:rPr>
        <w:t> </w:t>
      </w:r>
      <w:r w:rsidR="004C6985" w:rsidRPr="009A0B4C">
        <w:rPr>
          <w:rFonts w:asciiTheme="minorHAnsi" w:hAnsiTheme="minorHAnsi" w:cstheme="minorHAnsi"/>
          <w:b/>
          <w:bCs/>
        </w:rPr>
        <w:t xml:space="preserve">všech </w:t>
      </w:r>
      <w:r w:rsidR="00254EDE" w:rsidRPr="009A0B4C">
        <w:rPr>
          <w:rFonts w:asciiTheme="minorHAnsi" w:hAnsiTheme="minorHAnsi" w:cstheme="minorHAnsi"/>
          <w:b/>
          <w:bCs/>
        </w:rPr>
        <w:t>stavbách</w:t>
      </w:r>
      <w:r w:rsidRPr="009A0B4C">
        <w:rPr>
          <w:rFonts w:asciiTheme="minorHAnsi" w:hAnsiTheme="minorHAnsi" w:cstheme="minorHAnsi"/>
          <w:b/>
          <w:bCs/>
        </w:rPr>
        <w:t xml:space="preserve"> na pozemcích </w:t>
      </w:r>
      <w:r w:rsidR="00E80384">
        <w:rPr>
          <w:rFonts w:asciiTheme="minorHAnsi" w:hAnsiTheme="minorHAnsi" w:cstheme="minorHAnsi"/>
          <w:b/>
          <w:bCs/>
        </w:rPr>
        <w:t>s příslušností hospodařit</w:t>
      </w:r>
      <w:r w:rsidRPr="009A0B4C">
        <w:rPr>
          <w:rFonts w:asciiTheme="minorHAnsi" w:hAnsiTheme="minorHAnsi" w:cstheme="minorHAnsi"/>
          <w:b/>
          <w:bCs/>
        </w:rPr>
        <w:t>.</w:t>
      </w:r>
    </w:p>
    <w:p w14:paraId="01C8F5D4" w14:textId="77777777" w:rsidR="003D50A2" w:rsidRPr="006C71A8" w:rsidRDefault="00EE2ECB" w:rsidP="00EE2ECB">
      <w:pPr>
        <w:pStyle w:val="Nadpis1"/>
        <w:numPr>
          <w:ilvl w:val="0"/>
          <w:numId w:val="0"/>
        </w:numPr>
        <w:spacing w:before="240"/>
        <w:jc w:val="left"/>
      </w:pPr>
      <w:r>
        <w:t xml:space="preserve">6. </w:t>
      </w:r>
      <w:r w:rsidR="0056371F" w:rsidRPr="006C71A8">
        <w:t>Vnitřní kontrolní systém</w:t>
      </w:r>
    </w:p>
    <w:p w14:paraId="158B6676" w14:textId="61674E54" w:rsidR="004C6985" w:rsidRDefault="007C31FF" w:rsidP="00EE2ECB">
      <w:pPr>
        <w:spacing w:before="120" w:after="120" w:line="264" w:lineRule="auto"/>
        <w:jc w:val="both"/>
        <w:rPr>
          <w:rFonts w:cstheme="majorBidi"/>
          <w:sz w:val="24"/>
        </w:rPr>
      </w:pPr>
      <w:r>
        <w:rPr>
          <w:rFonts w:cs="Arial"/>
          <w:sz w:val="24"/>
          <w:szCs w:val="24"/>
        </w:rPr>
        <w:t xml:space="preserve">NKÚ ověřil, zda LSL měla v kontrolovaném období </w:t>
      </w:r>
      <w:r w:rsidRPr="009A6F37">
        <w:rPr>
          <w:rFonts w:cs="Arial"/>
          <w:sz w:val="24"/>
          <w:szCs w:val="24"/>
        </w:rPr>
        <w:t>zaveden vnitřní kontrolní systém v </w:t>
      </w:r>
      <w:r w:rsidRPr="009A6F37">
        <w:rPr>
          <w:rFonts w:cs="Arial"/>
          <w:bCs/>
          <w:iCs/>
          <w:sz w:val="24"/>
          <w:szCs w:val="24"/>
        </w:rPr>
        <w:t>souladu s právními předpisy</w:t>
      </w:r>
      <w:r>
        <w:rPr>
          <w:rFonts w:cs="Arial"/>
          <w:bCs/>
          <w:iCs/>
          <w:sz w:val="24"/>
          <w:szCs w:val="24"/>
        </w:rPr>
        <w:t>. Dále NKÚ ověřil,</w:t>
      </w:r>
      <w:r w:rsidR="0019651D">
        <w:rPr>
          <w:rFonts w:cs="Arial"/>
          <w:bCs/>
          <w:iCs/>
          <w:sz w:val="24"/>
          <w:szCs w:val="24"/>
        </w:rPr>
        <w:t xml:space="preserve"> </w:t>
      </w:r>
      <w:r>
        <w:rPr>
          <w:rFonts w:cs="Arial"/>
          <w:bCs/>
          <w:iCs/>
          <w:sz w:val="24"/>
          <w:szCs w:val="24"/>
        </w:rPr>
        <w:t xml:space="preserve">zda LSL měla v letech </w:t>
      </w:r>
      <w:r>
        <w:rPr>
          <w:rFonts w:cs="Arial"/>
          <w:sz w:val="24"/>
          <w:szCs w:val="24"/>
        </w:rPr>
        <w:t>2019</w:t>
      </w:r>
      <w:r w:rsidR="0019651D">
        <w:rPr>
          <w:rFonts w:cs="Arial"/>
          <w:sz w:val="24"/>
          <w:szCs w:val="24"/>
        </w:rPr>
        <w:t>–</w:t>
      </w:r>
      <w:r>
        <w:rPr>
          <w:rFonts w:cs="Arial"/>
          <w:sz w:val="24"/>
          <w:szCs w:val="24"/>
        </w:rPr>
        <w:t xml:space="preserve">2021 </w:t>
      </w:r>
      <w:r>
        <w:rPr>
          <w:rFonts w:cs="Arial"/>
          <w:bCs/>
          <w:iCs/>
          <w:sz w:val="24"/>
          <w:szCs w:val="24"/>
        </w:rPr>
        <w:t>přijaty vnitřní předpisy upravující kontrolní mechani</w:t>
      </w:r>
      <w:r w:rsidR="00770A72">
        <w:rPr>
          <w:rFonts w:cs="Arial"/>
          <w:bCs/>
          <w:iCs/>
          <w:sz w:val="24"/>
          <w:szCs w:val="24"/>
        </w:rPr>
        <w:t>s</w:t>
      </w:r>
      <w:r>
        <w:rPr>
          <w:rFonts w:cs="Arial"/>
          <w:bCs/>
          <w:iCs/>
          <w:sz w:val="24"/>
          <w:szCs w:val="24"/>
        </w:rPr>
        <w:t>my a vymezující povinnosti, pravomoci a odpovědnosti na příslušných stupních řízení.</w:t>
      </w:r>
    </w:p>
    <w:p w14:paraId="1FE6894C" w14:textId="77777777" w:rsidR="004C6985" w:rsidRPr="007E3356" w:rsidRDefault="004C6985" w:rsidP="00EE2ECB">
      <w:pPr>
        <w:autoSpaceDE w:val="0"/>
        <w:autoSpaceDN w:val="0"/>
        <w:adjustRightInd w:val="0"/>
        <w:spacing w:before="120" w:after="120" w:line="264" w:lineRule="auto"/>
        <w:jc w:val="both"/>
        <w:rPr>
          <w:rFonts w:cstheme="minorHAnsi"/>
          <w:b/>
          <w:sz w:val="24"/>
          <w:lang w:eastAsia="cs-CZ"/>
        </w:rPr>
      </w:pPr>
      <w:r w:rsidRPr="007E3356">
        <w:rPr>
          <w:rFonts w:eastAsia="Calibri" w:cs="Calibri"/>
          <w:sz w:val="24"/>
        </w:rPr>
        <w:t xml:space="preserve">V souvislosti s kontrolou </w:t>
      </w:r>
      <w:r w:rsidR="00E80384">
        <w:rPr>
          <w:rFonts w:eastAsia="Calibri" w:cs="Calibri"/>
          <w:sz w:val="24"/>
        </w:rPr>
        <w:t>vybraných</w:t>
      </w:r>
      <w:r w:rsidRPr="007E3356">
        <w:rPr>
          <w:rFonts w:eastAsia="Calibri" w:cs="Calibri"/>
          <w:sz w:val="24"/>
        </w:rPr>
        <w:t xml:space="preserve"> smluv NKÚ </w:t>
      </w:r>
      <w:r>
        <w:rPr>
          <w:rFonts w:eastAsia="Calibri" w:cs="Calibri"/>
          <w:sz w:val="24"/>
        </w:rPr>
        <w:t xml:space="preserve">dále </w:t>
      </w:r>
      <w:r w:rsidRPr="007E3356">
        <w:rPr>
          <w:rFonts w:eastAsia="Calibri" w:cs="Calibri"/>
          <w:sz w:val="24"/>
        </w:rPr>
        <w:t xml:space="preserve">zjistil, že </w:t>
      </w:r>
      <w:r w:rsidRPr="001C09DB">
        <w:rPr>
          <w:rFonts w:eastAsia="Calibri" w:cs="Calibri"/>
          <w:b/>
          <w:sz w:val="24"/>
        </w:rPr>
        <w:t xml:space="preserve">LSL </w:t>
      </w:r>
      <w:r w:rsidRPr="001C09DB">
        <w:rPr>
          <w:rFonts w:cstheme="minorHAnsi"/>
          <w:b/>
          <w:sz w:val="24"/>
          <w:lang w:eastAsia="cs-CZ"/>
        </w:rPr>
        <w:t>neprovedla v souladu s požadavky danými právním</w:t>
      </w:r>
      <w:r w:rsidR="007C31FF">
        <w:rPr>
          <w:rFonts w:cstheme="minorHAnsi"/>
          <w:b/>
          <w:sz w:val="24"/>
          <w:lang w:eastAsia="cs-CZ"/>
        </w:rPr>
        <w:t>i</w:t>
      </w:r>
      <w:r w:rsidRPr="001C09DB">
        <w:rPr>
          <w:rFonts w:cstheme="minorHAnsi"/>
          <w:b/>
          <w:sz w:val="24"/>
          <w:lang w:eastAsia="cs-CZ"/>
        </w:rPr>
        <w:t xml:space="preserve"> předpis</w:t>
      </w:r>
      <w:r w:rsidR="007C31FF">
        <w:rPr>
          <w:rFonts w:cstheme="minorHAnsi"/>
          <w:b/>
          <w:sz w:val="24"/>
          <w:lang w:eastAsia="cs-CZ"/>
        </w:rPr>
        <w:t>y</w:t>
      </w:r>
      <w:r w:rsidRPr="00703C42">
        <w:rPr>
          <w:rStyle w:val="Znakapoznpodarou"/>
          <w:rFonts w:cstheme="minorHAnsi"/>
          <w:sz w:val="24"/>
          <w:lang w:eastAsia="cs-CZ"/>
        </w:rPr>
        <w:footnoteReference w:id="43"/>
      </w:r>
      <w:r w:rsidRPr="00703C42">
        <w:rPr>
          <w:rFonts w:cstheme="minorHAnsi"/>
          <w:sz w:val="24"/>
          <w:lang w:eastAsia="cs-CZ"/>
        </w:rPr>
        <w:t xml:space="preserve"> </w:t>
      </w:r>
      <w:r w:rsidRPr="001C09DB">
        <w:rPr>
          <w:rFonts w:cstheme="minorHAnsi"/>
          <w:b/>
          <w:sz w:val="24"/>
          <w:lang w:eastAsia="cs-CZ"/>
        </w:rPr>
        <w:t>předběžnou říd</w:t>
      </w:r>
      <w:r w:rsidR="00697107">
        <w:rPr>
          <w:rFonts w:cstheme="minorHAnsi"/>
          <w:b/>
          <w:sz w:val="24"/>
          <w:lang w:eastAsia="cs-CZ"/>
        </w:rPr>
        <w:t>i</w:t>
      </w:r>
      <w:r w:rsidRPr="001C09DB">
        <w:rPr>
          <w:rFonts w:cstheme="minorHAnsi"/>
          <w:b/>
          <w:sz w:val="24"/>
          <w:lang w:eastAsia="cs-CZ"/>
        </w:rPr>
        <w:t>cí kontrolu před vznikem nároku ani po vzniku nároku</w:t>
      </w:r>
      <w:r w:rsidR="007C31FF">
        <w:rPr>
          <w:rFonts w:cstheme="minorHAnsi"/>
          <w:b/>
          <w:sz w:val="24"/>
          <w:lang w:eastAsia="cs-CZ"/>
        </w:rPr>
        <w:t>.</w:t>
      </w:r>
      <w:r w:rsidRPr="00F62DBF">
        <w:rPr>
          <w:rFonts w:cstheme="minorHAnsi"/>
          <w:sz w:val="24"/>
          <w:lang w:eastAsia="cs-CZ"/>
        </w:rPr>
        <w:t xml:space="preserve"> </w:t>
      </w:r>
    </w:p>
    <w:p w14:paraId="6A2DFD93" w14:textId="5334C5C1" w:rsidR="00596E64" w:rsidRPr="008003F6" w:rsidRDefault="0056371F" w:rsidP="00EE2ECB">
      <w:pPr>
        <w:tabs>
          <w:tab w:val="left" w:pos="1680"/>
        </w:tabs>
        <w:spacing w:before="120" w:after="120" w:line="264" w:lineRule="auto"/>
        <w:jc w:val="both"/>
        <w:rPr>
          <w:rFonts w:cstheme="minorHAnsi"/>
          <w:color w:val="000000" w:themeColor="text1"/>
          <w:sz w:val="24"/>
          <w:szCs w:val="24"/>
        </w:rPr>
      </w:pPr>
      <w:r w:rsidRPr="0056371F">
        <w:rPr>
          <w:rFonts w:cstheme="minorHAnsi"/>
          <w:b/>
          <w:sz w:val="24"/>
          <w:lang w:eastAsia="cs-CZ"/>
        </w:rPr>
        <w:t>Vnitřní kontrolní systém LSL nelze vzhledem k</w:t>
      </w:r>
      <w:r w:rsidR="00254EDE">
        <w:rPr>
          <w:rFonts w:cstheme="minorHAnsi"/>
          <w:b/>
          <w:sz w:val="24"/>
          <w:lang w:eastAsia="cs-CZ"/>
        </w:rPr>
        <w:t> </w:t>
      </w:r>
      <w:r w:rsidRPr="0056371F">
        <w:rPr>
          <w:rFonts w:cstheme="minorHAnsi"/>
          <w:b/>
          <w:sz w:val="24"/>
          <w:lang w:eastAsia="cs-CZ"/>
        </w:rPr>
        <w:t>zjištěným</w:t>
      </w:r>
      <w:r w:rsidR="00927801">
        <w:rPr>
          <w:rFonts w:cstheme="minorHAnsi"/>
          <w:b/>
          <w:sz w:val="24"/>
          <w:lang w:eastAsia="cs-CZ"/>
        </w:rPr>
        <w:t xml:space="preserve"> </w:t>
      </w:r>
      <w:r w:rsidRPr="0056371F">
        <w:rPr>
          <w:rFonts w:cstheme="minorHAnsi"/>
          <w:b/>
          <w:sz w:val="24"/>
          <w:lang w:eastAsia="cs-CZ"/>
        </w:rPr>
        <w:t xml:space="preserve">nedostatkům </w:t>
      </w:r>
      <w:r w:rsidR="00254EDE">
        <w:rPr>
          <w:rFonts w:cstheme="minorHAnsi"/>
          <w:b/>
          <w:sz w:val="24"/>
          <w:lang w:eastAsia="cs-CZ"/>
        </w:rPr>
        <w:t xml:space="preserve">uvedeným v části C. </w:t>
      </w:r>
      <w:r w:rsidRPr="0056371F">
        <w:rPr>
          <w:rFonts w:cstheme="minorHAnsi"/>
          <w:b/>
          <w:sz w:val="24"/>
          <w:lang w:eastAsia="cs-CZ"/>
        </w:rPr>
        <w:t>považovat za fu</w:t>
      </w:r>
      <w:r w:rsidRPr="008003F6">
        <w:rPr>
          <w:rFonts w:cstheme="minorHAnsi"/>
          <w:b/>
          <w:color w:val="000000" w:themeColor="text1"/>
          <w:sz w:val="24"/>
          <w:lang w:eastAsia="cs-CZ"/>
        </w:rPr>
        <w:t>nkční</w:t>
      </w:r>
      <w:r w:rsidR="00C32A35" w:rsidRPr="008003F6">
        <w:rPr>
          <w:rFonts w:cstheme="minorHAnsi"/>
          <w:b/>
          <w:color w:val="000000" w:themeColor="text1"/>
          <w:sz w:val="24"/>
          <w:lang w:eastAsia="cs-CZ"/>
        </w:rPr>
        <w:t>.</w:t>
      </w:r>
      <w:r w:rsidRPr="008003F6">
        <w:rPr>
          <w:rFonts w:cstheme="minorHAnsi"/>
          <w:b/>
          <w:color w:val="000000" w:themeColor="text1"/>
          <w:sz w:val="24"/>
          <w:lang w:eastAsia="cs-CZ"/>
        </w:rPr>
        <w:t xml:space="preserve"> </w:t>
      </w:r>
    </w:p>
    <w:p w14:paraId="0165EFDC" w14:textId="2A9363C4" w:rsidR="004C1775" w:rsidRPr="00927801" w:rsidRDefault="00FA3A52" w:rsidP="00676AB0">
      <w:pPr>
        <w:keepNext/>
        <w:spacing w:before="600" w:after="120" w:line="240" w:lineRule="auto"/>
        <w:jc w:val="both"/>
        <w:rPr>
          <w:rFonts w:cstheme="minorHAnsi"/>
          <w:b/>
          <w:sz w:val="24"/>
          <w:lang w:eastAsia="cs-CZ"/>
        </w:rPr>
      </w:pPr>
      <w:r w:rsidRPr="00927801">
        <w:rPr>
          <w:rFonts w:cstheme="minorHAnsi"/>
          <w:b/>
          <w:sz w:val="24"/>
          <w:lang w:eastAsia="cs-CZ"/>
        </w:rPr>
        <w:lastRenderedPageBreak/>
        <w:t>Seznam zkratek</w:t>
      </w:r>
    </w:p>
    <w:tbl>
      <w:tblPr>
        <w:tblStyle w:val="Mkatabulky"/>
        <w:tblW w:w="907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6379"/>
      </w:tblGrid>
      <w:tr w:rsidR="005E5207" w:rsidRPr="00067226" w14:paraId="47135056" w14:textId="77777777" w:rsidTr="00CD2B00">
        <w:tc>
          <w:tcPr>
            <w:tcW w:w="2694" w:type="dxa"/>
          </w:tcPr>
          <w:p w14:paraId="6147E331" w14:textId="07F3364F" w:rsidR="005E5207" w:rsidRPr="00067226" w:rsidRDefault="005E5207" w:rsidP="000D1A4B">
            <w:pPr>
              <w:keepNext/>
              <w:spacing w:before="60" w:after="60"/>
              <w:rPr>
                <w:rFonts w:ascii="Calibri" w:eastAsia="Times New Roman" w:hAnsi="Calibri" w:cs="Calibri"/>
                <w:color w:val="000000"/>
                <w:sz w:val="24"/>
                <w:szCs w:val="24"/>
                <w:lang w:eastAsia="cs-CZ"/>
              </w:rPr>
            </w:pPr>
            <w:r>
              <w:rPr>
                <w:rFonts w:ascii="Calibri" w:eastAsia="Times New Roman" w:hAnsi="Calibri" w:cs="Calibri"/>
                <w:color w:val="000000"/>
                <w:sz w:val="24"/>
                <w:szCs w:val="24"/>
                <w:lang w:eastAsia="cs-CZ"/>
              </w:rPr>
              <w:t>KA</w:t>
            </w:r>
          </w:p>
        </w:tc>
        <w:tc>
          <w:tcPr>
            <w:tcW w:w="6379" w:type="dxa"/>
          </w:tcPr>
          <w:p w14:paraId="1DE3CBEF" w14:textId="3710D0EC" w:rsidR="005E5207" w:rsidRPr="00067226" w:rsidRDefault="005E5207" w:rsidP="000D1A4B">
            <w:pPr>
              <w:keepNext/>
              <w:spacing w:before="60" w:after="60"/>
              <w:rPr>
                <w:rFonts w:ascii="Calibri" w:eastAsia="Times New Roman" w:hAnsi="Calibri" w:cs="Calibri"/>
                <w:color w:val="000000"/>
                <w:sz w:val="24"/>
                <w:szCs w:val="24"/>
                <w:lang w:eastAsia="cs-CZ"/>
              </w:rPr>
            </w:pPr>
            <w:r>
              <w:rPr>
                <w:rFonts w:ascii="Calibri" w:eastAsia="Times New Roman" w:hAnsi="Calibri" w:cs="Calibri"/>
                <w:color w:val="000000"/>
                <w:sz w:val="24"/>
                <w:szCs w:val="24"/>
                <w:lang w:eastAsia="cs-CZ"/>
              </w:rPr>
              <w:t>kontrolní akce NKÚ</w:t>
            </w:r>
          </w:p>
        </w:tc>
      </w:tr>
      <w:tr w:rsidR="00067226" w:rsidRPr="00067226" w14:paraId="73E9F010" w14:textId="77777777" w:rsidTr="00CD2B00">
        <w:tc>
          <w:tcPr>
            <w:tcW w:w="2694" w:type="dxa"/>
          </w:tcPr>
          <w:p w14:paraId="3EAF7D46" w14:textId="77777777" w:rsidR="00067226" w:rsidRPr="00067226" w:rsidRDefault="00067226" w:rsidP="000D1A4B">
            <w:pPr>
              <w:keepNext/>
              <w:spacing w:before="60" w:after="60"/>
              <w:rPr>
                <w:rFonts w:ascii="Calibri" w:eastAsia="Times New Roman" w:hAnsi="Calibri" w:cs="Calibri"/>
                <w:color w:val="000000"/>
                <w:sz w:val="24"/>
                <w:szCs w:val="24"/>
                <w:lang w:eastAsia="cs-CZ"/>
              </w:rPr>
            </w:pPr>
            <w:r w:rsidRPr="00067226">
              <w:rPr>
                <w:rFonts w:ascii="Calibri" w:eastAsia="Times New Roman" w:hAnsi="Calibri" w:cs="Calibri"/>
                <w:color w:val="000000"/>
                <w:sz w:val="24"/>
                <w:szCs w:val="24"/>
                <w:lang w:eastAsia="cs-CZ"/>
              </w:rPr>
              <w:t>KPR</w:t>
            </w:r>
          </w:p>
        </w:tc>
        <w:tc>
          <w:tcPr>
            <w:tcW w:w="6379" w:type="dxa"/>
          </w:tcPr>
          <w:p w14:paraId="6D65C2AA" w14:textId="77777777" w:rsidR="00067226" w:rsidRPr="00067226" w:rsidRDefault="00067226" w:rsidP="000D1A4B">
            <w:pPr>
              <w:keepNext/>
              <w:spacing w:before="60" w:after="60"/>
              <w:rPr>
                <w:rFonts w:ascii="Calibri" w:eastAsia="Times New Roman" w:hAnsi="Calibri" w:cs="Calibri"/>
                <w:color w:val="000000"/>
                <w:sz w:val="24"/>
                <w:szCs w:val="24"/>
                <w:lang w:eastAsia="cs-CZ"/>
              </w:rPr>
            </w:pPr>
            <w:r w:rsidRPr="00067226">
              <w:rPr>
                <w:rFonts w:ascii="Calibri" w:eastAsia="Times New Roman" w:hAnsi="Calibri" w:cs="Calibri"/>
                <w:color w:val="000000"/>
                <w:sz w:val="24"/>
                <w:szCs w:val="24"/>
                <w:lang w:eastAsia="cs-CZ"/>
              </w:rPr>
              <w:t>Kancelář prezidenta republiky</w:t>
            </w:r>
          </w:p>
        </w:tc>
      </w:tr>
      <w:tr w:rsidR="00067226" w:rsidRPr="00067226" w14:paraId="3EE22EB3" w14:textId="77777777" w:rsidTr="00CD2B00">
        <w:tc>
          <w:tcPr>
            <w:tcW w:w="2694" w:type="dxa"/>
          </w:tcPr>
          <w:p w14:paraId="70AB7CD6" w14:textId="77777777" w:rsidR="00067226" w:rsidRPr="00067226" w:rsidRDefault="00067226" w:rsidP="000D1A4B">
            <w:pPr>
              <w:keepNext/>
              <w:spacing w:before="60" w:after="60"/>
              <w:rPr>
                <w:rFonts w:ascii="Calibri" w:eastAsia="Times New Roman" w:hAnsi="Calibri" w:cs="Calibri"/>
                <w:color w:val="000000"/>
                <w:sz w:val="24"/>
                <w:szCs w:val="24"/>
                <w:lang w:eastAsia="cs-CZ"/>
              </w:rPr>
            </w:pPr>
            <w:r w:rsidRPr="00067226">
              <w:rPr>
                <w:rFonts w:ascii="Calibri" w:eastAsia="Times New Roman" w:hAnsi="Calibri" w:cs="Calibri"/>
                <w:color w:val="000000"/>
                <w:sz w:val="24"/>
                <w:szCs w:val="24"/>
                <w:lang w:eastAsia="cs-CZ"/>
              </w:rPr>
              <w:t>LSL</w:t>
            </w:r>
          </w:p>
        </w:tc>
        <w:tc>
          <w:tcPr>
            <w:tcW w:w="6379" w:type="dxa"/>
          </w:tcPr>
          <w:p w14:paraId="7DE114A6" w14:textId="77777777" w:rsidR="00067226" w:rsidRPr="00067226" w:rsidRDefault="00067226" w:rsidP="000D1A4B">
            <w:pPr>
              <w:keepNext/>
              <w:spacing w:before="60" w:after="60"/>
              <w:rPr>
                <w:rFonts w:ascii="Calibri" w:eastAsia="Times New Roman" w:hAnsi="Calibri" w:cs="Calibri"/>
                <w:color w:val="000000"/>
                <w:sz w:val="24"/>
                <w:szCs w:val="24"/>
                <w:lang w:eastAsia="cs-CZ"/>
              </w:rPr>
            </w:pPr>
            <w:r w:rsidRPr="00067226">
              <w:rPr>
                <w:rFonts w:ascii="Calibri" w:eastAsia="Times New Roman" w:hAnsi="Calibri" w:cs="Calibri"/>
                <w:color w:val="000000"/>
                <w:sz w:val="24"/>
                <w:szCs w:val="24"/>
                <w:lang w:eastAsia="cs-CZ"/>
              </w:rPr>
              <w:t>Lesní správa Lány, příspěvková organizace Kanceláře prezidenta republiky</w:t>
            </w:r>
          </w:p>
        </w:tc>
      </w:tr>
      <w:tr w:rsidR="00067226" w:rsidRPr="00067226" w14:paraId="1B14879C" w14:textId="77777777" w:rsidTr="00CD2B00">
        <w:tc>
          <w:tcPr>
            <w:tcW w:w="2694" w:type="dxa"/>
          </w:tcPr>
          <w:p w14:paraId="06264F64" w14:textId="77777777" w:rsidR="00067226" w:rsidRPr="00067226" w:rsidRDefault="00067226" w:rsidP="000D1A4B">
            <w:pPr>
              <w:keepNext/>
              <w:spacing w:before="60" w:after="60"/>
              <w:rPr>
                <w:rFonts w:ascii="Calibri" w:eastAsia="Times New Roman" w:hAnsi="Calibri" w:cs="Calibri"/>
                <w:color w:val="000000"/>
                <w:sz w:val="24"/>
                <w:szCs w:val="24"/>
                <w:lang w:eastAsia="cs-CZ"/>
              </w:rPr>
            </w:pPr>
            <w:r w:rsidRPr="00067226">
              <w:rPr>
                <w:rFonts w:ascii="Calibri" w:eastAsia="Times New Roman" w:hAnsi="Calibri" w:cs="Calibri"/>
                <w:color w:val="000000"/>
                <w:sz w:val="24"/>
                <w:szCs w:val="24"/>
                <w:lang w:eastAsia="cs-CZ"/>
              </w:rPr>
              <w:t>NKÚ</w:t>
            </w:r>
          </w:p>
        </w:tc>
        <w:tc>
          <w:tcPr>
            <w:tcW w:w="6379" w:type="dxa"/>
          </w:tcPr>
          <w:p w14:paraId="06C051F3" w14:textId="77777777" w:rsidR="00067226" w:rsidRPr="00067226" w:rsidRDefault="00067226" w:rsidP="000D1A4B">
            <w:pPr>
              <w:keepNext/>
              <w:spacing w:before="60" w:after="60"/>
              <w:rPr>
                <w:rFonts w:ascii="Calibri" w:eastAsia="Times New Roman" w:hAnsi="Calibri" w:cs="Calibri"/>
                <w:color w:val="000000"/>
                <w:sz w:val="24"/>
                <w:szCs w:val="24"/>
                <w:lang w:eastAsia="cs-CZ"/>
              </w:rPr>
            </w:pPr>
            <w:r w:rsidRPr="00067226">
              <w:rPr>
                <w:rFonts w:ascii="Calibri" w:eastAsia="Times New Roman" w:hAnsi="Calibri" w:cs="Calibri"/>
                <w:color w:val="000000"/>
                <w:sz w:val="24"/>
                <w:szCs w:val="24"/>
                <w:lang w:eastAsia="cs-CZ"/>
              </w:rPr>
              <w:t xml:space="preserve">Nejvyšší kontrolní úřad </w:t>
            </w:r>
          </w:p>
        </w:tc>
      </w:tr>
      <w:tr w:rsidR="00067226" w:rsidRPr="00067226" w14:paraId="488890EE" w14:textId="77777777" w:rsidTr="00CD2B00">
        <w:tc>
          <w:tcPr>
            <w:tcW w:w="2694" w:type="dxa"/>
          </w:tcPr>
          <w:p w14:paraId="7DA32537" w14:textId="77777777" w:rsidR="00067226" w:rsidRPr="00067226" w:rsidRDefault="00067226" w:rsidP="000D1A4B">
            <w:pPr>
              <w:keepNext/>
              <w:spacing w:before="60" w:after="60"/>
              <w:rPr>
                <w:rFonts w:ascii="Calibri" w:eastAsia="Times New Roman" w:hAnsi="Calibri" w:cs="Calibri"/>
                <w:color w:val="000000"/>
                <w:sz w:val="24"/>
                <w:szCs w:val="24"/>
                <w:lang w:eastAsia="cs-CZ"/>
              </w:rPr>
            </w:pPr>
            <w:r w:rsidRPr="00067226">
              <w:rPr>
                <w:rFonts w:ascii="Calibri" w:eastAsia="Times New Roman" w:hAnsi="Calibri" w:cs="Calibri"/>
                <w:color w:val="000000"/>
                <w:sz w:val="24"/>
                <w:szCs w:val="24"/>
                <w:lang w:eastAsia="cs-CZ"/>
              </w:rPr>
              <w:t>Program 001 01</w:t>
            </w:r>
          </w:p>
        </w:tc>
        <w:tc>
          <w:tcPr>
            <w:tcW w:w="6379" w:type="dxa"/>
          </w:tcPr>
          <w:p w14:paraId="76D79C00" w14:textId="2AD09C97" w:rsidR="00067226" w:rsidRPr="00067226" w:rsidRDefault="00067226" w:rsidP="000D1A4B">
            <w:pPr>
              <w:keepNext/>
              <w:spacing w:before="60" w:after="60"/>
              <w:rPr>
                <w:rFonts w:ascii="Calibri" w:eastAsia="Times New Roman" w:hAnsi="Calibri" w:cs="Calibri"/>
                <w:color w:val="000000"/>
                <w:sz w:val="24"/>
                <w:szCs w:val="24"/>
                <w:lang w:eastAsia="cs-CZ"/>
              </w:rPr>
            </w:pPr>
            <w:r w:rsidRPr="00067226">
              <w:rPr>
                <w:rFonts w:ascii="Calibri" w:hAnsi="Calibri" w:cs="Calibri"/>
                <w:sz w:val="24"/>
                <w:szCs w:val="24"/>
              </w:rPr>
              <w:t>Program 001 01 </w:t>
            </w:r>
            <w:r w:rsidR="005E5207">
              <w:rPr>
                <w:rFonts w:ascii="Calibri" w:hAnsi="Calibri" w:cs="Calibri"/>
                <w:sz w:val="24"/>
                <w:szCs w:val="24"/>
              </w:rPr>
              <w:t xml:space="preserve">– </w:t>
            </w:r>
            <w:r w:rsidRPr="00067226">
              <w:rPr>
                <w:rFonts w:ascii="Calibri" w:hAnsi="Calibri" w:cs="Calibri"/>
                <w:sz w:val="24"/>
                <w:szCs w:val="24"/>
              </w:rPr>
              <w:t>„</w:t>
            </w:r>
            <w:r w:rsidRPr="00067226">
              <w:rPr>
                <w:rFonts w:ascii="Calibri" w:hAnsi="Calibri" w:cs="Calibri"/>
                <w:i/>
                <w:sz w:val="24"/>
                <w:szCs w:val="24"/>
              </w:rPr>
              <w:t>Pořízení a reprodukce majetku Kanceláře prezidenta republiky – od roku 2020</w:t>
            </w:r>
            <w:r w:rsidRPr="00067226">
              <w:rPr>
                <w:rFonts w:ascii="Calibri" w:hAnsi="Calibri" w:cs="Calibri"/>
                <w:sz w:val="24"/>
                <w:szCs w:val="24"/>
              </w:rPr>
              <w:t>“</w:t>
            </w:r>
          </w:p>
        </w:tc>
      </w:tr>
      <w:tr w:rsidR="00067226" w:rsidRPr="00067226" w14:paraId="240198B4" w14:textId="77777777" w:rsidTr="00CD2B00">
        <w:tc>
          <w:tcPr>
            <w:tcW w:w="2694" w:type="dxa"/>
          </w:tcPr>
          <w:p w14:paraId="3A2CC7B6" w14:textId="77777777" w:rsidR="00067226" w:rsidRPr="00067226" w:rsidRDefault="00067226" w:rsidP="000D1A4B">
            <w:pPr>
              <w:keepNext/>
              <w:spacing w:before="60" w:after="60"/>
              <w:rPr>
                <w:rFonts w:ascii="Calibri" w:eastAsia="Times New Roman" w:hAnsi="Calibri" w:cs="Calibri"/>
                <w:color w:val="000000"/>
                <w:sz w:val="24"/>
                <w:szCs w:val="24"/>
                <w:lang w:eastAsia="cs-CZ"/>
              </w:rPr>
            </w:pPr>
            <w:r w:rsidRPr="00067226">
              <w:rPr>
                <w:rFonts w:ascii="Calibri" w:eastAsia="Times New Roman" w:hAnsi="Calibri" w:cs="Calibri"/>
                <w:color w:val="000000"/>
                <w:sz w:val="24"/>
                <w:szCs w:val="24"/>
                <w:lang w:eastAsia="cs-CZ"/>
              </w:rPr>
              <w:t>Program 101 01</w:t>
            </w:r>
          </w:p>
        </w:tc>
        <w:tc>
          <w:tcPr>
            <w:tcW w:w="6379" w:type="dxa"/>
          </w:tcPr>
          <w:p w14:paraId="62F6755F" w14:textId="52C5EFE9" w:rsidR="00067226" w:rsidRPr="00067226" w:rsidRDefault="00067226" w:rsidP="000D1A4B">
            <w:pPr>
              <w:keepNext/>
              <w:spacing w:before="60" w:after="60"/>
              <w:rPr>
                <w:rFonts w:ascii="Calibri" w:eastAsia="Times New Roman" w:hAnsi="Calibri" w:cs="Calibri"/>
                <w:color w:val="000000"/>
                <w:sz w:val="24"/>
                <w:szCs w:val="24"/>
                <w:lang w:eastAsia="cs-CZ"/>
              </w:rPr>
            </w:pPr>
            <w:r w:rsidRPr="00067226">
              <w:rPr>
                <w:rFonts w:ascii="Calibri" w:hAnsi="Calibri" w:cs="Calibri"/>
                <w:sz w:val="24"/>
                <w:szCs w:val="24"/>
              </w:rPr>
              <w:t xml:space="preserve">Program 101 01 </w:t>
            </w:r>
            <w:r w:rsidR="005E5207">
              <w:rPr>
                <w:rFonts w:ascii="Calibri" w:hAnsi="Calibri" w:cs="Calibri"/>
                <w:sz w:val="24"/>
                <w:szCs w:val="24"/>
              </w:rPr>
              <w:t xml:space="preserve">– </w:t>
            </w:r>
            <w:r w:rsidRPr="00067226">
              <w:rPr>
                <w:rFonts w:ascii="Calibri" w:hAnsi="Calibri" w:cs="Calibri"/>
                <w:sz w:val="24"/>
                <w:szCs w:val="24"/>
              </w:rPr>
              <w:t>„</w:t>
            </w:r>
            <w:r w:rsidRPr="00067226">
              <w:rPr>
                <w:rFonts w:ascii="Calibri" w:hAnsi="Calibri" w:cs="Calibri"/>
                <w:i/>
                <w:sz w:val="24"/>
                <w:szCs w:val="24"/>
              </w:rPr>
              <w:t xml:space="preserve">Reprodukce majetku Kanceláře prezidenta republiky </w:t>
            </w:r>
            <w:r w:rsidR="00927801">
              <w:rPr>
                <w:rFonts w:ascii="Calibri" w:hAnsi="Calibri" w:cs="Calibri"/>
                <w:i/>
                <w:sz w:val="24"/>
                <w:szCs w:val="24"/>
              </w:rPr>
              <w:t>–</w:t>
            </w:r>
            <w:r w:rsidRPr="00067226">
              <w:rPr>
                <w:rFonts w:ascii="Calibri" w:hAnsi="Calibri" w:cs="Calibri"/>
                <w:i/>
                <w:sz w:val="24"/>
                <w:szCs w:val="24"/>
              </w:rPr>
              <w:t xml:space="preserve"> od roku 2009</w:t>
            </w:r>
            <w:r w:rsidRPr="00067226">
              <w:rPr>
                <w:rFonts w:ascii="Calibri" w:hAnsi="Calibri" w:cs="Calibri"/>
                <w:sz w:val="24"/>
                <w:szCs w:val="24"/>
              </w:rPr>
              <w:t xml:space="preserve">“ </w:t>
            </w:r>
          </w:p>
        </w:tc>
      </w:tr>
      <w:tr w:rsidR="00067226" w:rsidRPr="00067226" w14:paraId="7AFF2414" w14:textId="77777777" w:rsidTr="00CD2B00">
        <w:tc>
          <w:tcPr>
            <w:tcW w:w="2694" w:type="dxa"/>
          </w:tcPr>
          <w:p w14:paraId="6C4BE709" w14:textId="77777777" w:rsidR="00067226" w:rsidRPr="00067226" w:rsidRDefault="00067226" w:rsidP="000D1A4B">
            <w:pPr>
              <w:keepNext/>
              <w:spacing w:before="60" w:after="60"/>
              <w:rPr>
                <w:rFonts w:ascii="Calibri" w:eastAsia="Times New Roman" w:hAnsi="Calibri" w:cs="Calibri"/>
                <w:color w:val="000000"/>
                <w:sz w:val="24"/>
                <w:szCs w:val="24"/>
                <w:lang w:eastAsia="cs-CZ"/>
              </w:rPr>
            </w:pPr>
            <w:r w:rsidRPr="00067226">
              <w:rPr>
                <w:rFonts w:ascii="Calibri" w:eastAsia="Times New Roman" w:hAnsi="Calibri" w:cs="Calibri"/>
                <w:color w:val="000000"/>
                <w:sz w:val="24"/>
                <w:szCs w:val="24"/>
                <w:lang w:eastAsia="cs-CZ"/>
              </w:rPr>
              <w:t>SPH</w:t>
            </w:r>
          </w:p>
        </w:tc>
        <w:tc>
          <w:tcPr>
            <w:tcW w:w="6379" w:type="dxa"/>
          </w:tcPr>
          <w:p w14:paraId="36EB4692" w14:textId="77777777" w:rsidR="00067226" w:rsidRPr="00067226" w:rsidRDefault="00067226" w:rsidP="000D1A4B">
            <w:pPr>
              <w:keepNext/>
              <w:spacing w:before="60" w:after="60"/>
              <w:rPr>
                <w:rFonts w:ascii="Calibri" w:eastAsia="Times New Roman" w:hAnsi="Calibri" w:cs="Calibri"/>
                <w:color w:val="000000"/>
                <w:sz w:val="24"/>
                <w:szCs w:val="24"/>
                <w:lang w:eastAsia="cs-CZ"/>
              </w:rPr>
            </w:pPr>
            <w:r w:rsidRPr="00067226">
              <w:rPr>
                <w:rFonts w:ascii="Calibri" w:eastAsia="Times New Roman" w:hAnsi="Calibri" w:cs="Calibri"/>
                <w:color w:val="000000"/>
                <w:sz w:val="24"/>
                <w:szCs w:val="24"/>
                <w:lang w:eastAsia="cs-CZ"/>
              </w:rPr>
              <w:t>Správa Pražského hradu</w:t>
            </w:r>
          </w:p>
        </w:tc>
      </w:tr>
      <w:tr w:rsidR="006F511E" w:rsidRPr="00067226" w:rsidDel="006C72C7" w14:paraId="3571C9DA" w14:textId="77777777" w:rsidTr="00CD2B00">
        <w:tc>
          <w:tcPr>
            <w:tcW w:w="2694" w:type="dxa"/>
          </w:tcPr>
          <w:p w14:paraId="2DC14FA9" w14:textId="2A875327" w:rsidR="006F511E" w:rsidRPr="00067226" w:rsidDel="006578F5" w:rsidRDefault="006F511E" w:rsidP="000D1A4B">
            <w:pPr>
              <w:keepNext/>
              <w:spacing w:before="60" w:after="60"/>
              <w:rPr>
                <w:rFonts w:ascii="Calibri" w:eastAsia="Times New Roman" w:hAnsi="Calibri" w:cs="Calibri"/>
                <w:color w:val="000000"/>
                <w:sz w:val="24"/>
                <w:szCs w:val="24"/>
                <w:lang w:eastAsia="cs-CZ"/>
              </w:rPr>
            </w:pPr>
            <w:r>
              <w:rPr>
                <w:rFonts w:ascii="Calibri" w:eastAsia="Times New Roman" w:hAnsi="Calibri" w:cs="Calibri"/>
                <w:color w:val="000000"/>
                <w:sz w:val="24"/>
                <w:szCs w:val="24"/>
                <w:lang w:eastAsia="cs-CZ"/>
              </w:rPr>
              <w:t>VZ</w:t>
            </w:r>
          </w:p>
        </w:tc>
        <w:tc>
          <w:tcPr>
            <w:tcW w:w="6379" w:type="dxa"/>
          </w:tcPr>
          <w:p w14:paraId="6C19D0F2" w14:textId="67B034A4" w:rsidR="006F511E" w:rsidRPr="00067226" w:rsidDel="006C72C7" w:rsidRDefault="006F511E" w:rsidP="000D1A4B">
            <w:pPr>
              <w:keepNext/>
              <w:spacing w:before="60" w:after="60"/>
              <w:rPr>
                <w:rFonts w:ascii="Calibri" w:eastAsia="Times New Roman" w:hAnsi="Calibri" w:cs="Calibri"/>
                <w:color w:val="000000"/>
                <w:sz w:val="24"/>
                <w:szCs w:val="24"/>
                <w:lang w:eastAsia="cs-CZ"/>
              </w:rPr>
            </w:pPr>
            <w:r>
              <w:rPr>
                <w:rFonts w:ascii="Calibri" w:eastAsia="Times New Roman" w:hAnsi="Calibri" w:cs="Calibri"/>
                <w:color w:val="000000"/>
                <w:sz w:val="24"/>
                <w:szCs w:val="24"/>
                <w:lang w:eastAsia="cs-CZ"/>
              </w:rPr>
              <w:t>veřejná zakázka</w:t>
            </w:r>
          </w:p>
        </w:tc>
      </w:tr>
      <w:tr w:rsidR="006F511E" w:rsidRPr="00067226" w:rsidDel="006C72C7" w14:paraId="3C86FEF7" w14:textId="77777777" w:rsidTr="00CD2B00">
        <w:tc>
          <w:tcPr>
            <w:tcW w:w="2694" w:type="dxa"/>
          </w:tcPr>
          <w:p w14:paraId="786B331C" w14:textId="6BA4C4AD" w:rsidR="006F511E" w:rsidRPr="00067226" w:rsidDel="006578F5" w:rsidRDefault="00CF39A3" w:rsidP="000D1A4B">
            <w:pPr>
              <w:keepNext/>
              <w:spacing w:before="60" w:after="60"/>
              <w:rPr>
                <w:rFonts w:ascii="Calibri" w:eastAsia="Times New Roman" w:hAnsi="Calibri" w:cs="Calibri"/>
                <w:color w:val="000000"/>
                <w:sz w:val="24"/>
                <w:szCs w:val="24"/>
                <w:lang w:eastAsia="cs-CZ"/>
              </w:rPr>
            </w:pPr>
            <w:r>
              <w:rPr>
                <w:rFonts w:ascii="Calibri" w:eastAsia="Times New Roman" w:hAnsi="Calibri" w:cs="Calibri"/>
                <w:color w:val="000000"/>
                <w:sz w:val="24"/>
                <w:szCs w:val="24"/>
                <w:lang w:eastAsia="cs-CZ"/>
              </w:rPr>
              <w:t>VZMR</w:t>
            </w:r>
          </w:p>
        </w:tc>
        <w:tc>
          <w:tcPr>
            <w:tcW w:w="6379" w:type="dxa"/>
          </w:tcPr>
          <w:p w14:paraId="4394BF98" w14:textId="67265501" w:rsidR="006F511E" w:rsidRPr="00067226" w:rsidDel="006C72C7" w:rsidRDefault="00CF39A3" w:rsidP="000D1A4B">
            <w:pPr>
              <w:keepNext/>
              <w:spacing w:before="60" w:after="60"/>
              <w:rPr>
                <w:rFonts w:ascii="Calibri" w:eastAsia="Times New Roman" w:hAnsi="Calibri" w:cs="Calibri"/>
                <w:color w:val="000000"/>
                <w:sz w:val="24"/>
                <w:szCs w:val="24"/>
                <w:lang w:eastAsia="cs-CZ"/>
              </w:rPr>
            </w:pPr>
            <w:r>
              <w:rPr>
                <w:rFonts w:ascii="Calibri" w:eastAsia="Times New Roman" w:hAnsi="Calibri" w:cs="Calibri"/>
                <w:color w:val="000000"/>
                <w:sz w:val="24"/>
                <w:szCs w:val="24"/>
                <w:lang w:eastAsia="cs-CZ"/>
              </w:rPr>
              <w:t>veřejná zakázka malého rozsahu</w:t>
            </w:r>
          </w:p>
        </w:tc>
      </w:tr>
      <w:tr w:rsidR="006578F5" w:rsidRPr="00067226" w:rsidDel="006C72C7" w14:paraId="1D2F55F3" w14:textId="77777777" w:rsidTr="00CD2B00">
        <w:tc>
          <w:tcPr>
            <w:tcW w:w="2694" w:type="dxa"/>
          </w:tcPr>
          <w:p w14:paraId="6A986D8F" w14:textId="1612210B" w:rsidR="006578F5" w:rsidRPr="00067226" w:rsidRDefault="006578F5" w:rsidP="000D1A4B">
            <w:pPr>
              <w:keepNext/>
              <w:spacing w:before="60" w:after="60"/>
              <w:rPr>
                <w:rFonts w:ascii="Calibri" w:eastAsia="Times New Roman" w:hAnsi="Calibri" w:cs="Calibri"/>
                <w:color w:val="000000"/>
                <w:sz w:val="24"/>
                <w:szCs w:val="24"/>
                <w:lang w:eastAsia="cs-CZ"/>
              </w:rPr>
            </w:pPr>
            <w:r>
              <w:rPr>
                <w:rFonts w:ascii="Calibri" w:eastAsia="Times New Roman" w:hAnsi="Calibri" w:cs="Calibri"/>
                <w:color w:val="000000"/>
                <w:sz w:val="24"/>
                <w:szCs w:val="24"/>
                <w:lang w:eastAsia="cs-CZ"/>
              </w:rPr>
              <w:t>z</w:t>
            </w:r>
            <w:r w:rsidRPr="00067226">
              <w:rPr>
                <w:rFonts w:ascii="Calibri" w:eastAsia="Times New Roman" w:hAnsi="Calibri" w:cs="Calibri"/>
                <w:color w:val="000000"/>
                <w:sz w:val="24"/>
                <w:szCs w:val="24"/>
                <w:lang w:eastAsia="cs-CZ"/>
              </w:rPr>
              <w:t>ákon o majetku</w:t>
            </w:r>
          </w:p>
        </w:tc>
        <w:tc>
          <w:tcPr>
            <w:tcW w:w="6379" w:type="dxa"/>
          </w:tcPr>
          <w:p w14:paraId="74AFF3F8" w14:textId="508A5400" w:rsidR="006578F5" w:rsidRPr="00067226" w:rsidDel="006C72C7" w:rsidRDefault="006578F5" w:rsidP="000D1A4B">
            <w:pPr>
              <w:keepNext/>
              <w:spacing w:before="60" w:after="60"/>
              <w:rPr>
                <w:rFonts w:ascii="Calibri" w:eastAsia="Times New Roman" w:hAnsi="Calibri" w:cs="Calibri"/>
                <w:color w:val="000000"/>
                <w:sz w:val="24"/>
                <w:szCs w:val="24"/>
                <w:lang w:eastAsia="cs-CZ"/>
              </w:rPr>
            </w:pPr>
            <w:r>
              <w:rPr>
                <w:rFonts w:ascii="Calibri" w:eastAsia="Times New Roman" w:hAnsi="Calibri" w:cs="Calibri"/>
                <w:color w:val="000000"/>
                <w:sz w:val="24"/>
                <w:szCs w:val="24"/>
                <w:lang w:eastAsia="cs-CZ"/>
              </w:rPr>
              <w:t>z</w:t>
            </w:r>
            <w:r w:rsidRPr="00067226">
              <w:rPr>
                <w:rFonts w:ascii="Calibri" w:eastAsia="Times New Roman" w:hAnsi="Calibri" w:cs="Calibri"/>
                <w:color w:val="000000"/>
                <w:sz w:val="24"/>
                <w:szCs w:val="24"/>
                <w:lang w:eastAsia="cs-CZ"/>
              </w:rPr>
              <w:t>ákon č. 219/2000 Sb., o majetku České republiky a jejím vystupování v právních vztazích</w:t>
            </w:r>
          </w:p>
        </w:tc>
      </w:tr>
      <w:tr w:rsidR="00067226" w:rsidRPr="00067226" w14:paraId="5208C133" w14:textId="77777777" w:rsidTr="00CD2B00">
        <w:tc>
          <w:tcPr>
            <w:tcW w:w="2694" w:type="dxa"/>
          </w:tcPr>
          <w:p w14:paraId="6AE41EE9" w14:textId="65C555E5" w:rsidR="00067226" w:rsidRPr="00067226" w:rsidRDefault="006578F5" w:rsidP="000D1A4B">
            <w:pPr>
              <w:keepNext/>
              <w:spacing w:before="60" w:after="60"/>
              <w:rPr>
                <w:rFonts w:ascii="Calibri" w:eastAsia="Times New Roman" w:hAnsi="Calibri" w:cs="Calibri"/>
                <w:color w:val="000000"/>
                <w:sz w:val="24"/>
                <w:szCs w:val="24"/>
                <w:lang w:eastAsia="cs-CZ"/>
              </w:rPr>
            </w:pPr>
            <w:r>
              <w:rPr>
                <w:rFonts w:ascii="Calibri" w:eastAsia="Times New Roman" w:hAnsi="Calibri" w:cs="Calibri"/>
                <w:color w:val="000000"/>
                <w:sz w:val="24"/>
                <w:szCs w:val="24"/>
                <w:lang w:eastAsia="cs-CZ"/>
              </w:rPr>
              <w:t>z</w:t>
            </w:r>
            <w:r w:rsidR="00067226" w:rsidRPr="00067226">
              <w:rPr>
                <w:rFonts w:ascii="Calibri" w:eastAsia="Times New Roman" w:hAnsi="Calibri" w:cs="Calibri"/>
                <w:color w:val="000000"/>
                <w:sz w:val="24"/>
                <w:szCs w:val="24"/>
                <w:lang w:eastAsia="cs-CZ"/>
              </w:rPr>
              <w:t>ákon o státních vyznamenáních</w:t>
            </w:r>
          </w:p>
        </w:tc>
        <w:tc>
          <w:tcPr>
            <w:tcW w:w="6379" w:type="dxa"/>
          </w:tcPr>
          <w:p w14:paraId="4C82D3EB" w14:textId="5E7D207C" w:rsidR="00067226" w:rsidRPr="00067226" w:rsidRDefault="005E5207" w:rsidP="000D1A4B">
            <w:pPr>
              <w:keepNext/>
              <w:spacing w:before="60" w:after="60"/>
              <w:rPr>
                <w:rFonts w:ascii="Calibri" w:eastAsia="Times New Roman" w:hAnsi="Calibri" w:cs="Calibri"/>
                <w:color w:val="000000"/>
                <w:sz w:val="24"/>
                <w:szCs w:val="24"/>
                <w:lang w:eastAsia="cs-CZ"/>
              </w:rPr>
            </w:pPr>
            <w:r>
              <w:rPr>
                <w:rFonts w:ascii="Calibri" w:eastAsia="Times New Roman" w:hAnsi="Calibri" w:cs="Calibri"/>
                <w:color w:val="000000"/>
                <w:sz w:val="24"/>
                <w:szCs w:val="24"/>
                <w:lang w:eastAsia="cs-CZ"/>
              </w:rPr>
              <w:t>z</w:t>
            </w:r>
            <w:r w:rsidR="00067226" w:rsidRPr="00067226">
              <w:rPr>
                <w:rFonts w:ascii="Calibri" w:eastAsia="Times New Roman" w:hAnsi="Calibri" w:cs="Calibri"/>
                <w:color w:val="000000"/>
                <w:sz w:val="24"/>
                <w:szCs w:val="24"/>
                <w:lang w:eastAsia="cs-CZ"/>
              </w:rPr>
              <w:t>ákon č. 157/1994 Sb., o státních vyznamenáních České republiky</w:t>
            </w:r>
          </w:p>
        </w:tc>
      </w:tr>
    </w:tbl>
    <w:p w14:paraId="68B56110" w14:textId="77777777" w:rsidR="00A65632" w:rsidRPr="00CD2B00" w:rsidRDefault="00A65632" w:rsidP="00067226">
      <w:pPr>
        <w:spacing w:line="240" w:lineRule="auto"/>
        <w:jc w:val="both"/>
        <w:rPr>
          <w:rFonts w:cstheme="minorHAnsi"/>
          <w:color w:val="000000" w:themeColor="text1"/>
          <w:sz w:val="24"/>
          <w:lang w:eastAsia="cs-CZ"/>
        </w:rPr>
      </w:pPr>
    </w:p>
    <w:sectPr w:rsidR="00A65632" w:rsidRPr="00CD2B00" w:rsidSect="002E0619">
      <w:footerReference w:type="default" r:id="rId11"/>
      <w:footerReference w:type="first" r:id="rId12"/>
      <w:pgSz w:w="11906" w:h="16838"/>
      <w:pgMar w:top="1417" w:right="1417" w:bottom="1417" w:left="1417" w:header="708" w:footer="708"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149D13" w16cex:dateUtc="2022-11-08T08:17:00Z"/>
  <w16cex:commentExtensible w16cex:durableId="27149E4C" w16cex:dateUtc="2022-11-08T08:22: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B00E34" w14:textId="77777777" w:rsidR="000B17A7" w:rsidRDefault="000B17A7">
      <w:pPr>
        <w:spacing w:after="0" w:line="240" w:lineRule="auto"/>
      </w:pPr>
      <w:r>
        <w:separator/>
      </w:r>
    </w:p>
  </w:endnote>
  <w:endnote w:type="continuationSeparator" w:id="0">
    <w:p w14:paraId="203236DB" w14:textId="77777777" w:rsidR="000B17A7" w:rsidRDefault="000B17A7">
      <w:pPr>
        <w:spacing w:after="0" w:line="240" w:lineRule="auto"/>
      </w:pPr>
      <w:r>
        <w:continuationSeparator/>
      </w:r>
    </w:p>
  </w:endnote>
  <w:endnote w:type="continuationNotice" w:id="1">
    <w:p w14:paraId="5A9761B6" w14:textId="77777777" w:rsidR="000B17A7" w:rsidRDefault="000B17A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70858953"/>
      <w:docPartObj>
        <w:docPartGallery w:val="Page Numbers (Bottom of Page)"/>
        <w:docPartUnique/>
      </w:docPartObj>
    </w:sdtPr>
    <w:sdtEndPr/>
    <w:sdtContent>
      <w:p w14:paraId="61FE66A7" w14:textId="77777777" w:rsidR="000B17A7" w:rsidRDefault="000B17A7" w:rsidP="002E0619">
        <w:pPr>
          <w:pStyle w:val="Zpat"/>
          <w:jc w:val="center"/>
        </w:pPr>
        <w:r>
          <w:fldChar w:fldCharType="begin"/>
        </w:r>
        <w:r>
          <w:instrText>PAGE   \* MERGEFORMAT</w:instrText>
        </w:r>
        <w:r>
          <w:fldChar w:fldCharType="separate"/>
        </w:r>
        <w:r>
          <w:rPr>
            <w:noProof/>
          </w:rPr>
          <w:t>22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090D8F" w14:textId="77777777" w:rsidR="000B17A7" w:rsidRPr="002E0619" w:rsidRDefault="000B17A7" w:rsidP="002E0619">
    <w:pPr>
      <w:pStyle w:val="Zpat"/>
      <w:jc w:val="center"/>
      <w:rPr>
        <w:color w:val="FFFFFF" w:themeColor="background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519C06" w14:textId="77777777" w:rsidR="000B17A7" w:rsidRDefault="000B17A7" w:rsidP="004058E2">
      <w:pPr>
        <w:spacing w:after="0" w:line="240" w:lineRule="auto"/>
      </w:pPr>
      <w:r>
        <w:separator/>
      </w:r>
    </w:p>
  </w:footnote>
  <w:footnote w:type="continuationSeparator" w:id="0">
    <w:p w14:paraId="662B5742" w14:textId="77777777" w:rsidR="000B17A7" w:rsidRDefault="000B17A7" w:rsidP="004058E2">
      <w:pPr>
        <w:spacing w:after="0" w:line="240" w:lineRule="auto"/>
      </w:pPr>
      <w:r>
        <w:continuationSeparator/>
      </w:r>
    </w:p>
  </w:footnote>
  <w:footnote w:type="continuationNotice" w:id="1">
    <w:p w14:paraId="660B3B8F" w14:textId="77777777" w:rsidR="000B17A7" w:rsidRDefault="000B17A7">
      <w:pPr>
        <w:spacing w:after="0" w:line="240" w:lineRule="auto"/>
      </w:pPr>
    </w:p>
  </w:footnote>
  <w:footnote w:id="2">
    <w:p w14:paraId="1C356E8E" w14:textId="71C7BE1B" w:rsidR="000B17A7" w:rsidRPr="004551AA" w:rsidRDefault="000B17A7" w:rsidP="008003F6">
      <w:pPr>
        <w:pStyle w:val="Textpoznpodarou"/>
        <w:ind w:left="284" w:hanging="284"/>
        <w:rPr>
          <w:rFonts w:asciiTheme="minorHAnsi" w:hAnsiTheme="minorHAnsi" w:cstheme="minorHAnsi"/>
        </w:rPr>
      </w:pPr>
      <w:r w:rsidRPr="004551AA">
        <w:rPr>
          <w:rStyle w:val="Znakapoznpodarou"/>
          <w:rFonts w:asciiTheme="minorHAnsi" w:hAnsiTheme="minorHAnsi" w:cstheme="minorHAnsi"/>
        </w:rPr>
        <w:footnoteRef/>
      </w:r>
      <w:r w:rsidRPr="004551AA">
        <w:rPr>
          <w:rFonts w:asciiTheme="minorHAnsi" w:hAnsiTheme="minorHAnsi" w:cstheme="minorHAnsi"/>
        </w:rPr>
        <w:t xml:space="preserve"> </w:t>
      </w:r>
      <w:r>
        <w:rPr>
          <w:rFonts w:asciiTheme="minorHAnsi" w:hAnsiTheme="minorHAnsi" w:cstheme="minorHAnsi"/>
        </w:rPr>
        <w:tab/>
      </w:r>
      <w:r w:rsidRPr="004551AA">
        <w:rPr>
          <w:rFonts w:asciiTheme="minorHAnsi" w:hAnsiTheme="minorHAnsi" w:cstheme="minorHAnsi"/>
        </w:rPr>
        <w:t xml:space="preserve">Hodnota zjištěného nedostatku </w:t>
      </w:r>
      <w:r>
        <w:rPr>
          <w:rFonts w:asciiTheme="minorHAnsi" w:hAnsiTheme="minorHAnsi" w:cstheme="minorHAnsi"/>
        </w:rPr>
        <w:t>byla</w:t>
      </w:r>
      <w:r w:rsidRPr="004551AA">
        <w:rPr>
          <w:rFonts w:asciiTheme="minorHAnsi" w:hAnsiTheme="minorHAnsi" w:cstheme="minorHAnsi"/>
        </w:rPr>
        <w:t xml:space="preserve"> vyčíslena k datu 16. 6. 2022</w:t>
      </w:r>
      <w:r>
        <w:rPr>
          <w:rFonts w:asciiTheme="minorHAnsi" w:hAnsiTheme="minorHAnsi" w:cstheme="minorHAnsi"/>
        </w:rPr>
        <w:t>.</w:t>
      </w:r>
    </w:p>
  </w:footnote>
  <w:footnote w:id="3">
    <w:p w14:paraId="48DEF4E2" w14:textId="00FCCAC4" w:rsidR="000B17A7" w:rsidRPr="00020A54" w:rsidRDefault="000B17A7" w:rsidP="00B36F13">
      <w:pPr>
        <w:autoSpaceDE w:val="0"/>
        <w:autoSpaceDN w:val="0"/>
        <w:adjustRightInd w:val="0"/>
        <w:spacing w:after="0" w:line="240" w:lineRule="auto"/>
        <w:ind w:left="284" w:hanging="284"/>
        <w:jc w:val="both"/>
        <w:rPr>
          <w:rFonts w:cstheme="minorHAnsi"/>
          <w:sz w:val="20"/>
          <w:szCs w:val="20"/>
        </w:rPr>
      </w:pPr>
      <w:r w:rsidRPr="00020A54">
        <w:rPr>
          <w:rStyle w:val="Znakapoznpodarou"/>
          <w:rFonts w:cstheme="minorHAnsi"/>
        </w:rPr>
        <w:footnoteRef/>
      </w:r>
      <w:r w:rsidRPr="00020A54">
        <w:rPr>
          <w:rFonts w:cstheme="minorHAnsi"/>
          <w:sz w:val="20"/>
          <w:szCs w:val="20"/>
        </w:rPr>
        <w:t xml:space="preserve"> </w:t>
      </w:r>
      <w:r>
        <w:rPr>
          <w:rFonts w:cstheme="minorHAnsi"/>
          <w:sz w:val="20"/>
          <w:szCs w:val="20"/>
        </w:rPr>
        <w:tab/>
      </w:r>
      <w:r w:rsidRPr="00020A54">
        <w:rPr>
          <w:rFonts w:cstheme="minorHAnsi"/>
          <w:sz w:val="20"/>
          <w:szCs w:val="20"/>
        </w:rPr>
        <w:t>Zákon č. 114/1993 Sb., o Kanceláři prezidenta republiky</w:t>
      </w:r>
      <w:r>
        <w:rPr>
          <w:rFonts w:cstheme="minorHAnsi"/>
          <w:sz w:val="20"/>
          <w:szCs w:val="20"/>
        </w:rPr>
        <w:t>.</w:t>
      </w:r>
    </w:p>
  </w:footnote>
  <w:footnote w:id="4">
    <w:p w14:paraId="2C655DE4" w14:textId="3F0D6B39" w:rsidR="000B17A7" w:rsidRPr="0009026A" w:rsidRDefault="000B17A7" w:rsidP="0009026A">
      <w:pPr>
        <w:pStyle w:val="Textpoznpodarou"/>
        <w:ind w:left="284" w:hanging="284"/>
        <w:jc w:val="both"/>
        <w:rPr>
          <w:rFonts w:ascii="Calibri" w:hAnsi="Calibri" w:cs="Calibri"/>
        </w:rPr>
      </w:pPr>
      <w:r w:rsidRPr="0009026A">
        <w:rPr>
          <w:rStyle w:val="Znakapoznpodarou"/>
          <w:rFonts w:ascii="Calibri" w:hAnsi="Calibri" w:cs="Calibri"/>
        </w:rPr>
        <w:footnoteRef/>
      </w:r>
      <w:r w:rsidRPr="0009026A">
        <w:rPr>
          <w:rFonts w:ascii="Calibri" w:hAnsi="Calibri" w:cs="Calibri"/>
        </w:rPr>
        <w:t xml:space="preserve"> </w:t>
      </w:r>
      <w:r>
        <w:rPr>
          <w:rFonts w:ascii="Calibri" w:hAnsi="Calibri" w:cs="Calibri"/>
        </w:rPr>
        <w:tab/>
      </w:r>
      <w:r w:rsidRPr="0009026A">
        <w:rPr>
          <w:rFonts w:ascii="Calibri" w:hAnsi="Calibri" w:cs="Calibri"/>
        </w:rPr>
        <w:t>Zákon č. 336/2018 Sb., o státním rozpočtu České republiky na rok 2019, zákon č. 355/2019 Sb., o státní</w:t>
      </w:r>
      <w:r>
        <w:rPr>
          <w:rFonts w:ascii="Calibri" w:hAnsi="Calibri" w:cs="Calibri"/>
        </w:rPr>
        <w:t>m</w:t>
      </w:r>
      <w:r w:rsidRPr="0009026A">
        <w:rPr>
          <w:rFonts w:ascii="Calibri" w:hAnsi="Calibri" w:cs="Calibri"/>
        </w:rPr>
        <w:t xml:space="preserve"> rozpočtu České republiky na rok 2020, zákon č. 600/2020 Sb., o státním rozpočtu České republiky na rok 2021</w:t>
      </w:r>
      <w:r>
        <w:rPr>
          <w:rFonts w:ascii="Calibri" w:hAnsi="Calibri" w:cs="Calibri"/>
        </w:rPr>
        <w:t>.</w:t>
      </w:r>
    </w:p>
  </w:footnote>
  <w:footnote w:id="5">
    <w:p w14:paraId="47CFBADC" w14:textId="213CF2B4" w:rsidR="000B17A7" w:rsidRPr="00937721" w:rsidRDefault="000B17A7" w:rsidP="00937721">
      <w:pPr>
        <w:pStyle w:val="Textpoznpodarou"/>
        <w:ind w:left="284" w:hanging="284"/>
        <w:rPr>
          <w:rFonts w:ascii="Calibri" w:hAnsi="Calibri" w:cs="Calibri"/>
        </w:rPr>
      </w:pPr>
      <w:r w:rsidRPr="00937721">
        <w:rPr>
          <w:rStyle w:val="Znakapoznpodarou"/>
          <w:rFonts w:ascii="Calibri" w:hAnsi="Calibri" w:cs="Calibri"/>
        </w:rPr>
        <w:footnoteRef/>
      </w:r>
      <w:r w:rsidRPr="00937721">
        <w:rPr>
          <w:rFonts w:ascii="Calibri" w:hAnsi="Calibri" w:cs="Calibri"/>
        </w:rPr>
        <w:t xml:space="preserve"> </w:t>
      </w:r>
      <w:r>
        <w:rPr>
          <w:rFonts w:ascii="Calibri" w:hAnsi="Calibri" w:cs="Calibri"/>
        </w:rPr>
        <w:tab/>
      </w:r>
      <w:r w:rsidRPr="00937721">
        <w:rPr>
          <w:rFonts w:ascii="Calibri" w:hAnsi="Calibri" w:cs="Calibri"/>
        </w:rPr>
        <w:t>Zlepšeným hospodářským výsledkem se rozumí hospodářský výsledek před zdaněním</w:t>
      </w:r>
      <w:r>
        <w:rPr>
          <w:rFonts w:ascii="Calibri" w:hAnsi="Calibri" w:cs="Calibri"/>
        </w:rPr>
        <w:t>.</w:t>
      </w:r>
    </w:p>
  </w:footnote>
  <w:footnote w:id="6">
    <w:p w14:paraId="07406B42" w14:textId="1FE53F70" w:rsidR="000B17A7" w:rsidRPr="00937721" w:rsidRDefault="000B17A7" w:rsidP="00937721">
      <w:pPr>
        <w:widowControl w:val="0"/>
        <w:autoSpaceDE w:val="0"/>
        <w:autoSpaceDN w:val="0"/>
        <w:adjustRightInd w:val="0"/>
        <w:spacing w:after="0" w:line="240" w:lineRule="auto"/>
        <w:ind w:left="284" w:hanging="284"/>
        <w:jc w:val="both"/>
        <w:rPr>
          <w:rFonts w:ascii="Calibri" w:hAnsi="Calibri" w:cs="Calibri"/>
        </w:rPr>
      </w:pPr>
      <w:r w:rsidRPr="00937721">
        <w:rPr>
          <w:rStyle w:val="Znakapoznpodarou"/>
          <w:rFonts w:ascii="Calibri" w:hAnsi="Calibri" w:cs="Calibri"/>
          <w:sz w:val="20"/>
          <w:szCs w:val="20"/>
        </w:rPr>
        <w:footnoteRef/>
      </w:r>
      <w:r w:rsidRPr="00937721">
        <w:rPr>
          <w:rFonts w:ascii="Calibri" w:hAnsi="Calibri" w:cs="Calibri"/>
          <w:sz w:val="20"/>
          <w:szCs w:val="20"/>
        </w:rPr>
        <w:t xml:space="preserve"> </w:t>
      </w:r>
      <w:r>
        <w:rPr>
          <w:rFonts w:ascii="Calibri" w:hAnsi="Calibri" w:cs="Calibri"/>
          <w:sz w:val="20"/>
          <w:szCs w:val="20"/>
        </w:rPr>
        <w:tab/>
      </w:r>
      <w:r w:rsidRPr="00937721">
        <w:rPr>
          <w:rFonts w:ascii="Calibri" w:hAnsi="Calibri" w:cs="Calibri"/>
          <w:sz w:val="20"/>
          <w:szCs w:val="20"/>
        </w:rPr>
        <w:t xml:space="preserve">Ustanovení § 2 písm. m) zákona č. 320/2001 Sb., </w:t>
      </w:r>
      <w:r w:rsidRPr="00937721">
        <w:rPr>
          <w:rFonts w:ascii="Calibri" w:hAnsi="Calibri" w:cs="Calibri"/>
          <w:bCs/>
          <w:sz w:val="20"/>
          <w:szCs w:val="20"/>
        </w:rPr>
        <w:t>o finanční kontrole ve veřejné správě a o změně některých zákonů (zákon o finanční kontrole)</w:t>
      </w:r>
      <w:r>
        <w:rPr>
          <w:rFonts w:ascii="Calibri" w:hAnsi="Calibri" w:cs="Calibri"/>
          <w:bCs/>
          <w:sz w:val="20"/>
          <w:szCs w:val="20"/>
        </w:rPr>
        <w:t>.</w:t>
      </w:r>
    </w:p>
  </w:footnote>
  <w:footnote w:id="7">
    <w:p w14:paraId="4D5F7494" w14:textId="77777777" w:rsidR="000B17A7" w:rsidRPr="00937721" w:rsidRDefault="000B17A7" w:rsidP="00937721">
      <w:pPr>
        <w:pStyle w:val="Textpoznpodarou"/>
        <w:ind w:left="284" w:hanging="284"/>
        <w:rPr>
          <w:rFonts w:ascii="Calibri" w:hAnsi="Calibri" w:cs="Calibri"/>
        </w:rPr>
      </w:pPr>
      <w:r w:rsidRPr="00937721">
        <w:rPr>
          <w:rStyle w:val="Znakapoznpodarou"/>
          <w:rFonts w:ascii="Calibri" w:hAnsi="Calibri" w:cs="Calibri"/>
        </w:rPr>
        <w:footnoteRef/>
      </w:r>
      <w:r w:rsidRPr="00937721">
        <w:rPr>
          <w:rFonts w:ascii="Calibri" w:hAnsi="Calibri" w:cs="Calibri"/>
        </w:rPr>
        <w:t xml:space="preserve"> </w:t>
      </w:r>
      <w:r>
        <w:rPr>
          <w:rFonts w:ascii="Calibri" w:hAnsi="Calibri" w:cs="Calibri"/>
        </w:rPr>
        <w:tab/>
      </w:r>
      <w:r w:rsidRPr="00937721">
        <w:rPr>
          <w:rFonts w:ascii="Calibri" w:hAnsi="Calibri" w:cs="Calibri"/>
        </w:rPr>
        <w:t>Ustanovení § 2 písm. o) zákona č. 320/2001 Sb.</w:t>
      </w:r>
    </w:p>
  </w:footnote>
  <w:footnote w:id="8">
    <w:p w14:paraId="6208350B" w14:textId="38393ECB" w:rsidR="000B17A7" w:rsidRPr="00F47282" w:rsidRDefault="000B17A7" w:rsidP="00471E8C">
      <w:pPr>
        <w:pStyle w:val="Textpoznpodarou"/>
        <w:ind w:left="284" w:hanging="284"/>
        <w:rPr>
          <w:rFonts w:asciiTheme="minorHAnsi" w:hAnsiTheme="minorHAnsi" w:cstheme="minorHAnsi"/>
        </w:rPr>
      </w:pPr>
      <w:r w:rsidRPr="00F47282">
        <w:rPr>
          <w:rStyle w:val="Znakapoznpodarou"/>
          <w:rFonts w:asciiTheme="minorHAnsi" w:hAnsiTheme="minorHAnsi" w:cstheme="minorHAnsi"/>
        </w:rPr>
        <w:footnoteRef/>
      </w:r>
      <w:r w:rsidRPr="00F47282">
        <w:rPr>
          <w:rFonts w:asciiTheme="minorHAnsi" w:hAnsiTheme="minorHAnsi" w:cstheme="minorHAnsi"/>
        </w:rPr>
        <w:t xml:space="preserve"> </w:t>
      </w:r>
      <w:r>
        <w:rPr>
          <w:rFonts w:asciiTheme="minorHAnsi" w:hAnsiTheme="minorHAnsi" w:cstheme="minorHAnsi"/>
        </w:rPr>
        <w:tab/>
      </w:r>
      <w:r w:rsidRPr="00F47282">
        <w:rPr>
          <w:rFonts w:asciiTheme="minorHAnsi" w:hAnsiTheme="minorHAnsi" w:cstheme="minorHAnsi"/>
        </w:rPr>
        <w:t>Zákon č. 134/2016 Sb., o zadávání veřejných zakázek</w:t>
      </w:r>
      <w:r>
        <w:rPr>
          <w:rFonts w:asciiTheme="minorHAnsi" w:hAnsiTheme="minorHAnsi" w:cstheme="minorHAnsi"/>
        </w:rPr>
        <w:t>.</w:t>
      </w:r>
    </w:p>
  </w:footnote>
  <w:footnote w:id="9">
    <w:p w14:paraId="6FE7DAAF" w14:textId="072AB20A" w:rsidR="000B17A7" w:rsidRPr="00F47282" w:rsidRDefault="000B17A7" w:rsidP="00471E8C">
      <w:pPr>
        <w:pStyle w:val="Textpoznpodarou"/>
        <w:ind w:left="284" w:hanging="284"/>
        <w:rPr>
          <w:rFonts w:asciiTheme="minorHAnsi" w:hAnsiTheme="minorHAnsi" w:cstheme="minorHAnsi"/>
        </w:rPr>
      </w:pPr>
      <w:r w:rsidRPr="00F47282">
        <w:rPr>
          <w:rStyle w:val="Znakapoznpodarou"/>
          <w:rFonts w:asciiTheme="minorHAnsi" w:hAnsiTheme="minorHAnsi" w:cstheme="minorHAnsi"/>
        </w:rPr>
        <w:footnoteRef/>
      </w:r>
      <w:r w:rsidRPr="00F47282">
        <w:rPr>
          <w:rFonts w:asciiTheme="minorHAnsi" w:hAnsiTheme="minorHAnsi" w:cstheme="minorHAnsi"/>
        </w:rPr>
        <w:t xml:space="preserve"> </w:t>
      </w:r>
      <w:r>
        <w:rPr>
          <w:rFonts w:asciiTheme="minorHAnsi" w:hAnsiTheme="minorHAnsi" w:cstheme="minorHAnsi"/>
        </w:rPr>
        <w:tab/>
      </w:r>
      <w:r w:rsidRPr="00F47282">
        <w:rPr>
          <w:rFonts w:asciiTheme="minorHAnsi" w:hAnsiTheme="minorHAnsi" w:cstheme="minorHAnsi"/>
        </w:rPr>
        <w:t>Zákon č. 137/2006 Sb., o veřejných zakázkách</w:t>
      </w:r>
      <w:r>
        <w:rPr>
          <w:rFonts w:asciiTheme="minorHAnsi" w:hAnsiTheme="minorHAnsi" w:cstheme="minorHAnsi"/>
        </w:rPr>
        <w:t>.</w:t>
      </w:r>
    </w:p>
  </w:footnote>
  <w:footnote w:id="10">
    <w:p w14:paraId="2CBD56CC" w14:textId="0BFCD745" w:rsidR="000B17A7" w:rsidRPr="00020A54" w:rsidRDefault="000B17A7" w:rsidP="00471E8C">
      <w:pPr>
        <w:pStyle w:val="Textpoznpodarou"/>
        <w:ind w:left="284" w:hanging="284"/>
        <w:jc w:val="both"/>
        <w:rPr>
          <w:rFonts w:asciiTheme="minorHAnsi" w:hAnsiTheme="minorHAnsi" w:cstheme="minorHAnsi"/>
        </w:rPr>
      </w:pPr>
      <w:r w:rsidRPr="00C538F8">
        <w:rPr>
          <w:rStyle w:val="Znakapoznpodarou"/>
          <w:rFonts w:asciiTheme="minorHAnsi" w:hAnsiTheme="minorHAnsi" w:cstheme="minorHAnsi"/>
        </w:rPr>
        <w:footnoteRef/>
      </w:r>
      <w:r w:rsidRPr="00C538F8">
        <w:rPr>
          <w:rFonts w:asciiTheme="minorHAnsi" w:hAnsiTheme="minorHAnsi" w:cstheme="minorHAnsi"/>
        </w:rPr>
        <w:t xml:space="preserve"> </w:t>
      </w:r>
      <w:r>
        <w:rPr>
          <w:rFonts w:asciiTheme="minorHAnsi" w:hAnsiTheme="minorHAnsi" w:cstheme="minorHAnsi"/>
        </w:rPr>
        <w:tab/>
      </w:r>
      <w:r w:rsidRPr="00020A54">
        <w:rPr>
          <w:rFonts w:asciiTheme="minorHAnsi" w:hAnsiTheme="minorHAnsi" w:cstheme="minorHAnsi"/>
        </w:rPr>
        <w:t>Vyhláška č. 560/2006 Sb., o účasti státního rozpočtu na financování programů reprodukce majetku</w:t>
      </w:r>
      <w:r>
        <w:rPr>
          <w:rFonts w:asciiTheme="minorHAnsi" w:hAnsiTheme="minorHAnsi" w:cstheme="minorHAnsi"/>
        </w:rPr>
        <w:t>.</w:t>
      </w:r>
    </w:p>
  </w:footnote>
  <w:footnote w:id="11">
    <w:p w14:paraId="76B7A73F" w14:textId="77777777" w:rsidR="000B17A7" w:rsidRPr="00170A10" w:rsidRDefault="000B17A7" w:rsidP="0067000D">
      <w:pPr>
        <w:pStyle w:val="Textpoznpodarou"/>
        <w:ind w:left="284" w:hanging="284"/>
        <w:jc w:val="both"/>
        <w:rPr>
          <w:rFonts w:asciiTheme="minorHAnsi" w:hAnsiTheme="minorHAnsi"/>
        </w:rPr>
      </w:pPr>
      <w:r w:rsidRPr="00170A10">
        <w:rPr>
          <w:rStyle w:val="Znakapoznpodarou"/>
          <w:rFonts w:asciiTheme="minorHAnsi" w:hAnsiTheme="minorHAnsi"/>
        </w:rPr>
        <w:footnoteRef/>
      </w:r>
      <w:r w:rsidRPr="00170A10">
        <w:rPr>
          <w:rFonts w:asciiTheme="minorHAnsi" w:hAnsiTheme="minorHAnsi"/>
        </w:rPr>
        <w:t xml:space="preserve"> </w:t>
      </w:r>
      <w:r>
        <w:rPr>
          <w:rFonts w:asciiTheme="minorHAnsi" w:hAnsiTheme="minorHAnsi"/>
        </w:rPr>
        <w:tab/>
      </w:r>
      <w:r w:rsidRPr="00170A10">
        <w:rPr>
          <w:rFonts w:asciiTheme="minorHAnsi" w:hAnsiTheme="minorHAnsi"/>
        </w:rPr>
        <w:t>Indikátor je kvalitativní měřitelný ukazatel uvedený v dokumentaci akce, který specifikuje konkrétní měřitelný cíl nebo měřitelný efekt; musí obsahovat výchozí a cílovou hodnotu (vyjádřenou v měrných jednotkách)</w:t>
      </w:r>
      <w:r>
        <w:rPr>
          <w:rFonts w:asciiTheme="minorHAnsi" w:hAnsiTheme="minorHAnsi"/>
        </w:rPr>
        <w:t>.</w:t>
      </w:r>
    </w:p>
  </w:footnote>
  <w:footnote w:id="12">
    <w:p w14:paraId="7E98259A" w14:textId="77777777" w:rsidR="000B17A7" w:rsidRPr="00170A10" w:rsidRDefault="000B17A7" w:rsidP="00F43218">
      <w:pPr>
        <w:pStyle w:val="Textpoznpodarou"/>
        <w:ind w:left="284" w:hanging="284"/>
        <w:jc w:val="both"/>
        <w:rPr>
          <w:rFonts w:asciiTheme="minorHAnsi" w:hAnsiTheme="minorHAnsi"/>
        </w:rPr>
      </w:pPr>
      <w:r w:rsidRPr="00170A10">
        <w:rPr>
          <w:rStyle w:val="Znakapoznpodarou"/>
          <w:rFonts w:asciiTheme="minorHAnsi" w:hAnsiTheme="minorHAnsi"/>
        </w:rPr>
        <w:footnoteRef/>
      </w:r>
      <w:r w:rsidRPr="00170A10">
        <w:rPr>
          <w:rFonts w:asciiTheme="minorHAnsi" w:hAnsiTheme="minorHAnsi"/>
        </w:rPr>
        <w:t xml:space="preserve"> </w:t>
      </w:r>
      <w:r>
        <w:rPr>
          <w:rFonts w:asciiTheme="minorHAnsi" w:hAnsiTheme="minorHAnsi"/>
        </w:rPr>
        <w:tab/>
      </w:r>
      <w:r w:rsidRPr="00170A10">
        <w:rPr>
          <w:rFonts w:asciiTheme="minorHAnsi" w:hAnsiTheme="minorHAnsi"/>
        </w:rPr>
        <w:t>P</w:t>
      </w:r>
      <w:r w:rsidRPr="00170A10">
        <w:rPr>
          <w:rFonts w:asciiTheme="minorHAnsi" w:hAnsiTheme="minorHAnsi" w:cs="Arial"/>
        </w:rPr>
        <w:t>arametr je ukazatel uvedený v dokumentaci akce, který specifikuje obsah nebo formu realizace akce a vyjadřuje se v měrných jednotkách a hodnotách</w:t>
      </w:r>
      <w:r>
        <w:rPr>
          <w:rFonts w:asciiTheme="minorHAnsi" w:hAnsiTheme="minorHAnsi" w:cs="Arial"/>
        </w:rPr>
        <w:t>.</w:t>
      </w:r>
      <w:r w:rsidRPr="00170A10">
        <w:rPr>
          <w:rFonts w:asciiTheme="minorHAnsi" w:hAnsiTheme="minorHAnsi" w:cs="Arial"/>
        </w:rPr>
        <w:t xml:space="preserve"> </w:t>
      </w:r>
    </w:p>
  </w:footnote>
  <w:footnote w:id="13">
    <w:p w14:paraId="2DE77FC1" w14:textId="37D3A800" w:rsidR="000B17A7" w:rsidRPr="00020A54" w:rsidRDefault="000B17A7" w:rsidP="00F43218">
      <w:pPr>
        <w:pStyle w:val="Textpoznpodarou"/>
        <w:ind w:left="284" w:hanging="284"/>
        <w:jc w:val="both"/>
        <w:rPr>
          <w:rFonts w:asciiTheme="minorHAnsi" w:hAnsiTheme="minorHAnsi" w:cstheme="minorHAnsi"/>
        </w:rPr>
      </w:pPr>
      <w:r w:rsidRPr="00020A54">
        <w:rPr>
          <w:rStyle w:val="Znakapoznpodarou"/>
          <w:rFonts w:asciiTheme="minorHAnsi" w:hAnsiTheme="minorHAnsi" w:cstheme="minorHAnsi"/>
        </w:rPr>
        <w:footnoteRef/>
      </w:r>
      <w:r w:rsidRPr="00020A54">
        <w:rPr>
          <w:rFonts w:asciiTheme="minorHAnsi" w:hAnsiTheme="minorHAnsi" w:cstheme="minorHAnsi"/>
        </w:rPr>
        <w:t xml:space="preserve"> </w:t>
      </w:r>
      <w:r>
        <w:rPr>
          <w:rFonts w:asciiTheme="minorHAnsi" w:hAnsiTheme="minorHAnsi" w:cstheme="minorHAnsi"/>
        </w:rPr>
        <w:tab/>
      </w:r>
      <w:r w:rsidRPr="00020A54">
        <w:rPr>
          <w:rFonts w:asciiTheme="minorHAnsi" w:hAnsiTheme="minorHAnsi" w:cstheme="minorHAnsi"/>
        </w:rPr>
        <w:t>Akce 101V01100005 – „</w:t>
      </w:r>
      <w:r w:rsidRPr="00F47282">
        <w:rPr>
          <w:rFonts w:asciiTheme="minorHAnsi" w:hAnsiTheme="minorHAnsi" w:cstheme="minorHAnsi"/>
          <w:i/>
        </w:rPr>
        <w:t>Obvodová ochrana areálu Pražského hradu – vstup osob a vjezd vozidel</w:t>
      </w:r>
      <w:r w:rsidRPr="00020A54">
        <w:rPr>
          <w:rFonts w:asciiTheme="minorHAnsi" w:hAnsiTheme="minorHAnsi" w:cstheme="minorHAnsi"/>
        </w:rPr>
        <w:t>“ a akce 101V012000023 – „</w:t>
      </w:r>
      <w:r w:rsidRPr="00F47282">
        <w:rPr>
          <w:rFonts w:asciiTheme="minorHAnsi" w:hAnsiTheme="minorHAnsi" w:cstheme="minorHAnsi"/>
          <w:i/>
        </w:rPr>
        <w:t>Vikárka – stavební úpravy objektů (č. p. 38, 39, 40, 198)</w:t>
      </w:r>
      <w:r w:rsidRPr="00020A54">
        <w:rPr>
          <w:rFonts w:asciiTheme="minorHAnsi" w:hAnsiTheme="minorHAnsi" w:cstheme="minorHAnsi"/>
        </w:rPr>
        <w:t>“</w:t>
      </w:r>
      <w:r>
        <w:rPr>
          <w:rFonts w:asciiTheme="minorHAnsi" w:hAnsiTheme="minorHAnsi" w:cstheme="minorHAnsi"/>
        </w:rPr>
        <w:t>.</w:t>
      </w:r>
    </w:p>
  </w:footnote>
  <w:footnote w:id="14">
    <w:p w14:paraId="251CDDDD" w14:textId="60E523DA" w:rsidR="000B17A7" w:rsidRPr="006D407B" w:rsidRDefault="000B17A7" w:rsidP="00F43218">
      <w:pPr>
        <w:pStyle w:val="Textpoznpodarou"/>
        <w:ind w:left="284" w:hanging="284"/>
        <w:jc w:val="both"/>
        <w:rPr>
          <w:rFonts w:asciiTheme="minorHAnsi" w:hAnsiTheme="minorHAnsi" w:cstheme="minorHAnsi"/>
        </w:rPr>
      </w:pPr>
      <w:r w:rsidRPr="006D407B">
        <w:rPr>
          <w:rStyle w:val="Znakapoznpodarou"/>
          <w:rFonts w:asciiTheme="minorHAnsi" w:hAnsiTheme="minorHAnsi" w:cstheme="minorHAnsi"/>
        </w:rPr>
        <w:footnoteRef/>
      </w:r>
      <w:r w:rsidRPr="006D407B">
        <w:rPr>
          <w:rFonts w:asciiTheme="minorHAnsi" w:hAnsiTheme="minorHAnsi" w:cstheme="minorHAnsi"/>
        </w:rPr>
        <w:t xml:space="preserve"> </w:t>
      </w:r>
      <w:r>
        <w:rPr>
          <w:rFonts w:asciiTheme="minorHAnsi" w:hAnsiTheme="minorHAnsi" w:cstheme="minorHAnsi"/>
        </w:rPr>
        <w:tab/>
      </w:r>
      <w:r w:rsidRPr="006D407B">
        <w:rPr>
          <w:rFonts w:asciiTheme="minorHAnsi" w:hAnsiTheme="minorHAnsi" w:cstheme="minorHAnsi"/>
        </w:rPr>
        <w:t>„</w:t>
      </w:r>
      <w:r w:rsidRPr="006D407B">
        <w:rPr>
          <w:rFonts w:asciiTheme="minorHAnsi" w:hAnsiTheme="minorHAnsi" w:cstheme="minorHAnsi"/>
          <w:i/>
        </w:rPr>
        <w:t xml:space="preserve">Trvalá péče o areál Pražského hradu a zvýšení kvality prostředí </w:t>
      </w:r>
      <w:r w:rsidRPr="00F47282">
        <w:rPr>
          <w:rFonts w:asciiTheme="minorHAnsi" w:hAnsiTheme="minorHAnsi" w:cstheme="minorHAnsi"/>
          <w:i/>
        </w:rPr>
        <w:t>–</w:t>
      </w:r>
      <w:r w:rsidRPr="006D407B">
        <w:rPr>
          <w:rFonts w:asciiTheme="minorHAnsi" w:hAnsiTheme="minorHAnsi" w:cstheme="minorHAnsi"/>
          <w:i/>
        </w:rPr>
        <w:t xml:space="preserve"> rekonstrukce stávajících objektů</w:t>
      </w:r>
      <w:r w:rsidRPr="00020A54">
        <w:rPr>
          <w:rFonts w:asciiTheme="minorHAnsi" w:hAnsiTheme="minorHAnsi" w:cstheme="minorHAnsi"/>
        </w:rPr>
        <w:t>“</w:t>
      </w:r>
      <w:r w:rsidRPr="006D407B">
        <w:rPr>
          <w:rFonts w:asciiTheme="minorHAnsi" w:hAnsiTheme="minorHAnsi" w:cstheme="minorHAnsi"/>
        </w:rPr>
        <w:t xml:space="preserve"> nastavila KPR výchozí stav indikátoru na hodnotu 96</w:t>
      </w:r>
      <w:r>
        <w:rPr>
          <w:rFonts w:asciiTheme="minorHAnsi" w:hAnsiTheme="minorHAnsi" w:cstheme="minorHAnsi"/>
        </w:rPr>
        <w:t> </w:t>
      </w:r>
      <w:r w:rsidRPr="006D407B">
        <w:rPr>
          <w:rFonts w:asciiTheme="minorHAnsi" w:hAnsiTheme="minorHAnsi" w:cstheme="minorHAnsi"/>
        </w:rPr>
        <w:t>% a cílový stav na hodnotu 97</w:t>
      </w:r>
      <w:r>
        <w:rPr>
          <w:rFonts w:asciiTheme="minorHAnsi" w:hAnsiTheme="minorHAnsi" w:cstheme="minorHAnsi"/>
        </w:rPr>
        <w:t> </w:t>
      </w:r>
      <w:r w:rsidRPr="006D407B">
        <w:rPr>
          <w:rFonts w:asciiTheme="minorHAnsi" w:hAnsiTheme="minorHAnsi" w:cstheme="minorHAnsi"/>
        </w:rPr>
        <w:t>%</w:t>
      </w:r>
      <w:r>
        <w:rPr>
          <w:rFonts w:asciiTheme="minorHAnsi" w:hAnsiTheme="minorHAnsi" w:cstheme="minorHAnsi"/>
        </w:rPr>
        <w:t>.</w:t>
      </w:r>
    </w:p>
  </w:footnote>
  <w:footnote w:id="15">
    <w:p w14:paraId="5F783D73" w14:textId="6C9539E0" w:rsidR="000B17A7" w:rsidRPr="006D407B" w:rsidRDefault="000B17A7" w:rsidP="00F43218">
      <w:pPr>
        <w:spacing w:after="0"/>
        <w:ind w:left="284" w:hanging="284"/>
        <w:jc w:val="both"/>
        <w:rPr>
          <w:sz w:val="20"/>
          <w:szCs w:val="20"/>
        </w:rPr>
      </w:pPr>
      <w:r w:rsidRPr="006D407B">
        <w:rPr>
          <w:rStyle w:val="Znakapoznpodarou"/>
          <w:sz w:val="20"/>
          <w:szCs w:val="20"/>
        </w:rPr>
        <w:footnoteRef/>
      </w:r>
      <w:r w:rsidRPr="006D407B">
        <w:rPr>
          <w:sz w:val="20"/>
          <w:szCs w:val="20"/>
        </w:rPr>
        <w:t xml:space="preserve"> </w:t>
      </w:r>
      <w:r>
        <w:rPr>
          <w:sz w:val="20"/>
          <w:szCs w:val="20"/>
        </w:rPr>
        <w:tab/>
        <w:t>P</w:t>
      </w:r>
      <w:r w:rsidRPr="006D407B">
        <w:rPr>
          <w:rFonts w:eastAsia="Times New Roman" w:cstheme="minorHAnsi"/>
          <w:sz w:val="20"/>
          <w:szCs w:val="20"/>
        </w:rPr>
        <w:t>arametr</w:t>
      </w:r>
      <w:r w:rsidRPr="006D407B">
        <w:rPr>
          <w:rFonts w:eastAsia="Times New Roman" w:cstheme="minorHAnsi"/>
          <w:b/>
          <w:sz w:val="20"/>
          <w:szCs w:val="20"/>
        </w:rPr>
        <w:t xml:space="preserve"> </w:t>
      </w:r>
      <w:r w:rsidRPr="006D407B">
        <w:rPr>
          <w:rFonts w:eastAsia="Times New Roman" w:cstheme="minorHAnsi"/>
          <w:sz w:val="20"/>
          <w:szCs w:val="20"/>
        </w:rPr>
        <w:t xml:space="preserve">např. </w:t>
      </w:r>
      <w:r w:rsidRPr="006D407B">
        <w:rPr>
          <w:rFonts w:eastAsia="Times New Roman" w:cstheme="minorHAnsi"/>
          <w:i/>
          <w:sz w:val="20"/>
          <w:szCs w:val="20"/>
        </w:rPr>
        <w:t xml:space="preserve">Plochy provozního zázemí </w:t>
      </w:r>
      <w:r w:rsidRPr="006D407B">
        <w:rPr>
          <w:rFonts w:eastAsia="Times New Roman" w:cstheme="minorHAnsi"/>
          <w:sz w:val="20"/>
          <w:szCs w:val="20"/>
        </w:rPr>
        <w:t>–</w:t>
      </w:r>
      <w:r w:rsidRPr="006D407B">
        <w:rPr>
          <w:rFonts w:eastAsia="Times New Roman" w:cstheme="minorHAnsi"/>
          <w:i/>
          <w:sz w:val="20"/>
          <w:szCs w:val="20"/>
        </w:rPr>
        <w:t xml:space="preserve"> </w:t>
      </w:r>
      <w:r w:rsidRPr="006D407B">
        <w:rPr>
          <w:rFonts w:eastAsia="Times New Roman" w:cstheme="minorHAnsi"/>
          <w:sz w:val="20"/>
          <w:szCs w:val="20"/>
        </w:rPr>
        <w:t>počáteční a zároveň i cílový stav parametru – „</w:t>
      </w:r>
      <w:r w:rsidRPr="006D407B">
        <w:rPr>
          <w:rFonts w:eastAsia="Times New Roman" w:cstheme="minorHAnsi"/>
          <w:i/>
          <w:sz w:val="20"/>
          <w:szCs w:val="20"/>
        </w:rPr>
        <w:t>orientační hodnota: 3 078 m</w:t>
      </w:r>
      <w:r w:rsidRPr="006D407B">
        <w:rPr>
          <w:rFonts w:eastAsia="Times New Roman" w:cstheme="minorHAnsi"/>
          <w:i/>
          <w:sz w:val="20"/>
          <w:szCs w:val="20"/>
          <w:vertAlign w:val="superscript"/>
        </w:rPr>
        <w:t>2</w:t>
      </w:r>
      <w:r w:rsidRPr="00B20B23">
        <w:rPr>
          <w:rFonts w:eastAsia="Times New Roman" w:cstheme="minorHAnsi"/>
          <w:sz w:val="20"/>
          <w:szCs w:val="20"/>
        </w:rPr>
        <w:t>“</w:t>
      </w:r>
      <w:r w:rsidRPr="006D407B">
        <w:rPr>
          <w:rFonts w:eastAsia="Times New Roman" w:cstheme="minorHAnsi"/>
          <w:sz w:val="20"/>
          <w:szCs w:val="20"/>
        </w:rPr>
        <w:t xml:space="preserve">. </w:t>
      </w:r>
    </w:p>
  </w:footnote>
  <w:footnote w:id="16">
    <w:p w14:paraId="22DA60A3" w14:textId="47543E30" w:rsidR="000B17A7" w:rsidRPr="00020A54" w:rsidRDefault="000B17A7" w:rsidP="00F43218">
      <w:pPr>
        <w:pStyle w:val="Textpoznpodarou"/>
        <w:ind w:left="284" w:hanging="284"/>
        <w:jc w:val="both"/>
        <w:rPr>
          <w:rFonts w:asciiTheme="minorHAnsi" w:hAnsiTheme="minorHAnsi" w:cstheme="minorHAnsi"/>
        </w:rPr>
      </w:pPr>
      <w:r w:rsidRPr="00020A54">
        <w:rPr>
          <w:rStyle w:val="Znakapoznpodarou"/>
          <w:rFonts w:asciiTheme="minorHAnsi" w:hAnsiTheme="minorHAnsi" w:cstheme="minorHAnsi"/>
        </w:rPr>
        <w:footnoteRef/>
      </w:r>
      <w:r w:rsidRPr="00020A54">
        <w:rPr>
          <w:rFonts w:asciiTheme="minorHAnsi" w:hAnsiTheme="minorHAnsi" w:cstheme="minorHAnsi"/>
        </w:rPr>
        <w:t xml:space="preserve"> </w:t>
      </w:r>
      <w:r>
        <w:rPr>
          <w:rFonts w:asciiTheme="minorHAnsi" w:hAnsiTheme="minorHAnsi" w:cstheme="minorHAnsi"/>
        </w:rPr>
        <w:tab/>
      </w:r>
      <w:r w:rsidRPr="00020A54">
        <w:rPr>
          <w:rFonts w:asciiTheme="minorHAnsi" w:hAnsiTheme="minorHAnsi" w:cstheme="minorHAnsi"/>
        </w:rPr>
        <w:t>Akce 001V01200O001 – „</w:t>
      </w:r>
      <w:r w:rsidRPr="00F47282">
        <w:rPr>
          <w:rFonts w:asciiTheme="minorHAnsi" w:hAnsiTheme="minorHAnsi" w:cstheme="minorHAnsi"/>
          <w:i/>
        </w:rPr>
        <w:t>Rekonstrukce hájovny u Pilského rybníka</w:t>
      </w:r>
      <w:r w:rsidRPr="00020A54">
        <w:rPr>
          <w:rFonts w:asciiTheme="minorHAnsi" w:hAnsiTheme="minorHAnsi" w:cstheme="minorHAnsi"/>
        </w:rPr>
        <w:t>“</w:t>
      </w:r>
      <w:r>
        <w:rPr>
          <w:rFonts w:asciiTheme="minorHAnsi" w:hAnsiTheme="minorHAnsi" w:cstheme="minorHAnsi"/>
        </w:rPr>
        <w:t>.</w:t>
      </w:r>
    </w:p>
  </w:footnote>
  <w:footnote w:id="17">
    <w:p w14:paraId="2EBA0A5C" w14:textId="4D3072FD" w:rsidR="000B17A7" w:rsidRPr="00020A54" w:rsidRDefault="000B17A7" w:rsidP="00F43218">
      <w:pPr>
        <w:pStyle w:val="Textpoznpodarou"/>
        <w:ind w:left="284" w:hanging="284"/>
        <w:jc w:val="both"/>
        <w:rPr>
          <w:rFonts w:asciiTheme="minorHAnsi" w:hAnsiTheme="minorHAnsi" w:cstheme="minorHAnsi"/>
        </w:rPr>
      </w:pPr>
      <w:r w:rsidRPr="00020A54">
        <w:rPr>
          <w:rStyle w:val="Znakapoznpodarou"/>
          <w:rFonts w:asciiTheme="minorHAnsi" w:hAnsiTheme="minorHAnsi" w:cstheme="minorHAnsi"/>
        </w:rPr>
        <w:footnoteRef/>
      </w:r>
      <w:r>
        <w:rPr>
          <w:rFonts w:asciiTheme="minorHAnsi" w:hAnsiTheme="minorHAnsi" w:cstheme="minorHAnsi"/>
        </w:rPr>
        <w:t xml:space="preserve"> </w:t>
      </w:r>
      <w:r>
        <w:rPr>
          <w:rFonts w:asciiTheme="minorHAnsi" w:hAnsiTheme="minorHAnsi" w:cstheme="minorHAnsi"/>
        </w:rPr>
        <w:tab/>
      </w:r>
      <w:r w:rsidRPr="00020A54">
        <w:rPr>
          <w:rFonts w:asciiTheme="minorHAnsi" w:hAnsiTheme="minorHAnsi" w:cstheme="minorHAnsi"/>
        </w:rPr>
        <w:t>Zákon č. 157/1994 Sb., o státních vyznamenáních České republiky</w:t>
      </w:r>
      <w:r>
        <w:rPr>
          <w:rFonts w:asciiTheme="minorHAnsi" w:hAnsiTheme="minorHAnsi" w:cstheme="minorHAnsi"/>
        </w:rPr>
        <w:t xml:space="preserve"> (dále také „zákon o státních vyznamenáních</w:t>
      </w:r>
      <w:r w:rsidRPr="00764C72">
        <w:rPr>
          <w:rFonts w:asciiTheme="minorHAnsi" w:hAnsiTheme="minorHAnsi" w:cstheme="minorHAnsi"/>
        </w:rPr>
        <w:t>“), zákon č. 219/2000 Sb.</w:t>
      </w:r>
      <w:r>
        <w:rPr>
          <w:rFonts w:asciiTheme="minorHAnsi" w:hAnsiTheme="minorHAnsi" w:cstheme="minorHAnsi"/>
        </w:rPr>
        <w:t>, o majetku České republiky a jejím vystupování v právních vztazích (dále také „zákon o majetku“)</w:t>
      </w:r>
      <w:r w:rsidRPr="00764C72">
        <w:rPr>
          <w:rFonts w:asciiTheme="minorHAnsi" w:hAnsiTheme="minorHAnsi" w:cstheme="minorHAnsi"/>
        </w:rPr>
        <w:t xml:space="preserve">, zákon č. 218/2000 Sb., </w:t>
      </w:r>
      <w:r>
        <w:rPr>
          <w:rFonts w:asciiTheme="minorHAnsi" w:hAnsiTheme="minorHAnsi" w:cstheme="minorHAnsi"/>
        </w:rPr>
        <w:t xml:space="preserve">o rozpočtových pravidlech a o změně některých souvisejících zákonů (rozpočtová pravidla), </w:t>
      </w:r>
      <w:r w:rsidRPr="00764C72">
        <w:rPr>
          <w:rFonts w:asciiTheme="minorHAnsi" w:hAnsiTheme="minorHAnsi" w:cstheme="minorHAnsi"/>
        </w:rPr>
        <w:t>zákon č. 320/2001 Sb.</w:t>
      </w:r>
    </w:p>
  </w:footnote>
  <w:footnote w:id="18">
    <w:p w14:paraId="322C274A" w14:textId="56B83E62" w:rsidR="000B17A7" w:rsidRDefault="000B17A7" w:rsidP="00F43218">
      <w:pPr>
        <w:pStyle w:val="Textpoznpodarou"/>
        <w:ind w:left="284" w:hanging="284"/>
      </w:pPr>
      <w:r>
        <w:rPr>
          <w:rStyle w:val="Znakapoznpodarou"/>
        </w:rPr>
        <w:footnoteRef/>
      </w:r>
      <w:r>
        <w:t xml:space="preserve"> </w:t>
      </w:r>
      <w:r>
        <w:tab/>
      </w:r>
      <w:r w:rsidRPr="00A14340">
        <w:rPr>
          <w:rFonts w:asciiTheme="minorHAnsi" w:hAnsiTheme="minorHAnsi"/>
        </w:rPr>
        <w:t>Zákon č. 563/1991 Sb., o účetnictví</w:t>
      </w:r>
      <w:r>
        <w:rPr>
          <w:rFonts w:asciiTheme="minorHAnsi" w:hAnsiTheme="minorHAnsi"/>
        </w:rPr>
        <w:t>.</w:t>
      </w:r>
    </w:p>
  </w:footnote>
  <w:footnote w:id="19">
    <w:p w14:paraId="62EC20BD" w14:textId="7A2F1780" w:rsidR="000B17A7" w:rsidRPr="00020A54" w:rsidRDefault="000B17A7" w:rsidP="00F43218">
      <w:pPr>
        <w:pStyle w:val="Textpoznpodarou"/>
        <w:ind w:left="284" w:hanging="284"/>
        <w:jc w:val="both"/>
        <w:rPr>
          <w:rFonts w:asciiTheme="minorHAnsi" w:hAnsiTheme="minorHAnsi" w:cstheme="minorHAnsi"/>
        </w:rPr>
      </w:pPr>
      <w:r w:rsidRPr="005074E2">
        <w:rPr>
          <w:rStyle w:val="Znakapoznpodarou"/>
          <w:rFonts w:asciiTheme="minorHAnsi" w:hAnsiTheme="minorHAnsi" w:cstheme="minorHAnsi"/>
        </w:rPr>
        <w:footnoteRef/>
      </w:r>
      <w:r w:rsidRPr="005074E2">
        <w:rPr>
          <w:rFonts w:asciiTheme="minorHAnsi" w:hAnsiTheme="minorHAnsi" w:cstheme="minorHAnsi"/>
        </w:rPr>
        <w:t xml:space="preserve"> </w:t>
      </w:r>
      <w:r>
        <w:rPr>
          <w:rFonts w:asciiTheme="minorHAnsi" w:hAnsiTheme="minorHAnsi" w:cstheme="minorHAnsi"/>
        </w:rPr>
        <w:tab/>
      </w:r>
      <w:r w:rsidRPr="005074E2">
        <w:rPr>
          <w:rFonts w:asciiTheme="minorHAnsi" w:hAnsiTheme="minorHAnsi" w:cstheme="minorHAnsi"/>
        </w:rPr>
        <w:t>Řád Bílého lva a Řád T. G. Masaryka</w:t>
      </w:r>
      <w:r>
        <w:rPr>
          <w:rFonts w:asciiTheme="minorHAnsi" w:hAnsiTheme="minorHAnsi" w:cstheme="minorHAnsi"/>
        </w:rPr>
        <w:t>.</w:t>
      </w:r>
      <w:r w:rsidRPr="00020A54">
        <w:rPr>
          <w:rFonts w:asciiTheme="minorHAnsi" w:hAnsiTheme="minorHAnsi" w:cstheme="minorHAnsi"/>
        </w:rPr>
        <w:t xml:space="preserve"> </w:t>
      </w:r>
    </w:p>
  </w:footnote>
  <w:footnote w:id="20">
    <w:p w14:paraId="17B0F138" w14:textId="77777777" w:rsidR="000B17A7" w:rsidRPr="00BC5653" w:rsidRDefault="000B17A7" w:rsidP="00F43218">
      <w:pPr>
        <w:pStyle w:val="Textpoznpodarou"/>
        <w:ind w:left="284" w:hanging="284"/>
        <w:rPr>
          <w:rFonts w:asciiTheme="minorHAnsi" w:hAnsiTheme="minorHAnsi" w:cstheme="minorHAnsi"/>
        </w:rPr>
      </w:pPr>
      <w:r w:rsidRPr="00B82515">
        <w:rPr>
          <w:rStyle w:val="Znakapoznpodarou"/>
          <w:rFonts w:asciiTheme="minorHAnsi" w:hAnsiTheme="minorHAnsi" w:cstheme="minorHAnsi"/>
        </w:rPr>
        <w:footnoteRef/>
      </w:r>
      <w:r w:rsidRPr="00B82515">
        <w:rPr>
          <w:rFonts w:asciiTheme="minorHAnsi" w:hAnsiTheme="minorHAnsi" w:cstheme="minorHAnsi"/>
        </w:rPr>
        <w:t xml:space="preserve"> </w:t>
      </w:r>
      <w:r>
        <w:rPr>
          <w:rFonts w:asciiTheme="minorHAnsi" w:hAnsiTheme="minorHAnsi" w:cstheme="minorHAnsi"/>
        </w:rPr>
        <w:tab/>
      </w:r>
      <w:r w:rsidRPr="00BC5653">
        <w:rPr>
          <w:rFonts w:asciiTheme="minorHAnsi" w:hAnsiTheme="minorHAnsi" w:cstheme="minorHAnsi"/>
        </w:rPr>
        <w:t>Ustanovení § 2 odst. 1 zákona č. 563/1991 Sb.</w:t>
      </w:r>
    </w:p>
  </w:footnote>
  <w:footnote w:id="21">
    <w:p w14:paraId="7A229CCD" w14:textId="753E13B5" w:rsidR="000B17A7" w:rsidRPr="00C91110" w:rsidRDefault="000B17A7" w:rsidP="00F43218">
      <w:pPr>
        <w:pStyle w:val="Textpoznpodarou"/>
        <w:ind w:left="284" w:hanging="284"/>
        <w:rPr>
          <w:rFonts w:asciiTheme="minorHAnsi" w:hAnsiTheme="minorHAnsi" w:cstheme="minorHAnsi"/>
        </w:rPr>
      </w:pPr>
      <w:r>
        <w:rPr>
          <w:rStyle w:val="Znakapoznpodarou"/>
        </w:rPr>
        <w:footnoteRef/>
      </w:r>
      <w:r>
        <w:t xml:space="preserve"> </w:t>
      </w:r>
      <w:r>
        <w:tab/>
      </w:r>
      <w:r w:rsidRPr="00C91110">
        <w:rPr>
          <w:rFonts w:asciiTheme="minorHAnsi" w:hAnsiTheme="minorHAnsi" w:cstheme="minorHAnsi"/>
        </w:rPr>
        <w:t>Vyhláška č. 410/2009 Sb., kterou se provádějí některá ustanovení zákona č. 563/1991 Sb., o účetnictví, ve znění pozdějších předpisů, pro některé vybrané účetní jednotky</w:t>
      </w:r>
      <w:r>
        <w:rPr>
          <w:rFonts w:asciiTheme="minorHAnsi" w:hAnsiTheme="minorHAnsi" w:cstheme="minorHAnsi"/>
        </w:rPr>
        <w:t>.</w:t>
      </w:r>
    </w:p>
  </w:footnote>
  <w:footnote w:id="22">
    <w:p w14:paraId="1CE64BCD" w14:textId="77777777" w:rsidR="000B17A7" w:rsidRDefault="000B17A7" w:rsidP="00B13E29">
      <w:pPr>
        <w:pStyle w:val="Textpoznpodarou"/>
        <w:ind w:left="284" w:hanging="284"/>
        <w:rPr>
          <w:rFonts w:ascii="Calibri" w:hAnsi="Calibri" w:cs="Calibri"/>
        </w:rPr>
      </w:pPr>
      <w:r>
        <w:rPr>
          <w:rStyle w:val="Znakapoznpodarou"/>
          <w:rFonts w:ascii="Calibri" w:eastAsiaTheme="majorEastAsia" w:hAnsi="Calibri" w:cs="Calibri"/>
        </w:rPr>
        <w:footnoteRef/>
      </w:r>
      <w:r>
        <w:rPr>
          <w:rFonts w:ascii="Calibri" w:hAnsi="Calibri" w:cs="Calibri"/>
        </w:rPr>
        <w:t xml:space="preserve"> </w:t>
      </w:r>
      <w:r>
        <w:rPr>
          <w:rFonts w:ascii="Calibri" w:hAnsi="Calibri" w:cs="Calibri"/>
        </w:rPr>
        <w:tab/>
        <w:t>Ustanovení § 53 odst. 4 zákona č. 218/2000 Sb.</w:t>
      </w:r>
    </w:p>
  </w:footnote>
  <w:footnote w:id="23">
    <w:p w14:paraId="49F6BD88" w14:textId="24723EBB" w:rsidR="000B17A7" w:rsidRPr="00C91110" w:rsidRDefault="000B17A7" w:rsidP="00B13E29">
      <w:pPr>
        <w:pStyle w:val="Textpoznpodarou"/>
        <w:ind w:left="284" w:hanging="284"/>
        <w:jc w:val="both"/>
        <w:rPr>
          <w:rFonts w:asciiTheme="minorHAnsi" w:hAnsiTheme="minorHAnsi" w:cstheme="minorHAnsi"/>
          <w:i/>
        </w:rPr>
      </w:pPr>
      <w:r>
        <w:rPr>
          <w:rStyle w:val="Znakapoznpodarou"/>
          <w:rFonts w:ascii="Calibri" w:eastAsiaTheme="majorEastAsia" w:hAnsi="Calibri"/>
        </w:rPr>
        <w:footnoteRef/>
      </w:r>
      <w:r>
        <w:rPr>
          <w:rFonts w:ascii="Calibri" w:hAnsi="Calibri"/>
        </w:rPr>
        <w:t xml:space="preserve"> </w:t>
      </w:r>
      <w:r>
        <w:rPr>
          <w:rFonts w:ascii="Calibri" w:hAnsi="Calibri"/>
        </w:rPr>
        <w:tab/>
        <w:t xml:space="preserve">Akce </w:t>
      </w:r>
      <w:r w:rsidRPr="00820B56">
        <w:rPr>
          <w:rFonts w:asciiTheme="minorHAnsi" w:hAnsiTheme="minorHAnsi" w:cstheme="minorHAnsi"/>
        </w:rPr>
        <w:t xml:space="preserve">101V012000023 </w:t>
      </w:r>
      <w:r>
        <w:rPr>
          <w:rFonts w:asciiTheme="minorHAnsi" w:hAnsiTheme="minorHAnsi" w:cstheme="minorHAnsi"/>
        </w:rPr>
        <w:t>„</w:t>
      </w:r>
      <w:r w:rsidRPr="00C91110">
        <w:rPr>
          <w:rFonts w:asciiTheme="minorHAnsi" w:hAnsiTheme="minorHAnsi" w:cstheme="minorHAnsi"/>
          <w:i/>
        </w:rPr>
        <w:t>VIKÁRKA – stavební úpravy objektů (č.</w:t>
      </w:r>
      <w:r>
        <w:rPr>
          <w:rFonts w:asciiTheme="minorHAnsi" w:hAnsiTheme="minorHAnsi" w:cstheme="minorHAnsi"/>
          <w:i/>
        </w:rPr>
        <w:t> </w:t>
      </w:r>
      <w:r w:rsidRPr="00C91110">
        <w:rPr>
          <w:rFonts w:asciiTheme="minorHAnsi" w:hAnsiTheme="minorHAnsi" w:cstheme="minorHAnsi"/>
          <w:i/>
        </w:rPr>
        <w:t>p. 38, 39, 40, 198)</w:t>
      </w:r>
      <w:r>
        <w:rPr>
          <w:rFonts w:asciiTheme="minorHAnsi" w:hAnsiTheme="minorHAnsi" w:cstheme="minorHAnsi"/>
        </w:rPr>
        <w:t>“</w:t>
      </w:r>
      <w:r w:rsidRPr="00820B56">
        <w:rPr>
          <w:rFonts w:asciiTheme="minorHAnsi" w:hAnsiTheme="minorHAnsi" w:cstheme="minorHAnsi"/>
        </w:rPr>
        <w:t xml:space="preserve"> a 101V012000020 </w:t>
      </w:r>
      <w:r>
        <w:rPr>
          <w:rFonts w:asciiTheme="minorHAnsi" w:hAnsiTheme="minorHAnsi" w:cstheme="minorHAnsi"/>
        </w:rPr>
        <w:t>„</w:t>
      </w:r>
      <w:r w:rsidRPr="00C91110">
        <w:rPr>
          <w:rFonts w:asciiTheme="minorHAnsi" w:hAnsiTheme="minorHAnsi" w:cstheme="minorHAnsi"/>
          <w:i/>
        </w:rPr>
        <w:t>Nejvyšší purkrabství Pražského hradu</w:t>
      </w:r>
      <w:r w:rsidRPr="00B20B23">
        <w:rPr>
          <w:rFonts w:asciiTheme="minorHAnsi" w:hAnsiTheme="minorHAnsi" w:cstheme="minorHAnsi"/>
        </w:rPr>
        <w:t>“</w:t>
      </w:r>
      <w:r>
        <w:rPr>
          <w:rFonts w:asciiTheme="minorHAnsi" w:hAnsiTheme="minorHAnsi" w:cstheme="minorHAnsi"/>
        </w:rPr>
        <w:t>.</w:t>
      </w:r>
    </w:p>
  </w:footnote>
  <w:footnote w:id="24">
    <w:p w14:paraId="19D1DDE1" w14:textId="2411A940" w:rsidR="000B17A7" w:rsidRDefault="000B17A7" w:rsidP="00B13E29">
      <w:pPr>
        <w:pStyle w:val="Textpoznpodarou"/>
        <w:ind w:left="284" w:hanging="284"/>
        <w:jc w:val="both"/>
        <w:rPr>
          <w:rFonts w:ascii="Calibri" w:hAnsi="Calibri"/>
        </w:rPr>
      </w:pPr>
      <w:r>
        <w:rPr>
          <w:rStyle w:val="Znakapoznpodarou"/>
          <w:rFonts w:ascii="Calibri" w:eastAsiaTheme="majorEastAsia" w:hAnsi="Calibri"/>
        </w:rPr>
        <w:footnoteRef/>
      </w:r>
      <w:r>
        <w:rPr>
          <w:rFonts w:ascii="Calibri" w:hAnsi="Calibri"/>
        </w:rPr>
        <w:t xml:space="preserve"> </w:t>
      </w:r>
      <w:r>
        <w:rPr>
          <w:rFonts w:ascii="Calibri" w:hAnsi="Calibri"/>
        </w:rPr>
        <w:tab/>
        <w:t>Registrace akce a rozhodnutí o poskytnutí dotace.</w:t>
      </w:r>
    </w:p>
  </w:footnote>
  <w:footnote w:id="25">
    <w:p w14:paraId="2339C18E" w14:textId="77777777" w:rsidR="000B17A7" w:rsidRDefault="000B17A7" w:rsidP="00B13E29">
      <w:pPr>
        <w:pStyle w:val="Textpoznpodarou"/>
        <w:ind w:left="284" w:hanging="284"/>
        <w:rPr>
          <w:rFonts w:asciiTheme="minorHAnsi" w:hAnsiTheme="minorHAnsi" w:cstheme="minorHAnsi"/>
        </w:rPr>
      </w:pPr>
      <w:r>
        <w:rPr>
          <w:rStyle w:val="Znakapoznpodarou"/>
          <w:rFonts w:asciiTheme="minorHAnsi" w:eastAsiaTheme="majorEastAsia" w:hAnsiTheme="minorHAnsi" w:cstheme="minorHAnsi"/>
        </w:rPr>
        <w:footnoteRef/>
      </w:r>
      <w:r>
        <w:rPr>
          <w:rFonts w:asciiTheme="minorHAnsi" w:hAnsiTheme="minorHAnsi" w:cstheme="minorHAnsi"/>
        </w:rPr>
        <w:t xml:space="preserve"> </w:t>
      </w:r>
      <w:r>
        <w:rPr>
          <w:rFonts w:asciiTheme="minorHAnsi" w:hAnsiTheme="minorHAnsi" w:cstheme="minorHAnsi"/>
        </w:rPr>
        <w:tab/>
        <w:t>Ustanovení § 3 odst. 1 zákona č. 563/1991 Sb.</w:t>
      </w:r>
    </w:p>
  </w:footnote>
  <w:footnote w:id="26">
    <w:p w14:paraId="79C31CA1" w14:textId="77777777" w:rsidR="000B17A7" w:rsidRDefault="000B17A7" w:rsidP="00B13E29">
      <w:pPr>
        <w:pStyle w:val="Textpoznpodarou"/>
        <w:ind w:left="284" w:hanging="284"/>
        <w:jc w:val="both"/>
      </w:pPr>
      <w:r w:rsidRPr="002D4DDC">
        <w:rPr>
          <w:rStyle w:val="Znakapoznpodarou"/>
          <w:rFonts w:asciiTheme="minorHAnsi" w:eastAsiaTheme="majorEastAsia" w:hAnsiTheme="minorHAnsi" w:cstheme="minorHAnsi"/>
        </w:rPr>
        <w:footnoteRef/>
      </w:r>
      <w:r w:rsidRPr="002D4DDC">
        <w:rPr>
          <w:rFonts w:asciiTheme="minorHAnsi" w:hAnsiTheme="minorHAnsi" w:cstheme="minorHAnsi"/>
        </w:rPr>
        <w:t xml:space="preserve"> </w:t>
      </w:r>
      <w:r>
        <w:rPr>
          <w:rFonts w:asciiTheme="minorHAnsi" w:hAnsiTheme="minorHAnsi" w:cstheme="minorHAnsi"/>
        </w:rPr>
        <w:tab/>
      </w:r>
      <w:r w:rsidRPr="002D4DDC">
        <w:rPr>
          <w:rFonts w:asciiTheme="minorHAnsi" w:hAnsiTheme="minorHAnsi" w:cstheme="minorHAnsi"/>
        </w:rPr>
        <w:t>Ustanovení § 25 odst. 5 písm. a) zákona č. 563/1991 Sb.</w:t>
      </w:r>
    </w:p>
  </w:footnote>
  <w:footnote w:id="27">
    <w:p w14:paraId="4D2E4798" w14:textId="77777777" w:rsidR="000B17A7" w:rsidRDefault="000B17A7" w:rsidP="00B13E29">
      <w:pPr>
        <w:pStyle w:val="Textpoznpodarou"/>
        <w:ind w:left="284" w:hanging="284"/>
        <w:rPr>
          <w:rFonts w:ascii="Calibri" w:hAnsi="Calibri" w:cs="Calibri"/>
        </w:rPr>
      </w:pPr>
      <w:r>
        <w:rPr>
          <w:rStyle w:val="Znakapoznpodarou"/>
          <w:rFonts w:ascii="Calibri" w:eastAsiaTheme="majorEastAsia" w:hAnsi="Calibri" w:cs="Calibri"/>
        </w:rPr>
        <w:footnoteRef/>
      </w:r>
      <w:r>
        <w:rPr>
          <w:rFonts w:ascii="Calibri" w:hAnsi="Calibri" w:cs="Calibri"/>
        </w:rPr>
        <w:t xml:space="preserve"> </w:t>
      </w:r>
      <w:r>
        <w:rPr>
          <w:rFonts w:ascii="Calibri" w:hAnsi="Calibri" w:cs="Calibri"/>
        </w:rPr>
        <w:tab/>
        <w:t xml:space="preserve">Ustanovení </w:t>
      </w:r>
      <w:r>
        <w:rPr>
          <w:rFonts w:ascii="Calibri" w:hAnsi="Calibri" w:cs="Calibri"/>
          <w:bCs/>
          <w:iCs/>
        </w:rPr>
        <w:t>§ 14 odst. 7 zákona č. 219/2000 Sb.</w:t>
      </w:r>
    </w:p>
  </w:footnote>
  <w:footnote w:id="28">
    <w:p w14:paraId="037D7CD9" w14:textId="77777777" w:rsidR="000B17A7" w:rsidRPr="008C6B6E" w:rsidRDefault="000B17A7" w:rsidP="00B13E29">
      <w:pPr>
        <w:pStyle w:val="Textpoznpodarou"/>
        <w:ind w:left="284" w:hanging="284"/>
        <w:jc w:val="both"/>
        <w:rPr>
          <w:rFonts w:asciiTheme="minorHAnsi" w:hAnsiTheme="minorHAnsi" w:cstheme="minorHAnsi"/>
        </w:rPr>
      </w:pPr>
      <w:r w:rsidRPr="000D66CD">
        <w:rPr>
          <w:rStyle w:val="Znakapoznpodarou"/>
          <w:rFonts w:asciiTheme="minorHAnsi" w:eastAsiaTheme="majorEastAsia" w:hAnsiTheme="minorHAnsi" w:cstheme="minorHAnsi"/>
        </w:rPr>
        <w:footnoteRef/>
      </w:r>
      <w:r w:rsidRPr="000D66CD">
        <w:rPr>
          <w:rFonts w:asciiTheme="minorHAnsi" w:hAnsiTheme="minorHAnsi" w:cstheme="minorHAnsi"/>
        </w:rPr>
        <w:t xml:space="preserve"> </w:t>
      </w:r>
      <w:r>
        <w:rPr>
          <w:rFonts w:asciiTheme="minorHAnsi" w:hAnsiTheme="minorHAnsi" w:cstheme="minorHAnsi"/>
        </w:rPr>
        <w:tab/>
      </w:r>
      <w:r w:rsidRPr="000D66CD">
        <w:rPr>
          <w:rFonts w:asciiTheme="minorHAnsi" w:hAnsiTheme="minorHAnsi" w:cstheme="minorHAnsi"/>
          <w:bCs/>
          <w:iCs/>
        </w:rPr>
        <w:t>Ustanovení § 29 odst. 1 a ustanovení § 30 odst. 1 zákona č. 563/1991 Sb.</w:t>
      </w:r>
    </w:p>
  </w:footnote>
  <w:footnote w:id="29">
    <w:p w14:paraId="002B3028" w14:textId="77777777" w:rsidR="000B17A7" w:rsidRDefault="000B17A7" w:rsidP="00F64587">
      <w:pPr>
        <w:pStyle w:val="Textpoznpodarou"/>
        <w:ind w:left="284" w:hanging="284"/>
        <w:rPr>
          <w:rFonts w:ascii="Calibri" w:hAnsi="Calibri" w:cs="Calibri"/>
        </w:rPr>
      </w:pPr>
      <w:r>
        <w:rPr>
          <w:rStyle w:val="Znakapoznpodarou"/>
          <w:rFonts w:ascii="Calibri" w:eastAsiaTheme="majorEastAsia" w:hAnsi="Calibri" w:cs="Calibri"/>
        </w:rPr>
        <w:footnoteRef/>
      </w:r>
      <w:r>
        <w:rPr>
          <w:rFonts w:ascii="Calibri" w:hAnsi="Calibri" w:cs="Calibri"/>
        </w:rPr>
        <w:t xml:space="preserve"> </w:t>
      </w:r>
      <w:r>
        <w:rPr>
          <w:rFonts w:ascii="Calibri" w:hAnsi="Calibri" w:cs="Calibri"/>
        </w:rPr>
        <w:tab/>
      </w:r>
      <w:r>
        <w:rPr>
          <w:rFonts w:ascii="Calibri" w:hAnsi="Calibri" w:cs="Calibri"/>
          <w:bCs/>
        </w:rPr>
        <w:t>Ustanovení § 14 odst. 2 zákona č. 219/2000 Sb.</w:t>
      </w:r>
    </w:p>
  </w:footnote>
  <w:footnote w:id="30">
    <w:p w14:paraId="13E31F2A" w14:textId="77777777" w:rsidR="000B17A7" w:rsidRPr="00D61CEA" w:rsidRDefault="000B17A7" w:rsidP="00F64587">
      <w:pPr>
        <w:pStyle w:val="Textpoznpodarou"/>
        <w:ind w:left="284" w:hanging="284"/>
        <w:rPr>
          <w:rFonts w:ascii="Calibri" w:hAnsi="Calibri"/>
        </w:rPr>
      </w:pPr>
      <w:r w:rsidRPr="00D61CEA">
        <w:rPr>
          <w:rStyle w:val="Znakapoznpodarou"/>
          <w:rFonts w:ascii="Calibri" w:eastAsiaTheme="majorEastAsia" w:hAnsi="Calibri"/>
        </w:rPr>
        <w:footnoteRef/>
      </w:r>
      <w:r w:rsidRPr="00D61CEA">
        <w:rPr>
          <w:rFonts w:ascii="Calibri" w:hAnsi="Calibri"/>
        </w:rPr>
        <w:t xml:space="preserve"> </w:t>
      </w:r>
      <w:r>
        <w:rPr>
          <w:rFonts w:ascii="Calibri" w:hAnsi="Calibri"/>
        </w:rPr>
        <w:tab/>
      </w:r>
      <w:r w:rsidRPr="00D61CEA">
        <w:rPr>
          <w:rFonts w:ascii="Calibri" w:hAnsi="Calibri" w:cstheme="minorHAnsi"/>
          <w:bCs/>
        </w:rPr>
        <w:t>K zahájení odpisování dochází po zaúčtování zařazení do</w:t>
      </w:r>
      <w:r>
        <w:rPr>
          <w:rFonts w:ascii="Calibri" w:hAnsi="Calibri" w:cstheme="minorHAnsi"/>
          <w:bCs/>
        </w:rPr>
        <w:t xml:space="preserve"> </w:t>
      </w:r>
      <w:r w:rsidRPr="00D61CEA">
        <w:rPr>
          <w:rFonts w:ascii="Calibri" w:hAnsi="Calibri" w:cstheme="minorHAnsi"/>
          <w:bCs/>
        </w:rPr>
        <w:t>majetku.</w:t>
      </w:r>
    </w:p>
  </w:footnote>
  <w:footnote w:id="31">
    <w:p w14:paraId="0B2F3D51" w14:textId="2DA10698" w:rsidR="000B17A7" w:rsidRPr="0094061C" w:rsidRDefault="000B17A7" w:rsidP="00F64587">
      <w:pPr>
        <w:pStyle w:val="Textpoznpodarou"/>
        <w:ind w:left="284" w:hanging="284"/>
        <w:jc w:val="both"/>
        <w:rPr>
          <w:rFonts w:asciiTheme="minorHAnsi" w:hAnsiTheme="minorHAnsi" w:cstheme="minorHAnsi"/>
        </w:rPr>
      </w:pPr>
      <w:r w:rsidRPr="0094061C">
        <w:rPr>
          <w:rStyle w:val="Znakapoznpodarou"/>
          <w:rFonts w:asciiTheme="minorHAnsi" w:hAnsiTheme="minorHAnsi" w:cstheme="minorHAnsi"/>
        </w:rPr>
        <w:footnoteRef/>
      </w:r>
      <w:r w:rsidRPr="0094061C">
        <w:rPr>
          <w:rFonts w:asciiTheme="minorHAnsi" w:hAnsiTheme="minorHAnsi" w:cstheme="minorHAnsi"/>
        </w:rPr>
        <w:t xml:space="preserve"> </w:t>
      </w:r>
      <w:r>
        <w:rPr>
          <w:rFonts w:asciiTheme="minorHAnsi" w:hAnsiTheme="minorHAnsi" w:cstheme="minorHAnsi"/>
        </w:rPr>
        <w:tab/>
      </w:r>
      <w:r w:rsidRPr="0094061C">
        <w:rPr>
          <w:rFonts w:asciiTheme="minorHAnsi" w:hAnsiTheme="minorHAnsi" w:cstheme="minorHAnsi"/>
        </w:rPr>
        <w:t>Zákon č. 320/2001 Sb. a vyhláška č. 416/2004 Sb., kterou se provádí zákon č. 320/2001 Sb., o finanční kontrole ve veřejné správě a o změně některých zákonů (zákon o finanční kontrole)</w:t>
      </w:r>
      <w:r>
        <w:rPr>
          <w:rFonts w:asciiTheme="minorHAnsi" w:hAnsiTheme="minorHAnsi" w:cstheme="minorHAnsi"/>
        </w:rPr>
        <w:t>.</w:t>
      </w:r>
    </w:p>
  </w:footnote>
  <w:footnote w:id="32">
    <w:p w14:paraId="2E5010F8" w14:textId="77777777" w:rsidR="000B17A7" w:rsidRPr="002D778E" w:rsidRDefault="000B17A7" w:rsidP="002D778E">
      <w:pPr>
        <w:pStyle w:val="Textpoznpodarou"/>
        <w:ind w:left="284" w:hanging="284"/>
        <w:rPr>
          <w:rFonts w:ascii="Calibri" w:hAnsi="Calibri" w:cs="Calibri"/>
        </w:rPr>
      </w:pPr>
      <w:r w:rsidRPr="002D778E">
        <w:rPr>
          <w:rStyle w:val="Znakapoznpodarou"/>
          <w:rFonts w:ascii="Calibri" w:eastAsiaTheme="majorEastAsia" w:hAnsi="Calibri" w:cs="Calibri"/>
        </w:rPr>
        <w:footnoteRef/>
      </w:r>
      <w:r w:rsidRPr="002D778E">
        <w:rPr>
          <w:rFonts w:ascii="Calibri" w:hAnsi="Calibri" w:cs="Calibri"/>
        </w:rPr>
        <w:t xml:space="preserve"> </w:t>
      </w:r>
      <w:r>
        <w:rPr>
          <w:rFonts w:ascii="Calibri" w:hAnsi="Calibri" w:cs="Calibri"/>
        </w:rPr>
        <w:tab/>
      </w:r>
      <w:r w:rsidRPr="002D778E">
        <w:rPr>
          <w:rFonts w:ascii="Calibri" w:hAnsi="Calibri" w:cs="Calibri"/>
        </w:rPr>
        <w:t>Ustanovení § 26 zákona č. 134/2016 Sb.</w:t>
      </w:r>
    </w:p>
  </w:footnote>
  <w:footnote w:id="33">
    <w:p w14:paraId="50A7BD23" w14:textId="77777777" w:rsidR="000B17A7" w:rsidRPr="002D778E" w:rsidRDefault="000B17A7" w:rsidP="002D778E">
      <w:pPr>
        <w:pStyle w:val="Textpoznpodarou"/>
        <w:ind w:left="284" w:hanging="284"/>
        <w:jc w:val="both"/>
        <w:rPr>
          <w:rFonts w:ascii="Calibri" w:hAnsi="Calibri" w:cs="Calibri"/>
        </w:rPr>
      </w:pPr>
      <w:r w:rsidRPr="002D778E">
        <w:rPr>
          <w:rStyle w:val="Znakapoznpodarou"/>
          <w:rFonts w:ascii="Calibri" w:eastAsiaTheme="majorEastAsia" w:hAnsi="Calibri" w:cs="Calibri"/>
        </w:rPr>
        <w:footnoteRef/>
      </w:r>
      <w:r w:rsidRPr="002D778E">
        <w:rPr>
          <w:rFonts w:ascii="Calibri" w:hAnsi="Calibri" w:cs="Calibri"/>
        </w:rPr>
        <w:t xml:space="preserve"> </w:t>
      </w:r>
      <w:r>
        <w:rPr>
          <w:rFonts w:ascii="Calibri" w:hAnsi="Calibri" w:cs="Calibri"/>
        </w:rPr>
        <w:tab/>
      </w:r>
      <w:r w:rsidRPr="002D778E">
        <w:rPr>
          <w:rFonts w:ascii="Calibri" w:hAnsi="Calibri" w:cs="Calibri"/>
        </w:rPr>
        <w:t>Ustanovení § 14 odst. 1 a odst. 2 vyhlášky č. 416/2004 Sb.</w:t>
      </w:r>
    </w:p>
  </w:footnote>
  <w:footnote w:id="34">
    <w:p w14:paraId="4E0FB8DD" w14:textId="77777777" w:rsidR="000B17A7" w:rsidRPr="002D778E" w:rsidRDefault="000B17A7" w:rsidP="002D778E">
      <w:pPr>
        <w:pStyle w:val="Textpoznpodarou"/>
        <w:ind w:left="284" w:hanging="284"/>
        <w:rPr>
          <w:rFonts w:ascii="Calibri" w:hAnsi="Calibri" w:cs="Calibri"/>
        </w:rPr>
      </w:pPr>
      <w:r w:rsidRPr="002D778E">
        <w:rPr>
          <w:rStyle w:val="Znakapoznpodarou"/>
          <w:rFonts w:ascii="Calibri" w:hAnsi="Calibri" w:cs="Calibri"/>
        </w:rPr>
        <w:footnoteRef/>
      </w:r>
      <w:r w:rsidRPr="002D778E">
        <w:rPr>
          <w:rFonts w:ascii="Calibri" w:hAnsi="Calibri" w:cs="Calibri"/>
        </w:rPr>
        <w:t xml:space="preserve"> </w:t>
      </w:r>
      <w:r>
        <w:rPr>
          <w:rFonts w:ascii="Calibri" w:hAnsi="Calibri" w:cs="Calibri"/>
        </w:rPr>
        <w:tab/>
      </w:r>
      <w:r w:rsidRPr="002D778E">
        <w:rPr>
          <w:rFonts w:ascii="Calibri" w:hAnsi="Calibri" w:cs="Calibri"/>
        </w:rPr>
        <w:t>Ustanovení § 63 odst. 1 zákona č. 218/2000 Sb.</w:t>
      </w:r>
    </w:p>
  </w:footnote>
  <w:footnote w:id="35">
    <w:p w14:paraId="4C33C542" w14:textId="01541D47" w:rsidR="000B17A7" w:rsidRPr="002D778E" w:rsidRDefault="000B17A7" w:rsidP="002D778E">
      <w:pPr>
        <w:pStyle w:val="Textpoznpodarou"/>
        <w:ind w:left="284" w:hanging="284"/>
        <w:rPr>
          <w:rFonts w:ascii="Calibri" w:hAnsi="Calibri" w:cs="Calibri"/>
        </w:rPr>
      </w:pPr>
      <w:r w:rsidRPr="002D778E">
        <w:rPr>
          <w:rStyle w:val="Znakapoznpodarou"/>
          <w:rFonts w:ascii="Calibri" w:hAnsi="Calibri" w:cs="Calibri"/>
        </w:rPr>
        <w:footnoteRef/>
      </w:r>
      <w:r w:rsidRPr="002D778E">
        <w:rPr>
          <w:rFonts w:ascii="Calibri" w:hAnsi="Calibri" w:cs="Calibri"/>
        </w:rPr>
        <w:t xml:space="preserve"> </w:t>
      </w:r>
      <w:r>
        <w:rPr>
          <w:rFonts w:ascii="Calibri" w:hAnsi="Calibri" w:cs="Calibri"/>
        </w:rPr>
        <w:tab/>
      </w:r>
      <w:r w:rsidRPr="002D778E">
        <w:rPr>
          <w:rFonts w:ascii="Calibri" w:hAnsi="Calibri" w:cs="Calibri"/>
        </w:rPr>
        <w:t xml:space="preserve">Ustanovení § </w:t>
      </w:r>
      <w:r w:rsidRPr="002D778E">
        <w:rPr>
          <w:rFonts w:ascii="Calibri" w:eastAsia="Calibri" w:hAnsi="Calibri" w:cs="Calibri"/>
        </w:rPr>
        <w:t>4 odst. 2 zákona č. 254/2004 Sb., o omezení plateb v</w:t>
      </w:r>
      <w:r>
        <w:rPr>
          <w:rFonts w:ascii="Calibri" w:eastAsia="Calibri" w:hAnsi="Calibri" w:cs="Calibri"/>
        </w:rPr>
        <w:t> </w:t>
      </w:r>
      <w:r w:rsidRPr="002D778E">
        <w:rPr>
          <w:rFonts w:ascii="Calibri" w:eastAsia="Calibri" w:hAnsi="Calibri" w:cs="Calibri"/>
        </w:rPr>
        <w:t>hotovosti</w:t>
      </w:r>
      <w:r>
        <w:rPr>
          <w:rFonts w:ascii="Calibri" w:eastAsia="Calibri" w:hAnsi="Calibri" w:cs="Calibri"/>
        </w:rPr>
        <w:t>.</w:t>
      </w:r>
    </w:p>
  </w:footnote>
  <w:footnote w:id="36">
    <w:p w14:paraId="7923600C" w14:textId="77777777" w:rsidR="000B17A7" w:rsidRPr="002D778E" w:rsidRDefault="000B17A7" w:rsidP="002D778E">
      <w:pPr>
        <w:pStyle w:val="Textpoznpodarou"/>
        <w:ind w:left="284" w:hanging="284"/>
        <w:jc w:val="both"/>
        <w:rPr>
          <w:rFonts w:ascii="Calibri" w:hAnsi="Calibri" w:cs="Calibri"/>
        </w:rPr>
      </w:pPr>
      <w:r w:rsidRPr="002D778E">
        <w:rPr>
          <w:rStyle w:val="Znakapoznpodarou"/>
          <w:rFonts w:ascii="Calibri" w:hAnsi="Calibri" w:cs="Calibri"/>
        </w:rPr>
        <w:footnoteRef/>
      </w:r>
      <w:r w:rsidRPr="002D778E">
        <w:rPr>
          <w:rFonts w:ascii="Calibri" w:hAnsi="Calibri" w:cs="Calibri"/>
        </w:rPr>
        <w:t xml:space="preserve"> </w:t>
      </w:r>
      <w:r>
        <w:rPr>
          <w:rFonts w:ascii="Calibri" w:hAnsi="Calibri" w:cs="Calibri"/>
        </w:rPr>
        <w:tab/>
      </w:r>
      <w:r w:rsidRPr="002D778E">
        <w:rPr>
          <w:rFonts w:ascii="Calibri" w:hAnsi="Calibri" w:cs="Calibri"/>
        </w:rPr>
        <w:t>Ustanovení § 54 odst. 1, ustanovení § 9 odst. 1 a ustanovení § 14 odst. 1 zákona č. 219/2000 Sb.</w:t>
      </w:r>
    </w:p>
  </w:footnote>
  <w:footnote w:id="37">
    <w:p w14:paraId="5D289BDA" w14:textId="77777777" w:rsidR="000B17A7" w:rsidRPr="00067226" w:rsidRDefault="000B17A7" w:rsidP="00067226">
      <w:pPr>
        <w:pStyle w:val="Textpoznpodarou"/>
        <w:ind w:left="284" w:hanging="284"/>
        <w:rPr>
          <w:rFonts w:ascii="Calibri" w:hAnsi="Calibri" w:cs="Calibri"/>
        </w:rPr>
      </w:pPr>
      <w:r w:rsidRPr="00067226">
        <w:rPr>
          <w:rStyle w:val="Znakapoznpodarou"/>
          <w:rFonts w:ascii="Calibri" w:hAnsi="Calibri" w:cs="Calibri"/>
        </w:rPr>
        <w:footnoteRef/>
      </w:r>
      <w:r w:rsidRPr="00067226">
        <w:rPr>
          <w:rFonts w:ascii="Calibri" w:hAnsi="Calibri" w:cs="Calibri"/>
        </w:rPr>
        <w:t xml:space="preserve"> </w:t>
      </w:r>
      <w:r>
        <w:rPr>
          <w:rFonts w:ascii="Calibri" w:hAnsi="Calibri" w:cs="Calibri"/>
        </w:rPr>
        <w:tab/>
      </w:r>
      <w:r w:rsidRPr="00067226">
        <w:rPr>
          <w:rFonts w:ascii="Calibri" w:hAnsi="Calibri" w:cs="Calibri"/>
        </w:rPr>
        <w:t xml:space="preserve">Ustanovení </w:t>
      </w:r>
      <w:r w:rsidRPr="00067226">
        <w:rPr>
          <w:rFonts w:ascii="Calibri" w:hAnsi="Calibri" w:cs="Calibri"/>
          <w:lang w:eastAsia="cs-CZ"/>
        </w:rPr>
        <w:t>§ 27 odst. 3 zákona č. 219/2000 Sb.</w:t>
      </w:r>
    </w:p>
  </w:footnote>
  <w:footnote w:id="38">
    <w:p w14:paraId="79EFDED2" w14:textId="77777777" w:rsidR="000B17A7" w:rsidRPr="00067226" w:rsidRDefault="000B17A7" w:rsidP="00067226">
      <w:pPr>
        <w:spacing w:after="0"/>
        <w:ind w:left="284" w:hanging="284"/>
        <w:jc w:val="both"/>
        <w:rPr>
          <w:rFonts w:ascii="Calibri" w:hAnsi="Calibri" w:cs="Calibri"/>
        </w:rPr>
      </w:pPr>
      <w:r w:rsidRPr="00067226">
        <w:rPr>
          <w:rStyle w:val="Znakapoznpodarou"/>
          <w:rFonts w:ascii="Calibri" w:hAnsi="Calibri" w:cs="Calibri"/>
          <w:sz w:val="20"/>
          <w:szCs w:val="20"/>
        </w:rPr>
        <w:footnoteRef/>
      </w:r>
      <w:r w:rsidRPr="00067226">
        <w:rPr>
          <w:rFonts w:ascii="Calibri" w:hAnsi="Calibri" w:cs="Calibri"/>
          <w:sz w:val="20"/>
          <w:szCs w:val="20"/>
        </w:rPr>
        <w:t xml:space="preserve"> </w:t>
      </w:r>
      <w:r>
        <w:rPr>
          <w:rFonts w:ascii="Calibri" w:hAnsi="Calibri" w:cs="Calibri"/>
          <w:sz w:val="20"/>
          <w:szCs w:val="20"/>
        </w:rPr>
        <w:tab/>
      </w:r>
      <w:r w:rsidRPr="00067226">
        <w:rPr>
          <w:rFonts w:ascii="Calibri" w:hAnsi="Calibri" w:cs="Calibri"/>
          <w:sz w:val="20"/>
          <w:szCs w:val="20"/>
        </w:rPr>
        <w:t xml:space="preserve">Ustanovení </w:t>
      </w:r>
      <w:r w:rsidRPr="00067226">
        <w:rPr>
          <w:rFonts w:ascii="Calibri" w:hAnsi="Calibri" w:cs="Calibri"/>
          <w:sz w:val="20"/>
          <w:szCs w:val="20"/>
          <w:lang w:eastAsia="cs-CZ"/>
        </w:rPr>
        <w:t>§ 14 odst. 1 zákona č. 219/2000 Sb.</w:t>
      </w:r>
    </w:p>
  </w:footnote>
  <w:footnote w:id="39">
    <w:p w14:paraId="02441C53" w14:textId="699D29B9" w:rsidR="000B17A7" w:rsidRPr="00067226" w:rsidRDefault="000B17A7" w:rsidP="00067226">
      <w:pPr>
        <w:pStyle w:val="Textpoznpodarou"/>
        <w:ind w:left="284" w:hanging="284"/>
        <w:jc w:val="both"/>
        <w:rPr>
          <w:rFonts w:ascii="Calibri" w:hAnsi="Calibri" w:cs="Calibri"/>
        </w:rPr>
      </w:pPr>
      <w:r w:rsidRPr="00067226">
        <w:rPr>
          <w:rStyle w:val="Znakapoznpodarou"/>
          <w:rFonts w:ascii="Calibri" w:hAnsi="Calibri" w:cs="Calibri"/>
        </w:rPr>
        <w:footnoteRef/>
      </w:r>
      <w:r w:rsidRPr="00067226">
        <w:rPr>
          <w:rFonts w:ascii="Calibri" w:hAnsi="Calibri" w:cs="Calibri"/>
        </w:rPr>
        <w:t xml:space="preserve"> </w:t>
      </w:r>
      <w:r>
        <w:rPr>
          <w:rFonts w:ascii="Calibri" w:hAnsi="Calibri" w:cs="Calibri"/>
        </w:rPr>
        <w:tab/>
      </w:r>
      <w:r w:rsidRPr="00067226">
        <w:rPr>
          <w:rFonts w:ascii="Calibri" w:hAnsi="Calibri" w:cs="Calibri"/>
        </w:rPr>
        <w:t>Ministerstvo pro místní rozvoj</w:t>
      </w:r>
      <w:r>
        <w:rPr>
          <w:rFonts w:ascii="Calibri" w:hAnsi="Calibri" w:cs="Calibri"/>
        </w:rPr>
        <w:t>:</w:t>
      </w:r>
      <w:r w:rsidRPr="00067226">
        <w:rPr>
          <w:rFonts w:ascii="Calibri" w:hAnsi="Calibri" w:cs="Calibri"/>
        </w:rPr>
        <w:t xml:space="preserve"> </w:t>
      </w:r>
      <w:r w:rsidRPr="00B20B23">
        <w:rPr>
          <w:rFonts w:ascii="Calibri" w:hAnsi="Calibri" w:cs="Calibri"/>
          <w:i/>
        </w:rPr>
        <w:t>Analýza nájemného v České republice</w:t>
      </w:r>
      <w:r>
        <w:rPr>
          <w:rFonts w:ascii="Calibri" w:hAnsi="Calibri" w:cs="Calibri"/>
        </w:rPr>
        <w:t>;</w:t>
      </w:r>
      <w:r w:rsidRPr="00067226">
        <w:rPr>
          <w:rFonts w:ascii="Calibri" w:hAnsi="Calibri" w:cs="Calibri"/>
        </w:rPr>
        <w:t xml:space="preserve"> dostupné na </w:t>
      </w:r>
      <w:r w:rsidRPr="00067226">
        <w:rPr>
          <w:rFonts w:ascii="Calibri" w:eastAsiaTheme="majorEastAsia" w:hAnsi="Calibri" w:cs="Calibri"/>
        </w:rPr>
        <w:t>https://www.mmr.cz/getmedia/64d1fb1f-7672-426c-a3ac-1d6c2ea9127e/MMR-MTR-Analyza-najemneho.pdf.aspx?ext=.pdf</w:t>
      </w:r>
      <w:r w:rsidRPr="00067226">
        <w:rPr>
          <w:rFonts w:ascii="Calibri" w:hAnsi="Calibri" w:cs="Calibri"/>
        </w:rPr>
        <w:t xml:space="preserve">. </w:t>
      </w:r>
    </w:p>
    <w:p w14:paraId="09FF3D59" w14:textId="0F023414" w:rsidR="000B17A7" w:rsidRPr="00067226" w:rsidRDefault="000B17A7" w:rsidP="00067226">
      <w:pPr>
        <w:pStyle w:val="Textpoznpodarou"/>
        <w:ind w:left="284"/>
        <w:jc w:val="both"/>
        <w:rPr>
          <w:rFonts w:ascii="Calibri" w:hAnsi="Calibri" w:cs="Calibri"/>
        </w:rPr>
      </w:pPr>
      <w:r w:rsidRPr="00067226">
        <w:rPr>
          <w:rFonts w:ascii="Calibri" w:hAnsi="Calibri" w:cs="Calibri"/>
        </w:rPr>
        <w:t xml:space="preserve">Deloitte: </w:t>
      </w:r>
      <w:r w:rsidRPr="00B20B23">
        <w:rPr>
          <w:rFonts w:ascii="Calibri" w:hAnsi="Calibri" w:cs="Calibri"/>
          <w:i/>
        </w:rPr>
        <w:t>Vývoj na rezidenčním trhu v roce 2020</w:t>
      </w:r>
      <w:r>
        <w:rPr>
          <w:rFonts w:ascii="Calibri" w:hAnsi="Calibri" w:cs="Calibri"/>
          <w:i/>
        </w:rPr>
        <w:t>.</w:t>
      </w:r>
      <w:r w:rsidRPr="00B20B23">
        <w:rPr>
          <w:rFonts w:ascii="Calibri" w:hAnsi="Calibri" w:cs="Calibri"/>
          <w:i/>
        </w:rPr>
        <w:t xml:space="preserve"> Analýza nabídky nájmů a prodejů bytů na realitních portálech</w:t>
      </w:r>
      <w:r w:rsidRPr="00067226">
        <w:rPr>
          <w:rFonts w:ascii="Calibri" w:hAnsi="Calibri" w:cs="Calibri"/>
        </w:rPr>
        <w:t>, leden 2021</w:t>
      </w:r>
      <w:r>
        <w:rPr>
          <w:rFonts w:ascii="Calibri" w:hAnsi="Calibri" w:cs="Calibri"/>
        </w:rPr>
        <w:t>;</w:t>
      </w:r>
      <w:r w:rsidRPr="00067226">
        <w:rPr>
          <w:rFonts w:ascii="Calibri" w:hAnsi="Calibri" w:cs="Calibri"/>
        </w:rPr>
        <w:t xml:space="preserve"> dostupné na </w:t>
      </w:r>
      <w:r w:rsidRPr="00067226">
        <w:rPr>
          <w:rFonts w:ascii="Calibri" w:eastAsiaTheme="majorEastAsia" w:hAnsi="Calibri" w:cs="Calibri"/>
        </w:rPr>
        <w:t>https://www2.deloitte.com/content/dam/Deloitte/cz/Documents/real-estate/Deloitte_2020_market_report.pdf</w:t>
      </w:r>
      <w:r w:rsidRPr="000D1A4B">
        <w:rPr>
          <w:rStyle w:val="Hypertextovodkaz"/>
          <w:rFonts w:ascii="Calibri" w:eastAsiaTheme="majorEastAsia" w:hAnsi="Calibri" w:cs="Calibri"/>
          <w:color w:val="000000" w:themeColor="text1"/>
          <w:u w:val="none"/>
        </w:rPr>
        <w:t>.</w:t>
      </w:r>
    </w:p>
  </w:footnote>
  <w:footnote w:id="40">
    <w:p w14:paraId="1FE144B8" w14:textId="3B3D25D6" w:rsidR="000B17A7" w:rsidRPr="00596E64" w:rsidRDefault="000B17A7" w:rsidP="00EE2ECB">
      <w:pPr>
        <w:pStyle w:val="Textpoznpodarou"/>
        <w:ind w:left="284" w:hanging="284"/>
        <w:rPr>
          <w:rFonts w:asciiTheme="minorHAnsi" w:hAnsiTheme="minorHAnsi" w:cstheme="minorHAnsi"/>
        </w:rPr>
      </w:pPr>
      <w:r w:rsidRPr="00596E64">
        <w:rPr>
          <w:rStyle w:val="Znakapoznpodarou"/>
          <w:rFonts w:asciiTheme="minorHAnsi" w:hAnsiTheme="minorHAnsi" w:cstheme="minorHAnsi"/>
        </w:rPr>
        <w:footnoteRef/>
      </w:r>
      <w:r w:rsidRPr="00596E64">
        <w:rPr>
          <w:rFonts w:asciiTheme="minorHAnsi" w:hAnsiTheme="minorHAnsi" w:cstheme="minorHAnsi"/>
        </w:rPr>
        <w:t xml:space="preserve"> </w:t>
      </w:r>
      <w:r>
        <w:rPr>
          <w:rFonts w:asciiTheme="minorHAnsi" w:hAnsiTheme="minorHAnsi" w:cstheme="minorHAnsi"/>
        </w:rPr>
        <w:tab/>
      </w:r>
      <w:r w:rsidRPr="00596E64">
        <w:rPr>
          <w:rFonts w:asciiTheme="minorHAnsi" w:hAnsiTheme="minorHAnsi" w:cstheme="minorHAnsi"/>
        </w:rPr>
        <w:t>Zákon č. 340/2015 Sb.</w:t>
      </w:r>
      <w:r>
        <w:rPr>
          <w:rFonts w:asciiTheme="minorHAnsi" w:hAnsiTheme="minorHAnsi" w:cstheme="minorHAnsi"/>
        </w:rPr>
        <w:t>, o registru smluv.</w:t>
      </w:r>
    </w:p>
  </w:footnote>
  <w:footnote w:id="41">
    <w:p w14:paraId="201618F5" w14:textId="4C8CC302" w:rsidR="000B17A7" w:rsidRPr="000D1A4B" w:rsidRDefault="000B17A7" w:rsidP="00EE2ECB">
      <w:pPr>
        <w:pStyle w:val="Textpoznpodarou"/>
        <w:ind w:left="284" w:hanging="284"/>
        <w:rPr>
          <w:rFonts w:ascii="Calibri" w:hAnsi="Calibri" w:cs="Calibri"/>
        </w:rPr>
      </w:pPr>
      <w:r w:rsidRPr="00684AEB">
        <w:rPr>
          <w:rStyle w:val="Znakapoznpodarou"/>
          <w:rFonts w:asciiTheme="minorHAnsi" w:hAnsiTheme="minorHAnsi"/>
        </w:rPr>
        <w:footnoteRef/>
      </w:r>
      <w:r w:rsidRPr="00684AEB">
        <w:rPr>
          <w:rFonts w:asciiTheme="minorHAnsi" w:hAnsiTheme="minorHAnsi"/>
        </w:rPr>
        <w:t xml:space="preserve"> </w:t>
      </w:r>
      <w:r>
        <w:rPr>
          <w:rFonts w:asciiTheme="minorHAnsi" w:hAnsiTheme="minorHAnsi"/>
        </w:rPr>
        <w:tab/>
        <w:t xml:space="preserve">Viz </w:t>
      </w:r>
      <w:hyperlink r:id="rId1" w:history="1">
        <w:r w:rsidRPr="000D1A4B">
          <w:rPr>
            <w:rStyle w:val="Hypertextovodkaz"/>
            <w:rFonts w:ascii="Calibri" w:hAnsi="Calibri" w:cs="Calibri"/>
          </w:rPr>
          <w:t>https://nahlizenidokn.cuzk.cz/</w:t>
        </w:r>
      </w:hyperlink>
      <w:r w:rsidRPr="000D1A4B">
        <w:rPr>
          <w:rFonts w:ascii="Calibri" w:hAnsi="Calibri" w:cs="Calibri"/>
        </w:rPr>
        <w:t>.</w:t>
      </w:r>
    </w:p>
  </w:footnote>
  <w:footnote w:id="42">
    <w:p w14:paraId="0AC83C99" w14:textId="506AC330" w:rsidR="000B17A7" w:rsidRPr="00067226" w:rsidRDefault="000B17A7" w:rsidP="00EE2ECB">
      <w:pPr>
        <w:pStyle w:val="Textpoznpodarou"/>
        <w:ind w:left="284" w:hanging="284"/>
        <w:jc w:val="both"/>
        <w:rPr>
          <w:rFonts w:ascii="Calibri" w:hAnsi="Calibri" w:cs="Calibri"/>
        </w:rPr>
      </w:pPr>
      <w:r w:rsidRPr="00067226">
        <w:rPr>
          <w:rStyle w:val="Znakapoznpodarou"/>
          <w:rFonts w:ascii="Calibri" w:hAnsi="Calibri" w:cs="Calibri"/>
        </w:rPr>
        <w:footnoteRef/>
      </w:r>
      <w:r w:rsidRPr="00067226">
        <w:rPr>
          <w:rFonts w:ascii="Calibri" w:hAnsi="Calibri" w:cs="Calibri"/>
        </w:rPr>
        <w:t xml:space="preserve"> </w:t>
      </w:r>
      <w:r>
        <w:rPr>
          <w:rFonts w:ascii="Calibri" w:hAnsi="Calibri" w:cs="Calibri"/>
        </w:rPr>
        <w:tab/>
      </w:r>
      <w:r w:rsidRPr="00067226">
        <w:rPr>
          <w:rFonts w:ascii="Calibri" w:hAnsi="Calibri" w:cs="Calibri"/>
        </w:rPr>
        <w:t>Ustanovení § 37 odst. 1 písm. d) zákona č. 256/2013 Sb., o katastru nemovitostí (katastrální zákon)</w:t>
      </w:r>
      <w:r>
        <w:rPr>
          <w:rFonts w:ascii="Calibri" w:hAnsi="Calibri" w:cs="Calibri"/>
        </w:rPr>
        <w:t>.</w:t>
      </w:r>
    </w:p>
  </w:footnote>
  <w:footnote w:id="43">
    <w:p w14:paraId="3EC95D49" w14:textId="77777777" w:rsidR="000B17A7" w:rsidRPr="00067226" w:rsidRDefault="000B17A7" w:rsidP="00067226">
      <w:pPr>
        <w:pStyle w:val="Textpoznpodarou"/>
        <w:ind w:left="284" w:hanging="284"/>
        <w:jc w:val="both"/>
        <w:rPr>
          <w:rFonts w:ascii="Calibri" w:hAnsi="Calibri" w:cs="Calibri"/>
        </w:rPr>
      </w:pPr>
      <w:r w:rsidRPr="00067226">
        <w:rPr>
          <w:rStyle w:val="Znakapoznpodarou"/>
          <w:rFonts w:ascii="Calibri" w:hAnsi="Calibri" w:cs="Calibri"/>
        </w:rPr>
        <w:footnoteRef/>
      </w:r>
      <w:r w:rsidRPr="00067226">
        <w:rPr>
          <w:rFonts w:ascii="Calibri" w:hAnsi="Calibri" w:cs="Calibri"/>
        </w:rPr>
        <w:t xml:space="preserve"> </w:t>
      </w:r>
      <w:r>
        <w:rPr>
          <w:rFonts w:ascii="Calibri" w:hAnsi="Calibri" w:cs="Calibri"/>
        </w:rPr>
        <w:tab/>
      </w:r>
      <w:r w:rsidRPr="00067226">
        <w:rPr>
          <w:rFonts w:ascii="Calibri" w:hAnsi="Calibri" w:cs="Calibri"/>
        </w:rPr>
        <w:t>Ustanovení § 12 odst. 1, 4 a 5 vyhlášky č. 416/2004 Sb. a ustanovení § 6 odst. 2 písm. a) zákona č.</w:t>
      </w:r>
      <w:r>
        <w:rPr>
          <w:rFonts w:ascii="Calibri" w:hAnsi="Calibri" w:cs="Calibri"/>
        </w:rPr>
        <w:t> </w:t>
      </w:r>
      <w:r w:rsidRPr="00067226">
        <w:rPr>
          <w:rFonts w:ascii="Calibri" w:hAnsi="Calibri" w:cs="Calibri"/>
        </w:rPr>
        <w:t>320/2001</w:t>
      </w:r>
      <w:r>
        <w:rPr>
          <w:rFonts w:ascii="Calibri" w:hAnsi="Calibri" w:cs="Calibri"/>
        </w:rPr>
        <w:t> </w:t>
      </w:r>
      <w:r w:rsidRPr="00067226">
        <w:rPr>
          <w:rFonts w:ascii="Calibri" w:hAnsi="Calibri" w:cs="Calibri"/>
        </w:rPr>
        <w:t>Sb.</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AD4C88"/>
    <w:multiLevelType w:val="multilevel"/>
    <w:tmpl w:val="EDD0DE02"/>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1785B34"/>
    <w:multiLevelType w:val="hybridMultilevel"/>
    <w:tmpl w:val="3EFCDD4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0DC61CC"/>
    <w:multiLevelType w:val="hybridMultilevel"/>
    <w:tmpl w:val="5A92F62A"/>
    <w:lvl w:ilvl="0" w:tplc="5EA686E6">
      <w:start w:val="4"/>
      <w:numFmt w:val="upperRoman"/>
      <w:lvlText w:val="%1."/>
      <w:lvlJc w:val="left"/>
      <w:pPr>
        <w:ind w:left="720" w:hanging="360"/>
      </w:pPr>
      <w:rPr>
        <w:rFonts w:hint="default"/>
      </w:rPr>
    </w:lvl>
    <w:lvl w:ilvl="1" w:tplc="30185B26">
      <w:start w:val="2"/>
      <w:numFmt w:val="decimal"/>
      <w:lvlText w:val="%2."/>
      <w:lvlJc w:val="left"/>
      <w:pPr>
        <w:ind w:left="1440" w:hanging="360"/>
      </w:pPr>
      <w:rPr>
        <w:rFonts w:hint="default"/>
      </w:rPr>
    </w:lvl>
    <w:lvl w:ilvl="2" w:tplc="C2A6E464" w:tentative="1">
      <w:start w:val="1"/>
      <w:numFmt w:val="lowerRoman"/>
      <w:lvlText w:val="%3."/>
      <w:lvlJc w:val="right"/>
      <w:pPr>
        <w:ind w:left="2160" w:hanging="180"/>
      </w:pPr>
    </w:lvl>
    <w:lvl w:ilvl="3" w:tplc="826848F4" w:tentative="1">
      <w:start w:val="1"/>
      <w:numFmt w:val="decimal"/>
      <w:lvlText w:val="%4."/>
      <w:lvlJc w:val="left"/>
      <w:pPr>
        <w:ind w:left="2880" w:hanging="360"/>
      </w:pPr>
    </w:lvl>
    <w:lvl w:ilvl="4" w:tplc="0E32DC54" w:tentative="1">
      <w:start w:val="1"/>
      <w:numFmt w:val="lowerLetter"/>
      <w:lvlText w:val="%5."/>
      <w:lvlJc w:val="left"/>
      <w:pPr>
        <w:ind w:left="3600" w:hanging="360"/>
      </w:pPr>
    </w:lvl>
    <w:lvl w:ilvl="5" w:tplc="035E7110" w:tentative="1">
      <w:start w:val="1"/>
      <w:numFmt w:val="lowerRoman"/>
      <w:lvlText w:val="%6."/>
      <w:lvlJc w:val="right"/>
      <w:pPr>
        <w:ind w:left="4320" w:hanging="180"/>
      </w:pPr>
    </w:lvl>
    <w:lvl w:ilvl="6" w:tplc="10C80F60" w:tentative="1">
      <w:start w:val="1"/>
      <w:numFmt w:val="decimal"/>
      <w:lvlText w:val="%7."/>
      <w:lvlJc w:val="left"/>
      <w:pPr>
        <w:ind w:left="5040" w:hanging="360"/>
      </w:pPr>
    </w:lvl>
    <w:lvl w:ilvl="7" w:tplc="26889B16" w:tentative="1">
      <w:start w:val="1"/>
      <w:numFmt w:val="lowerLetter"/>
      <w:lvlText w:val="%8."/>
      <w:lvlJc w:val="left"/>
      <w:pPr>
        <w:ind w:left="5760" w:hanging="360"/>
      </w:pPr>
    </w:lvl>
    <w:lvl w:ilvl="8" w:tplc="0A98A492" w:tentative="1">
      <w:start w:val="1"/>
      <w:numFmt w:val="lowerRoman"/>
      <w:lvlText w:val="%9."/>
      <w:lvlJc w:val="right"/>
      <w:pPr>
        <w:ind w:left="6480" w:hanging="180"/>
      </w:pPr>
    </w:lvl>
  </w:abstractNum>
  <w:abstractNum w:abstractNumId="3" w15:restartNumberingAfterBreak="0">
    <w:nsid w:val="29DB79B5"/>
    <w:multiLevelType w:val="hybridMultilevel"/>
    <w:tmpl w:val="35E4B36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E007DA9"/>
    <w:multiLevelType w:val="hybridMultilevel"/>
    <w:tmpl w:val="03A8942C"/>
    <w:lvl w:ilvl="0" w:tplc="04050001">
      <w:start w:val="1"/>
      <w:numFmt w:val="bullet"/>
      <w:lvlText w:val=""/>
      <w:lvlJc w:val="left"/>
      <w:pPr>
        <w:ind w:left="709" w:hanging="360"/>
      </w:pPr>
      <w:rPr>
        <w:rFonts w:ascii="Symbol" w:hAnsi="Symbol" w:hint="default"/>
      </w:rPr>
    </w:lvl>
    <w:lvl w:ilvl="1" w:tplc="04050003" w:tentative="1">
      <w:start w:val="1"/>
      <w:numFmt w:val="bullet"/>
      <w:lvlText w:val="o"/>
      <w:lvlJc w:val="left"/>
      <w:pPr>
        <w:ind w:left="1429" w:hanging="360"/>
      </w:pPr>
      <w:rPr>
        <w:rFonts w:ascii="Courier New" w:hAnsi="Courier New" w:cs="Courier New" w:hint="default"/>
      </w:rPr>
    </w:lvl>
    <w:lvl w:ilvl="2" w:tplc="04050005" w:tentative="1">
      <w:start w:val="1"/>
      <w:numFmt w:val="bullet"/>
      <w:lvlText w:val=""/>
      <w:lvlJc w:val="left"/>
      <w:pPr>
        <w:ind w:left="2149" w:hanging="360"/>
      </w:pPr>
      <w:rPr>
        <w:rFonts w:ascii="Wingdings" w:hAnsi="Wingdings" w:hint="default"/>
      </w:rPr>
    </w:lvl>
    <w:lvl w:ilvl="3" w:tplc="04050001" w:tentative="1">
      <w:start w:val="1"/>
      <w:numFmt w:val="bullet"/>
      <w:lvlText w:val=""/>
      <w:lvlJc w:val="left"/>
      <w:pPr>
        <w:ind w:left="2869" w:hanging="360"/>
      </w:pPr>
      <w:rPr>
        <w:rFonts w:ascii="Symbol" w:hAnsi="Symbol" w:hint="default"/>
      </w:rPr>
    </w:lvl>
    <w:lvl w:ilvl="4" w:tplc="04050003" w:tentative="1">
      <w:start w:val="1"/>
      <w:numFmt w:val="bullet"/>
      <w:lvlText w:val="o"/>
      <w:lvlJc w:val="left"/>
      <w:pPr>
        <w:ind w:left="3589" w:hanging="360"/>
      </w:pPr>
      <w:rPr>
        <w:rFonts w:ascii="Courier New" w:hAnsi="Courier New" w:cs="Courier New" w:hint="default"/>
      </w:rPr>
    </w:lvl>
    <w:lvl w:ilvl="5" w:tplc="04050005" w:tentative="1">
      <w:start w:val="1"/>
      <w:numFmt w:val="bullet"/>
      <w:lvlText w:val=""/>
      <w:lvlJc w:val="left"/>
      <w:pPr>
        <w:ind w:left="4309" w:hanging="360"/>
      </w:pPr>
      <w:rPr>
        <w:rFonts w:ascii="Wingdings" w:hAnsi="Wingdings" w:hint="default"/>
      </w:rPr>
    </w:lvl>
    <w:lvl w:ilvl="6" w:tplc="04050001" w:tentative="1">
      <w:start w:val="1"/>
      <w:numFmt w:val="bullet"/>
      <w:lvlText w:val=""/>
      <w:lvlJc w:val="left"/>
      <w:pPr>
        <w:ind w:left="5029" w:hanging="360"/>
      </w:pPr>
      <w:rPr>
        <w:rFonts w:ascii="Symbol" w:hAnsi="Symbol" w:hint="default"/>
      </w:rPr>
    </w:lvl>
    <w:lvl w:ilvl="7" w:tplc="04050003" w:tentative="1">
      <w:start w:val="1"/>
      <w:numFmt w:val="bullet"/>
      <w:lvlText w:val="o"/>
      <w:lvlJc w:val="left"/>
      <w:pPr>
        <w:ind w:left="5749" w:hanging="360"/>
      </w:pPr>
      <w:rPr>
        <w:rFonts w:ascii="Courier New" w:hAnsi="Courier New" w:cs="Courier New" w:hint="default"/>
      </w:rPr>
    </w:lvl>
    <w:lvl w:ilvl="8" w:tplc="04050005" w:tentative="1">
      <w:start w:val="1"/>
      <w:numFmt w:val="bullet"/>
      <w:lvlText w:val=""/>
      <w:lvlJc w:val="left"/>
      <w:pPr>
        <w:ind w:left="6469" w:hanging="360"/>
      </w:pPr>
      <w:rPr>
        <w:rFonts w:ascii="Wingdings" w:hAnsi="Wingdings" w:hint="default"/>
      </w:rPr>
    </w:lvl>
  </w:abstractNum>
  <w:abstractNum w:abstractNumId="5" w15:restartNumberingAfterBreak="0">
    <w:nsid w:val="2E662C0D"/>
    <w:multiLevelType w:val="multilevel"/>
    <w:tmpl w:val="2474F6B4"/>
    <w:lvl w:ilvl="0">
      <w:start w:val="1"/>
      <w:numFmt w:val="decimal"/>
      <w:pStyle w:val="Nadpis1"/>
      <w:lvlText w:val="%1"/>
      <w:lvlJc w:val="left"/>
      <w:pPr>
        <w:ind w:left="432" w:hanging="432"/>
      </w:pPr>
      <w:rPr>
        <w:rFonts w:hint="default"/>
      </w:rPr>
    </w:lvl>
    <w:lvl w:ilvl="1">
      <w:start w:val="1"/>
      <w:numFmt w:val="decimal"/>
      <w:pStyle w:val="Nadpis2"/>
      <w:lvlText w:val="%1.%2"/>
      <w:lvlJc w:val="left"/>
      <w:pPr>
        <w:ind w:left="576" w:hanging="576"/>
      </w:pPr>
      <w:rPr>
        <w:rFonts w:hint="default"/>
      </w:rPr>
    </w:lvl>
    <w:lvl w:ilvl="2">
      <w:start w:val="1"/>
      <w:numFmt w:val="decimal"/>
      <w:pStyle w:val="Nadpis3"/>
      <w:lvlText w:val="%1.%2.%3"/>
      <w:lvlJc w:val="left"/>
      <w:pPr>
        <w:ind w:left="720" w:hanging="720"/>
      </w:pPr>
      <w:rPr>
        <w:rFonts w:hint="default"/>
      </w:rPr>
    </w:lvl>
    <w:lvl w:ilvl="3">
      <w:start w:val="1"/>
      <w:numFmt w:val="decimal"/>
      <w:pStyle w:val="Nadpis4"/>
      <w:lvlText w:val="%1.%2.%3.%4"/>
      <w:lvlJc w:val="left"/>
      <w:pPr>
        <w:ind w:left="864"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6" w15:restartNumberingAfterBreak="0">
    <w:nsid w:val="2F521483"/>
    <w:multiLevelType w:val="hybridMultilevel"/>
    <w:tmpl w:val="469E9454"/>
    <w:lvl w:ilvl="0" w:tplc="CE0C24F4">
      <w:start w:val="1"/>
      <w:numFmt w:val="decimal"/>
      <w:lvlText w:val="Tabulka č. %1: X"/>
      <w:lvlJc w:val="left"/>
      <w:pPr>
        <w:ind w:left="720" w:hanging="360"/>
      </w:pPr>
      <w:rPr>
        <w:rFonts w:hint="default"/>
      </w:rPr>
    </w:lvl>
    <w:lvl w:ilvl="1" w:tplc="F1A6336E">
      <w:start w:val="1"/>
      <w:numFmt w:val="decimal"/>
      <w:pStyle w:val="Nzevtabulky"/>
      <w:suff w:val="space"/>
      <w:lvlText w:val="Tabulka č. %2:"/>
      <w:lvlJc w:val="left"/>
      <w:pPr>
        <w:ind w:left="567" w:hanging="567"/>
      </w:pPr>
      <w:rPr>
        <w:rFonts w:hint="default"/>
      </w:rPr>
    </w:lvl>
    <w:lvl w:ilvl="2" w:tplc="5630F10A">
      <w:start w:val="1"/>
      <w:numFmt w:val="lowerRoman"/>
      <w:lvlText w:val="%3."/>
      <w:lvlJc w:val="right"/>
      <w:pPr>
        <w:ind w:left="2160" w:hanging="180"/>
      </w:pPr>
    </w:lvl>
    <w:lvl w:ilvl="3" w:tplc="C19AE2F2">
      <w:start w:val="1"/>
      <w:numFmt w:val="decimal"/>
      <w:lvlText w:val="%4."/>
      <w:lvlJc w:val="left"/>
      <w:pPr>
        <w:ind w:left="2880" w:hanging="360"/>
      </w:pPr>
      <w:rPr>
        <w:rFonts w:hint="default"/>
      </w:rPr>
    </w:lvl>
    <w:lvl w:ilvl="4" w:tplc="FE7EB6B2" w:tentative="1">
      <w:start w:val="1"/>
      <w:numFmt w:val="lowerLetter"/>
      <w:lvlText w:val="%5."/>
      <w:lvlJc w:val="left"/>
      <w:pPr>
        <w:ind w:left="3600" w:hanging="360"/>
      </w:pPr>
    </w:lvl>
    <w:lvl w:ilvl="5" w:tplc="5900C782" w:tentative="1">
      <w:start w:val="1"/>
      <w:numFmt w:val="lowerRoman"/>
      <w:lvlText w:val="%6."/>
      <w:lvlJc w:val="right"/>
      <w:pPr>
        <w:ind w:left="4320" w:hanging="180"/>
      </w:pPr>
    </w:lvl>
    <w:lvl w:ilvl="6" w:tplc="64E06770" w:tentative="1">
      <w:start w:val="1"/>
      <w:numFmt w:val="decimal"/>
      <w:lvlText w:val="%7."/>
      <w:lvlJc w:val="left"/>
      <w:pPr>
        <w:ind w:left="5040" w:hanging="360"/>
      </w:pPr>
    </w:lvl>
    <w:lvl w:ilvl="7" w:tplc="ADA8912E" w:tentative="1">
      <w:start w:val="1"/>
      <w:numFmt w:val="lowerLetter"/>
      <w:lvlText w:val="%8."/>
      <w:lvlJc w:val="left"/>
      <w:pPr>
        <w:ind w:left="5760" w:hanging="360"/>
      </w:pPr>
    </w:lvl>
    <w:lvl w:ilvl="8" w:tplc="12DE20B4" w:tentative="1">
      <w:start w:val="1"/>
      <w:numFmt w:val="lowerRoman"/>
      <w:lvlText w:val="%9."/>
      <w:lvlJc w:val="right"/>
      <w:pPr>
        <w:ind w:left="6480" w:hanging="180"/>
      </w:pPr>
    </w:lvl>
  </w:abstractNum>
  <w:abstractNum w:abstractNumId="7" w15:restartNumberingAfterBreak="0">
    <w:nsid w:val="49980A1A"/>
    <w:multiLevelType w:val="hybridMultilevel"/>
    <w:tmpl w:val="E24AAD4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4B845AF3"/>
    <w:multiLevelType w:val="hybridMultilevel"/>
    <w:tmpl w:val="DA64BF08"/>
    <w:lvl w:ilvl="0" w:tplc="5EA686E6">
      <w:start w:val="4"/>
      <w:numFmt w:val="upperRoman"/>
      <w:lvlText w:val="%1."/>
      <w:lvlJc w:val="left"/>
      <w:pPr>
        <w:ind w:left="720" w:hanging="360"/>
      </w:pPr>
      <w:rPr>
        <w:rFonts w:hint="default"/>
      </w:rPr>
    </w:lvl>
    <w:lvl w:ilvl="1" w:tplc="11681A32">
      <w:start w:val="1"/>
      <w:numFmt w:val="decimal"/>
      <w:lvlText w:val="%2."/>
      <w:lvlJc w:val="left"/>
      <w:pPr>
        <w:ind w:left="1440" w:hanging="360"/>
      </w:pPr>
      <w:rPr>
        <w:rFonts w:hint="default"/>
      </w:rPr>
    </w:lvl>
    <w:lvl w:ilvl="2" w:tplc="C2A6E464" w:tentative="1">
      <w:start w:val="1"/>
      <w:numFmt w:val="lowerRoman"/>
      <w:lvlText w:val="%3."/>
      <w:lvlJc w:val="right"/>
      <w:pPr>
        <w:ind w:left="2160" w:hanging="180"/>
      </w:pPr>
    </w:lvl>
    <w:lvl w:ilvl="3" w:tplc="826848F4" w:tentative="1">
      <w:start w:val="1"/>
      <w:numFmt w:val="decimal"/>
      <w:lvlText w:val="%4."/>
      <w:lvlJc w:val="left"/>
      <w:pPr>
        <w:ind w:left="2880" w:hanging="360"/>
      </w:pPr>
    </w:lvl>
    <w:lvl w:ilvl="4" w:tplc="0E32DC54" w:tentative="1">
      <w:start w:val="1"/>
      <w:numFmt w:val="lowerLetter"/>
      <w:lvlText w:val="%5."/>
      <w:lvlJc w:val="left"/>
      <w:pPr>
        <w:ind w:left="3600" w:hanging="360"/>
      </w:pPr>
    </w:lvl>
    <w:lvl w:ilvl="5" w:tplc="035E7110" w:tentative="1">
      <w:start w:val="1"/>
      <w:numFmt w:val="lowerRoman"/>
      <w:lvlText w:val="%6."/>
      <w:lvlJc w:val="right"/>
      <w:pPr>
        <w:ind w:left="4320" w:hanging="180"/>
      </w:pPr>
    </w:lvl>
    <w:lvl w:ilvl="6" w:tplc="10C80F60" w:tentative="1">
      <w:start w:val="1"/>
      <w:numFmt w:val="decimal"/>
      <w:lvlText w:val="%7."/>
      <w:lvlJc w:val="left"/>
      <w:pPr>
        <w:ind w:left="5040" w:hanging="360"/>
      </w:pPr>
    </w:lvl>
    <w:lvl w:ilvl="7" w:tplc="26889B16" w:tentative="1">
      <w:start w:val="1"/>
      <w:numFmt w:val="lowerLetter"/>
      <w:lvlText w:val="%8."/>
      <w:lvlJc w:val="left"/>
      <w:pPr>
        <w:ind w:left="5760" w:hanging="360"/>
      </w:pPr>
    </w:lvl>
    <w:lvl w:ilvl="8" w:tplc="0A98A492" w:tentative="1">
      <w:start w:val="1"/>
      <w:numFmt w:val="lowerRoman"/>
      <w:lvlText w:val="%9."/>
      <w:lvlJc w:val="right"/>
      <w:pPr>
        <w:ind w:left="6480" w:hanging="180"/>
      </w:pPr>
    </w:lvl>
  </w:abstractNum>
  <w:abstractNum w:abstractNumId="9" w15:restartNumberingAfterBreak="0">
    <w:nsid w:val="4CE9531B"/>
    <w:multiLevelType w:val="hybridMultilevel"/>
    <w:tmpl w:val="0F30EFAC"/>
    <w:lvl w:ilvl="0" w:tplc="04050001">
      <w:start w:val="1"/>
      <w:numFmt w:val="bullet"/>
      <w:lvlText w:val=""/>
      <w:lvlJc w:val="left"/>
      <w:pPr>
        <w:ind w:left="709" w:hanging="360"/>
      </w:pPr>
      <w:rPr>
        <w:rFonts w:ascii="Symbol" w:hAnsi="Symbol" w:hint="default"/>
      </w:rPr>
    </w:lvl>
    <w:lvl w:ilvl="1" w:tplc="04050003" w:tentative="1">
      <w:start w:val="1"/>
      <w:numFmt w:val="bullet"/>
      <w:lvlText w:val="o"/>
      <w:lvlJc w:val="left"/>
      <w:pPr>
        <w:ind w:left="1429" w:hanging="360"/>
      </w:pPr>
      <w:rPr>
        <w:rFonts w:ascii="Courier New" w:hAnsi="Courier New" w:cs="Courier New" w:hint="default"/>
      </w:rPr>
    </w:lvl>
    <w:lvl w:ilvl="2" w:tplc="04050005" w:tentative="1">
      <w:start w:val="1"/>
      <w:numFmt w:val="bullet"/>
      <w:lvlText w:val=""/>
      <w:lvlJc w:val="left"/>
      <w:pPr>
        <w:ind w:left="2149" w:hanging="360"/>
      </w:pPr>
      <w:rPr>
        <w:rFonts w:ascii="Wingdings" w:hAnsi="Wingdings" w:hint="default"/>
      </w:rPr>
    </w:lvl>
    <w:lvl w:ilvl="3" w:tplc="04050001" w:tentative="1">
      <w:start w:val="1"/>
      <w:numFmt w:val="bullet"/>
      <w:lvlText w:val=""/>
      <w:lvlJc w:val="left"/>
      <w:pPr>
        <w:ind w:left="2869" w:hanging="360"/>
      </w:pPr>
      <w:rPr>
        <w:rFonts w:ascii="Symbol" w:hAnsi="Symbol" w:hint="default"/>
      </w:rPr>
    </w:lvl>
    <w:lvl w:ilvl="4" w:tplc="04050003" w:tentative="1">
      <w:start w:val="1"/>
      <w:numFmt w:val="bullet"/>
      <w:lvlText w:val="o"/>
      <w:lvlJc w:val="left"/>
      <w:pPr>
        <w:ind w:left="3589" w:hanging="360"/>
      </w:pPr>
      <w:rPr>
        <w:rFonts w:ascii="Courier New" w:hAnsi="Courier New" w:cs="Courier New" w:hint="default"/>
      </w:rPr>
    </w:lvl>
    <w:lvl w:ilvl="5" w:tplc="04050005" w:tentative="1">
      <w:start w:val="1"/>
      <w:numFmt w:val="bullet"/>
      <w:lvlText w:val=""/>
      <w:lvlJc w:val="left"/>
      <w:pPr>
        <w:ind w:left="4309" w:hanging="360"/>
      </w:pPr>
      <w:rPr>
        <w:rFonts w:ascii="Wingdings" w:hAnsi="Wingdings" w:hint="default"/>
      </w:rPr>
    </w:lvl>
    <w:lvl w:ilvl="6" w:tplc="04050001" w:tentative="1">
      <w:start w:val="1"/>
      <w:numFmt w:val="bullet"/>
      <w:lvlText w:val=""/>
      <w:lvlJc w:val="left"/>
      <w:pPr>
        <w:ind w:left="5029" w:hanging="360"/>
      </w:pPr>
      <w:rPr>
        <w:rFonts w:ascii="Symbol" w:hAnsi="Symbol" w:hint="default"/>
      </w:rPr>
    </w:lvl>
    <w:lvl w:ilvl="7" w:tplc="04050003" w:tentative="1">
      <w:start w:val="1"/>
      <w:numFmt w:val="bullet"/>
      <w:lvlText w:val="o"/>
      <w:lvlJc w:val="left"/>
      <w:pPr>
        <w:ind w:left="5749" w:hanging="360"/>
      </w:pPr>
      <w:rPr>
        <w:rFonts w:ascii="Courier New" w:hAnsi="Courier New" w:cs="Courier New" w:hint="default"/>
      </w:rPr>
    </w:lvl>
    <w:lvl w:ilvl="8" w:tplc="04050005" w:tentative="1">
      <w:start w:val="1"/>
      <w:numFmt w:val="bullet"/>
      <w:lvlText w:val=""/>
      <w:lvlJc w:val="left"/>
      <w:pPr>
        <w:ind w:left="6469" w:hanging="360"/>
      </w:pPr>
      <w:rPr>
        <w:rFonts w:ascii="Wingdings" w:hAnsi="Wingdings" w:hint="default"/>
      </w:rPr>
    </w:lvl>
  </w:abstractNum>
  <w:abstractNum w:abstractNumId="10" w15:restartNumberingAfterBreak="0">
    <w:nsid w:val="4CEA7A53"/>
    <w:multiLevelType w:val="hybridMultilevel"/>
    <w:tmpl w:val="3774AB90"/>
    <w:lvl w:ilvl="0" w:tplc="FB26961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4650044"/>
    <w:multiLevelType w:val="hybridMultilevel"/>
    <w:tmpl w:val="A64ADF72"/>
    <w:lvl w:ilvl="0" w:tplc="99CA4392">
      <w:start w:val="1"/>
      <w:numFmt w:val="bullet"/>
      <w:pStyle w:val="Odrka1"/>
      <w:lvlText w:val=""/>
      <w:lvlJc w:val="left"/>
      <w:pPr>
        <w:ind w:left="720" w:hanging="360"/>
      </w:pPr>
      <w:rPr>
        <w:rFonts w:ascii="Symbol" w:hAnsi="Symbol" w:hint="default"/>
      </w:rPr>
    </w:lvl>
    <w:lvl w:ilvl="1" w:tplc="ADF40116" w:tentative="1">
      <w:start w:val="1"/>
      <w:numFmt w:val="bullet"/>
      <w:lvlText w:val="o"/>
      <w:lvlJc w:val="left"/>
      <w:pPr>
        <w:ind w:left="1440" w:hanging="360"/>
      </w:pPr>
      <w:rPr>
        <w:rFonts w:ascii="Courier New" w:hAnsi="Courier New" w:cs="Courier New" w:hint="default"/>
      </w:rPr>
    </w:lvl>
    <w:lvl w:ilvl="2" w:tplc="2B4A4212">
      <w:start w:val="1"/>
      <w:numFmt w:val="bullet"/>
      <w:lvlText w:val=""/>
      <w:lvlJc w:val="left"/>
      <w:pPr>
        <w:ind w:left="2160" w:hanging="360"/>
      </w:pPr>
      <w:rPr>
        <w:rFonts w:ascii="Wingdings" w:hAnsi="Wingdings" w:hint="default"/>
      </w:rPr>
    </w:lvl>
    <w:lvl w:ilvl="3" w:tplc="F9303EFA" w:tentative="1">
      <w:start w:val="1"/>
      <w:numFmt w:val="bullet"/>
      <w:lvlText w:val=""/>
      <w:lvlJc w:val="left"/>
      <w:pPr>
        <w:ind w:left="2880" w:hanging="360"/>
      </w:pPr>
      <w:rPr>
        <w:rFonts w:ascii="Symbol" w:hAnsi="Symbol" w:hint="default"/>
      </w:rPr>
    </w:lvl>
    <w:lvl w:ilvl="4" w:tplc="586470BE" w:tentative="1">
      <w:start w:val="1"/>
      <w:numFmt w:val="bullet"/>
      <w:lvlText w:val="o"/>
      <w:lvlJc w:val="left"/>
      <w:pPr>
        <w:ind w:left="3600" w:hanging="360"/>
      </w:pPr>
      <w:rPr>
        <w:rFonts w:ascii="Courier New" w:hAnsi="Courier New" w:cs="Courier New" w:hint="default"/>
      </w:rPr>
    </w:lvl>
    <w:lvl w:ilvl="5" w:tplc="B7EC7138" w:tentative="1">
      <w:start w:val="1"/>
      <w:numFmt w:val="bullet"/>
      <w:lvlText w:val=""/>
      <w:lvlJc w:val="left"/>
      <w:pPr>
        <w:ind w:left="4320" w:hanging="360"/>
      </w:pPr>
      <w:rPr>
        <w:rFonts w:ascii="Wingdings" w:hAnsi="Wingdings" w:hint="default"/>
      </w:rPr>
    </w:lvl>
    <w:lvl w:ilvl="6" w:tplc="CCCA1908" w:tentative="1">
      <w:start w:val="1"/>
      <w:numFmt w:val="bullet"/>
      <w:lvlText w:val=""/>
      <w:lvlJc w:val="left"/>
      <w:pPr>
        <w:ind w:left="5040" w:hanging="360"/>
      </w:pPr>
      <w:rPr>
        <w:rFonts w:ascii="Symbol" w:hAnsi="Symbol" w:hint="default"/>
      </w:rPr>
    </w:lvl>
    <w:lvl w:ilvl="7" w:tplc="C630D4DC" w:tentative="1">
      <w:start w:val="1"/>
      <w:numFmt w:val="bullet"/>
      <w:lvlText w:val="o"/>
      <w:lvlJc w:val="left"/>
      <w:pPr>
        <w:ind w:left="5760" w:hanging="360"/>
      </w:pPr>
      <w:rPr>
        <w:rFonts w:ascii="Courier New" w:hAnsi="Courier New" w:cs="Courier New" w:hint="default"/>
      </w:rPr>
    </w:lvl>
    <w:lvl w:ilvl="8" w:tplc="A73C430A" w:tentative="1">
      <w:start w:val="1"/>
      <w:numFmt w:val="bullet"/>
      <w:lvlText w:val=""/>
      <w:lvlJc w:val="left"/>
      <w:pPr>
        <w:ind w:left="6480" w:hanging="360"/>
      </w:pPr>
      <w:rPr>
        <w:rFonts w:ascii="Wingdings" w:hAnsi="Wingdings" w:hint="default"/>
      </w:rPr>
    </w:lvl>
  </w:abstractNum>
  <w:abstractNum w:abstractNumId="12" w15:restartNumberingAfterBreak="0">
    <w:nsid w:val="55352C4F"/>
    <w:multiLevelType w:val="hybridMultilevel"/>
    <w:tmpl w:val="19E4B516"/>
    <w:lvl w:ilvl="0" w:tplc="870443AC">
      <w:start w:val="1"/>
      <w:numFmt w:val="decimal"/>
      <w:lvlText w:val="%1."/>
      <w:lvlJc w:val="left"/>
      <w:pPr>
        <w:ind w:left="144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61292992"/>
    <w:multiLevelType w:val="hybridMultilevel"/>
    <w:tmpl w:val="39BE77DC"/>
    <w:lvl w:ilvl="0" w:tplc="9ACC2E64">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6837810"/>
    <w:multiLevelType w:val="hybridMultilevel"/>
    <w:tmpl w:val="BA748D16"/>
    <w:lvl w:ilvl="0" w:tplc="5EA686E6">
      <w:start w:val="4"/>
      <w:numFmt w:val="upperRoman"/>
      <w:lvlText w:val="%1."/>
      <w:lvlJc w:val="left"/>
      <w:pPr>
        <w:ind w:left="720" w:hanging="360"/>
      </w:pPr>
      <w:rPr>
        <w:rFonts w:hint="default"/>
      </w:rPr>
    </w:lvl>
    <w:lvl w:ilvl="1" w:tplc="ABA21422">
      <w:start w:val="1"/>
      <w:numFmt w:val="decimal"/>
      <w:lvlText w:val="%2."/>
      <w:lvlJc w:val="left"/>
      <w:pPr>
        <w:ind w:left="1440" w:hanging="360"/>
      </w:pPr>
      <w:rPr>
        <w:rFonts w:hint="default"/>
      </w:rPr>
    </w:lvl>
    <w:lvl w:ilvl="2" w:tplc="C2A6E464" w:tentative="1">
      <w:start w:val="1"/>
      <w:numFmt w:val="lowerRoman"/>
      <w:lvlText w:val="%3."/>
      <w:lvlJc w:val="right"/>
      <w:pPr>
        <w:ind w:left="2160" w:hanging="180"/>
      </w:pPr>
    </w:lvl>
    <w:lvl w:ilvl="3" w:tplc="826848F4" w:tentative="1">
      <w:start w:val="1"/>
      <w:numFmt w:val="decimal"/>
      <w:lvlText w:val="%4."/>
      <w:lvlJc w:val="left"/>
      <w:pPr>
        <w:ind w:left="2880" w:hanging="360"/>
      </w:pPr>
    </w:lvl>
    <w:lvl w:ilvl="4" w:tplc="0E32DC54" w:tentative="1">
      <w:start w:val="1"/>
      <w:numFmt w:val="lowerLetter"/>
      <w:lvlText w:val="%5."/>
      <w:lvlJc w:val="left"/>
      <w:pPr>
        <w:ind w:left="3600" w:hanging="360"/>
      </w:pPr>
    </w:lvl>
    <w:lvl w:ilvl="5" w:tplc="035E7110" w:tentative="1">
      <w:start w:val="1"/>
      <w:numFmt w:val="lowerRoman"/>
      <w:lvlText w:val="%6."/>
      <w:lvlJc w:val="right"/>
      <w:pPr>
        <w:ind w:left="4320" w:hanging="180"/>
      </w:pPr>
    </w:lvl>
    <w:lvl w:ilvl="6" w:tplc="10C80F60" w:tentative="1">
      <w:start w:val="1"/>
      <w:numFmt w:val="decimal"/>
      <w:lvlText w:val="%7."/>
      <w:lvlJc w:val="left"/>
      <w:pPr>
        <w:ind w:left="5040" w:hanging="360"/>
      </w:pPr>
    </w:lvl>
    <w:lvl w:ilvl="7" w:tplc="26889B16" w:tentative="1">
      <w:start w:val="1"/>
      <w:numFmt w:val="lowerLetter"/>
      <w:lvlText w:val="%8."/>
      <w:lvlJc w:val="left"/>
      <w:pPr>
        <w:ind w:left="5760" w:hanging="360"/>
      </w:pPr>
    </w:lvl>
    <w:lvl w:ilvl="8" w:tplc="0A98A492" w:tentative="1">
      <w:start w:val="1"/>
      <w:numFmt w:val="lowerRoman"/>
      <w:lvlText w:val="%9."/>
      <w:lvlJc w:val="right"/>
      <w:pPr>
        <w:ind w:left="6480" w:hanging="180"/>
      </w:pPr>
    </w:lvl>
  </w:abstractNum>
  <w:abstractNum w:abstractNumId="15" w15:restartNumberingAfterBreak="0">
    <w:nsid w:val="6A411FD0"/>
    <w:multiLevelType w:val="hybridMultilevel"/>
    <w:tmpl w:val="9FE2381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6C2766E9"/>
    <w:multiLevelType w:val="hybridMultilevel"/>
    <w:tmpl w:val="93CC61C8"/>
    <w:lvl w:ilvl="0" w:tplc="46F0E2B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41A5629"/>
    <w:multiLevelType w:val="hybridMultilevel"/>
    <w:tmpl w:val="51DE3474"/>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6844EC7"/>
    <w:multiLevelType w:val="hybridMultilevel"/>
    <w:tmpl w:val="8AD5C7F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798836E0"/>
    <w:multiLevelType w:val="hybridMultilevel"/>
    <w:tmpl w:val="C958CC74"/>
    <w:lvl w:ilvl="0" w:tplc="5EA686E6">
      <w:start w:val="4"/>
      <w:numFmt w:val="upperRoman"/>
      <w:lvlText w:val="%1."/>
      <w:lvlJc w:val="left"/>
      <w:pPr>
        <w:ind w:left="720" w:hanging="360"/>
      </w:pPr>
      <w:rPr>
        <w:rFonts w:hint="default"/>
      </w:rPr>
    </w:lvl>
    <w:lvl w:ilvl="1" w:tplc="6AE0ADAA">
      <w:start w:val="2"/>
      <w:numFmt w:val="decimal"/>
      <w:lvlText w:val="%2."/>
      <w:lvlJc w:val="left"/>
      <w:pPr>
        <w:ind w:left="1440" w:hanging="360"/>
      </w:pPr>
      <w:rPr>
        <w:rFonts w:hint="default"/>
      </w:rPr>
    </w:lvl>
    <w:lvl w:ilvl="2" w:tplc="C2A6E464" w:tentative="1">
      <w:start w:val="1"/>
      <w:numFmt w:val="lowerRoman"/>
      <w:lvlText w:val="%3."/>
      <w:lvlJc w:val="right"/>
      <w:pPr>
        <w:ind w:left="2160" w:hanging="180"/>
      </w:pPr>
    </w:lvl>
    <w:lvl w:ilvl="3" w:tplc="826848F4" w:tentative="1">
      <w:start w:val="1"/>
      <w:numFmt w:val="decimal"/>
      <w:lvlText w:val="%4."/>
      <w:lvlJc w:val="left"/>
      <w:pPr>
        <w:ind w:left="2880" w:hanging="360"/>
      </w:pPr>
    </w:lvl>
    <w:lvl w:ilvl="4" w:tplc="0E32DC54" w:tentative="1">
      <w:start w:val="1"/>
      <w:numFmt w:val="lowerLetter"/>
      <w:lvlText w:val="%5."/>
      <w:lvlJc w:val="left"/>
      <w:pPr>
        <w:ind w:left="3600" w:hanging="360"/>
      </w:pPr>
    </w:lvl>
    <w:lvl w:ilvl="5" w:tplc="035E7110" w:tentative="1">
      <w:start w:val="1"/>
      <w:numFmt w:val="lowerRoman"/>
      <w:lvlText w:val="%6."/>
      <w:lvlJc w:val="right"/>
      <w:pPr>
        <w:ind w:left="4320" w:hanging="180"/>
      </w:pPr>
    </w:lvl>
    <w:lvl w:ilvl="6" w:tplc="10C80F60" w:tentative="1">
      <w:start w:val="1"/>
      <w:numFmt w:val="decimal"/>
      <w:lvlText w:val="%7."/>
      <w:lvlJc w:val="left"/>
      <w:pPr>
        <w:ind w:left="5040" w:hanging="360"/>
      </w:pPr>
    </w:lvl>
    <w:lvl w:ilvl="7" w:tplc="26889B16" w:tentative="1">
      <w:start w:val="1"/>
      <w:numFmt w:val="lowerLetter"/>
      <w:lvlText w:val="%8."/>
      <w:lvlJc w:val="left"/>
      <w:pPr>
        <w:ind w:left="5760" w:hanging="360"/>
      </w:pPr>
    </w:lvl>
    <w:lvl w:ilvl="8" w:tplc="0A98A492" w:tentative="1">
      <w:start w:val="1"/>
      <w:numFmt w:val="lowerRoman"/>
      <w:lvlText w:val="%9."/>
      <w:lvlJc w:val="right"/>
      <w:pPr>
        <w:ind w:left="6480" w:hanging="180"/>
      </w:pPr>
    </w:lvl>
  </w:abstractNum>
  <w:abstractNum w:abstractNumId="20" w15:restartNumberingAfterBreak="0">
    <w:nsid w:val="7CC15BEF"/>
    <w:multiLevelType w:val="hybridMultilevel"/>
    <w:tmpl w:val="D8CEDC6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1"/>
  </w:num>
  <w:num w:numId="2">
    <w:abstractNumId w:val="8"/>
  </w:num>
  <w:num w:numId="3">
    <w:abstractNumId w:val="13"/>
  </w:num>
  <w:num w:numId="4">
    <w:abstractNumId w:val="17"/>
  </w:num>
  <w:num w:numId="5">
    <w:abstractNumId w:val="5"/>
  </w:num>
  <w:num w:numId="6">
    <w:abstractNumId w:val="6"/>
  </w:num>
  <w:num w:numId="7">
    <w:abstractNumId w:val="20"/>
  </w:num>
  <w:num w:numId="8">
    <w:abstractNumId w:val="15"/>
  </w:num>
  <w:num w:numId="9">
    <w:abstractNumId w:val="7"/>
  </w:num>
  <w:num w:numId="10">
    <w:abstractNumId w:val="9"/>
  </w:num>
  <w:num w:numId="11">
    <w:abstractNumId w:val="3"/>
  </w:num>
  <w:num w:numId="12">
    <w:abstractNumId w:val="1"/>
  </w:num>
  <w:num w:numId="13">
    <w:abstractNumId w:val="0"/>
  </w:num>
  <w:num w:numId="14">
    <w:abstractNumId w:val="5"/>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num>
  <w:num w:numId="16">
    <w:abstractNumId w:val="5"/>
  </w:num>
  <w:num w:numId="17">
    <w:abstractNumId w:val="5"/>
  </w:num>
  <w:num w:numId="18">
    <w:abstractNumId w:val="5"/>
  </w:num>
  <w:num w:numId="19">
    <w:abstractNumId w:val="5"/>
  </w:num>
  <w:num w:numId="20">
    <w:abstractNumId w:val="12"/>
  </w:num>
  <w:num w:numId="21">
    <w:abstractNumId w:val="19"/>
  </w:num>
  <w:num w:numId="22">
    <w:abstractNumId w:val="5"/>
  </w:num>
  <w:num w:numId="23">
    <w:abstractNumId w:val="2"/>
  </w:num>
  <w:num w:numId="24">
    <w:abstractNumId w:val="5"/>
  </w:num>
  <w:num w:numId="25">
    <w:abstractNumId w:val="5"/>
  </w:num>
  <w:num w:numId="26">
    <w:abstractNumId w:val="5"/>
  </w:num>
  <w:num w:numId="27">
    <w:abstractNumId w:val="5"/>
  </w:num>
  <w:num w:numId="28">
    <w:abstractNumId w:val="5"/>
  </w:num>
  <w:num w:numId="29">
    <w:abstractNumId w:val="5"/>
  </w:num>
  <w:num w:numId="30">
    <w:abstractNumId w:val="14"/>
  </w:num>
  <w:num w:numId="31">
    <w:abstractNumId w:val="5"/>
  </w:num>
  <w:num w:numId="32">
    <w:abstractNumId w:val="5"/>
  </w:num>
  <w:num w:numId="33">
    <w:abstractNumId w:val="5"/>
  </w:num>
  <w:num w:numId="34">
    <w:abstractNumId w:val="5"/>
  </w:num>
  <w:num w:numId="35">
    <w:abstractNumId w:val="5"/>
  </w:num>
  <w:num w:numId="36">
    <w:abstractNumId w:val="4"/>
  </w:num>
  <w:num w:numId="37">
    <w:abstractNumId w:val="5"/>
  </w:num>
  <w:num w:numId="38">
    <w:abstractNumId w:val="16"/>
  </w:num>
  <w:num w:numId="39">
    <w:abstractNumId w:val="10"/>
  </w:num>
  <w:num w:numId="40">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567"/>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1445"/>
    <w:rsid w:val="000008B5"/>
    <w:rsid w:val="00003D30"/>
    <w:rsid w:val="00007101"/>
    <w:rsid w:val="000079E2"/>
    <w:rsid w:val="0001228C"/>
    <w:rsid w:val="00014752"/>
    <w:rsid w:val="00014A0E"/>
    <w:rsid w:val="00017BC7"/>
    <w:rsid w:val="00017F03"/>
    <w:rsid w:val="00020A54"/>
    <w:rsid w:val="000219A1"/>
    <w:rsid w:val="00021C03"/>
    <w:rsid w:val="000260A7"/>
    <w:rsid w:val="0002660F"/>
    <w:rsid w:val="00026667"/>
    <w:rsid w:val="000273B2"/>
    <w:rsid w:val="000274E3"/>
    <w:rsid w:val="00030B76"/>
    <w:rsid w:val="00030BCD"/>
    <w:rsid w:val="000310E2"/>
    <w:rsid w:val="00031FD9"/>
    <w:rsid w:val="00034028"/>
    <w:rsid w:val="000355C1"/>
    <w:rsid w:val="00040E1E"/>
    <w:rsid w:val="00041497"/>
    <w:rsid w:val="0004172D"/>
    <w:rsid w:val="00042A64"/>
    <w:rsid w:val="00043D59"/>
    <w:rsid w:val="000471A7"/>
    <w:rsid w:val="000503AF"/>
    <w:rsid w:val="0005085B"/>
    <w:rsid w:val="00050FF4"/>
    <w:rsid w:val="0005658F"/>
    <w:rsid w:val="00060431"/>
    <w:rsid w:val="000604E1"/>
    <w:rsid w:val="000611D2"/>
    <w:rsid w:val="00061FFD"/>
    <w:rsid w:val="00062435"/>
    <w:rsid w:val="000631A8"/>
    <w:rsid w:val="00064E4D"/>
    <w:rsid w:val="00067226"/>
    <w:rsid w:val="0007206E"/>
    <w:rsid w:val="00072D16"/>
    <w:rsid w:val="00075E5B"/>
    <w:rsid w:val="00075ED3"/>
    <w:rsid w:val="000767E5"/>
    <w:rsid w:val="00076AF4"/>
    <w:rsid w:val="00077B0F"/>
    <w:rsid w:val="00080B26"/>
    <w:rsid w:val="00081F7D"/>
    <w:rsid w:val="00082A5F"/>
    <w:rsid w:val="00082C0A"/>
    <w:rsid w:val="00084461"/>
    <w:rsid w:val="0008614B"/>
    <w:rsid w:val="0009026A"/>
    <w:rsid w:val="000902BC"/>
    <w:rsid w:val="00091A5D"/>
    <w:rsid w:val="00092A9D"/>
    <w:rsid w:val="00093D9B"/>
    <w:rsid w:val="000968BD"/>
    <w:rsid w:val="000A0710"/>
    <w:rsid w:val="000A33F4"/>
    <w:rsid w:val="000A3B12"/>
    <w:rsid w:val="000A609A"/>
    <w:rsid w:val="000A76F1"/>
    <w:rsid w:val="000B071A"/>
    <w:rsid w:val="000B17A7"/>
    <w:rsid w:val="000B3FD4"/>
    <w:rsid w:val="000B462A"/>
    <w:rsid w:val="000B5BC7"/>
    <w:rsid w:val="000B74E2"/>
    <w:rsid w:val="000C0203"/>
    <w:rsid w:val="000C1A9F"/>
    <w:rsid w:val="000C6290"/>
    <w:rsid w:val="000C6533"/>
    <w:rsid w:val="000C675F"/>
    <w:rsid w:val="000C6CBF"/>
    <w:rsid w:val="000D0452"/>
    <w:rsid w:val="000D049B"/>
    <w:rsid w:val="000D0C81"/>
    <w:rsid w:val="000D0E07"/>
    <w:rsid w:val="000D13A2"/>
    <w:rsid w:val="000D1A4B"/>
    <w:rsid w:val="000D1F18"/>
    <w:rsid w:val="000D1FD5"/>
    <w:rsid w:val="000D308B"/>
    <w:rsid w:val="000D509E"/>
    <w:rsid w:val="000D66CD"/>
    <w:rsid w:val="000D6767"/>
    <w:rsid w:val="000D7BE0"/>
    <w:rsid w:val="000E13F7"/>
    <w:rsid w:val="000E39A7"/>
    <w:rsid w:val="000E3B82"/>
    <w:rsid w:val="000E3BA5"/>
    <w:rsid w:val="000E5727"/>
    <w:rsid w:val="000E5A51"/>
    <w:rsid w:val="000E5CDF"/>
    <w:rsid w:val="000E75FD"/>
    <w:rsid w:val="000F0447"/>
    <w:rsid w:val="000F4718"/>
    <w:rsid w:val="000F586A"/>
    <w:rsid w:val="000F60B7"/>
    <w:rsid w:val="000F6BB6"/>
    <w:rsid w:val="000F702E"/>
    <w:rsid w:val="00100676"/>
    <w:rsid w:val="00104129"/>
    <w:rsid w:val="0010416F"/>
    <w:rsid w:val="001042AA"/>
    <w:rsid w:val="00104386"/>
    <w:rsid w:val="00107AD4"/>
    <w:rsid w:val="001101D4"/>
    <w:rsid w:val="00110DE1"/>
    <w:rsid w:val="0011131D"/>
    <w:rsid w:val="001119E3"/>
    <w:rsid w:val="001124E0"/>
    <w:rsid w:val="001131E3"/>
    <w:rsid w:val="00114E71"/>
    <w:rsid w:val="00115A61"/>
    <w:rsid w:val="00115EFB"/>
    <w:rsid w:val="00117F25"/>
    <w:rsid w:val="00122718"/>
    <w:rsid w:val="00123225"/>
    <w:rsid w:val="001236D4"/>
    <w:rsid w:val="00123DCB"/>
    <w:rsid w:val="00127048"/>
    <w:rsid w:val="00127DD1"/>
    <w:rsid w:val="00131602"/>
    <w:rsid w:val="00131614"/>
    <w:rsid w:val="00131A9D"/>
    <w:rsid w:val="00133E33"/>
    <w:rsid w:val="00134AC1"/>
    <w:rsid w:val="001375D7"/>
    <w:rsid w:val="00142BD2"/>
    <w:rsid w:val="001436F9"/>
    <w:rsid w:val="00145186"/>
    <w:rsid w:val="001452E4"/>
    <w:rsid w:val="0014665A"/>
    <w:rsid w:val="00147AC2"/>
    <w:rsid w:val="00150094"/>
    <w:rsid w:val="00151785"/>
    <w:rsid w:val="00151C8F"/>
    <w:rsid w:val="00154052"/>
    <w:rsid w:val="00154588"/>
    <w:rsid w:val="001548E5"/>
    <w:rsid w:val="00155659"/>
    <w:rsid w:val="00155961"/>
    <w:rsid w:val="00155E9B"/>
    <w:rsid w:val="0015623E"/>
    <w:rsid w:val="00156E10"/>
    <w:rsid w:val="0015725D"/>
    <w:rsid w:val="001577D7"/>
    <w:rsid w:val="00160496"/>
    <w:rsid w:val="00160A38"/>
    <w:rsid w:val="00160ABC"/>
    <w:rsid w:val="00161AF3"/>
    <w:rsid w:val="001638A5"/>
    <w:rsid w:val="00170A10"/>
    <w:rsid w:val="001711E2"/>
    <w:rsid w:val="0017176A"/>
    <w:rsid w:val="00172B02"/>
    <w:rsid w:val="00174A95"/>
    <w:rsid w:val="001753D4"/>
    <w:rsid w:val="001765FF"/>
    <w:rsid w:val="001766D3"/>
    <w:rsid w:val="00181B89"/>
    <w:rsid w:val="0018437F"/>
    <w:rsid w:val="00184D5F"/>
    <w:rsid w:val="00185A66"/>
    <w:rsid w:val="001862E7"/>
    <w:rsid w:val="0019069E"/>
    <w:rsid w:val="00194A22"/>
    <w:rsid w:val="001955F2"/>
    <w:rsid w:val="001961E8"/>
    <w:rsid w:val="0019651D"/>
    <w:rsid w:val="00196AEC"/>
    <w:rsid w:val="00197A2B"/>
    <w:rsid w:val="001A0796"/>
    <w:rsid w:val="001A0D86"/>
    <w:rsid w:val="001A1553"/>
    <w:rsid w:val="001A290C"/>
    <w:rsid w:val="001A36DF"/>
    <w:rsid w:val="001A4199"/>
    <w:rsid w:val="001B0179"/>
    <w:rsid w:val="001B3145"/>
    <w:rsid w:val="001B3575"/>
    <w:rsid w:val="001B3E03"/>
    <w:rsid w:val="001B45FC"/>
    <w:rsid w:val="001B5396"/>
    <w:rsid w:val="001C09DB"/>
    <w:rsid w:val="001C2AC1"/>
    <w:rsid w:val="001C3058"/>
    <w:rsid w:val="001C3FCC"/>
    <w:rsid w:val="001C4AAF"/>
    <w:rsid w:val="001C4C39"/>
    <w:rsid w:val="001C522F"/>
    <w:rsid w:val="001C567C"/>
    <w:rsid w:val="001C6077"/>
    <w:rsid w:val="001C63B2"/>
    <w:rsid w:val="001D00C5"/>
    <w:rsid w:val="001D14AC"/>
    <w:rsid w:val="001D3263"/>
    <w:rsid w:val="001D38FD"/>
    <w:rsid w:val="001D3A0E"/>
    <w:rsid w:val="001D5D4E"/>
    <w:rsid w:val="001D6353"/>
    <w:rsid w:val="001D7100"/>
    <w:rsid w:val="001D73BC"/>
    <w:rsid w:val="001D7A61"/>
    <w:rsid w:val="001E0D04"/>
    <w:rsid w:val="001E18D8"/>
    <w:rsid w:val="001E2706"/>
    <w:rsid w:val="001E36CA"/>
    <w:rsid w:val="001E4968"/>
    <w:rsid w:val="001E49F3"/>
    <w:rsid w:val="001E5BDA"/>
    <w:rsid w:val="001E707E"/>
    <w:rsid w:val="001E7A9C"/>
    <w:rsid w:val="001E7F82"/>
    <w:rsid w:val="001F2E4B"/>
    <w:rsid w:val="001F3719"/>
    <w:rsid w:val="001F5311"/>
    <w:rsid w:val="001F5D92"/>
    <w:rsid w:val="00204B19"/>
    <w:rsid w:val="002053DC"/>
    <w:rsid w:val="00207035"/>
    <w:rsid w:val="0021479B"/>
    <w:rsid w:val="00214F4C"/>
    <w:rsid w:val="0021618E"/>
    <w:rsid w:val="0021619F"/>
    <w:rsid w:val="0021622E"/>
    <w:rsid w:val="0021670F"/>
    <w:rsid w:val="00216969"/>
    <w:rsid w:val="00216B64"/>
    <w:rsid w:val="00217CD2"/>
    <w:rsid w:val="00220262"/>
    <w:rsid w:val="00220287"/>
    <w:rsid w:val="002226EC"/>
    <w:rsid w:val="0022298C"/>
    <w:rsid w:val="002231F7"/>
    <w:rsid w:val="002234FC"/>
    <w:rsid w:val="00225B12"/>
    <w:rsid w:val="0022670F"/>
    <w:rsid w:val="00227A6B"/>
    <w:rsid w:val="00230AEA"/>
    <w:rsid w:val="002328BF"/>
    <w:rsid w:val="002332BE"/>
    <w:rsid w:val="002333ED"/>
    <w:rsid w:val="00234BCD"/>
    <w:rsid w:val="002373C5"/>
    <w:rsid w:val="00237CC5"/>
    <w:rsid w:val="00241AD4"/>
    <w:rsid w:val="002425E0"/>
    <w:rsid w:val="002452C7"/>
    <w:rsid w:val="00245659"/>
    <w:rsid w:val="002468CE"/>
    <w:rsid w:val="00251CCE"/>
    <w:rsid w:val="00252241"/>
    <w:rsid w:val="00253A9A"/>
    <w:rsid w:val="0025466C"/>
    <w:rsid w:val="00254EDE"/>
    <w:rsid w:val="002553C6"/>
    <w:rsid w:val="00255FDE"/>
    <w:rsid w:val="002563DD"/>
    <w:rsid w:val="00257452"/>
    <w:rsid w:val="00260218"/>
    <w:rsid w:val="00260C58"/>
    <w:rsid w:val="0026185E"/>
    <w:rsid w:val="002627DB"/>
    <w:rsid w:val="00262A8D"/>
    <w:rsid w:val="00263A1E"/>
    <w:rsid w:val="00263EA8"/>
    <w:rsid w:val="00265093"/>
    <w:rsid w:val="00265A29"/>
    <w:rsid w:val="00266DE2"/>
    <w:rsid w:val="00267DBC"/>
    <w:rsid w:val="00271732"/>
    <w:rsid w:val="00272785"/>
    <w:rsid w:val="00272B9B"/>
    <w:rsid w:val="00272DB5"/>
    <w:rsid w:val="00273155"/>
    <w:rsid w:val="002734B6"/>
    <w:rsid w:val="00275955"/>
    <w:rsid w:val="00281615"/>
    <w:rsid w:val="00285E97"/>
    <w:rsid w:val="0028654C"/>
    <w:rsid w:val="00286A02"/>
    <w:rsid w:val="00291476"/>
    <w:rsid w:val="002919E8"/>
    <w:rsid w:val="00291EA0"/>
    <w:rsid w:val="00291EBD"/>
    <w:rsid w:val="00292788"/>
    <w:rsid w:val="00293FF9"/>
    <w:rsid w:val="00294423"/>
    <w:rsid w:val="002958CF"/>
    <w:rsid w:val="00296ACF"/>
    <w:rsid w:val="002970FB"/>
    <w:rsid w:val="002A3570"/>
    <w:rsid w:val="002A689D"/>
    <w:rsid w:val="002B22A4"/>
    <w:rsid w:val="002B54A8"/>
    <w:rsid w:val="002B6A67"/>
    <w:rsid w:val="002C00AC"/>
    <w:rsid w:val="002C2558"/>
    <w:rsid w:val="002C2ABD"/>
    <w:rsid w:val="002C3589"/>
    <w:rsid w:val="002C5790"/>
    <w:rsid w:val="002D15B6"/>
    <w:rsid w:val="002D4DDC"/>
    <w:rsid w:val="002D6B19"/>
    <w:rsid w:val="002D778E"/>
    <w:rsid w:val="002E0619"/>
    <w:rsid w:val="002E06D7"/>
    <w:rsid w:val="002E35C9"/>
    <w:rsid w:val="002E36A0"/>
    <w:rsid w:val="002E5E1F"/>
    <w:rsid w:val="002E74F0"/>
    <w:rsid w:val="002F017A"/>
    <w:rsid w:val="002F0260"/>
    <w:rsid w:val="002F1648"/>
    <w:rsid w:val="002F2F8C"/>
    <w:rsid w:val="002F3550"/>
    <w:rsid w:val="002F3F39"/>
    <w:rsid w:val="002F7C82"/>
    <w:rsid w:val="00300385"/>
    <w:rsid w:val="003038B7"/>
    <w:rsid w:val="003046EB"/>
    <w:rsid w:val="00304706"/>
    <w:rsid w:val="00304F2F"/>
    <w:rsid w:val="00307F6A"/>
    <w:rsid w:val="00310237"/>
    <w:rsid w:val="00310BC2"/>
    <w:rsid w:val="00310C2F"/>
    <w:rsid w:val="0031212D"/>
    <w:rsid w:val="0031277F"/>
    <w:rsid w:val="00312FDE"/>
    <w:rsid w:val="00314579"/>
    <w:rsid w:val="00314659"/>
    <w:rsid w:val="00315D4C"/>
    <w:rsid w:val="003162ED"/>
    <w:rsid w:val="003225DC"/>
    <w:rsid w:val="00323E15"/>
    <w:rsid w:val="0032660A"/>
    <w:rsid w:val="00326BFF"/>
    <w:rsid w:val="00327235"/>
    <w:rsid w:val="00327EC5"/>
    <w:rsid w:val="00330E40"/>
    <w:rsid w:val="00332511"/>
    <w:rsid w:val="00333A34"/>
    <w:rsid w:val="00334E2D"/>
    <w:rsid w:val="003358ED"/>
    <w:rsid w:val="00335D0F"/>
    <w:rsid w:val="003403F6"/>
    <w:rsid w:val="0034101A"/>
    <w:rsid w:val="0034214F"/>
    <w:rsid w:val="00342576"/>
    <w:rsid w:val="00342B57"/>
    <w:rsid w:val="00343B75"/>
    <w:rsid w:val="0035051F"/>
    <w:rsid w:val="0035067A"/>
    <w:rsid w:val="00351939"/>
    <w:rsid w:val="00351F9B"/>
    <w:rsid w:val="0035338E"/>
    <w:rsid w:val="00353425"/>
    <w:rsid w:val="0035392E"/>
    <w:rsid w:val="00354154"/>
    <w:rsid w:val="00354A96"/>
    <w:rsid w:val="0035609C"/>
    <w:rsid w:val="003564A1"/>
    <w:rsid w:val="003566D8"/>
    <w:rsid w:val="003600C0"/>
    <w:rsid w:val="003604F3"/>
    <w:rsid w:val="00362445"/>
    <w:rsid w:val="003634F2"/>
    <w:rsid w:val="00365783"/>
    <w:rsid w:val="003657C9"/>
    <w:rsid w:val="003663B3"/>
    <w:rsid w:val="003677C2"/>
    <w:rsid w:val="00371596"/>
    <w:rsid w:val="00371789"/>
    <w:rsid w:val="00372871"/>
    <w:rsid w:val="00373B2A"/>
    <w:rsid w:val="00374678"/>
    <w:rsid w:val="003750AF"/>
    <w:rsid w:val="003752DA"/>
    <w:rsid w:val="00377C3E"/>
    <w:rsid w:val="00382886"/>
    <w:rsid w:val="00382C4B"/>
    <w:rsid w:val="0038334A"/>
    <w:rsid w:val="003838AC"/>
    <w:rsid w:val="00384535"/>
    <w:rsid w:val="003847F6"/>
    <w:rsid w:val="00385FD8"/>
    <w:rsid w:val="003865EA"/>
    <w:rsid w:val="00387B3C"/>
    <w:rsid w:val="00387B47"/>
    <w:rsid w:val="003904C2"/>
    <w:rsid w:val="00391A9D"/>
    <w:rsid w:val="0039392B"/>
    <w:rsid w:val="00393AFA"/>
    <w:rsid w:val="0039477A"/>
    <w:rsid w:val="003957A5"/>
    <w:rsid w:val="00396526"/>
    <w:rsid w:val="00397CCB"/>
    <w:rsid w:val="003A1B89"/>
    <w:rsid w:val="003A4CFD"/>
    <w:rsid w:val="003A7627"/>
    <w:rsid w:val="003A7F76"/>
    <w:rsid w:val="003B051D"/>
    <w:rsid w:val="003B0A65"/>
    <w:rsid w:val="003B1CD5"/>
    <w:rsid w:val="003B1E5D"/>
    <w:rsid w:val="003B200F"/>
    <w:rsid w:val="003B2434"/>
    <w:rsid w:val="003B4307"/>
    <w:rsid w:val="003B7CA1"/>
    <w:rsid w:val="003C06FD"/>
    <w:rsid w:val="003C140E"/>
    <w:rsid w:val="003C295D"/>
    <w:rsid w:val="003C415F"/>
    <w:rsid w:val="003C743E"/>
    <w:rsid w:val="003D21AD"/>
    <w:rsid w:val="003D50A2"/>
    <w:rsid w:val="003D732B"/>
    <w:rsid w:val="003E0A44"/>
    <w:rsid w:val="003E1178"/>
    <w:rsid w:val="003E3180"/>
    <w:rsid w:val="003E54A3"/>
    <w:rsid w:val="003E68B0"/>
    <w:rsid w:val="003E74E9"/>
    <w:rsid w:val="003F06BF"/>
    <w:rsid w:val="003F0DBF"/>
    <w:rsid w:val="003F167F"/>
    <w:rsid w:val="003F26AE"/>
    <w:rsid w:val="003F2CA0"/>
    <w:rsid w:val="003F4B80"/>
    <w:rsid w:val="003F632C"/>
    <w:rsid w:val="003F6CE1"/>
    <w:rsid w:val="00401457"/>
    <w:rsid w:val="0040176C"/>
    <w:rsid w:val="004058E2"/>
    <w:rsid w:val="0041154A"/>
    <w:rsid w:val="004118D8"/>
    <w:rsid w:val="004131A5"/>
    <w:rsid w:val="0041412F"/>
    <w:rsid w:val="00422C8E"/>
    <w:rsid w:val="00424ED3"/>
    <w:rsid w:val="00425A72"/>
    <w:rsid w:val="0042691B"/>
    <w:rsid w:val="004272CC"/>
    <w:rsid w:val="004276D4"/>
    <w:rsid w:val="00427893"/>
    <w:rsid w:val="00435640"/>
    <w:rsid w:val="00437A11"/>
    <w:rsid w:val="00443ADA"/>
    <w:rsid w:val="004452E7"/>
    <w:rsid w:val="00446D67"/>
    <w:rsid w:val="004503E4"/>
    <w:rsid w:val="00451977"/>
    <w:rsid w:val="004523E5"/>
    <w:rsid w:val="00453B21"/>
    <w:rsid w:val="004551AA"/>
    <w:rsid w:val="00460987"/>
    <w:rsid w:val="00460B12"/>
    <w:rsid w:val="004629F4"/>
    <w:rsid w:val="0046556D"/>
    <w:rsid w:val="00466CDC"/>
    <w:rsid w:val="00467B3C"/>
    <w:rsid w:val="00467E5E"/>
    <w:rsid w:val="00470CEE"/>
    <w:rsid w:val="0047142F"/>
    <w:rsid w:val="00471E8C"/>
    <w:rsid w:val="004731FC"/>
    <w:rsid w:val="00473501"/>
    <w:rsid w:val="004751A3"/>
    <w:rsid w:val="00476A1C"/>
    <w:rsid w:val="00477FD7"/>
    <w:rsid w:val="004800F8"/>
    <w:rsid w:val="00485FF0"/>
    <w:rsid w:val="00490C8B"/>
    <w:rsid w:val="004947BE"/>
    <w:rsid w:val="00494995"/>
    <w:rsid w:val="00496A14"/>
    <w:rsid w:val="00496CF0"/>
    <w:rsid w:val="00497985"/>
    <w:rsid w:val="00497DC8"/>
    <w:rsid w:val="004A18AF"/>
    <w:rsid w:val="004A4CA2"/>
    <w:rsid w:val="004A4E98"/>
    <w:rsid w:val="004A5775"/>
    <w:rsid w:val="004B01C2"/>
    <w:rsid w:val="004B0AC6"/>
    <w:rsid w:val="004B20FA"/>
    <w:rsid w:val="004B4A8C"/>
    <w:rsid w:val="004B4B06"/>
    <w:rsid w:val="004B4CC4"/>
    <w:rsid w:val="004B4DB1"/>
    <w:rsid w:val="004B56D2"/>
    <w:rsid w:val="004B5B03"/>
    <w:rsid w:val="004B6215"/>
    <w:rsid w:val="004B7B38"/>
    <w:rsid w:val="004C1775"/>
    <w:rsid w:val="004C4BE9"/>
    <w:rsid w:val="004C6528"/>
    <w:rsid w:val="004C6985"/>
    <w:rsid w:val="004C7E4D"/>
    <w:rsid w:val="004D0952"/>
    <w:rsid w:val="004D0EE9"/>
    <w:rsid w:val="004D204C"/>
    <w:rsid w:val="004D3C31"/>
    <w:rsid w:val="004E02EE"/>
    <w:rsid w:val="004E1278"/>
    <w:rsid w:val="004E13DD"/>
    <w:rsid w:val="004E1CBC"/>
    <w:rsid w:val="004E20D7"/>
    <w:rsid w:val="004E33F6"/>
    <w:rsid w:val="004E3742"/>
    <w:rsid w:val="004E6124"/>
    <w:rsid w:val="004E7DBF"/>
    <w:rsid w:val="004F05D1"/>
    <w:rsid w:val="004F26C8"/>
    <w:rsid w:val="004F2A05"/>
    <w:rsid w:val="004F2A83"/>
    <w:rsid w:val="004F4038"/>
    <w:rsid w:val="004F4AD4"/>
    <w:rsid w:val="004F5FB6"/>
    <w:rsid w:val="004F60D4"/>
    <w:rsid w:val="004F7A0B"/>
    <w:rsid w:val="00500A77"/>
    <w:rsid w:val="00501A99"/>
    <w:rsid w:val="00503167"/>
    <w:rsid w:val="005040E2"/>
    <w:rsid w:val="005047C6"/>
    <w:rsid w:val="00504863"/>
    <w:rsid w:val="005070AC"/>
    <w:rsid w:val="005074E2"/>
    <w:rsid w:val="00507944"/>
    <w:rsid w:val="00510879"/>
    <w:rsid w:val="00510BB6"/>
    <w:rsid w:val="00510ECD"/>
    <w:rsid w:val="00512E86"/>
    <w:rsid w:val="0051714C"/>
    <w:rsid w:val="005203E4"/>
    <w:rsid w:val="00522456"/>
    <w:rsid w:val="0052249D"/>
    <w:rsid w:val="005241FD"/>
    <w:rsid w:val="005246A8"/>
    <w:rsid w:val="00524FC7"/>
    <w:rsid w:val="00525A43"/>
    <w:rsid w:val="00525F7E"/>
    <w:rsid w:val="005265B0"/>
    <w:rsid w:val="00526A92"/>
    <w:rsid w:val="0052712D"/>
    <w:rsid w:val="0053158B"/>
    <w:rsid w:val="005327BD"/>
    <w:rsid w:val="0053647A"/>
    <w:rsid w:val="005372A6"/>
    <w:rsid w:val="005405D8"/>
    <w:rsid w:val="00543892"/>
    <w:rsid w:val="00544B75"/>
    <w:rsid w:val="005468C4"/>
    <w:rsid w:val="005469B1"/>
    <w:rsid w:val="00546B7A"/>
    <w:rsid w:val="00547BD4"/>
    <w:rsid w:val="00552972"/>
    <w:rsid w:val="005546D6"/>
    <w:rsid w:val="00554D69"/>
    <w:rsid w:val="00556746"/>
    <w:rsid w:val="0055731A"/>
    <w:rsid w:val="00560D2C"/>
    <w:rsid w:val="0056371F"/>
    <w:rsid w:val="0056381F"/>
    <w:rsid w:val="0056461B"/>
    <w:rsid w:val="00565BE5"/>
    <w:rsid w:val="005706D2"/>
    <w:rsid w:val="0057293C"/>
    <w:rsid w:val="00573E85"/>
    <w:rsid w:val="0057422C"/>
    <w:rsid w:val="0057445F"/>
    <w:rsid w:val="00574A03"/>
    <w:rsid w:val="00576050"/>
    <w:rsid w:val="00576BEB"/>
    <w:rsid w:val="00577B05"/>
    <w:rsid w:val="00582BC2"/>
    <w:rsid w:val="005846BB"/>
    <w:rsid w:val="00584A88"/>
    <w:rsid w:val="00586829"/>
    <w:rsid w:val="00587DA0"/>
    <w:rsid w:val="005902C1"/>
    <w:rsid w:val="00590A90"/>
    <w:rsid w:val="00590C27"/>
    <w:rsid w:val="005917B4"/>
    <w:rsid w:val="00592592"/>
    <w:rsid w:val="0059521D"/>
    <w:rsid w:val="0059536E"/>
    <w:rsid w:val="00596E64"/>
    <w:rsid w:val="005A17CC"/>
    <w:rsid w:val="005A5C0A"/>
    <w:rsid w:val="005B0A57"/>
    <w:rsid w:val="005B15AE"/>
    <w:rsid w:val="005B1851"/>
    <w:rsid w:val="005B2391"/>
    <w:rsid w:val="005B338A"/>
    <w:rsid w:val="005B368F"/>
    <w:rsid w:val="005B4167"/>
    <w:rsid w:val="005B46A4"/>
    <w:rsid w:val="005B555E"/>
    <w:rsid w:val="005B6112"/>
    <w:rsid w:val="005C10CB"/>
    <w:rsid w:val="005C1750"/>
    <w:rsid w:val="005C1761"/>
    <w:rsid w:val="005C6293"/>
    <w:rsid w:val="005C728A"/>
    <w:rsid w:val="005D0959"/>
    <w:rsid w:val="005D3E5C"/>
    <w:rsid w:val="005D3F27"/>
    <w:rsid w:val="005D515E"/>
    <w:rsid w:val="005E072B"/>
    <w:rsid w:val="005E0D9A"/>
    <w:rsid w:val="005E5207"/>
    <w:rsid w:val="005E56D3"/>
    <w:rsid w:val="005E6121"/>
    <w:rsid w:val="005E6E8D"/>
    <w:rsid w:val="005E76F5"/>
    <w:rsid w:val="005E7968"/>
    <w:rsid w:val="005F171A"/>
    <w:rsid w:val="005F39C0"/>
    <w:rsid w:val="005F444E"/>
    <w:rsid w:val="005F45AF"/>
    <w:rsid w:val="005F5393"/>
    <w:rsid w:val="0060181F"/>
    <w:rsid w:val="00602FDE"/>
    <w:rsid w:val="00611A9A"/>
    <w:rsid w:val="006140C9"/>
    <w:rsid w:val="00614885"/>
    <w:rsid w:val="0062196C"/>
    <w:rsid w:val="00622403"/>
    <w:rsid w:val="00622CF1"/>
    <w:rsid w:val="00624083"/>
    <w:rsid w:val="00624761"/>
    <w:rsid w:val="00626B57"/>
    <w:rsid w:val="00627B80"/>
    <w:rsid w:val="006317BA"/>
    <w:rsid w:val="0063361A"/>
    <w:rsid w:val="00634333"/>
    <w:rsid w:val="006378B5"/>
    <w:rsid w:val="00637BC1"/>
    <w:rsid w:val="00640791"/>
    <w:rsid w:val="006454AF"/>
    <w:rsid w:val="006464DF"/>
    <w:rsid w:val="00646F60"/>
    <w:rsid w:val="00647464"/>
    <w:rsid w:val="00647F0F"/>
    <w:rsid w:val="00647F54"/>
    <w:rsid w:val="0065022C"/>
    <w:rsid w:val="00651926"/>
    <w:rsid w:val="00652AA2"/>
    <w:rsid w:val="00652AAE"/>
    <w:rsid w:val="00652CC6"/>
    <w:rsid w:val="00655ACD"/>
    <w:rsid w:val="006578F5"/>
    <w:rsid w:val="00657F8C"/>
    <w:rsid w:val="006602D5"/>
    <w:rsid w:val="00662A15"/>
    <w:rsid w:val="00662BF9"/>
    <w:rsid w:val="00662ECF"/>
    <w:rsid w:val="00663CC6"/>
    <w:rsid w:val="00664AC2"/>
    <w:rsid w:val="00664E1B"/>
    <w:rsid w:val="00665321"/>
    <w:rsid w:val="00665E46"/>
    <w:rsid w:val="006676DE"/>
    <w:rsid w:val="0067000D"/>
    <w:rsid w:val="006708F1"/>
    <w:rsid w:val="0067120F"/>
    <w:rsid w:val="00672322"/>
    <w:rsid w:val="006742F5"/>
    <w:rsid w:val="00675805"/>
    <w:rsid w:val="00676AB0"/>
    <w:rsid w:val="00677215"/>
    <w:rsid w:val="00680610"/>
    <w:rsid w:val="006814F6"/>
    <w:rsid w:val="00682016"/>
    <w:rsid w:val="006823BF"/>
    <w:rsid w:val="00682E31"/>
    <w:rsid w:val="00683F00"/>
    <w:rsid w:val="00684AEB"/>
    <w:rsid w:val="00685B78"/>
    <w:rsid w:val="006869B1"/>
    <w:rsid w:val="00691C63"/>
    <w:rsid w:val="00692692"/>
    <w:rsid w:val="00692F5C"/>
    <w:rsid w:val="00693A25"/>
    <w:rsid w:val="00693C93"/>
    <w:rsid w:val="00694357"/>
    <w:rsid w:val="00696BE7"/>
    <w:rsid w:val="00697107"/>
    <w:rsid w:val="006A00E0"/>
    <w:rsid w:val="006A1E57"/>
    <w:rsid w:val="006A332B"/>
    <w:rsid w:val="006A57EB"/>
    <w:rsid w:val="006A5C3A"/>
    <w:rsid w:val="006A7EB8"/>
    <w:rsid w:val="006B09AF"/>
    <w:rsid w:val="006B202D"/>
    <w:rsid w:val="006B2BE4"/>
    <w:rsid w:val="006B35E8"/>
    <w:rsid w:val="006B364E"/>
    <w:rsid w:val="006B3994"/>
    <w:rsid w:val="006B3D8B"/>
    <w:rsid w:val="006B40ED"/>
    <w:rsid w:val="006B4C4C"/>
    <w:rsid w:val="006B5662"/>
    <w:rsid w:val="006B5EF8"/>
    <w:rsid w:val="006B6422"/>
    <w:rsid w:val="006C0182"/>
    <w:rsid w:val="006C1283"/>
    <w:rsid w:val="006C1786"/>
    <w:rsid w:val="006C1F94"/>
    <w:rsid w:val="006C24A8"/>
    <w:rsid w:val="006C3663"/>
    <w:rsid w:val="006C499A"/>
    <w:rsid w:val="006C54AB"/>
    <w:rsid w:val="006C5BEF"/>
    <w:rsid w:val="006C71A8"/>
    <w:rsid w:val="006C72C7"/>
    <w:rsid w:val="006C79EC"/>
    <w:rsid w:val="006D00EF"/>
    <w:rsid w:val="006D0DA0"/>
    <w:rsid w:val="006D1B9D"/>
    <w:rsid w:val="006D21B4"/>
    <w:rsid w:val="006D2A95"/>
    <w:rsid w:val="006D3453"/>
    <w:rsid w:val="006D407B"/>
    <w:rsid w:val="006D4AC1"/>
    <w:rsid w:val="006D4B95"/>
    <w:rsid w:val="006D50BF"/>
    <w:rsid w:val="006E0788"/>
    <w:rsid w:val="006E3DF4"/>
    <w:rsid w:val="006E5783"/>
    <w:rsid w:val="006E66BE"/>
    <w:rsid w:val="006E7F25"/>
    <w:rsid w:val="006F023E"/>
    <w:rsid w:val="006F2046"/>
    <w:rsid w:val="006F2CB6"/>
    <w:rsid w:val="006F4601"/>
    <w:rsid w:val="006F511E"/>
    <w:rsid w:val="006F6F32"/>
    <w:rsid w:val="0070019E"/>
    <w:rsid w:val="007010C1"/>
    <w:rsid w:val="00703C42"/>
    <w:rsid w:val="00706452"/>
    <w:rsid w:val="00706840"/>
    <w:rsid w:val="00706C29"/>
    <w:rsid w:val="007070CC"/>
    <w:rsid w:val="007137A4"/>
    <w:rsid w:val="007167BB"/>
    <w:rsid w:val="007173F0"/>
    <w:rsid w:val="00717715"/>
    <w:rsid w:val="007200E7"/>
    <w:rsid w:val="0072184F"/>
    <w:rsid w:val="0072211C"/>
    <w:rsid w:val="007239AB"/>
    <w:rsid w:val="0072503D"/>
    <w:rsid w:val="0072607D"/>
    <w:rsid w:val="007306F9"/>
    <w:rsid w:val="00731EBA"/>
    <w:rsid w:val="007344FD"/>
    <w:rsid w:val="00734E8E"/>
    <w:rsid w:val="00734FBD"/>
    <w:rsid w:val="007356E2"/>
    <w:rsid w:val="0073612A"/>
    <w:rsid w:val="0074086D"/>
    <w:rsid w:val="00742B17"/>
    <w:rsid w:val="007506B2"/>
    <w:rsid w:val="007509E4"/>
    <w:rsid w:val="007525D8"/>
    <w:rsid w:val="0075479A"/>
    <w:rsid w:val="00755069"/>
    <w:rsid w:val="00755FBD"/>
    <w:rsid w:val="007567E9"/>
    <w:rsid w:val="00756F12"/>
    <w:rsid w:val="007620A7"/>
    <w:rsid w:val="0076260E"/>
    <w:rsid w:val="007628E0"/>
    <w:rsid w:val="00763425"/>
    <w:rsid w:val="007635DE"/>
    <w:rsid w:val="00764C4F"/>
    <w:rsid w:val="00764C72"/>
    <w:rsid w:val="00765669"/>
    <w:rsid w:val="00766221"/>
    <w:rsid w:val="00767491"/>
    <w:rsid w:val="00770A72"/>
    <w:rsid w:val="0077121A"/>
    <w:rsid w:val="0077249C"/>
    <w:rsid w:val="007748A1"/>
    <w:rsid w:val="00776C2A"/>
    <w:rsid w:val="0078182F"/>
    <w:rsid w:val="00783938"/>
    <w:rsid w:val="00783F34"/>
    <w:rsid w:val="00784821"/>
    <w:rsid w:val="00785CD6"/>
    <w:rsid w:val="007872DF"/>
    <w:rsid w:val="007907B9"/>
    <w:rsid w:val="00791978"/>
    <w:rsid w:val="00792137"/>
    <w:rsid w:val="00792BD1"/>
    <w:rsid w:val="00796E02"/>
    <w:rsid w:val="0079733E"/>
    <w:rsid w:val="00797E99"/>
    <w:rsid w:val="007A1AB7"/>
    <w:rsid w:val="007A30D5"/>
    <w:rsid w:val="007A458B"/>
    <w:rsid w:val="007A4E7D"/>
    <w:rsid w:val="007A5582"/>
    <w:rsid w:val="007A76CE"/>
    <w:rsid w:val="007B01FB"/>
    <w:rsid w:val="007B307E"/>
    <w:rsid w:val="007B38A7"/>
    <w:rsid w:val="007C0018"/>
    <w:rsid w:val="007C2E86"/>
    <w:rsid w:val="007C31FF"/>
    <w:rsid w:val="007C4502"/>
    <w:rsid w:val="007C508B"/>
    <w:rsid w:val="007C58C1"/>
    <w:rsid w:val="007C5DA8"/>
    <w:rsid w:val="007C6555"/>
    <w:rsid w:val="007C65A7"/>
    <w:rsid w:val="007C728E"/>
    <w:rsid w:val="007C72A1"/>
    <w:rsid w:val="007C7870"/>
    <w:rsid w:val="007D35B0"/>
    <w:rsid w:val="007D387B"/>
    <w:rsid w:val="007D53F2"/>
    <w:rsid w:val="007D637A"/>
    <w:rsid w:val="007E0B6E"/>
    <w:rsid w:val="007E1818"/>
    <w:rsid w:val="007E2F33"/>
    <w:rsid w:val="007E3356"/>
    <w:rsid w:val="007F1A68"/>
    <w:rsid w:val="007F5535"/>
    <w:rsid w:val="007F55EE"/>
    <w:rsid w:val="007F7D15"/>
    <w:rsid w:val="008003F6"/>
    <w:rsid w:val="00800413"/>
    <w:rsid w:val="00800CC3"/>
    <w:rsid w:val="008042A0"/>
    <w:rsid w:val="008044AE"/>
    <w:rsid w:val="00806188"/>
    <w:rsid w:val="00811199"/>
    <w:rsid w:val="008115A2"/>
    <w:rsid w:val="00812810"/>
    <w:rsid w:val="008133F7"/>
    <w:rsid w:val="008143AD"/>
    <w:rsid w:val="00814A00"/>
    <w:rsid w:val="00815569"/>
    <w:rsid w:val="00820AC4"/>
    <w:rsid w:val="00820B56"/>
    <w:rsid w:val="008220C3"/>
    <w:rsid w:val="008224A3"/>
    <w:rsid w:val="00822E0B"/>
    <w:rsid w:val="00823367"/>
    <w:rsid w:val="00826C26"/>
    <w:rsid w:val="00827B25"/>
    <w:rsid w:val="00827B8A"/>
    <w:rsid w:val="00831B7A"/>
    <w:rsid w:val="0083445E"/>
    <w:rsid w:val="0083446E"/>
    <w:rsid w:val="008346C3"/>
    <w:rsid w:val="00837E2A"/>
    <w:rsid w:val="00841AC0"/>
    <w:rsid w:val="00841FFB"/>
    <w:rsid w:val="00842EFB"/>
    <w:rsid w:val="008432AB"/>
    <w:rsid w:val="00844C5A"/>
    <w:rsid w:val="00845EBA"/>
    <w:rsid w:val="00850546"/>
    <w:rsid w:val="008511AD"/>
    <w:rsid w:val="008513EA"/>
    <w:rsid w:val="008514D2"/>
    <w:rsid w:val="008519A2"/>
    <w:rsid w:val="00855FF3"/>
    <w:rsid w:val="0085682D"/>
    <w:rsid w:val="00857C66"/>
    <w:rsid w:val="00860813"/>
    <w:rsid w:val="008609BB"/>
    <w:rsid w:val="00865D77"/>
    <w:rsid w:val="00867AB5"/>
    <w:rsid w:val="0087021D"/>
    <w:rsid w:val="00871672"/>
    <w:rsid w:val="00871AF1"/>
    <w:rsid w:val="00871C4A"/>
    <w:rsid w:val="00872058"/>
    <w:rsid w:val="00872F3D"/>
    <w:rsid w:val="00873F35"/>
    <w:rsid w:val="008745CD"/>
    <w:rsid w:val="00875BA2"/>
    <w:rsid w:val="00877767"/>
    <w:rsid w:val="00882D3A"/>
    <w:rsid w:val="008846BA"/>
    <w:rsid w:val="00885142"/>
    <w:rsid w:val="008857B7"/>
    <w:rsid w:val="008902DF"/>
    <w:rsid w:val="00892CFA"/>
    <w:rsid w:val="00892F31"/>
    <w:rsid w:val="00894E52"/>
    <w:rsid w:val="00895078"/>
    <w:rsid w:val="00895B97"/>
    <w:rsid w:val="0089750D"/>
    <w:rsid w:val="008A20A3"/>
    <w:rsid w:val="008A2A07"/>
    <w:rsid w:val="008A3252"/>
    <w:rsid w:val="008A5DC6"/>
    <w:rsid w:val="008A60D3"/>
    <w:rsid w:val="008A6B13"/>
    <w:rsid w:val="008A7449"/>
    <w:rsid w:val="008B0C89"/>
    <w:rsid w:val="008B1D72"/>
    <w:rsid w:val="008B2AA2"/>
    <w:rsid w:val="008B2F19"/>
    <w:rsid w:val="008B3840"/>
    <w:rsid w:val="008B61FA"/>
    <w:rsid w:val="008B79EB"/>
    <w:rsid w:val="008C10ED"/>
    <w:rsid w:val="008C114B"/>
    <w:rsid w:val="008C2DEA"/>
    <w:rsid w:val="008C316E"/>
    <w:rsid w:val="008C461E"/>
    <w:rsid w:val="008C4D1C"/>
    <w:rsid w:val="008C566D"/>
    <w:rsid w:val="008C5780"/>
    <w:rsid w:val="008C59CC"/>
    <w:rsid w:val="008C6282"/>
    <w:rsid w:val="008C6B6E"/>
    <w:rsid w:val="008D0862"/>
    <w:rsid w:val="008D4F24"/>
    <w:rsid w:val="008D59DF"/>
    <w:rsid w:val="008D5AF6"/>
    <w:rsid w:val="008D6519"/>
    <w:rsid w:val="008D674E"/>
    <w:rsid w:val="008D6AF6"/>
    <w:rsid w:val="008D75A8"/>
    <w:rsid w:val="008E204F"/>
    <w:rsid w:val="008E2F8B"/>
    <w:rsid w:val="008E3D60"/>
    <w:rsid w:val="008E4DB7"/>
    <w:rsid w:val="008F18B2"/>
    <w:rsid w:val="008F18C9"/>
    <w:rsid w:val="008F2000"/>
    <w:rsid w:val="008F29F7"/>
    <w:rsid w:val="008F2B06"/>
    <w:rsid w:val="008F4345"/>
    <w:rsid w:val="008F44F5"/>
    <w:rsid w:val="008F70F2"/>
    <w:rsid w:val="0090063E"/>
    <w:rsid w:val="00900D47"/>
    <w:rsid w:val="0090291B"/>
    <w:rsid w:val="0090620D"/>
    <w:rsid w:val="0090760D"/>
    <w:rsid w:val="009109DB"/>
    <w:rsid w:val="00911445"/>
    <w:rsid w:val="009138F8"/>
    <w:rsid w:val="00913DF5"/>
    <w:rsid w:val="00915751"/>
    <w:rsid w:val="00917124"/>
    <w:rsid w:val="00917D82"/>
    <w:rsid w:val="009201E8"/>
    <w:rsid w:val="009214BC"/>
    <w:rsid w:val="00921E84"/>
    <w:rsid w:val="00923F3C"/>
    <w:rsid w:val="00925ED6"/>
    <w:rsid w:val="00927801"/>
    <w:rsid w:val="00931FFE"/>
    <w:rsid w:val="0093272A"/>
    <w:rsid w:val="00932D56"/>
    <w:rsid w:val="009340B4"/>
    <w:rsid w:val="00934C16"/>
    <w:rsid w:val="00935E07"/>
    <w:rsid w:val="00935E6C"/>
    <w:rsid w:val="00937721"/>
    <w:rsid w:val="00937F31"/>
    <w:rsid w:val="0094061C"/>
    <w:rsid w:val="00942559"/>
    <w:rsid w:val="00942BA4"/>
    <w:rsid w:val="00943645"/>
    <w:rsid w:val="0094446A"/>
    <w:rsid w:val="009444B7"/>
    <w:rsid w:val="0094686B"/>
    <w:rsid w:val="00946F3D"/>
    <w:rsid w:val="00952700"/>
    <w:rsid w:val="0095384E"/>
    <w:rsid w:val="009541E7"/>
    <w:rsid w:val="0095490F"/>
    <w:rsid w:val="00955021"/>
    <w:rsid w:val="00956DC1"/>
    <w:rsid w:val="00960D06"/>
    <w:rsid w:val="00962E9D"/>
    <w:rsid w:val="00962EB2"/>
    <w:rsid w:val="00963066"/>
    <w:rsid w:val="0096319F"/>
    <w:rsid w:val="00964B0E"/>
    <w:rsid w:val="009650D6"/>
    <w:rsid w:val="009656C5"/>
    <w:rsid w:val="00965F1F"/>
    <w:rsid w:val="0096681E"/>
    <w:rsid w:val="0097002E"/>
    <w:rsid w:val="009712FE"/>
    <w:rsid w:val="00971763"/>
    <w:rsid w:val="00972F9B"/>
    <w:rsid w:val="00975F9C"/>
    <w:rsid w:val="0097702A"/>
    <w:rsid w:val="00977137"/>
    <w:rsid w:val="00977307"/>
    <w:rsid w:val="00977596"/>
    <w:rsid w:val="009821D1"/>
    <w:rsid w:val="009837D3"/>
    <w:rsid w:val="00984285"/>
    <w:rsid w:val="00985B30"/>
    <w:rsid w:val="00985E4F"/>
    <w:rsid w:val="0098621D"/>
    <w:rsid w:val="00986ADD"/>
    <w:rsid w:val="00987C59"/>
    <w:rsid w:val="00987E98"/>
    <w:rsid w:val="00990492"/>
    <w:rsid w:val="0099174B"/>
    <w:rsid w:val="00991967"/>
    <w:rsid w:val="00995E33"/>
    <w:rsid w:val="00997A1E"/>
    <w:rsid w:val="009A0B4C"/>
    <w:rsid w:val="009A31EA"/>
    <w:rsid w:val="009A3F28"/>
    <w:rsid w:val="009A4204"/>
    <w:rsid w:val="009A51AD"/>
    <w:rsid w:val="009A5DA8"/>
    <w:rsid w:val="009A6F37"/>
    <w:rsid w:val="009B031A"/>
    <w:rsid w:val="009B1AC3"/>
    <w:rsid w:val="009B1CF5"/>
    <w:rsid w:val="009B3120"/>
    <w:rsid w:val="009B382F"/>
    <w:rsid w:val="009B38EE"/>
    <w:rsid w:val="009B5BC6"/>
    <w:rsid w:val="009B6105"/>
    <w:rsid w:val="009B7429"/>
    <w:rsid w:val="009C2BEC"/>
    <w:rsid w:val="009C6205"/>
    <w:rsid w:val="009C708A"/>
    <w:rsid w:val="009C7ECE"/>
    <w:rsid w:val="009D1238"/>
    <w:rsid w:val="009D2AD0"/>
    <w:rsid w:val="009D3B6B"/>
    <w:rsid w:val="009E321F"/>
    <w:rsid w:val="009E33B0"/>
    <w:rsid w:val="009E63CB"/>
    <w:rsid w:val="009E7395"/>
    <w:rsid w:val="009F02C4"/>
    <w:rsid w:val="009F0E3F"/>
    <w:rsid w:val="009F2B90"/>
    <w:rsid w:val="009F2C3E"/>
    <w:rsid w:val="009F7865"/>
    <w:rsid w:val="00A0083B"/>
    <w:rsid w:val="00A00D5F"/>
    <w:rsid w:val="00A014AF"/>
    <w:rsid w:val="00A01835"/>
    <w:rsid w:val="00A0201A"/>
    <w:rsid w:val="00A028D6"/>
    <w:rsid w:val="00A02951"/>
    <w:rsid w:val="00A037BC"/>
    <w:rsid w:val="00A06522"/>
    <w:rsid w:val="00A068BE"/>
    <w:rsid w:val="00A104F3"/>
    <w:rsid w:val="00A1070B"/>
    <w:rsid w:val="00A111FB"/>
    <w:rsid w:val="00A11288"/>
    <w:rsid w:val="00A11591"/>
    <w:rsid w:val="00A11B31"/>
    <w:rsid w:val="00A12653"/>
    <w:rsid w:val="00A128C8"/>
    <w:rsid w:val="00A129FD"/>
    <w:rsid w:val="00A13261"/>
    <w:rsid w:val="00A14340"/>
    <w:rsid w:val="00A150B0"/>
    <w:rsid w:val="00A16566"/>
    <w:rsid w:val="00A20C32"/>
    <w:rsid w:val="00A218A9"/>
    <w:rsid w:val="00A21AF2"/>
    <w:rsid w:val="00A256F1"/>
    <w:rsid w:val="00A30727"/>
    <w:rsid w:val="00A31E72"/>
    <w:rsid w:val="00A31F84"/>
    <w:rsid w:val="00A34701"/>
    <w:rsid w:val="00A34B29"/>
    <w:rsid w:val="00A34D98"/>
    <w:rsid w:val="00A34DC6"/>
    <w:rsid w:val="00A35326"/>
    <w:rsid w:val="00A361C4"/>
    <w:rsid w:val="00A362A1"/>
    <w:rsid w:val="00A366D2"/>
    <w:rsid w:val="00A36779"/>
    <w:rsid w:val="00A379C0"/>
    <w:rsid w:val="00A417EE"/>
    <w:rsid w:val="00A43B6B"/>
    <w:rsid w:val="00A44069"/>
    <w:rsid w:val="00A46B6B"/>
    <w:rsid w:val="00A5094E"/>
    <w:rsid w:val="00A528CF"/>
    <w:rsid w:val="00A54893"/>
    <w:rsid w:val="00A553D8"/>
    <w:rsid w:val="00A554EF"/>
    <w:rsid w:val="00A562A1"/>
    <w:rsid w:val="00A61448"/>
    <w:rsid w:val="00A6292A"/>
    <w:rsid w:val="00A63F0C"/>
    <w:rsid w:val="00A65632"/>
    <w:rsid w:val="00A65CE3"/>
    <w:rsid w:val="00A7082B"/>
    <w:rsid w:val="00A71D40"/>
    <w:rsid w:val="00A723F9"/>
    <w:rsid w:val="00A74230"/>
    <w:rsid w:val="00A7560E"/>
    <w:rsid w:val="00A80CC8"/>
    <w:rsid w:val="00A81DC9"/>
    <w:rsid w:val="00A82A3B"/>
    <w:rsid w:val="00A83885"/>
    <w:rsid w:val="00A838E1"/>
    <w:rsid w:val="00A85C2E"/>
    <w:rsid w:val="00A86529"/>
    <w:rsid w:val="00A87BB1"/>
    <w:rsid w:val="00A92200"/>
    <w:rsid w:val="00A92A81"/>
    <w:rsid w:val="00A93286"/>
    <w:rsid w:val="00A949A4"/>
    <w:rsid w:val="00A94DF9"/>
    <w:rsid w:val="00A95A48"/>
    <w:rsid w:val="00A96B21"/>
    <w:rsid w:val="00A9792D"/>
    <w:rsid w:val="00AA1CCA"/>
    <w:rsid w:val="00AA2760"/>
    <w:rsid w:val="00AA357C"/>
    <w:rsid w:val="00AA3DBA"/>
    <w:rsid w:val="00AA4F89"/>
    <w:rsid w:val="00AA54A7"/>
    <w:rsid w:val="00AA5976"/>
    <w:rsid w:val="00AA5E7E"/>
    <w:rsid w:val="00AA6782"/>
    <w:rsid w:val="00AA715C"/>
    <w:rsid w:val="00AA74AB"/>
    <w:rsid w:val="00AB4B31"/>
    <w:rsid w:val="00AC0FB0"/>
    <w:rsid w:val="00AC11EC"/>
    <w:rsid w:val="00AC16AE"/>
    <w:rsid w:val="00AC1FEA"/>
    <w:rsid w:val="00AC4282"/>
    <w:rsid w:val="00AC6581"/>
    <w:rsid w:val="00AD0444"/>
    <w:rsid w:val="00AD0AA3"/>
    <w:rsid w:val="00AD2AF5"/>
    <w:rsid w:val="00AD48A0"/>
    <w:rsid w:val="00AD521D"/>
    <w:rsid w:val="00AD584F"/>
    <w:rsid w:val="00AD60B9"/>
    <w:rsid w:val="00AE0727"/>
    <w:rsid w:val="00AE0D33"/>
    <w:rsid w:val="00AE10D2"/>
    <w:rsid w:val="00AE1E9E"/>
    <w:rsid w:val="00AE362E"/>
    <w:rsid w:val="00AE4CA4"/>
    <w:rsid w:val="00AE5CF4"/>
    <w:rsid w:val="00AE6223"/>
    <w:rsid w:val="00AE69C1"/>
    <w:rsid w:val="00AF1B5A"/>
    <w:rsid w:val="00AF2CA1"/>
    <w:rsid w:val="00AF32C1"/>
    <w:rsid w:val="00AF4FED"/>
    <w:rsid w:val="00AF79FC"/>
    <w:rsid w:val="00B00493"/>
    <w:rsid w:val="00B00759"/>
    <w:rsid w:val="00B010D0"/>
    <w:rsid w:val="00B016C5"/>
    <w:rsid w:val="00B01CE8"/>
    <w:rsid w:val="00B03FFB"/>
    <w:rsid w:val="00B0489B"/>
    <w:rsid w:val="00B04CDA"/>
    <w:rsid w:val="00B05F3E"/>
    <w:rsid w:val="00B0750E"/>
    <w:rsid w:val="00B07B5E"/>
    <w:rsid w:val="00B11EFE"/>
    <w:rsid w:val="00B12573"/>
    <w:rsid w:val="00B13E29"/>
    <w:rsid w:val="00B14D3C"/>
    <w:rsid w:val="00B1517F"/>
    <w:rsid w:val="00B15591"/>
    <w:rsid w:val="00B16836"/>
    <w:rsid w:val="00B20B23"/>
    <w:rsid w:val="00B2167F"/>
    <w:rsid w:val="00B22DAA"/>
    <w:rsid w:val="00B22F90"/>
    <w:rsid w:val="00B253E8"/>
    <w:rsid w:val="00B25E30"/>
    <w:rsid w:val="00B26855"/>
    <w:rsid w:val="00B26BD6"/>
    <w:rsid w:val="00B27183"/>
    <w:rsid w:val="00B304D1"/>
    <w:rsid w:val="00B3091D"/>
    <w:rsid w:val="00B30D11"/>
    <w:rsid w:val="00B323E4"/>
    <w:rsid w:val="00B33E36"/>
    <w:rsid w:val="00B34659"/>
    <w:rsid w:val="00B34F95"/>
    <w:rsid w:val="00B3558A"/>
    <w:rsid w:val="00B366C4"/>
    <w:rsid w:val="00B36B29"/>
    <w:rsid w:val="00B36F13"/>
    <w:rsid w:val="00B371BB"/>
    <w:rsid w:val="00B41520"/>
    <w:rsid w:val="00B41C1D"/>
    <w:rsid w:val="00B41D33"/>
    <w:rsid w:val="00B4205C"/>
    <w:rsid w:val="00B42988"/>
    <w:rsid w:val="00B42A43"/>
    <w:rsid w:val="00B42AD3"/>
    <w:rsid w:val="00B42DF5"/>
    <w:rsid w:val="00B43A7E"/>
    <w:rsid w:val="00B4703E"/>
    <w:rsid w:val="00B534F7"/>
    <w:rsid w:val="00B53558"/>
    <w:rsid w:val="00B539B7"/>
    <w:rsid w:val="00B54AF4"/>
    <w:rsid w:val="00B57E79"/>
    <w:rsid w:val="00B619C6"/>
    <w:rsid w:val="00B6354B"/>
    <w:rsid w:val="00B6391F"/>
    <w:rsid w:val="00B63A69"/>
    <w:rsid w:val="00B67B72"/>
    <w:rsid w:val="00B704D4"/>
    <w:rsid w:val="00B71809"/>
    <w:rsid w:val="00B76339"/>
    <w:rsid w:val="00B816C0"/>
    <w:rsid w:val="00B82515"/>
    <w:rsid w:val="00B82944"/>
    <w:rsid w:val="00B8535F"/>
    <w:rsid w:val="00B90068"/>
    <w:rsid w:val="00B91765"/>
    <w:rsid w:val="00B92260"/>
    <w:rsid w:val="00B92B92"/>
    <w:rsid w:val="00B930B9"/>
    <w:rsid w:val="00B931D5"/>
    <w:rsid w:val="00B9556C"/>
    <w:rsid w:val="00B95D7A"/>
    <w:rsid w:val="00B96084"/>
    <w:rsid w:val="00B963FE"/>
    <w:rsid w:val="00BA17FB"/>
    <w:rsid w:val="00BA549F"/>
    <w:rsid w:val="00BB1144"/>
    <w:rsid w:val="00BB1807"/>
    <w:rsid w:val="00BB22FC"/>
    <w:rsid w:val="00BB3748"/>
    <w:rsid w:val="00BB3994"/>
    <w:rsid w:val="00BB5DFA"/>
    <w:rsid w:val="00BB71A4"/>
    <w:rsid w:val="00BC1B58"/>
    <w:rsid w:val="00BC1D34"/>
    <w:rsid w:val="00BC26F5"/>
    <w:rsid w:val="00BC29AE"/>
    <w:rsid w:val="00BC3274"/>
    <w:rsid w:val="00BC340E"/>
    <w:rsid w:val="00BC4A61"/>
    <w:rsid w:val="00BC54CD"/>
    <w:rsid w:val="00BC5653"/>
    <w:rsid w:val="00BC6440"/>
    <w:rsid w:val="00BD11F0"/>
    <w:rsid w:val="00BD72CF"/>
    <w:rsid w:val="00BD7A3A"/>
    <w:rsid w:val="00BD7E80"/>
    <w:rsid w:val="00BD7F34"/>
    <w:rsid w:val="00BE00E1"/>
    <w:rsid w:val="00BE3B24"/>
    <w:rsid w:val="00BE4145"/>
    <w:rsid w:val="00BE4B83"/>
    <w:rsid w:val="00BE667B"/>
    <w:rsid w:val="00BE7CBC"/>
    <w:rsid w:val="00BE7F64"/>
    <w:rsid w:val="00BF03A7"/>
    <w:rsid w:val="00BF071E"/>
    <w:rsid w:val="00BF2796"/>
    <w:rsid w:val="00BF443C"/>
    <w:rsid w:val="00BF4D79"/>
    <w:rsid w:val="00BF63C8"/>
    <w:rsid w:val="00BF65F4"/>
    <w:rsid w:val="00BF693A"/>
    <w:rsid w:val="00BF7BEA"/>
    <w:rsid w:val="00C00258"/>
    <w:rsid w:val="00C006FD"/>
    <w:rsid w:val="00C02401"/>
    <w:rsid w:val="00C02E21"/>
    <w:rsid w:val="00C02F9D"/>
    <w:rsid w:val="00C030AD"/>
    <w:rsid w:val="00C0444A"/>
    <w:rsid w:val="00C0701F"/>
    <w:rsid w:val="00C1061D"/>
    <w:rsid w:val="00C11A29"/>
    <w:rsid w:val="00C13BAB"/>
    <w:rsid w:val="00C15759"/>
    <w:rsid w:val="00C15F12"/>
    <w:rsid w:val="00C16840"/>
    <w:rsid w:val="00C20BDC"/>
    <w:rsid w:val="00C20D2D"/>
    <w:rsid w:val="00C22D5A"/>
    <w:rsid w:val="00C23C62"/>
    <w:rsid w:val="00C26615"/>
    <w:rsid w:val="00C26EF5"/>
    <w:rsid w:val="00C2768A"/>
    <w:rsid w:val="00C30D6B"/>
    <w:rsid w:val="00C31586"/>
    <w:rsid w:val="00C31872"/>
    <w:rsid w:val="00C32965"/>
    <w:rsid w:val="00C32A35"/>
    <w:rsid w:val="00C34ED1"/>
    <w:rsid w:val="00C35396"/>
    <w:rsid w:val="00C37A55"/>
    <w:rsid w:val="00C403AA"/>
    <w:rsid w:val="00C40CEE"/>
    <w:rsid w:val="00C4117C"/>
    <w:rsid w:val="00C414C1"/>
    <w:rsid w:val="00C41ECA"/>
    <w:rsid w:val="00C42679"/>
    <w:rsid w:val="00C42F23"/>
    <w:rsid w:val="00C43A91"/>
    <w:rsid w:val="00C43D3A"/>
    <w:rsid w:val="00C448DD"/>
    <w:rsid w:val="00C47287"/>
    <w:rsid w:val="00C472DC"/>
    <w:rsid w:val="00C51512"/>
    <w:rsid w:val="00C5295C"/>
    <w:rsid w:val="00C52DDB"/>
    <w:rsid w:val="00C538F8"/>
    <w:rsid w:val="00C53E4A"/>
    <w:rsid w:val="00C57B12"/>
    <w:rsid w:val="00C605D9"/>
    <w:rsid w:val="00C615E0"/>
    <w:rsid w:val="00C61AF7"/>
    <w:rsid w:val="00C62DC9"/>
    <w:rsid w:val="00C63000"/>
    <w:rsid w:val="00C64A08"/>
    <w:rsid w:val="00C64B85"/>
    <w:rsid w:val="00C64BDE"/>
    <w:rsid w:val="00C6754B"/>
    <w:rsid w:val="00C67D0B"/>
    <w:rsid w:val="00C70323"/>
    <w:rsid w:val="00C70EC6"/>
    <w:rsid w:val="00C7223C"/>
    <w:rsid w:val="00C7409B"/>
    <w:rsid w:val="00C7504E"/>
    <w:rsid w:val="00C76260"/>
    <w:rsid w:val="00C77F5C"/>
    <w:rsid w:val="00C820C8"/>
    <w:rsid w:val="00C825E6"/>
    <w:rsid w:val="00C850C0"/>
    <w:rsid w:val="00C90C6F"/>
    <w:rsid w:val="00C91110"/>
    <w:rsid w:val="00C9142D"/>
    <w:rsid w:val="00C9197B"/>
    <w:rsid w:val="00C94698"/>
    <w:rsid w:val="00C946A2"/>
    <w:rsid w:val="00C9542C"/>
    <w:rsid w:val="00C97443"/>
    <w:rsid w:val="00CA11E7"/>
    <w:rsid w:val="00CA129E"/>
    <w:rsid w:val="00CA1F98"/>
    <w:rsid w:val="00CA268E"/>
    <w:rsid w:val="00CA29E5"/>
    <w:rsid w:val="00CA62BE"/>
    <w:rsid w:val="00CA652E"/>
    <w:rsid w:val="00CA66C3"/>
    <w:rsid w:val="00CA68F3"/>
    <w:rsid w:val="00CB3055"/>
    <w:rsid w:val="00CB383B"/>
    <w:rsid w:val="00CB4D85"/>
    <w:rsid w:val="00CB5BB3"/>
    <w:rsid w:val="00CB5F71"/>
    <w:rsid w:val="00CB6250"/>
    <w:rsid w:val="00CB6E05"/>
    <w:rsid w:val="00CC14F0"/>
    <w:rsid w:val="00CC2B98"/>
    <w:rsid w:val="00CC6562"/>
    <w:rsid w:val="00CC7AF8"/>
    <w:rsid w:val="00CD0763"/>
    <w:rsid w:val="00CD26DB"/>
    <w:rsid w:val="00CD281E"/>
    <w:rsid w:val="00CD2B00"/>
    <w:rsid w:val="00CD385B"/>
    <w:rsid w:val="00CD45BB"/>
    <w:rsid w:val="00CD5662"/>
    <w:rsid w:val="00CD6D9A"/>
    <w:rsid w:val="00CD6F87"/>
    <w:rsid w:val="00CD7926"/>
    <w:rsid w:val="00CE1343"/>
    <w:rsid w:val="00CF25E8"/>
    <w:rsid w:val="00CF39A3"/>
    <w:rsid w:val="00CF3EC8"/>
    <w:rsid w:val="00CF475C"/>
    <w:rsid w:val="00CF4E83"/>
    <w:rsid w:val="00CF5202"/>
    <w:rsid w:val="00CF5DA6"/>
    <w:rsid w:val="00CF6109"/>
    <w:rsid w:val="00CF6FED"/>
    <w:rsid w:val="00CF74D8"/>
    <w:rsid w:val="00CF7555"/>
    <w:rsid w:val="00D002D2"/>
    <w:rsid w:val="00D00319"/>
    <w:rsid w:val="00D0169B"/>
    <w:rsid w:val="00D01856"/>
    <w:rsid w:val="00D01D97"/>
    <w:rsid w:val="00D03956"/>
    <w:rsid w:val="00D07122"/>
    <w:rsid w:val="00D07DF1"/>
    <w:rsid w:val="00D150C8"/>
    <w:rsid w:val="00D209AB"/>
    <w:rsid w:val="00D22D1B"/>
    <w:rsid w:val="00D23158"/>
    <w:rsid w:val="00D2352D"/>
    <w:rsid w:val="00D2373D"/>
    <w:rsid w:val="00D26C18"/>
    <w:rsid w:val="00D27196"/>
    <w:rsid w:val="00D3188D"/>
    <w:rsid w:val="00D330C6"/>
    <w:rsid w:val="00D33DFA"/>
    <w:rsid w:val="00D3471E"/>
    <w:rsid w:val="00D34C31"/>
    <w:rsid w:val="00D35A70"/>
    <w:rsid w:val="00D401AF"/>
    <w:rsid w:val="00D4325D"/>
    <w:rsid w:val="00D43DD0"/>
    <w:rsid w:val="00D446CB"/>
    <w:rsid w:val="00D45267"/>
    <w:rsid w:val="00D45B8B"/>
    <w:rsid w:val="00D47166"/>
    <w:rsid w:val="00D504CD"/>
    <w:rsid w:val="00D52244"/>
    <w:rsid w:val="00D53F6D"/>
    <w:rsid w:val="00D57BE9"/>
    <w:rsid w:val="00D57E26"/>
    <w:rsid w:val="00D63343"/>
    <w:rsid w:val="00D63D12"/>
    <w:rsid w:val="00D644DB"/>
    <w:rsid w:val="00D6561B"/>
    <w:rsid w:val="00D66367"/>
    <w:rsid w:val="00D704FB"/>
    <w:rsid w:val="00D706B9"/>
    <w:rsid w:val="00D72FC0"/>
    <w:rsid w:val="00D7316B"/>
    <w:rsid w:val="00D7351C"/>
    <w:rsid w:val="00D737D7"/>
    <w:rsid w:val="00D813D2"/>
    <w:rsid w:val="00D813DB"/>
    <w:rsid w:val="00D82331"/>
    <w:rsid w:val="00D84D32"/>
    <w:rsid w:val="00D85AC5"/>
    <w:rsid w:val="00D9177A"/>
    <w:rsid w:val="00D951E4"/>
    <w:rsid w:val="00D95D90"/>
    <w:rsid w:val="00D97879"/>
    <w:rsid w:val="00D97AF7"/>
    <w:rsid w:val="00DA012A"/>
    <w:rsid w:val="00DA0FA1"/>
    <w:rsid w:val="00DA1DE3"/>
    <w:rsid w:val="00DA2A50"/>
    <w:rsid w:val="00DA3052"/>
    <w:rsid w:val="00DA311F"/>
    <w:rsid w:val="00DA430A"/>
    <w:rsid w:val="00DA447C"/>
    <w:rsid w:val="00DA533F"/>
    <w:rsid w:val="00DA547F"/>
    <w:rsid w:val="00DA5FCB"/>
    <w:rsid w:val="00DA6486"/>
    <w:rsid w:val="00DA6F77"/>
    <w:rsid w:val="00DA78A8"/>
    <w:rsid w:val="00DB09CE"/>
    <w:rsid w:val="00DB7999"/>
    <w:rsid w:val="00DB7CF1"/>
    <w:rsid w:val="00DC042A"/>
    <w:rsid w:val="00DC1AD4"/>
    <w:rsid w:val="00DC2161"/>
    <w:rsid w:val="00DC3993"/>
    <w:rsid w:val="00DC3B13"/>
    <w:rsid w:val="00DC3FD9"/>
    <w:rsid w:val="00DC4AB1"/>
    <w:rsid w:val="00DC5E8D"/>
    <w:rsid w:val="00DC70E7"/>
    <w:rsid w:val="00DD200B"/>
    <w:rsid w:val="00DD6E33"/>
    <w:rsid w:val="00DD78E3"/>
    <w:rsid w:val="00DE088F"/>
    <w:rsid w:val="00DE17F9"/>
    <w:rsid w:val="00DE256E"/>
    <w:rsid w:val="00DE26E7"/>
    <w:rsid w:val="00DE2E61"/>
    <w:rsid w:val="00DE413C"/>
    <w:rsid w:val="00DE53C1"/>
    <w:rsid w:val="00DE5DB4"/>
    <w:rsid w:val="00DF0372"/>
    <w:rsid w:val="00DF18B5"/>
    <w:rsid w:val="00DF2334"/>
    <w:rsid w:val="00DF4793"/>
    <w:rsid w:val="00DF54B6"/>
    <w:rsid w:val="00DF6264"/>
    <w:rsid w:val="00E0020D"/>
    <w:rsid w:val="00E01815"/>
    <w:rsid w:val="00E0254C"/>
    <w:rsid w:val="00E02C2F"/>
    <w:rsid w:val="00E04C84"/>
    <w:rsid w:val="00E051DE"/>
    <w:rsid w:val="00E05FC3"/>
    <w:rsid w:val="00E06515"/>
    <w:rsid w:val="00E126C3"/>
    <w:rsid w:val="00E1394C"/>
    <w:rsid w:val="00E1429F"/>
    <w:rsid w:val="00E144E4"/>
    <w:rsid w:val="00E1499C"/>
    <w:rsid w:val="00E17E84"/>
    <w:rsid w:val="00E202EE"/>
    <w:rsid w:val="00E210C5"/>
    <w:rsid w:val="00E253B6"/>
    <w:rsid w:val="00E31F27"/>
    <w:rsid w:val="00E33703"/>
    <w:rsid w:val="00E34210"/>
    <w:rsid w:val="00E3445A"/>
    <w:rsid w:val="00E35092"/>
    <w:rsid w:val="00E354FF"/>
    <w:rsid w:val="00E369BA"/>
    <w:rsid w:val="00E37D37"/>
    <w:rsid w:val="00E37E40"/>
    <w:rsid w:val="00E409FD"/>
    <w:rsid w:val="00E41E41"/>
    <w:rsid w:val="00E4395C"/>
    <w:rsid w:val="00E44079"/>
    <w:rsid w:val="00E451B6"/>
    <w:rsid w:val="00E4536D"/>
    <w:rsid w:val="00E46180"/>
    <w:rsid w:val="00E464D2"/>
    <w:rsid w:val="00E4799F"/>
    <w:rsid w:val="00E54FB8"/>
    <w:rsid w:val="00E55555"/>
    <w:rsid w:val="00E56677"/>
    <w:rsid w:val="00E5763C"/>
    <w:rsid w:val="00E57B05"/>
    <w:rsid w:val="00E61429"/>
    <w:rsid w:val="00E62C99"/>
    <w:rsid w:val="00E63A77"/>
    <w:rsid w:val="00E64182"/>
    <w:rsid w:val="00E648DD"/>
    <w:rsid w:val="00E66AEC"/>
    <w:rsid w:val="00E67777"/>
    <w:rsid w:val="00E70288"/>
    <w:rsid w:val="00E70CAC"/>
    <w:rsid w:val="00E71056"/>
    <w:rsid w:val="00E71DD1"/>
    <w:rsid w:val="00E73022"/>
    <w:rsid w:val="00E739EC"/>
    <w:rsid w:val="00E73A21"/>
    <w:rsid w:val="00E73D42"/>
    <w:rsid w:val="00E7410B"/>
    <w:rsid w:val="00E74220"/>
    <w:rsid w:val="00E760EA"/>
    <w:rsid w:val="00E7695C"/>
    <w:rsid w:val="00E76B4B"/>
    <w:rsid w:val="00E77F97"/>
    <w:rsid w:val="00E80384"/>
    <w:rsid w:val="00E80964"/>
    <w:rsid w:val="00E81388"/>
    <w:rsid w:val="00E81906"/>
    <w:rsid w:val="00E82F8D"/>
    <w:rsid w:val="00E835C3"/>
    <w:rsid w:val="00E84BD3"/>
    <w:rsid w:val="00E85385"/>
    <w:rsid w:val="00E85D1F"/>
    <w:rsid w:val="00E85D9A"/>
    <w:rsid w:val="00E8653D"/>
    <w:rsid w:val="00E8771E"/>
    <w:rsid w:val="00E8793B"/>
    <w:rsid w:val="00E903CF"/>
    <w:rsid w:val="00E91468"/>
    <w:rsid w:val="00E929F3"/>
    <w:rsid w:val="00E9321F"/>
    <w:rsid w:val="00E93306"/>
    <w:rsid w:val="00E934E5"/>
    <w:rsid w:val="00E95064"/>
    <w:rsid w:val="00E95C43"/>
    <w:rsid w:val="00E97395"/>
    <w:rsid w:val="00EA0373"/>
    <w:rsid w:val="00EA35D8"/>
    <w:rsid w:val="00EA60D6"/>
    <w:rsid w:val="00EA64E7"/>
    <w:rsid w:val="00EB44BF"/>
    <w:rsid w:val="00EB4877"/>
    <w:rsid w:val="00EB750F"/>
    <w:rsid w:val="00EC23E2"/>
    <w:rsid w:val="00EC29C1"/>
    <w:rsid w:val="00EC2F7F"/>
    <w:rsid w:val="00EC5AE2"/>
    <w:rsid w:val="00EC5EF2"/>
    <w:rsid w:val="00EC6B33"/>
    <w:rsid w:val="00EC7164"/>
    <w:rsid w:val="00EC7C82"/>
    <w:rsid w:val="00ED19F5"/>
    <w:rsid w:val="00ED2E3E"/>
    <w:rsid w:val="00ED380C"/>
    <w:rsid w:val="00ED3E59"/>
    <w:rsid w:val="00ED4EC6"/>
    <w:rsid w:val="00ED5AC1"/>
    <w:rsid w:val="00EE1ACB"/>
    <w:rsid w:val="00EE2ECB"/>
    <w:rsid w:val="00EE3E19"/>
    <w:rsid w:val="00EE6903"/>
    <w:rsid w:val="00EE6DE7"/>
    <w:rsid w:val="00EE77FE"/>
    <w:rsid w:val="00EF1A67"/>
    <w:rsid w:val="00EF34DF"/>
    <w:rsid w:val="00EF3CE0"/>
    <w:rsid w:val="00F01681"/>
    <w:rsid w:val="00F01DB4"/>
    <w:rsid w:val="00F0294E"/>
    <w:rsid w:val="00F0435F"/>
    <w:rsid w:val="00F057F4"/>
    <w:rsid w:val="00F07D18"/>
    <w:rsid w:val="00F1154E"/>
    <w:rsid w:val="00F11B4E"/>
    <w:rsid w:val="00F1249C"/>
    <w:rsid w:val="00F13BD0"/>
    <w:rsid w:val="00F14FAE"/>
    <w:rsid w:val="00F20420"/>
    <w:rsid w:val="00F20BD5"/>
    <w:rsid w:val="00F25327"/>
    <w:rsid w:val="00F25D02"/>
    <w:rsid w:val="00F276F8"/>
    <w:rsid w:val="00F30712"/>
    <w:rsid w:val="00F30A02"/>
    <w:rsid w:val="00F31597"/>
    <w:rsid w:val="00F31892"/>
    <w:rsid w:val="00F31B5A"/>
    <w:rsid w:val="00F31CBD"/>
    <w:rsid w:val="00F338A5"/>
    <w:rsid w:val="00F34289"/>
    <w:rsid w:val="00F36209"/>
    <w:rsid w:val="00F3726D"/>
    <w:rsid w:val="00F37909"/>
    <w:rsid w:val="00F41337"/>
    <w:rsid w:val="00F41BF1"/>
    <w:rsid w:val="00F41CAD"/>
    <w:rsid w:val="00F4219E"/>
    <w:rsid w:val="00F42BFA"/>
    <w:rsid w:val="00F43218"/>
    <w:rsid w:val="00F44C85"/>
    <w:rsid w:val="00F4572D"/>
    <w:rsid w:val="00F47282"/>
    <w:rsid w:val="00F47AF6"/>
    <w:rsid w:val="00F51221"/>
    <w:rsid w:val="00F529E7"/>
    <w:rsid w:val="00F533A2"/>
    <w:rsid w:val="00F54592"/>
    <w:rsid w:val="00F55F3D"/>
    <w:rsid w:val="00F60DB1"/>
    <w:rsid w:val="00F61A57"/>
    <w:rsid w:val="00F62DBF"/>
    <w:rsid w:val="00F6314D"/>
    <w:rsid w:val="00F6395A"/>
    <w:rsid w:val="00F64587"/>
    <w:rsid w:val="00F646FE"/>
    <w:rsid w:val="00F656B8"/>
    <w:rsid w:val="00F65DB2"/>
    <w:rsid w:val="00F72C43"/>
    <w:rsid w:val="00F72F17"/>
    <w:rsid w:val="00F75B2E"/>
    <w:rsid w:val="00F76726"/>
    <w:rsid w:val="00F82EB3"/>
    <w:rsid w:val="00F84769"/>
    <w:rsid w:val="00F856D0"/>
    <w:rsid w:val="00F90421"/>
    <w:rsid w:val="00F91301"/>
    <w:rsid w:val="00F92C0F"/>
    <w:rsid w:val="00F93842"/>
    <w:rsid w:val="00F95A31"/>
    <w:rsid w:val="00F960F4"/>
    <w:rsid w:val="00F96783"/>
    <w:rsid w:val="00F973BE"/>
    <w:rsid w:val="00F97848"/>
    <w:rsid w:val="00FA0892"/>
    <w:rsid w:val="00FA2CA8"/>
    <w:rsid w:val="00FA3A52"/>
    <w:rsid w:val="00FA3F7B"/>
    <w:rsid w:val="00FA5F09"/>
    <w:rsid w:val="00FB2144"/>
    <w:rsid w:val="00FB4DEC"/>
    <w:rsid w:val="00FB511A"/>
    <w:rsid w:val="00FB6018"/>
    <w:rsid w:val="00FB6BD2"/>
    <w:rsid w:val="00FB79CB"/>
    <w:rsid w:val="00FC002D"/>
    <w:rsid w:val="00FC2B36"/>
    <w:rsid w:val="00FC6F18"/>
    <w:rsid w:val="00FC7135"/>
    <w:rsid w:val="00FC7632"/>
    <w:rsid w:val="00FC7A19"/>
    <w:rsid w:val="00FD4301"/>
    <w:rsid w:val="00FD59C8"/>
    <w:rsid w:val="00FD6B70"/>
    <w:rsid w:val="00FD74C9"/>
    <w:rsid w:val="00FD7944"/>
    <w:rsid w:val="00FE0037"/>
    <w:rsid w:val="00FE110F"/>
    <w:rsid w:val="00FE43A7"/>
    <w:rsid w:val="00FE4899"/>
    <w:rsid w:val="00FF1AB1"/>
    <w:rsid w:val="00FF27CD"/>
    <w:rsid w:val="00FF57B2"/>
    <w:rsid w:val="00FF65E0"/>
    <w:rsid w:val="00FF6780"/>
    <w:rsid w:val="00FF709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CBC45D"/>
  <w15:chartTrackingRefBased/>
  <w15:docId w15:val="{12F912EB-9835-4E63-B80D-B00713842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911445"/>
    <w:pPr>
      <w:keepNext/>
      <w:numPr>
        <w:numId w:val="5"/>
      </w:numPr>
      <w:overflowPunct w:val="0"/>
      <w:autoSpaceDE w:val="0"/>
      <w:autoSpaceDN w:val="0"/>
      <w:adjustRightInd w:val="0"/>
      <w:spacing w:before="480" w:after="120" w:line="240" w:lineRule="auto"/>
      <w:jc w:val="center"/>
      <w:textAlignment w:val="baseline"/>
      <w:outlineLvl w:val="0"/>
    </w:pPr>
    <w:rPr>
      <w:rFonts w:eastAsia="Times New Roman" w:cstheme="minorHAnsi"/>
      <w:b/>
      <w:color w:val="000000"/>
      <w:sz w:val="24"/>
      <w:szCs w:val="20"/>
      <w:lang w:eastAsia="cs-CZ"/>
    </w:rPr>
  </w:style>
  <w:style w:type="paragraph" w:styleId="Nadpis2">
    <w:name w:val="heading 2"/>
    <w:basedOn w:val="Normln"/>
    <w:next w:val="Normln"/>
    <w:link w:val="Nadpis2Char"/>
    <w:uiPriority w:val="9"/>
    <w:unhideWhenUsed/>
    <w:qFormat/>
    <w:rsid w:val="00DC4AB1"/>
    <w:pPr>
      <w:keepNext/>
      <w:keepLines/>
      <w:numPr>
        <w:ilvl w:val="1"/>
        <w:numId w:val="5"/>
      </w:numPr>
      <w:spacing w:before="40" w:after="0"/>
      <w:outlineLvl w:val="1"/>
    </w:pPr>
    <w:rPr>
      <w:rFonts w:eastAsiaTheme="majorEastAsia" w:cstheme="majorBidi"/>
      <w:b/>
      <w:sz w:val="24"/>
      <w:szCs w:val="26"/>
    </w:rPr>
  </w:style>
  <w:style w:type="paragraph" w:styleId="Nadpis3">
    <w:name w:val="heading 3"/>
    <w:basedOn w:val="Normln"/>
    <w:next w:val="Normln"/>
    <w:link w:val="Nadpis3Char"/>
    <w:uiPriority w:val="9"/>
    <w:unhideWhenUsed/>
    <w:qFormat/>
    <w:rsid w:val="00911445"/>
    <w:pPr>
      <w:keepNext/>
      <w:keepLines/>
      <w:numPr>
        <w:ilvl w:val="2"/>
        <w:numId w:val="5"/>
      </w:numPr>
      <w:spacing w:before="40" w:after="120" w:line="240" w:lineRule="auto"/>
      <w:jc w:val="both"/>
      <w:outlineLvl w:val="2"/>
    </w:pPr>
    <w:rPr>
      <w:rFonts w:eastAsiaTheme="majorEastAsia" w:cstheme="majorBidi"/>
      <w:bCs/>
      <w:color w:val="000000"/>
      <w:sz w:val="24"/>
      <w:szCs w:val="24"/>
      <w:u w:val="single"/>
    </w:rPr>
  </w:style>
  <w:style w:type="paragraph" w:styleId="Nadpis4">
    <w:name w:val="heading 4"/>
    <w:basedOn w:val="Normln"/>
    <w:next w:val="Normln"/>
    <w:link w:val="Nadpis4Char"/>
    <w:uiPriority w:val="9"/>
    <w:unhideWhenUsed/>
    <w:qFormat/>
    <w:rsid w:val="00911445"/>
    <w:pPr>
      <w:keepNext/>
      <w:keepLines/>
      <w:numPr>
        <w:ilvl w:val="3"/>
        <w:numId w:val="5"/>
      </w:numPr>
      <w:spacing w:before="40" w:after="0" w:line="240" w:lineRule="auto"/>
      <w:outlineLvl w:val="3"/>
    </w:pPr>
    <w:rPr>
      <w:rFonts w:asciiTheme="majorHAnsi" w:eastAsiaTheme="majorEastAsia" w:hAnsiTheme="majorHAnsi" w:cstheme="majorBidi"/>
      <w:i/>
      <w:iCs/>
      <w:color w:val="000000" w:themeColor="text1"/>
      <w:sz w:val="24"/>
      <w:szCs w:val="24"/>
    </w:rPr>
  </w:style>
  <w:style w:type="paragraph" w:styleId="Nadpis5">
    <w:name w:val="heading 5"/>
    <w:basedOn w:val="Normln"/>
    <w:next w:val="Normln"/>
    <w:link w:val="Nadpis5Char"/>
    <w:uiPriority w:val="9"/>
    <w:semiHidden/>
    <w:unhideWhenUsed/>
    <w:qFormat/>
    <w:rsid w:val="00911445"/>
    <w:pPr>
      <w:keepNext/>
      <w:keepLines/>
      <w:numPr>
        <w:ilvl w:val="4"/>
        <w:numId w:val="5"/>
      </w:numPr>
      <w:spacing w:before="40" w:after="0" w:line="240" w:lineRule="auto"/>
      <w:outlineLvl w:val="4"/>
    </w:pPr>
    <w:rPr>
      <w:rFonts w:asciiTheme="majorHAnsi" w:eastAsiaTheme="majorEastAsia" w:hAnsiTheme="majorHAnsi" w:cstheme="majorBidi"/>
      <w:color w:val="2E74B5" w:themeColor="accent1" w:themeShade="BF"/>
      <w:sz w:val="24"/>
      <w:szCs w:val="24"/>
    </w:rPr>
  </w:style>
  <w:style w:type="paragraph" w:styleId="Nadpis6">
    <w:name w:val="heading 6"/>
    <w:basedOn w:val="Normln"/>
    <w:next w:val="Normln"/>
    <w:link w:val="Nadpis6Char"/>
    <w:uiPriority w:val="9"/>
    <w:semiHidden/>
    <w:unhideWhenUsed/>
    <w:qFormat/>
    <w:rsid w:val="00911445"/>
    <w:pPr>
      <w:keepNext/>
      <w:keepLines/>
      <w:numPr>
        <w:ilvl w:val="5"/>
        <w:numId w:val="5"/>
      </w:numPr>
      <w:spacing w:before="40" w:after="0" w:line="240" w:lineRule="auto"/>
      <w:outlineLvl w:val="5"/>
    </w:pPr>
    <w:rPr>
      <w:rFonts w:asciiTheme="majorHAnsi" w:eastAsiaTheme="majorEastAsia" w:hAnsiTheme="majorHAnsi" w:cstheme="majorBidi"/>
      <w:color w:val="1F4D78" w:themeColor="accent1" w:themeShade="7F"/>
      <w:sz w:val="24"/>
      <w:szCs w:val="24"/>
    </w:rPr>
  </w:style>
  <w:style w:type="paragraph" w:styleId="Nadpis7">
    <w:name w:val="heading 7"/>
    <w:basedOn w:val="Normln"/>
    <w:next w:val="Normln"/>
    <w:link w:val="Nadpis7Char"/>
    <w:uiPriority w:val="9"/>
    <w:semiHidden/>
    <w:unhideWhenUsed/>
    <w:qFormat/>
    <w:rsid w:val="00911445"/>
    <w:pPr>
      <w:keepNext/>
      <w:keepLines/>
      <w:numPr>
        <w:ilvl w:val="6"/>
        <w:numId w:val="5"/>
      </w:numPr>
      <w:spacing w:before="40" w:after="0" w:line="240" w:lineRule="auto"/>
      <w:outlineLvl w:val="6"/>
    </w:pPr>
    <w:rPr>
      <w:rFonts w:asciiTheme="majorHAnsi" w:eastAsiaTheme="majorEastAsia" w:hAnsiTheme="majorHAnsi" w:cstheme="majorBidi"/>
      <w:i/>
      <w:iCs/>
      <w:color w:val="1F4D78" w:themeColor="accent1" w:themeShade="7F"/>
      <w:sz w:val="24"/>
      <w:szCs w:val="24"/>
    </w:rPr>
  </w:style>
  <w:style w:type="paragraph" w:styleId="Nadpis8">
    <w:name w:val="heading 8"/>
    <w:basedOn w:val="Normln"/>
    <w:next w:val="Normln"/>
    <w:link w:val="Nadpis8Char"/>
    <w:uiPriority w:val="9"/>
    <w:semiHidden/>
    <w:unhideWhenUsed/>
    <w:qFormat/>
    <w:rsid w:val="00911445"/>
    <w:pPr>
      <w:keepNext/>
      <w:keepLines/>
      <w:numPr>
        <w:ilvl w:val="7"/>
        <w:numId w:val="5"/>
      </w:numPr>
      <w:spacing w:before="40" w:after="0" w:line="240" w:lineRule="auto"/>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911445"/>
    <w:pPr>
      <w:keepNext/>
      <w:keepLines/>
      <w:numPr>
        <w:ilvl w:val="8"/>
        <w:numId w:val="5"/>
      </w:numPr>
      <w:spacing w:before="40" w:after="0" w:line="240" w:lineRule="auto"/>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911445"/>
    <w:rPr>
      <w:rFonts w:eastAsia="Times New Roman" w:cstheme="minorHAnsi"/>
      <w:b/>
      <w:color w:val="000000"/>
      <w:sz w:val="24"/>
      <w:szCs w:val="20"/>
      <w:lang w:eastAsia="cs-CZ"/>
    </w:rPr>
  </w:style>
  <w:style w:type="character" w:customStyle="1" w:styleId="Nadpis3Char">
    <w:name w:val="Nadpis 3 Char"/>
    <w:basedOn w:val="Standardnpsmoodstavce"/>
    <w:link w:val="Nadpis3"/>
    <w:uiPriority w:val="9"/>
    <w:rsid w:val="00911445"/>
    <w:rPr>
      <w:rFonts w:eastAsiaTheme="majorEastAsia" w:cstheme="majorBidi"/>
      <w:bCs/>
      <w:color w:val="000000"/>
      <w:sz w:val="24"/>
      <w:szCs w:val="24"/>
      <w:u w:val="single"/>
    </w:rPr>
  </w:style>
  <w:style w:type="character" w:customStyle="1" w:styleId="Nadpis4Char">
    <w:name w:val="Nadpis 4 Char"/>
    <w:basedOn w:val="Standardnpsmoodstavce"/>
    <w:link w:val="Nadpis4"/>
    <w:uiPriority w:val="9"/>
    <w:rsid w:val="00911445"/>
    <w:rPr>
      <w:rFonts w:asciiTheme="majorHAnsi" w:eastAsiaTheme="majorEastAsia" w:hAnsiTheme="majorHAnsi" w:cstheme="majorBidi"/>
      <w:i/>
      <w:iCs/>
      <w:color w:val="000000" w:themeColor="text1"/>
      <w:sz w:val="24"/>
      <w:szCs w:val="24"/>
    </w:rPr>
  </w:style>
  <w:style w:type="character" w:customStyle="1" w:styleId="Nadpis5Char">
    <w:name w:val="Nadpis 5 Char"/>
    <w:basedOn w:val="Standardnpsmoodstavce"/>
    <w:link w:val="Nadpis5"/>
    <w:uiPriority w:val="9"/>
    <w:semiHidden/>
    <w:rsid w:val="00911445"/>
    <w:rPr>
      <w:rFonts w:asciiTheme="majorHAnsi" w:eastAsiaTheme="majorEastAsia" w:hAnsiTheme="majorHAnsi" w:cstheme="majorBidi"/>
      <w:color w:val="2E74B5" w:themeColor="accent1" w:themeShade="BF"/>
      <w:sz w:val="24"/>
      <w:szCs w:val="24"/>
    </w:rPr>
  </w:style>
  <w:style w:type="character" w:customStyle="1" w:styleId="Nadpis6Char">
    <w:name w:val="Nadpis 6 Char"/>
    <w:basedOn w:val="Standardnpsmoodstavce"/>
    <w:link w:val="Nadpis6"/>
    <w:uiPriority w:val="9"/>
    <w:semiHidden/>
    <w:rsid w:val="00911445"/>
    <w:rPr>
      <w:rFonts w:asciiTheme="majorHAnsi" w:eastAsiaTheme="majorEastAsia" w:hAnsiTheme="majorHAnsi" w:cstheme="majorBidi"/>
      <w:color w:val="1F4D78" w:themeColor="accent1" w:themeShade="7F"/>
      <w:sz w:val="24"/>
      <w:szCs w:val="24"/>
    </w:rPr>
  </w:style>
  <w:style w:type="character" w:customStyle="1" w:styleId="Nadpis7Char">
    <w:name w:val="Nadpis 7 Char"/>
    <w:basedOn w:val="Standardnpsmoodstavce"/>
    <w:link w:val="Nadpis7"/>
    <w:uiPriority w:val="9"/>
    <w:semiHidden/>
    <w:rsid w:val="00911445"/>
    <w:rPr>
      <w:rFonts w:asciiTheme="majorHAnsi" w:eastAsiaTheme="majorEastAsia" w:hAnsiTheme="majorHAnsi" w:cstheme="majorBidi"/>
      <w:i/>
      <w:iCs/>
      <w:color w:val="1F4D78" w:themeColor="accent1" w:themeShade="7F"/>
      <w:sz w:val="24"/>
      <w:szCs w:val="24"/>
    </w:rPr>
  </w:style>
  <w:style w:type="character" w:customStyle="1" w:styleId="Nadpis8Char">
    <w:name w:val="Nadpis 8 Char"/>
    <w:basedOn w:val="Standardnpsmoodstavce"/>
    <w:link w:val="Nadpis8"/>
    <w:uiPriority w:val="9"/>
    <w:semiHidden/>
    <w:rsid w:val="00911445"/>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911445"/>
    <w:rPr>
      <w:rFonts w:asciiTheme="majorHAnsi" w:eastAsiaTheme="majorEastAsia" w:hAnsiTheme="majorHAnsi" w:cstheme="majorBidi"/>
      <w:i/>
      <w:iCs/>
      <w:color w:val="272727" w:themeColor="text1" w:themeTint="D8"/>
      <w:sz w:val="21"/>
      <w:szCs w:val="21"/>
    </w:rPr>
  </w:style>
  <w:style w:type="paragraph" w:styleId="Textpoznpodarou">
    <w:name w:val="footnote text"/>
    <w:aliases w:val="Text pozn. pod čarou Char Char,Text pozn. pod čarou Char Char Char Char,Text pozn. pod čarou Char1,Text pozn. pod čarou Char1 Char Char,Text pozn. pod čarou Char1 Char Char Char Char,poznamky_pod_carou,studie-poznámka pod čarou,f,fn"/>
    <w:basedOn w:val="Normln"/>
    <w:link w:val="TextpoznpodarouChar"/>
    <w:uiPriority w:val="99"/>
    <w:unhideWhenUsed/>
    <w:qFormat/>
    <w:rsid w:val="004058E2"/>
    <w:pPr>
      <w:spacing w:after="0" w:line="240" w:lineRule="auto"/>
    </w:pPr>
    <w:rPr>
      <w:rFonts w:ascii="Times New Roman" w:eastAsia="Times New Roman" w:hAnsi="Times New Roman" w:cs="Times New Roman"/>
      <w:sz w:val="20"/>
      <w:szCs w:val="20"/>
    </w:rPr>
  </w:style>
  <w:style w:type="character" w:customStyle="1" w:styleId="TextpoznpodarouChar">
    <w:name w:val="Text pozn. pod čarou Char"/>
    <w:aliases w:val="Text pozn. pod čarou Char Char Char,Text pozn. pod čarou Char Char Char Char Char,Text pozn. pod čarou Char1 Char,Text pozn. pod čarou Char1 Char Char Char,Text pozn. pod čarou Char1 Char Char Char Char Char,f Char,fn Char"/>
    <w:basedOn w:val="Standardnpsmoodstavce"/>
    <w:link w:val="Textpoznpodarou"/>
    <w:uiPriority w:val="99"/>
    <w:rsid w:val="004058E2"/>
    <w:rPr>
      <w:rFonts w:ascii="Times New Roman" w:eastAsia="Times New Roman" w:hAnsi="Times New Roman" w:cs="Times New Roman"/>
      <w:sz w:val="20"/>
      <w:szCs w:val="20"/>
    </w:rPr>
  </w:style>
  <w:style w:type="character" w:styleId="Znakapoznpodarou">
    <w:name w:val="footnote reference"/>
    <w:aliases w:val=" Char1,Char1,EN Footnote Reference,EN Footnote text,Exposant 3 Point,Footnote,Footnote Refernece,Footnote number,Footnote reference number,Footnote symbol,Fussnota,Nota,Ref,SUPERS,Times 10 Point,de nota al pie,note TESI,12 b."/>
    <w:basedOn w:val="Standardnpsmoodstavce"/>
    <w:uiPriority w:val="99"/>
    <w:unhideWhenUsed/>
    <w:qFormat/>
    <w:rsid w:val="004058E2"/>
    <w:rPr>
      <w:vertAlign w:val="superscript"/>
    </w:rPr>
  </w:style>
  <w:style w:type="paragraph" w:customStyle="1" w:styleId="Odrka1">
    <w:name w:val="Odrážka 1"/>
    <w:basedOn w:val="Normln"/>
    <w:qFormat/>
    <w:rsid w:val="00647F54"/>
    <w:pPr>
      <w:numPr>
        <w:numId w:val="1"/>
      </w:numPr>
      <w:spacing w:after="120" w:line="240" w:lineRule="auto"/>
      <w:jc w:val="both"/>
    </w:pPr>
    <w:rPr>
      <w:rFonts w:ascii="Calibri" w:hAnsi="Calibri"/>
      <w:sz w:val="24"/>
    </w:rPr>
  </w:style>
  <w:style w:type="paragraph" w:styleId="Odstavecseseznamem">
    <w:name w:val="List Paragraph"/>
    <w:aliases w:val="Bullet List,Bullet Number,Conclusion de partie,FooterText,List Paragraph1,List Paragraph_0,NAKIT List Paragraph,Nad,Nadpis pro KZ,Název grafu,Odstavec_muj,Paragraphe de liste1,cp_Odstavec se seznamem,nad 1,numbered,odrážky,列出段落,2"/>
    <w:basedOn w:val="Normln"/>
    <w:link w:val="OdstavecseseznamemChar"/>
    <w:uiPriority w:val="34"/>
    <w:qFormat/>
    <w:rsid w:val="00647F54"/>
    <w:pPr>
      <w:ind w:left="720"/>
      <w:contextualSpacing/>
    </w:pPr>
  </w:style>
  <w:style w:type="paragraph" w:styleId="Textbubliny">
    <w:name w:val="Balloon Text"/>
    <w:basedOn w:val="Normln"/>
    <w:link w:val="TextbublinyChar"/>
    <w:uiPriority w:val="99"/>
    <w:semiHidden/>
    <w:unhideWhenUsed/>
    <w:rsid w:val="008A5DC6"/>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A5DC6"/>
    <w:rPr>
      <w:rFonts w:ascii="Segoe UI" w:hAnsi="Segoe UI" w:cs="Segoe UI"/>
      <w:sz w:val="18"/>
      <w:szCs w:val="18"/>
    </w:rPr>
  </w:style>
  <w:style w:type="paragraph" w:styleId="Zhlav">
    <w:name w:val="header"/>
    <w:basedOn w:val="Normln"/>
    <w:link w:val="ZhlavChar"/>
    <w:uiPriority w:val="99"/>
    <w:unhideWhenUsed/>
    <w:rsid w:val="00755FB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55FBD"/>
  </w:style>
  <w:style w:type="paragraph" w:styleId="Zpat">
    <w:name w:val="footer"/>
    <w:basedOn w:val="Normln"/>
    <w:link w:val="ZpatChar"/>
    <w:uiPriority w:val="99"/>
    <w:unhideWhenUsed/>
    <w:rsid w:val="00755FBD"/>
    <w:pPr>
      <w:tabs>
        <w:tab w:val="center" w:pos="4536"/>
        <w:tab w:val="right" w:pos="9072"/>
      </w:tabs>
      <w:spacing w:after="0" w:line="240" w:lineRule="auto"/>
    </w:pPr>
  </w:style>
  <w:style w:type="character" w:customStyle="1" w:styleId="ZpatChar">
    <w:name w:val="Zápatí Char"/>
    <w:basedOn w:val="Standardnpsmoodstavce"/>
    <w:link w:val="Zpat"/>
    <w:uiPriority w:val="99"/>
    <w:rsid w:val="00755FBD"/>
  </w:style>
  <w:style w:type="paragraph" w:styleId="Normlnweb">
    <w:name w:val="Normal (Web)"/>
    <w:basedOn w:val="Normln"/>
    <w:uiPriority w:val="99"/>
    <w:semiHidden/>
    <w:unhideWhenUsed/>
    <w:rsid w:val="00731EBA"/>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Zkladntext">
    <w:name w:val="Základní text_"/>
    <w:basedOn w:val="Standardnpsmoodstavce"/>
    <w:link w:val="Zkladntext1"/>
    <w:rsid w:val="00C9542C"/>
    <w:rPr>
      <w:rFonts w:ascii="Calibri" w:eastAsia="Calibri" w:hAnsi="Calibri" w:cs="Calibri"/>
      <w:sz w:val="24"/>
      <w:szCs w:val="24"/>
      <w:shd w:val="clear" w:color="auto" w:fill="FFFFFF"/>
    </w:rPr>
  </w:style>
  <w:style w:type="paragraph" w:customStyle="1" w:styleId="Zkladntext1">
    <w:name w:val="Základní text1"/>
    <w:basedOn w:val="Normln"/>
    <w:link w:val="Zkladntext"/>
    <w:rsid w:val="00C9542C"/>
    <w:pPr>
      <w:widowControl w:val="0"/>
      <w:shd w:val="clear" w:color="auto" w:fill="FFFFFF"/>
      <w:spacing w:after="100" w:line="240" w:lineRule="auto"/>
      <w:jc w:val="both"/>
    </w:pPr>
    <w:rPr>
      <w:rFonts w:ascii="Calibri" w:eastAsia="Calibri" w:hAnsi="Calibri" w:cs="Calibri"/>
      <w:sz w:val="24"/>
      <w:szCs w:val="24"/>
    </w:rPr>
  </w:style>
  <w:style w:type="character" w:customStyle="1" w:styleId="Zkladntext4">
    <w:name w:val="Základní text (4)_"/>
    <w:basedOn w:val="Standardnpsmoodstavce"/>
    <w:link w:val="Zkladntext40"/>
    <w:rsid w:val="00266DE2"/>
    <w:rPr>
      <w:rFonts w:ascii="Times New Roman" w:eastAsia="Times New Roman" w:hAnsi="Times New Roman" w:cs="Times New Roman"/>
      <w:color w:val="403871"/>
      <w:sz w:val="92"/>
      <w:szCs w:val="92"/>
      <w:shd w:val="clear" w:color="auto" w:fill="FFFFFF"/>
    </w:rPr>
  </w:style>
  <w:style w:type="paragraph" w:customStyle="1" w:styleId="Zkladntext40">
    <w:name w:val="Základní text (4)"/>
    <w:basedOn w:val="Normln"/>
    <w:link w:val="Zkladntext4"/>
    <w:rsid w:val="00266DE2"/>
    <w:pPr>
      <w:widowControl w:val="0"/>
      <w:shd w:val="clear" w:color="auto" w:fill="FFFFFF"/>
      <w:spacing w:after="0" w:line="240" w:lineRule="auto"/>
    </w:pPr>
    <w:rPr>
      <w:rFonts w:ascii="Times New Roman" w:eastAsia="Times New Roman" w:hAnsi="Times New Roman" w:cs="Times New Roman"/>
      <w:color w:val="403871"/>
      <w:sz w:val="92"/>
      <w:szCs w:val="92"/>
    </w:rPr>
  </w:style>
  <w:style w:type="character" w:styleId="Odkaznakoment">
    <w:name w:val="annotation reference"/>
    <w:basedOn w:val="Standardnpsmoodstavce"/>
    <w:uiPriority w:val="99"/>
    <w:semiHidden/>
    <w:unhideWhenUsed/>
    <w:rsid w:val="00227A6B"/>
    <w:rPr>
      <w:sz w:val="16"/>
      <w:szCs w:val="16"/>
    </w:rPr>
  </w:style>
  <w:style w:type="paragraph" w:styleId="Textkomente">
    <w:name w:val="annotation text"/>
    <w:basedOn w:val="Normln"/>
    <w:link w:val="TextkomenteChar"/>
    <w:uiPriority w:val="99"/>
    <w:unhideWhenUsed/>
    <w:rsid w:val="00227A6B"/>
    <w:pPr>
      <w:spacing w:line="240" w:lineRule="auto"/>
    </w:pPr>
    <w:rPr>
      <w:sz w:val="20"/>
      <w:szCs w:val="20"/>
    </w:rPr>
  </w:style>
  <w:style w:type="character" w:customStyle="1" w:styleId="TextkomenteChar">
    <w:name w:val="Text komentáře Char"/>
    <w:basedOn w:val="Standardnpsmoodstavce"/>
    <w:link w:val="Textkomente"/>
    <w:uiPriority w:val="99"/>
    <w:rsid w:val="00227A6B"/>
    <w:rPr>
      <w:sz w:val="20"/>
      <w:szCs w:val="20"/>
    </w:rPr>
  </w:style>
  <w:style w:type="paragraph" w:styleId="Pedmtkomente">
    <w:name w:val="annotation subject"/>
    <w:basedOn w:val="Textkomente"/>
    <w:next w:val="Textkomente"/>
    <w:link w:val="PedmtkomenteChar"/>
    <w:uiPriority w:val="99"/>
    <w:semiHidden/>
    <w:unhideWhenUsed/>
    <w:rsid w:val="00227A6B"/>
    <w:rPr>
      <w:b/>
      <w:bCs/>
    </w:rPr>
  </w:style>
  <w:style w:type="character" w:customStyle="1" w:styleId="PedmtkomenteChar">
    <w:name w:val="Předmět komentáře Char"/>
    <w:basedOn w:val="TextkomenteChar"/>
    <w:link w:val="Pedmtkomente"/>
    <w:uiPriority w:val="99"/>
    <w:semiHidden/>
    <w:rsid w:val="00227A6B"/>
    <w:rPr>
      <w:b/>
      <w:bCs/>
      <w:sz w:val="20"/>
      <w:szCs w:val="20"/>
    </w:rPr>
  </w:style>
  <w:style w:type="character" w:customStyle="1" w:styleId="OdstavecseseznamemChar">
    <w:name w:val="Odstavec se seznamem Char"/>
    <w:aliases w:val="Bullet List Char,Bullet Number Char,Conclusion de partie Char,FooterText Char,List Paragraph1 Char,List Paragraph_0 Char,NAKIT List Paragraph Char,Nad Char,Nadpis pro KZ Char,Název grafu Char,Odstavec_muj Char,nad 1 Char,2 Char"/>
    <w:link w:val="Odstavecseseznamem"/>
    <w:uiPriority w:val="34"/>
    <w:qFormat/>
    <w:rsid w:val="00BC1D34"/>
  </w:style>
  <w:style w:type="table" w:styleId="Mkatabulky">
    <w:name w:val="Table Grid"/>
    <w:basedOn w:val="Normlntabulka"/>
    <w:uiPriority w:val="39"/>
    <w:rsid w:val="00B535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ulek">
    <w:name w:val="caption"/>
    <w:basedOn w:val="Normln"/>
    <w:next w:val="Normln"/>
    <w:uiPriority w:val="35"/>
    <w:unhideWhenUsed/>
    <w:qFormat/>
    <w:rsid w:val="00F97848"/>
    <w:pPr>
      <w:spacing w:after="200" w:line="240" w:lineRule="auto"/>
    </w:pPr>
    <w:rPr>
      <w:i/>
      <w:iCs/>
      <w:color w:val="44546A" w:themeColor="text2"/>
      <w:sz w:val="18"/>
      <w:szCs w:val="18"/>
    </w:rPr>
  </w:style>
  <w:style w:type="character" w:customStyle="1" w:styleId="Nadpis2Char">
    <w:name w:val="Nadpis 2 Char"/>
    <w:basedOn w:val="Standardnpsmoodstavce"/>
    <w:link w:val="Nadpis2"/>
    <w:uiPriority w:val="9"/>
    <w:rsid w:val="00DC4AB1"/>
    <w:rPr>
      <w:rFonts w:eastAsiaTheme="majorEastAsia" w:cstheme="majorBidi"/>
      <w:b/>
      <w:sz w:val="24"/>
      <w:szCs w:val="26"/>
    </w:rPr>
  </w:style>
  <w:style w:type="character" w:styleId="Hypertextovodkaz">
    <w:name w:val="Hyperlink"/>
    <w:basedOn w:val="Standardnpsmoodstavce"/>
    <w:uiPriority w:val="99"/>
    <w:unhideWhenUsed/>
    <w:rsid w:val="002919E8"/>
    <w:rPr>
      <w:color w:val="0563C1" w:themeColor="hyperlink"/>
      <w:u w:val="single"/>
    </w:rPr>
  </w:style>
  <w:style w:type="character" w:styleId="Nevyeenzmnka">
    <w:name w:val="Unresolved Mention"/>
    <w:basedOn w:val="Standardnpsmoodstavce"/>
    <w:uiPriority w:val="99"/>
    <w:semiHidden/>
    <w:unhideWhenUsed/>
    <w:rsid w:val="002919E8"/>
    <w:rPr>
      <w:color w:val="605E5C"/>
      <w:shd w:val="clear" w:color="auto" w:fill="E1DFDD"/>
    </w:rPr>
  </w:style>
  <w:style w:type="paragraph" w:styleId="Revize">
    <w:name w:val="Revision"/>
    <w:hidden/>
    <w:uiPriority w:val="99"/>
    <w:semiHidden/>
    <w:rsid w:val="00B366C4"/>
    <w:pPr>
      <w:spacing w:after="0" w:line="240" w:lineRule="auto"/>
    </w:pPr>
  </w:style>
  <w:style w:type="character" w:customStyle="1" w:styleId="Jin">
    <w:name w:val="Jiné_"/>
    <w:basedOn w:val="Standardnpsmoodstavce"/>
    <w:link w:val="Jin0"/>
    <w:rsid w:val="003D50A2"/>
    <w:rPr>
      <w:shd w:val="clear" w:color="auto" w:fill="FFFFFF"/>
    </w:rPr>
  </w:style>
  <w:style w:type="paragraph" w:customStyle="1" w:styleId="Jin0">
    <w:name w:val="Jiné"/>
    <w:basedOn w:val="Normln"/>
    <w:link w:val="Jin"/>
    <w:rsid w:val="003D50A2"/>
    <w:pPr>
      <w:widowControl w:val="0"/>
      <w:shd w:val="clear" w:color="auto" w:fill="FFFFFF"/>
      <w:spacing w:after="0" w:line="360" w:lineRule="auto"/>
      <w:ind w:firstLine="400"/>
      <w:jc w:val="both"/>
    </w:pPr>
  </w:style>
  <w:style w:type="paragraph" w:customStyle="1" w:styleId="Pkladyvrmeku">
    <w:name w:val="Příklady v rámečku"/>
    <w:basedOn w:val="Normln"/>
    <w:qFormat/>
    <w:rsid w:val="0090760D"/>
    <w:pPr>
      <w:keepLines/>
      <w:pBdr>
        <w:top w:val="single" w:sz="4" w:space="1" w:color="auto"/>
        <w:left w:val="single" w:sz="4" w:space="0" w:color="auto"/>
        <w:bottom w:val="single" w:sz="4" w:space="1" w:color="auto"/>
        <w:right w:val="single" w:sz="4" w:space="4" w:color="auto"/>
      </w:pBdr>
      <w:spacing w:after="0" w:line="280" w:lineRule="atLeast"/>
      <w:ind w:right="142"/>
      <w:jc w:val="both"/>
    </w:pPr>
    <w:rPr>
      <w:i/>
      <w:sz w:val="24"/>
      <w:szCs w:val="24"/>
    </w:rPr>
  </w:style>
  <w:style w:type="paragraph" w:customStyle="1" w:styleId="Nadpispklad">
    <w:name w:val="Nadpis příkladů"/>
    <w:basedOn w:val="Normln"/>
    <w:qFormat/>
    <w:rsid w:val="0090760D"/>
    <w:pPr>
      <w:keepNext/>
      <w:spacing w:before="120" w:after="0" w:line="240" w:lineRule="auto"/>
      <w:jc w:val="both"/>
    </w:pPr>
    <w:rPr>
      <w:rFonts w:eastAsia="Times New Roman" w:cstheme="minorHAnsi"/>
      <w:b/>
      <w:color w:val="1F4E79" w:themeColor="accent1" w:themeShade="80"/>
      <w:sz w:val="24"/>
      <w:szCs w:val="24"/>
    </w:rPr>
  </w:style>
  <w:style w:type="character" w:customStyle="1" w:styleId="Nadpis40">
    <w:name w:val="Nadpis #4_"/>
    <w:basedOn w:val="Standardnpsmoodstavce"/>
    <w:link w:val="Nadpis41"/>
    <w:locked/>
    <w:rsid w:val="0090760D"/>
    <w:rPr>
      <w:b/>
      <w:bCs/>
      <w:shd w:val="clear" w:color="auto" w:fill="FFFFFF"/>
    </w:rPr>
  </w:style>
  <w:style w:type="paragraph" w:customStyle="1" w:styleId="Nadpis41">
    <w:name w:val="Nadpis #4"/>
    <w:basedOn w:val="Normln"/>
    <w:link w:val="Nadpis40"/>
    <w:rsid w:val="0090760D"/>
    <w:pPr>
      <w:shd w:val="clear" w:color="auto" w:fill="FFFFFF"/>
      <w:spacing w:after="240" w:line="240" w:lineRule="auto"/>
      <w:jc w:val="both"/>
    </w:pPr>
    <w:rPr>
      <w:b/>
      <w:bCs/>
    </w:rPr>
  </w:style>
  <w:style w:type="paragraph" w:styleId="Zkladntextodsazen2">
    <w:name w:val="Body Text Indent 2"/>
    <w:basedOn w:val="Normln"/>
    <w:link w:val="Zkladntextodsazen2Char"/>
    <w:uiPriority w:val="99"/>
    <w:unhideWhenUsed/>
    <w:rsid w:val="00956DC1"/>
    <w:pPr>
      <w:spacing w:after="120" w:line="480" w:lineRule="auto"/>
      <w:ind w:left="283"/>
    </w:pPr>
    <w:rPr>
      <w:rFonts w:ascii="Times New Roman" w:eastAsia="Times New Roman" w:hAnsi="Times New Roman" w:cs="Times New Roman"/>
      <w:sz w:val="24"/>
      <w:szCs w:val="24"/>
    </w:rPr>
  </w:style>
  <w:style w:type="character" w:customStyle="1" w:styleId="Zkladntextodsazen2Char">
    <w:name w:val="Základní text odsazený 2 Char"/>
    <w:basedOn w:val="Standardnpsmoodstavce"/>
    <w:link w:val="Zkladntextodsazen2"/>
    <w:uiPriority w:val="99"/>
    <w:rsid w:val="00956DC1"/>
    <w:rPr>
      <w:rFonts w:ascii="Times New Roman" w:eastAsia="Times New Roman" w:hAnsi="Times New Roman" w:cs="Times New Roman"/>
      <w:sz w:val="24"/>
      <w:szCs w:val="24"/>
    </w:rPr>
  </w:style>
  <w:style w:type="paragraph" w:customStyle="1" w:styleId="Nzevtabulky">
    <w:name w:val="Název tabulky"/>
    <w:basedOn w:val="Normln"/>
    <w:uiPriority w:val="99"/>
    <w:qFormat/>
    <w:rsid w:val="00C825E6"/>
    <w:pPr>
      <w:keepNext/>
      <w:numPr>
        <w:ilvl w:val="1"/>
        <w:numId w:val="6"/>
      </w:numPr>
      <w:spacing w:before="240" w:after="120" w:line="240" w:lineRule="auto"/>
      <w:jc w:val="both"/>
    </w:pPr>
    <w:rPr>
      <w:rFonts w:eastAsia="Times New Roman" w:cs="Arial"/>
      <w:sz w:val="24"/>
    </w:rPr>
  </w:style>
  <w:style w:type="paragraph" w:customStyle="1" w:styleId="Poznmka">
    <w:name w:val="Poznámka"/>
    <w:basedOn w:val="Normln"/>
    <w:link w:val="PoznmkaChar"/>
    <w:autoRedefine/>
    <w:qFormat/>
    <w:rsid w:val="00471E8C"/>
    <w:pPr>
      <w:spacing w:before="40" w:after="0" w:line="240" w:lineRule="auto"/>
      <w:jc w:val="both"/>
    </w:pPr>
    <w:rPr>
      <w:rFonts w:eastAsia="Times New Roman" w:cstheme="majorHAnsi"/>
      <w:sz w:val="20"/>
      <w:szCs w:val="20"/>
      <w:lang w:eastAsia="cs-CZ"/>
    </w:rPr>
  </w:style>
  <w:style w:type="character" w:customStyle="1" w:styleId="PoznmkaChar">
    <w:name w:val="Poznámka Char"/>
    <w:link w:val="Poznmka"/>
    <w:rsid w:val="00471E8C"/>
    <w:rPr>
      <w:rFonts w:eastAsia="Times New Roman" w:cstheme="majorHAnsi"/>
      <w:sz w:val="20"/>
      <w:szCs w:val="20"/>
      <w:lang w:eastAsia="cs-CZ"/>
    </w:rPr>
  </w:style>
  <w:style w:type="paragraph" w:customStyle="1" w:styleId="pf0">
    <w:name w:val="pf0"/>
    <w:basedOn w:val="Normln"/>
    <w:rsid w:val="00BA17FB"/>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cf01">
    <w:name w:val="cf01"/>
    <w:basedOn w:val="Standardnpsmoodstavce"/>
    <w:rsid w:val="00BA17FB"/>
    <w:rPr>
      <w:rFonts w:ascii="Segoe UI" w:hAnsi="Segoe UI" w:cs="Segoe UI" w:hint="default"/>
      <w:b/>
      <w:bCs/>
      <w:sz w:val="18"/>
      <w:szCs w:val="18"/>
    </w:rPr>
  </w:style>
  <w:style w:type="paragraph" w:styleId="Podnadpis">
    <w:name w:val="Subtitle"/>
    <w:basedOn w:val="Normln"/>
    <w:next w:val="Normln"/>
    <w:link w:val="PodnadpisChar"/>
    <w:uiPriority w:val="11"/>
    <w:qFormat/>
    <w:rsid w:val="00BD7A3A"/>
    <w:pPr>
      <w:numPr>
        <w:ilvl w:val="1"/>
      </w:numPr>
    </w:pPr>
    <w:rPr>
      <w:rFonts w:eastAsiaTheme="minorEastAsia"/>
      <w:color w:val="5A5A5A" w:themeColor="text1" w:themeTint="A5"/>
      <w:spacing w:val="15"/>
    </w:rPr>
  </w:style>
  <w:style w:type="character" w:customStyle="1" w:styleId="PodnadpisChar">
    <w:name w:val="Podnadpis Char"/>
    <w:basedOn w:val="Standardnpsmoodstavce"/>
    <w:link w:val="Podnadpis"/>
    <w:uiPriority w:val="11"/>
    <w:rsid w:val="00BD7A3A"/>
    <w:rPr>
      <w:rFonts w:eastAsiaTheme="minorEastAsia"/>
      <w:color w:val="5A5A5A" w:themeColor="text1" w:themeTint="A5"/>
      <w:spacing w:val="15"/>
    </w:rPr>
  </w:style>
  <w:style w:type="paragraph" w:styleId="Textvysvtlivek">
    <w:name w:val="endnote text"/>
    <w:basedOn w:val="Normln"/>
    <w:link w:val="TextvysvtlivekChar"/>
    <w:uiPriority w:val="99"/>
    <w:semiHidden/>
    <w:unhideWhenUsed/>
    <w:rsid w:val="009541E7"/>
    <w:pPr>
      <w:spacing w:after="0" w:line="240" w:lineRule="auto"/>
    </w:pPr>
    <w:rPr>
      <w:rFonts w:eastAsia="Times New Roman" w:cs="Times New Roman"/>
      <w:sz w:val="20"/>
      <w:szCs w:val="20"/>
    </w:rPr>
  </w:style>
  <w:style w:type="character" w:customStyle="1" w:styleId="TextvysvtlivekChar">
    <w:name w:val="Text vysvětlivek Char"/>
    <w:basedOn w:val="Standardnpsmoodstavce"/>
    <w:link w:val="Textvysvtlivek"/>
    <w:uiPriority w:val="99"/>
    <w:semiHidden/>
    <w:rsid w:val="009541E7"/>
    <w:rPr>
      <w:rFonts w:eastAsia="Times New Roman" w:cs="Times New Roman"/>
      <w:sz w:val="20"/>
      <w:szCs w:val="20"/>
    </w:rPr>
  </w:style>
  <w:style w:type="paragraph" w:customStyle="1" w:styleId="l1">
    <w:name w:val="l1"/>
    <w:basedOn w:val="Normln"/>
    <w:rsid w:val="00586829"/>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Default">
    <w:name w:val="Default"/>
    <w:rsid w:val="00D84D32"/>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964309">
      <w:bodyDiv w:val="1"/>
      <w:marLeft w:val="0"/>
      <w:marRight w:val="0"/>
      <w:marTop w:val="0"/>
      <w:marBottom w:val="0"/>
      <w:divBdr>
        <w:top w:val="none" w:sz="0" w:space="0" w:color="auto"/>
        <w:left w:val="none" w:sz="0" w:space="0" w:color="auto"/>
        <w:bottom w:val="none" w:sz="0" w:space="0" w:color="auto"/>
        <w:right w:val="none" w:sz="0" w:space="0" w:color="auto"/>
      </w:divBdr>
    </w:div>
    <w:div w:id="135101781">
      <w:bodyDiv w:val="1"/>
      <w:marLeft w:val="0"/>
      <w:marRight w:val="0"/>
      <w:marTop w:val="0"/>
      <w:marBottom w:val="0"/>
      <w:divBdr>
        <w:top w:val="none" w:sz="0" w:space="0" w:color="auto"/>
        <w:left w:val="none" w:sz="0" w:space="0" w:color="auto"/>
        <w:bottom w:val="none" w:sz="0" w:space="0" w:color="auto"/>
        <w:right w:val="none" w:sz="0" w:space="0" w:color="auto"/>
      </w:divBdr>
    </w:div>
    <w:div w:id="201022684">
      <w:bodyDiv w:val="1"/>
      <w:marLeft w:val="0"/>
      <w:marRight w:val="0"/>
      <w:marTop w:val="0"/>
      <w:marBottom w:val="0"/>
      <w:divBdr>
        <w:top w:val="none" w:sz="0" w:space="0" w:color="auto"/>
        <w:left w:val="none" w:sz="0" w:space="0" w:color="auto"/>
        <w:bottom w:val="none" w:sz="0" w:space="0" w:color="auto"/>
        <w:right w:val="none" w:sz="0" w:space="0" w:color="auto"/>
      </w:divBdr>
    </w:div>
    <w:div w:id="283922633">
      <w:bodyDiv w:val="1"/>
      <w:marLeft w:val="0"/>
      <w:marRight w:val="0"/>
      <w:marTop w:val="0"/>
      <w:marBottom w:val="0"/>
      <w:divBdr>
        <w:top w:val="none" w:sz="0" w:space="0" w:color="auto"/>
        <w:left w:val="none" w:sz="0" w:space="0" w:color="auto"/>
        <w:bottom w:val="none" w:sz="0" w:space="0" w:color="auto"/>
        <w:right w:val="none" w:sz="0" w:space="0" w:color="auto"/>
      </w:divBdr>
    </w:div>
    <w:div w:id="297951741">
      <w:bodyDiv w:val="1"/>
      <w:marLeft w:val="0"/>
      <w:marRight w:val="0"/>
      <w:marTop w:val="0"/>
      <w:marBottom w:val="0"/>
      <w:divBdr>
        <w:top w:val="none" w:sz="0" w:space="0" w:color="auto"/>
        <w:left w:val="none" w:sz="0" w:space="0" w:color="auto"/>
        <w:bottom w:val="none" w:sz="0" w:space="0" w:color="auto"/>
        <w:right w:val="none" w:sz="0" w:space="0" w:color="auto"/>
      </w:divBdr>
    </w:div>
    <w:div w:id="343675846">
      <w:bodyDiv w:val="1"/>
      <w:marLeft w:val="0"/>
      <w:marRight w:val="0"/>
      <w:marTop w:val="0"/>
      <w:marBottom w:val="0"/>
      <w:divBdr>
        <w:top w:val="none" w:sz="0" w:space="0" w:color="auto"/>
        <w:left w:val="none" w:sz="0" w:space="0" w:color="auto"/>
        <w:bottom w:val="none" w:sz="0" w:space="0" w:color="auto"/>
        <w:right w:val="none" w:sz="0" w:space="0" w:color="auto"/>
      </w:divBdr>
    </w:div>
    <w:div w:id="384260460">
      <w:bodyDiv w:val="1"/>
      <w:marLeft w:val="0"/>
      <w:marRight w:val="0"/>
      <w:marTop w:val="0"/>
      <w:marBottom w:val="0"/>
      <w:divBdr>
        <w:top w:val="none" w:sz="0" w:space="0" w:color="auto"/>
        <w:left w:val="none" w:sz="0" w:space="0" w:color="auto"/>
        <w:bottom w:val="none" w:sz="0" w:space="0" w:color="auto"/>
        <w:right w:val="none" w:sz="0" w:space="0" w:color="auto"/>
      </w:divBdr>
    </w:div>
    <w:div w:id="473567402">
      <w:bodyDiv w:val="1"/>
      <w:marLeft w:val="0"/>
      <w:marRight w:val="0"/>
      <w:marTop w:val="0"/>
      <w:marBottom w:val="0"/>
      <w:divBdr>
        <w:top w:val="none" w:sz="0" w:space="0" w:color="auto"/>
        <w:left w:val="none" w:sz="0" w:space="0" w:color="auto"/>
        <w:bottom w:val="none" w:sz="0" w:space="0" w:color="auto"/>
        <w:right w:val="none" w:sz="0" w:space="0" w:color="auto"/>
      </w:divBdr>
    </w:div>
    <w:div w:id="521742226">
      <w:bodyDiv w:val="1"/>
      <w:marLeft w:val="0"/>
      <w:marRight w:val="0"/>
      <w:marTop w:val="0"/>
      <w:marBottom w:val="0"/>
      <w:divBdr>
        <w:top w:val="none" w:sz="0" w:space="0" w:color="auto"/>
        <w:left w:val="none" w:sz="0" w:space="0" w:color="auto"/>
        <w:bottom w:val="none" w:sz="0" w:space="0" w:color="auto"/>
        <w:right w:val="none" w:sz="0" w:space="0" w:color="auto"/>
      </w:divBdr>
    </w:div>
    <w:div w:id="568006342">
      <w:bodyDiv w:val="1"/>
      <w:marLeft w:val="0"/>
      <w:marRight w:val="0"/>
      <w:marTop w:val="0"/>
      <w:marBottom w:val="0"/>
      <w:divBdr>
        <w:top w:val="none" w:sz="0" w:space="0" w:color="auto"/>
        <w:left w:val="none" w:sz="0" w:space="0" w:color="auto"/>
        <w:bottom w:val="none" w:sz="0" w:space="0" w:color="auto"/>
        <w:right w:val="none" w:sz="0" w:space="0" w:color="auto"/>
      </w:divBdr>
    </w:div>
    <w:div w:id="778912944">
      <w:bodyDiv w:val="1"/>
      <w:marLeft w:val="0"/>
      <w:marRight w:val="0"/>
      <w:marTop w:val="0"/>
      <w:marBottom w:val="0"/>
      <w:divBdr>
        <w:top w:val="none" w:sz="0" w:space="0" w:color="auto"/>
        <w:left w:val="none" w:sz="0" w:space="0" w:color="auto"/>
        <w:bottom w:val="none" w:sz="0" w:space="0" w:color="auto"/>
        <w:right w:val="none" w:sz="0" w:space="0" w:color="auto"/>
      </w:divBdr>
    </w:div>
    <w:div w:id="796682299">
      <w:bodyDiv w:val="1"/>
      <w:marLeft w:val="0"/>
      <w:marRight w:val="0"/>
      <w:marTop w:val="0"/>
      <w:marBottom w:val="0"/>
      <w:divBdr>
        <w:top w:val="none" w:sz="0" w:space="0" w:color="auto"/>
        <w:left w:val="none" w:sz="0" w:space="0" w:color="auto"/>
        <w:bottom w:val="none" w:sz="0" w:space="0" w:color="auto"/>
        <w:right w:val="none" w:sz="0" w:space="0" w:color="auto"/>
      </w:divBdr>
    </w:div>
    <w:div w:id="848835170">
      <w:bodyDiv w:val="1"/>
      <w:marLeft w:val="0"/>
      <w:marRight w:val="0"/>
      <w:marTop w:val="0"/>
      <w:marBottom w:val="0"/>
      <w:divBdr>
        <w:top w:val="none" w:sz="0" w:space="0" w:color="auto"/>
        <w:left w:val="none" w:sz="0" w:space="0" w:color="auto"/>
        <w:bottom w:val="none" w:sz="0" w:space="0" w:color="auto"/>
        <w:right w:val="none" w:sz="0" w:space="0" w:color="auto"/>
      </w:divBdr>
    </w:div>
    <w:div w:id="999576303">
      <w:bodyDiv w:val="1"/>
      <w:marLeft w:val="0"/>
      <w:marRight w:val="0"/>
      <w:marTop w:val="0"/>
      <w:marBottom w:val="0"/>
      <w:divBdr>
        <w:top w:val="none" w:sz="0" w:space="0" w:color="auto"/>
        <w:left w:val="none" w:sz="0" w:space="0" w:color="auto"/>
        <w:bottom w:val="none" w:sz="0" w:space="0" w:color="auto"/>
        <w:right w:val="none" w:sz="0" w:space="0" w:color="auto"/>
      </w:divBdr>
    </w:div>
    <w:div w:id="1161773134">
      <w:bodyDiv w:val="1"/>
      <w:marLeft w:val="0"/>
      <w:marRight w:val="0"/>
      <w:marTop w:val="0"/>
      <w:marBottom w:val="0"/>
      <w:divBdr>
        <w:top w:val="none" w:sz="0" w:space="0" w:color="auto"/>
        <w:left w:val="none" w:sz="0" w:space="0" w:color="auto"/>
        <w:bottom w:val="none" w:sz="0" w:space="0" w:color="auto"/>
        <w:right w:val="none" w:sz="0" w:space="0" w:color="auto"/>
      </w:divBdr>
    </w:div>
    <w:div w:id="1236938483">
      <w:bodyDiv w:val="1"/>
      <w:marLeft w:val="0"/>
      <w:marRight w:val="0"/>
      <w:marTop w:val="0"/>
      <w:marBottom w:val="0"/>
      <w:divBdr>
        <w:top w:val="none" w:sz="0" w:space="0" w:color="auto"/>
        <w:left w:val="none" w:sz="0" w:space="0" w:color="auto"/>
        <w:bottom w:val="none" w:sz="0" w:space="0" w:color="auto"/>
        <w:right w:val="none" w:sz="0" w:space="0" w:color="auto"/>
      </w:divBdr>
    </w:div>
    <w:div w:id="1254707082">
      <w:bodyDiv w:val="1"/>
      <w:marLeft w:val="0"/>
      <w:marRight w:val="0"/>
      <w:marTop w:val="0"/>
      <w:marBottom w:val="0"/>
      <w:divBdr>
        <w:top w:val="none" w:sz="0" w:space="0" w:color="auto"/>
        <w:left w:val="none" w:sz="0" w:space="0" w:color="auto"/>
        <w:bottom w:val="none" w:sz="0" w:space="0" w:color="auto"/>
        <w:right w:val="none" w:sz="0" w:space="0" w:color="auto"/>
      </w:divBdr>
    </w:div>
    <w:div w:id="1256481161">
      <w:bodyDiv w:val="1"/>
      <w:marLeft w:val="0"/>
      <w:marRight w:val="0"/>
      <w:marTop w:val="0"/>
      <w:marBottom w:val="0"/>
      <w:divBdr>
        <w:top w:val="none" w:sz="0" w:space="0" w:color="auto"/>
        <w:left w:val="none" w:sz="0" w:space="0" w:color="auto"/>
        <w:bottom w:val="none" w:sz="0" w:space="0" w:color="auto"/>
        <w:right w:val="none" w:sz="0" w:space="0" w:color="auto"/>
      </w:divBdr>
    </w:div>
    <w:div w:id="1280841324">
      <w:bodyDiv w:val="1"/>
      <w:marLeft w:val="0"/>
      <w:marRight w:val="0"/>
      <w:marTop w:val="0"/>
      <w:marBottom w:val="0"/>
      <w:divBdr>
        <w:top w:val="none" w:sz="0" w:space="0" w:color="auto"/>
        <w:left w:val="none" w:sz="0" w:space="0" w:color="auto"/>
        <w:bottom w:val="none" w:sz="0" w:space="0" w:color="auto"/>
        <w:right w:val="none" w:sz="0" w:space="0" w:color="auto"/>
      </w:divBdr>
    </w:div>
    <w:div w:id="1313024265">
      <w:bodyDiv w:val="1"/>
      <w:marLeft w:val="0"/>
      <w:marRight w:val="0"/>
      <w:marTop w:val="0"/>
      <w:marBottom w:val="0"/>
      <w:divBdr>
        <w:top w:val="none" w:sz="0" w:space="0" w:color="auto"/>
        <w:left w:val="none" w:sz="0" w:space="0" w:color="auto"/>
        <w:bottom w:val="none" w:sz="0" w:space="0" w:color="auto"/>
        <w:right w:val="none" w:sz="0" w:space="0" w:color="auto"/>
      </w:divBdr>
    </w:div>
    <w:div w:id="1725987454">
      <w:bodyDiv w:val="1"/>
      <w:marLeft w:val="0"/>
      <w:marRight w:val="0"/>
      <w:marTop w:val="0"/>
      <w:marBottom w:val="0"/>
      <w:divBdr>
        <w:top w:val="none" w:sz="0" w:space="0" w:color="auto"/>
        <w:left w:val="none" w:sz="0" w:space="0" w:color="auto"/>
        <w:bottom w:val="none" w:sz="0" w:space="0" w:color="auto"/>
        <w:right w:val="none" w:sz="0" w:space="0" w:color="auto"/>
      </w:divBdr>
    </w:div>
    <w:div w:id="1752315527">
      <w:bodyDiv w:val="1"/>
      <w:marLeft w:val="0"/>
      <w:marRight w:val="0"/>
      <w:marTop w:val="0"/>
      <w:marBottom w:val="0"/>
      <w:divBdr>
        <w:top w:val="none" w:sz="0" w:space="0" w:color="auto"/>
        <w:left w:val="none" w:sz="0" w:space="0" w:color="auto"/>
        <w:bottom w:val="none" w:sz="0" w:space="0" w:color="auto"/>
        <w:right w:val="none" w:sz="0" w:space="0" w:color="auto"/>
      </w:divBdr>
    </w:div>
    <w:div w:id="1938904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19"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nahlizenidokn.cuzk.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F32E71-1EF9-4E3A-A5C1-D3943E083F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20</Pages>
  <Words>6142</Words>
  <Characters>36239</Characters>
  <Application>Microsoft Office Word</Application>
  <DocSecurity>0</DocSecurity>
  <Lines>301</Lines>
  <Paragraphs>84</Paragraphs>
  <ScaleCrop>false</ScaleCrop>
  <HeadingPairs>
    <vt:vector size="2" baseType="variant">
      <vt:variant>
        <vt:lpstr>Název</vt:lpstr>
      </vt:variant>
      <vt:variant>
        <vt:i4>1</vt:i4>
      </vt:variant>
    </vt:vector>
  </HeadingPairs>
  <TitlesOfParts>
    <vt:vector size="1" baseType="lpstr">
      <vt:lpstr>Kontrolní závěr z kontrolní akce NKÚ č. 22/32 - Majetek a peněžní prostředky státu, se kterými jsou příslušné hospodařit Kancelář prezidenta republiky a příspěvkové organizace Správa Pražského hradu a Lesní správa Lány</vt:lpstr>
    </vt:vector>
  </TitlesOfParts>
  <Company>NKU</Company>
  <LinksUpToDate>false</LinksUpToDate>
  <CharactersWithSpaces>42297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Kontrolní závěr z kontrolní akce NKÚ č. 22/32 - Majetek a peněžní prostředky státu, se kterými jsou příslušné hospodařit Kancelář prezidenta republiky a příspěvkové organizace Správa Pražského hradu a Lesní správa Lány</dc:title>
  <dc:subject>Kontrolní závěr z kontrolní akce NKÚ č. 22/32 - Majetek a peněžní prostředky státu, se kterými jsou příslušné hospodařit Kancelář prezidenta republiky a příspěvkové organizace Správa Pražského hradu a Lesní správa Lány</dc:subject>
  <dc:creator>Nejvyšší kontrolní úřad</dc:creator>
  <cp:lastModifiedBy>KOKRDA Daniel</cp:lastModifiedBy>
  <cp:revision>3</cp:revision>
  <cp:lastPrinted>2023-02-07T09:25:00Z</cp:lastPrinted>
  <dcterms:created xsi:type="dcterms:W3CDTF">2023-02-07T09:18:00Z</dcterms:created>
  <dcterms:modified xsi:type="dcterms:W3CDTF">2023-02-07T09:25:00Z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nonymizaceNavrh">
    <vt:lpwstr/>
  </property>
  <property fmtid="{D5CDD505-2E9C-101B-9397-08002B2CF9AE}" pid="3" name="Cislo_PostaOdesPisemnostDokumentVerze_PostaOdesPisemnost">
    <vt:lpwstr>VÝTISK Č. ...</vt:lpwstr>
  </property>
  <property fmtid="{D5CDD505-2E9C-101B-9397-08002B2CF9AE}" pid="4" name="CJ">
    <vt:lpwstr>179/22-NKU200/525/22</vt:lpwstr>
  </property>
  <property fmtid="{D5CDD505-2E9C-101B-9397-08002B2CF9AE}" pid="5" name="CJ_PostaDoruc_PisemnostOdpovedNa_Pisemnost">
    <vt:lpwstr>XXX-XXX-XXX</vt:lpwstr>
  </property>
  <property fmtid="{D5CDD505-2E9C-101B-9397-08002B2CF9AE}" pid="6" name="CJ_Spis_Pisemnost">
    <vt:lpwstr>200/3/22</vt:lpwstr>
  </property>
  <property fmtid="{D5CDD505-2E9C-101B-9397-08002B2CF9AE}" pid="7" name="Contact_PostaOdes">
    <vt:lpwstr>{NameAddress_Contact_PostaOdes}
{FullAddress_Contact_PostaOdes}</vt:lpwstr>
  </property>
  <property fmtid="{D5CDD505-2E9C-101B-9397-08002B2CF9AE}" pid="8" name="Contact_PostaOdes_All">
    <vt:lpwstr>ROZDĚLOVNÍK...</vt:lpwstr>
  </property>
  <property fmtid="{D5CDD505-2E9C-101B-9397-08002B2CF9AE}" pid="9" name="DatumNaroz">
    <vt:lpwstr/>
  </property>
  <property fmtid="{D5CDD505-2E9C-101B-9397-08002B2CF9AE}" pid="10" name="DatumPlatnosti_PisemnostTypZpristupneniInformaciZOSZ_Pisemnost">
    <vt:lpwstr>ZOSZ_DatumPlatnosti</vt:lpwstr>
  </property>
  <property fmtid="{D5CDD505-2E9C-101B-9397-08002B2CF9AE}" pid="11" name="DatumPoriz_Pisemnost">
    <vt:lpwstr>6.10.2022</vt:lpwstr>
  </property>
  <property fmtid="{D5CDD505-2E9C-101B-9397-08002B2CF9AE}" pid="12" name="DisplayName_CisloObalky_PostaOdes">
    <vt:lpwstr>ČÍSLO OBÁLKY</vt:lpwstr>
  </property>
  <property fmtid="{D5CDD505-2E9C-101B-9397-08002B2CF9AE}" pid="13" name="DisplayName_CJCol">
    <vt:lpwstr>&lt;TABLE&gt;&lt;TR&gt;&lt;TD&gt;Č.j.:&lt;/TD&gt;&lt;TD&gt;179/22-NKU200/525/22&lt;/TD&gt;&lt;/TR&gt;&lt;TR&gt;&lt;TD&gt;&lt;/TD&gt;&lt;TD&gt;&lt;/TD&gt;&lt;/TR&gt;&lt;/TABLE&gt;</vt:lpwstr>
  </property>
  <property fmtid="{D5CDD505-2E9C-101B-9397-08002B2CF9AE}" pid="14" name="DisplayName_SlozkaStupenUtajeniCollection_Slozka_Pisemnost">
    <vt:lpwstr/>
  </property>
  <property fmtid="{D5CDD505-2E9C-101B-9397-08002B2CF9AE}" pid="15" name="DisplayName_SpisovyUzel_PoziceZodpo_Pisemnost">
    <vt:lpwstr>Sekce kontrolní</vt:lpwstr>
  </property>
  <property fmtid="{D5CDD505-2E9C-101B-9397-08002B2CF9AE}" pid="16" name="DisplayName_UserPoriz_Pisemnost">
    <vt:lpwstr>Ivana Růžičková</vt:lpwstr>
  </property>
  <property fmtid="{D5CDD505-2E9C-101B-9397-08002B2CF9AE}" pid="17" name="DuvodZmeny_SlozkaStupenUtajeniCollection_Slozka_Pisemnost">
    <vt:lpwstr/>
  </property>
  <property fmtid="{D5CDD505-2E9C-101B-9397-08002B2CF9AE}" pid="18" name="EC_Pisemnost">
    <vt:lpwstr>22-13415/NKU</vt:lpwstr>
  </property>
  <property fmtid="{D5CDD505-2E9C-101B-9397-08002B2CF9AE}" pid="19" name="Key_BarCode_Pisemnost">
    <vt:lpwstr>*B000419890*</vt:lpwstr>
  </property>
  <property fmtid="{D5CDD505-2E9C-101B-9397-08002B2CF9AE}" pid="20" name="Key_BarCode_PostaOdes">
    <vt:lpwstr>11101001011</vt:lpwstr>
  </property>
  <property fmtid="{D5CDD505-2E9C-101B-9397-08002B2CF9AE}" pid="21" name="KRukam">
    <vt:lpwstr>{KRukam}</vt:lpwstr>
  </property>
  <property fmtid="{D5CDD505-2E9C-101B-9397-08002B2CF9AE}" pid="22" name="NameAddress_Contact_SpisovyUzel_PoziceZodpo_Pisemnost">
    <vt:lpwstr>ADRESÁT SU...</vt:lpwstr>
  </property>
  <property fmtid="{D5CDD505-2E9C-101B-9397-08002B2CF9AE}" pid="23" name="NamePostalAddress_Contact_PostaOdes">
    <vt:lpwstr>{NameAddress_Contact_PostaOdes}
{PostalAddress_Contact_PostaOdes}</vt:lpwstr>
  </property>
  <property fmtid="{D5CDD505-2E9C-101B-9397-08002B2CF9AE}" pid="24" name="Odkaz">
    <vt:lpwstr>ODKAZ</vt:lpwstr>
  </property>
  <property fmtid="{D5CDD505-2E9C-101B-9397-08002B2CF9AE}" pid="25" name="Password_PisemnostTypZpristupneniInformaciZOSZ_Pisemnost">
    <vt:lpwstr>ZOSZ_Password</vt:lpwstr>
  </property>
  <property fmtid="{D5CDD505-2E9C-101B-9397-08002B2CF9AE}" pid="26" name="PocetListuDokumentu_Pisemnost">
    <vt:lpwstr>1</vt:lpwstr>
  </property>
  <property fmtid="{D5CDD505-2E9C-101B-9397-08002B2CF9AE}" pid="27" name="PocetListu_Pisemnost">
    <vt:lpwstr>1</vt:lpwstr>
  </property>
  <property fmtid="{D5CDD505-2E9C-101B-9397-08002B2CF9AE}" pid="28" name="PocetPriloh_Pisemnost">
    <vt:lpwstr>POČET PŘÍLOH</vt:lpwstr>
  </property>
  <property fmtid="{D5CDD505-2E9C-101B-9397-08002B2CF9AE}" pid="29" name="Podpis">
    <vt:lpwstr/>
  </property>
  <property fmtid="{D5CDD505-2E9C-101B-9397-08002B2CF9AE}" pid="30" name="PoleVlastnost">
    <vt:lpwstr/>
  </property>
  <property fmtid="{D5CDD505-2E9C-101B-9397-08002B2CF9AE}" pid="31" name="PostalAddress_Contact_SpisovyUzel_PoziceZodpo_Pisemnost">
    <vt:lpwstr>ADRESA SU...</vt:lpwstr>
  </property>
  <property fmtid="{D5CDD505-2E9C-101B-9397-08002B2CF9AE}" pid="32" name="QREC_Pisemnost">
    <vt:lpwstr>22-13415/NKU</vt:lpwstr>
  </property>
  <property fmtid="{D5CDD505-2E9C-101B-9397-08002B2CF9AE}" pid="33" name="RC">
    <vt:lpwstr/>
  </property>
  <property fmtid="{D5CDD505-2E9C-101B-9397-08002B2CF9AE}" pid="34" name="SkartacniZnakLhuta_PisemnostZnak">
    <vt:lpwstr>?/?</vt:lpwstr>
  </property>
  <property fmtid="{D5CDD505-2E9C-101B-9397-08002B2CF9AE}" pid="35" name="SmlouvaCislo">
    <vt:lpwstr>ČÍSLO SMLOUVY</vt:lpwstr>
  </property>
  <property fmtid="{D5CDD505-2E9C-101B-9397-08002B2CF9AE}" pid="36" name="SZ_Spis_Pisemnost">
    <vt:lpwstr>179/22</vt:lpwstr>
  </property>
  <property fmtid="{D5CDD505-2E9C-101B-9397-08002B2CF9AE}" pid="37" name="TEST">
    <vt:lpwstr>testovací pole</vt:lpwstr>
  </property>
  <property fmtid="{D5CDD505-2E9C-101B-9397-08002B2CF9AE}" pid="38" name="TypPrilohy_Pisemnost">
    <vt:lpwstr>TYP PŘÍLOHY</vt:lpwstr>
  </property>
  <property fmtid="{D5CDD505-2E9C-101B-9397-08002B2CF9AE}" pid="39" name="UserName_PisemnostTypZpristupneniInformaciZOSZ_Pisemnost">
    <vt:lpwstr>ZOSZ_UserName</vt:lpwstr>
  </property>
  <property fmtid="{D5CDD505-2E9C-101B-9397-08002B2CF9AE}" pid="40" name="Vec_Pisemnost">
    <vt:lpwstr>KZ 21/23 - připomínkové řízení</vt:lpwstr>
  </property>
  <property fmtid="{D5CDD505-2E9C-101B-9397-08002B2CF9AE}" pid="41" name="Zkratka_SpisovyUzel_PoziceZodpo_Pisemnost">
    <vt:lpwstr>200</vt:lpwstr>
  </property>
</Properties>
</file>