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0BED4" w14:textId="2F7C9DE7" w:rsidR="003633AA" w:rsidRDefault="003633AA" w:rsidP="00A36482">
      <w:pPr>
        <w:spacing w:after="0" w:line="240" w:lineRule="auto"/>
        <w:jc w:val="center"/>
        <w:rPr>
          <w:rFonts w:asciiTheme="minorHAnsi" w:hAnsiTheme="minorHAnsi"/>
          <w:b/>
        </w:rPr>
      </w:pPr>
      <w:r w:rsidRPr="008142C5">
        <w:rPr>
          <w:rFonts w:asciiTheme="minorHAnsi" w:hAnsiTheme="minorHAnsi"/>
          <w:b/>
          <w:noProof/>
          <w:lang w:eastAsia="cs-CZ"/>
        </w:rPr>
        <w:drawing>
          <wp:anchor distT="0" distB="0" distL="114300" distR="114300" simplePos="0" relativeHeight="251658240" behindDoc="0" locked="0" layoutInCell="1" allowOverlap="1" wp14:anchorId="02A953CA" wp14:editId="5AC275F7">
            <wp:simplePos x="0" y="0"/>
            <wp:positionH relativeFrom="margin">
              <wp:align>center</wp:align>
            </wp:positionH>
            <wp:positionV relativeFrom="paragraph">
              <wp:posOffset>215900</wp:posOffset>
            </wp:positionV>
            <wp:extent cx="791210" cy="559435"/>
            <wp:effectExtent l="0" t="0" r="8890" b="0"/>
            <wp:wrapTopAndBottom/>
            <wp:docPr id="2" name="obrázek 2" descr="NKU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929151" name="obrázek 2" descr="NKU_LOGO 1"/>
                    <pic:cNvPicPr>
                      <a:picLocks noChangeAspect="1" noChangeArrowheads="1"/>
                    </pic:cNvPicPr>
                  </pic:nvPicPr>
                  <pic:blipFill>
                    <a:blip r:embed="rId11" cstate="print"/>
                    <a:stretch>
                      <a:fillRect/>
                    </a:stretch>
                  </pic:blipFill>
                  <pic:spPr bwMode="auto">
                    <a:xfrm>
                      <a:off x="0" y="0"/>
                      <a:ext cx="791210" cy="559435"/>
                    </a:xfrm>
                    <a:prstGeom prst="rect">
                      <a:avLst/>
                    </a:prstGeom>
                    <a:noFill/>
                    <a:ln w="9525">
                      <a:noFill/>
                      <a:miter lim="800000"/>
                      <a:headEnd/>
                      <a:tailEnd/>
                    </a:ln>
                  </pic:spPr>
                </pic:pic>
              </a:graphicData>
            </a:graphic>
          </wp:anchor>
        </w:drawing>
      </w:r>
    </w:p>
    <w:p w14:paraId="5E418F57" w14:textId="2EF9BC38" w:rsidR="003633AA" w:rsidRDefault="003633AA" w:rsidP="00A36482">
      <w:pPr>
        <w:spacing w:after="0" w:line="240" w:lineRule="auto"/>
        <w:jc w:val="center"/>
        <w:rPr>
          <w:rFonts w:asciiTheme="minorHAnsi" w:hAnsiTheme="minorHAnsi"/>
          <w:b/>
        </w:rPr>
      </w:pPr>
    </w:p>
    <w:p w14:paraId="66C7881D" w14:textId="6A1662ED" w:rsidR="003633AA" w:rsidRDefault="003633AA" w:rsidP="00A36482">
      <w:pPr>
        <w:spacing w:after="0" w:line="240" w:lineRule="auto"/>
        <w:jc w:val="center"/>
        <w:rPr>
          <w:rFonts w:asciiTheme="minorHAnsi" w:hAnsiTheme="minorHAnsi"/>
          <w:b/>
        </w:rPr>
      </w:pPr>
    </w:p>
    <w:p w14:paraId="2B080D58" w14:textId="3E8C82A4" w:rsidR="00214123" w:rsidRPr="008142C5" w:rsidRDefault="00214123" w:rsidP="00A36482">
      <w:pPr>
        <w:spacing w:after="0" w:line="240" w:lineRule="auto"/>
        <w:jc w:val="center"/>
        <w:rPr>
          <w:rFonts w:asciiTheme="minorHAnsi" w:hAnsiTheme="minorHAnsi"/>
          <w:b/>
        </w:rPr>
      </w:pPr>
      <w:bookmarkStart w:id="0" w:name="_Hlk128996261"/>
      <w:bookmarkEnd w:id="0"/>
    </w:p>
    <w:p w14:paraId="6EF4C50E" w14:textId="58DFF755" w:rsidR="00214123" w:rsidRPr="00247CAB" w:rsidRDefault="00214123" w:rsidP="00A36482">
      <w:pPr>
        <w:spacing w:line="240" w:lineRule="auto"/>
        <w:jc w:val="center"/>
        <w:rPr>
          <w:rFonts w:asciiTheme="minorHAnsi" w:hAnsiTheme="minorHAnsi"/>
          <w:b/>
          <w:sz w:val="28"/>
          <w:szCs w:val="28"/>
        </w:rPr>
      </w:pPr>
      <w:bookmarkStart w:id="1" w:name="_Hlk135726313"/>
      <w:r w:rsidRPr="00247CAB">
        <w:rPr>
          <w:rFonts w:asciiTheme="minorHAnsi" w:hAnsiTheme="minorHAnsi"/>
          <w:b/>
          <w:sz w:val="28"/>
          <w:szCs w:val="28"/>
        </w:rPr>
        <w:t>Kontrolní závěr z kontrolní akce</w:t>
      </w:r>
    </w:p>
    <w:p w14:paraId="3F388CFE" w14:textId="77777777" w:rsidR="00214123" w:rsidRPr="00247CAB" w:rsidRDefault="00214123" w:rsidP="00A36482">
      <w:pPr>
        <w:spacing w:line="240" w:lineRule="auto"/>
        <w:ind w:right="68"/>
        <w:jc w:val="center"/>
        <w:rPr>
          <w:rFonts w:asciiTheme="minorHAnsi" w:hAnsiTheme="minorHAnsi"/>
          <w:b/>
          <w:sz w:val="28"/>
          <w:szCs w:val="28"/>
        </w:rPr>
      </w:pPr>
      <w:r w:rsidRPr="00247CAB">
        <w:rPr>
          <w:rFonts w:asciiTheme="minorHAnsi" w:hAnsiTheme="minorHAnsi"/>
          <w:b/>
          <w:sz w:val="28"/>
          <w:szCs w:val="28"/>
        </w:rPr>
        <w:t>22/31</w:t>
      </w:r>
    </w:p>
    <w:p w14:paraId="7785BD1E" w14:textId="41D2E80B" w:rsidR="00214123" w:rsidRPr="00247CAB" w:rsidRDefault="00214123" w:rsidP="00A36482">
      <w:pPr>
        <w:spacing w:line="240" w:lineRule="auto"/>
        <w:ind w:right="68"/>
        <w:jc w:val="center"/>
        <w:rPr>
          <w:rFonts w:asciiTheme="minorHAnsi" w:hAnsiTheme="minorHAnsi"/>
          <w:b/>
          <w:sz w:val="28"/>
          <w:szCs w:val="28"/>
        </w:rPr>
      </w:pPr>
      <w:r w:rsidRPr="00247CAB">
        <w:rPr>
          <w:rFonts w:asciiTheme="minorHAnsi" w:hAnsiTheme="minorHAnsi"/>
          <w:b/>
          <w:sz w:val="28"/>
          <w:szCs w:val="28"/>
        </w:rPr>
        <w:t>Peněžní prostředky státu související s působností orgánů státní správy v oblasti hazardních her a správy daně z hazardních her</w:t>
      </w:r>
    </w:p>
    <w:p w14:paraId="60B527B9" w14:textId="713476C5" w:rsidR="00214123" w:rsidRDefault="00214123" w:rsidP="00A36482">
      <w:pPr>
        <w:spacing w:line="240" w:lineRule="auto"/>
        <w:ind w:right="68"/>
        <w:jc w:val="left"/>
        <w:rPr>
          <w:rFonts w:asciiTheme="minorHAnsi" w:hAnsiTheme="minorHAnsi"/>
          <w:b/>
        </w:rPr>
      </w:pPr>
    </w:p>
    <w:p w14:paraId="04BD4EF1" w14:textId="77777777" w:rsidR="003633AA" w:rsidRPr="008142C5" w:rsidRDefault="003633AA" w:rsidP="00A36482">
      <w:pPr>
        <w:spacing w:line="240" w:lineRule="auto"/>
        <w:ind w:right="68"/>
        <w:jc w:val="left"/>
        <w:rPr>
          <w:rFonts w:asciiTheme="minorHAnsi" w:hAnsiTheme="minorHAnsi"/>
          <w:b/>
        </w:rPr>
      </w:pPr>
    </w:p>
    <w:p w14:paraId="20C1DFEA" w14:textId="55E530CD" w:rsidR="00214123" w:rsidRPr="008142C5" w:rsidRDefault="00214123" w:rsidP="00A36482">
      <w:pPr>
        <w:spacing w:after="480" w:line="240" w:lineRule="auto"/>
        <w:rPr>
          <w:rFonts w:asciiTheme="minorHAnsi" w:hAnsiTheme="minorHAnsi"/>
        </w:rPr>
      </w:pPr>
      <w:r w:rsidRPr="008142C5">
        <w:rPr>
          <w:rFonts w:asciiTheme="minorHAnsi" w:hAnsiTheme="minorHAnsi"/>
        </w:rPr>
        <w:t>Kontrolní akce byla zařazena do plánu kontrolní činnosti Nejvyššího kontrolního úřadu (dále také „NKÚ“) na rok 2022 pod číslem 22/31. Kontrolní akci řídil a kontrolní závěr vypracoval člen NKÚ Mgr. Roman Sklenák.</w:t>
      </w:r>
    </w:p>
    <w:p w14:paraId="48B7E993" w14:textId="371FE986" w:rsidR="00214123" w:rsidRPr="008142C5" w:rsidRDefault="00214123" w:rsidP="00A36482">
      <w:pPr>
        <w:spacing w:after="480" w:line="240" w:lineRule="auto"/>
        <w:ind w:right="68"/>
        <w:rPr>
          <w:rFonts w:asciiTheme="minorHAnsi" w:hAnsiTheme="minorHAnsi"/>
        </w:rPr>
      </w:pPr>
      <w:r w:rsidRPr="008142C5">
        <w:rPr>
          <w:rFonts w:asciiTheme="minorHAnsi" w:hAnsiTheme="minorHAnsi"/>
          <w:b/>
        </w:rPr>
        <w:t xml:space="preserve">Cílem kontroly </w:t>
      </w:r>
      <w:r w:rsidRPr="008142C5">
        <w:rPr>
          <w:rFonts w:asciiTheme="minorHAnsi" w:hAnsiTheme="minorHAnsi"/>
        </w:rPr>
        <w:t>bylo prověřit, zda jsou peněžní prostředky státu související s působností orgánů státní správy v oblasti hazardních her vynakládány hospodárně, efektivně a účelně</w:t>
      </w:r>
      <w:r w:rsidR="00F44CD3">
        <w:rPr>
          <w:rFonts w:asciiTheme="minorHAnsi" w:hAnsiTheme="minorHAnsi"/>
        </w:rPr>
        <w:br/>
      </w:r>
      <w:r w:rsidRPr="008142C5">
        <w:rPr>
          <w:rFonts w:asciiTheme="minorHAnsi" w:hAnsiTheme="minorHAnsi"/>
        </w:rPr>
        <w:t>a zda jsou cíle v oblasti správy daně z hazardních her naplňovány efektivně.</w:t>
      </w:r>
    </w:p>
    <w:p w14:paraId="528896E0" w14:textId="77777777" w:rsidR="00214123" w:rsidRPr="008142C5" w:rsidRDefault="00214123" w:rsidP="00A36482">
      <w:pPr>
        <w:pStyle w:val="Zkladn"/>
        <w:spacing w:before="0" w:line="240" w:lineRule="auto"/>
        <w:rPr>
          <w:rFonts w:asciiTheme="minorHAnsi" w:hAnsiTheme="minorHAnsi"/>
          <w:b/>
        </w:rPr>
      </w:pPr>
      <w:r w:rsidRPr="008142C5">
        <w:rPr>
          <w:rFonts w:asciiTheme="minorHAnsi" w:hAnsiTheme="minorHAnsi"/>
          <w:b/>
        </w:rPr>
        <w:t>Kontrolované osoby:</w:t>
      </w:r>
    </w:p>
    <w:p w14:paraId="5D10ED7C" w14:textId="77777777" w:rsidR="00214123" w:rsidRPr="008142C5" w:rsidRDefault="00214123" w:rsidP="00A36482">
      <w:pPr>
        <w:spacing w:after="0" w:line="240" w:lineRule="auto"/>
        <w:rPr>
          <w:rFonts w:asciiTheme="minorHAnsi" w:hAnsiTheme="minorHAnsi"/>
        </w:rPr>
      </w:pPr>
      <w:r w:rsidRPr="008142C5">
        <w:rPr>
          <w:rFonts w:asciiTheme="minorHAnsi" w:hAnsiTheme="minorHAnsi"/>
        </w:rPr>
        <w:t>Ministerstvo financí (dále také „MF“),</w:t>
      </w:r>
    </w:p>
    <w:p w14:paraId="6D738D47" w14:textId="006366DE" w:rsidR="00214123" w:rsidRPr="008142C5" w:rsidRDefault="00214123" w:rsidP="00A36482">
      <w:pPr>
        <w:spacing w:after="0" w:line="240" w:lineRule="auto"/>
        <w:rPr>
          <w:rFonts w:asciiTheme="minorHAnsi" w:hAnsiTheme="minorHAnsi"/>
        </w:rPr>
      </w:pPr>
      <w:r w:rsidRPr="008142C5">
        <w:rPr>
          <w:rFonts w:asciiTheme="minorHAnsi" w:hAnsiTheme="minorHAnsi"/>
        </w:rPr>
        <w:t>Generální finanční ředitelství</w:t>
      </w:r>
      <w:r w:rsidR="00AB537E" w:rsidRPr="008142C5">
        <w:rPr>
          <w:rFonts w:asciiTheme="minorHAnsi" w:hAnsiTheme="minorHAnsi"/>
        </w:rPr>
        <w:t>, Praha</w:t>
      </w:r>
      <w:r w:rsidRPr="008142C5">
        <w:rPr>
          <w:rFonts w:asciiTheme="minorHAnsi" w:hAnsiTheme="minorHAnsi"/>
        </w:rPr>
        <w:t xml:space="preserve"> (dále také „GFŘ“),</w:t>
      </w:r>
    </w:p>
    <w:p w14:paraId="04FFD7D4" w14:textId="351F5C9A" w:rsidR="00214123" w:rsidRPr="008142C5" w:rsidRDefault="00214123" w:rsidP="00A36482">
      <w:pPr>
        <w:spacing w:after="0" w:line="240" w:lineRule="auto"/>
        <w:rPr>
          <w:rFonts w:asciiTheme="minorHAnsi" w:hAnsiTheme="minorHAnsi"/>
        </w:rPr>
      </w:pPr>
      <w:r w:rsidRPr="008142C5">
        <w:rPr>
          <w:rFonts w:asciiTheme="minorHAnsi" w:hAnsiTheme="minorHAnsi"/>
          <w:color w:val="000000"/>
        </w:rPr>
        <w:t>Generální ředitelství cel</w:t>
      </w:r>
      <w:r w:rsidR="00AB537E" w:rsidRPr="008142C5">
        <w:rPr>
          <w:rFonts w:asciiTheme="minorHAnsi" w:hAnsiTheme="minorHAnsi"/>
          <w:color w:val="000000"/>
        </w:rPr>
        <w:t>, Praha</w:t>
      </w:r>
      <w:r w:rsidRPr="008142C5">
        <w:rPr>
          <w:rFonts w:asciiTheme="minorHAnsi" w:hAnsiTheme="minorHAnsi"/>
        </w:rPr>
        <w:t xml:space="preserve"> (dále také „GŘC“),</w:t>
      </w:r>
    </w:p>
    <w:p w14:paraId="66079D61" w14:textId="4B701084" w:rsidR="00214123" w:rsidRPr="008142C5" w:rsidRDefault="00214123" w:rsidP="00A36482">
      <w:pPr>
        <w:spacing w:after="0" w:line="240" w:lineRule="auto"/>
        <w:rPr>
          <w:rFonts w:asciiTheme="minorHAnsi" w:hAnsiTheme="minorHAnsi"/>
        </w:rPr>
      </w:pPr>
      <w:bookmarkStart w:id="2" w:name="_Hlk135935044"/>
      <w:r w:rsidRPr="008142C5">
        <w:rPr>
          <w:rFonts w:asciiTheme="minorHAnsi" w:hAnsiTheme="minorHAnsi"/>
        </w:rPr>
        <w:t>Specializovaný finanční úřad</w:t>
      </w:r>
      <w:bookmarkEnd w:id="2"/>
      <w:r w:rsidR="00AB537E" w:rsidRPr="008142C5">
        <w:rPr>
          <w:rFonts w:asciiTheme="minorHAnsi" w:hAnsiTheme="minorHAnsi"/>
        </w:rPr>
        <w:t>, Praha</w:t>
      </w:r>
      <w:r w:rsidRPr="008142C5">
        <w:rPr>
          <w:rFonts w:asciiTheme="minorHAnsi" w:hAnsiTheme="minorHAnsi"/>
        </w:rPr>
        <w:t xml:space="preserve"> (dále také „SFÚ“),</w:t>
      </w:r>
    </w:p>
    <w:p w14:paraId="4D2D8960" w14:textId="302D6113" w:rsidR="00214123" w:rsidRPr="008142C5" w:rsidRDefault="00214123" w:rsidP="00A36482">
      <w:pPr>
        <w:spacing w:after="0" w:line="240" w:lineRule="auto"/>
        <w:rPr>
          <w:rFonts w:asciiTheme="minorHAnsi" w:hAnsiTheme="minorHAnsi"/>
        </w:rPr>
      </w:pPr>
      <w:r w:rsidRPr="008142C5">
        <w:rPr>
          <w:rFonts w:asciiTheme="minorHAnsi" w:hAnsiTheme="minorHAnsi"/>
          <w:color w:val="000000"/>
        </w:rPr>
        <w:t>Státní pokladna Centrum sdílených služeb, s. p.</w:t>
      </w:r>
      <w:r w:rsidR="00AB537E" w:rsidRPr="008142C5">
        <w:rPr>
          <w:rFonts w:asciiTheme="minorHAnsi" w:hAnsiTheme="minorHAnsi"/>
          <w:color w:val="000000"/>
        </w:rPr>
        <w:t>, Praha</w:t>
      </w:r>
      <w:r w:rsidRPr="008142C5">
        <w:rPr>
          <w:rFonts w:asciiTheme="minorHAnsi" w:hAnsiTheme="minorHAnsi"/>
          <w:color w:val="000000"/>
        </w:rPr>
        <w:t xml:space="preserve"> (dále také „SPCSS“)</w:t>
      </w:r>
      <w:r w:rsidR="00F02404">
        <w:rPr>
          <w:rFonts w:asciiTheme="minorHAnsi" w:hAnsiTheme="minorHAnsi"/>
          <w:color w:val="000000"/>
        </w:rPr>
        <w:t>.</w:t>
      </w:r>
    </w:p>
    <w:p w14:paraId="66FBFA5E" w14:textId="77777777" w:rsidR="00214123" w:rsidRPr="008142C5" w:rsidRDefault="00214123" w:rsidP="00A36482">
      <w:pPr>
        <w:spacing w:before="480" w:after="480" w:line="240" w:lineRule="auto"/>
        <w:rPr>
          <w:rFonts w:asciiTheme="minorHAnsi" w:hAnsiTheme="minorHAnsi"/>
        </w:rPr>
      </w:pPr>
      <w:r w:rsidRPr="008142C5">
        <w:rPr>
          <w:rFonts w:asciiTheme="minorHAnsi" w:eastAsia="Times New Roman" w:hAnsiTheme="minorHAnsi"/>
        </w:rPr>
        <w:t>Kontrola byla prováděna u kontrolovaných osob v období od února do prosince 2022.</w:t>
      </w:r>
    </w:p>
    <w:p w14:paraId="628A7745" w14:textId="5EE4B084" w:rsidR="00F92651" w:rsidRPr="008142C5" w:rsidRDefault="00214123" w:rsidP="00A36482">
      <w:pPr>
        <w:spacing w:after="720" w:line="240" w:lineRule="auto"/>
        <w:rPr>
          <w:rFonts w:asciiTheme="minorHAnsi" w:hAnsiTheme="minorHAnsi"/>
        </w:rPr>
      </w:pPr>
      <w:r w:rsidRPr="008142C5">
        <w:rPr>
          <w:rFonts w:asciiTheme="minorHAnsi" w:hAnsiTheme="minorHAnsi"/>
          <w:b/>
        </w:rPr>
        <w:t>Kontrolováno bylo období</w:t>
      </w:r>
      <w:r w:rsidRPr="008142C5">
        <w:rPr>
          <w:rFonts w:asciiTheme="minorHAnsi" w:hAnsiTheme="minorHAnsi"/>
        </w:rPr>
        <w:t xml:space="preserve"> od roku 2014 do roku 2022, v případě věcných souvislostí </w:t>
      </w:r>
      <w:r w:rsidR="005E6161" w:rsidRPr="008142C5">
        <w:rPr>
          <w:rFonts w:asciiTheme="minorHAnsi" w:hAnsiTheme="minorHAnsi"/>
        </w:rPr>
        <w:t>i</w:t>
      </w:r>
      <w:r w:rsidRPr="008142C5">
        <w:rPr>
          <w:rFonts w:asciiTheme="minorHAnsi" w:hAnsiTheme="minorHAnsi"/>
        </w:rPr>
        <w:t xml:space="preserve"> období předcházející.</w:t>
      </w:r>
    </w:p>
    <w:bookmarkEnd w:id="1"/>
    <w:p w14:paraId="750E8860" w14:textId="57198595" w:rsidR="00214123" w:rsidRPr="000D4887" w:rsidRDefault="00214123" w:rsidP="00A36482">
      <w:pPr>
        <w:spacing w:line="240" w:lineRule="auto"/>
        <w:rPr>
          <w:rFonts w:asciiTheme="minorHAnsi" w:hAnsiTheme="minorHAnsi"/>
        </w:rPr>
      </w:pPr>
      <w:r w:rsidRPr="000D4887">
        <w:rPr>
          <w:rFonts w:asciiTheme="minorHAnsi" w:hAnsiTheme="minorHAnsi"/>
          <w:b/>
          <w:i/>
        </w:rPr>
        <w:t xml:space="preserve">K o l e g i u m   N K Ú  </w:t>
      </w:r>
      <w:r w:rsidRPr="000D4887">
        <w:rPr>
          <w:rFonts w:asciiTheme="minorHAnsi" w:hAnsiTheme="minorHAnsi"/>
        </w:rPr>
        <w:t xml:space="preserve"> na svém </w:t>
      </w:r>
      <w:r w:rsidR="000D4887">
        <w:rPr>
          <w:rFonts w:asciiTheme="minorHAnsi" w:hAnsiTheme="minorHAnsi"/>
        </w:rPr>
        <w:t>VIII</w:t>
      </w:r>
      <w:r w:rsidRPr="000D4887">
        <w:rPr>
          <w:rFonts w:asciiTheme="minorHAnsi" w:hAnsiTheme="minorHAnsi"/>
        </w:rPr>
        <w:t>. jednání</w:t>
      </w:r>
      <w:r w:rsidR="003633AA">
        <w:rPr>
          <w:rFonts w:asciiTheme="minorHAnsi" w:hAnsiTheme="minorHAnsi"/>
        </w:rPr>
        <w:t>, které se</w:t>
      </w:r>
      <w:r w:rsidRPr="000D4887">
        <w:rPr>
          <w:rFonts w:asciiTheme="minorHAnsi" w:hAnsiTheme="minorHAnsi"/>
        </w:rPr>
        <w:t xml:space="preserve"> kona</w:t>
      </w:r>
      <w:r w:rsidR="003633AA">
        <w:rPr>
          <w:rFonts w:asciiTheme="minorHAnsi" w:hAnsiTheme="minorHAnsi"/>
        </w:rPr>
        <w:t>lo</w:t>
      </w:r>
      <w:r w:rsidRPr="000D4887">
        <w:rPr>
          <w:rFonts w:asciiTheme="minorHAnsi" w:hAnsiTheme="minorHAnsi"/>
        </w:rPr>
        <w:t xml:space="preserve"> dne </w:t>
      </w:r>
      <w:r w:rsidR="000D4887">
        <w:rPr>
          <w:rFonts w:asciiTheme="minorHAnsi" w:hAnsiTheme="minorHAnsi"/>
        </w:rPr>
        <w:t>22</w:t>
      </w:r>
      <w:r w:rsidRPr="000D4887">
        <w:rPr>
          <w:rFonts w:asciiTheme="minorHAnsi" w:hAnsiTheme="minorHAnsi"/>
        </w:rPr>
        <w:t xml:space="preserve">. </w:t>
      </w:r>
      <w:r w:rsidR="000D4887">
        <w:rPr>
          <w:rFonts w:asciiTheme="minorHAnsi" w:hAnsiTheme="minorHAnsi"/>
        </w:rPr>
        <w:t>května</w:t>
      </w:r>
      <w:r w:rsidR="00427587" w:rsidRPr="000D4887">
        <w:rPr>
          <w:rFonts w:asciiTheme="minorHAnsi" w:hAnsiTheme="minorHAnsi"/>
        </w:rPr>
        <w:t xml:space="preserve"> </w:t>
      </w:r>
      <w:r w:rsidRPr="000D4887">
        <w:rPr>
          <w:rFonts w:asciiTheme="minorHAnsi" w:hAnsiTheme="minorHAnsi"/>
        </w:rPr>
        <w:t>2023</w:t>
      </w:r>
      <w:r w:rsidR="003633AA">
        <w:rPr>
          <w:rFonts w:asciiTheme="minorHAnsi" w:hAnsiTheme="minorHAnsi"/>
        </w:rPr>
        <w:t>,</w:t>
      </w:r>
    </w:p>
    <w:p w14:paraId="4992C3CF" w14:textId="13A6989C" w:rsidR="00214123" w:rsidRPr="000D4887" w:rsidRDefault="00214123" w:rsidP="00A36482">
      <w:pPr>
        <w:pStyle w:val="NormlnKZ"/>
        <w:ind w:firstLine="0"/>
        <w:rPr>
          <w:rFonts w:asciiTheme="minorHAnsi" w:hAnsiTheme="minorHAnsi" w:cstheme="minorHAnsi"/>
        </w:rPr>
      </w:pPr>
      <w:r w:rsidRPr="000D4887">
        <w:rPr>
          <w:rFonts w:asciiTheme="minorHAnsi" w:hAnsiTheme="minorHAnsi" w:cstheme="minorHAnsi"/>
          <w:b/>
          <w:i/>
        </w:rPr>
        <w:t xml:space="preserve">s c h v á l i l o  </w:t>
      </w:r>
      <w:r w:rsidRPr="000D4887">
        <w:rPr>
          <w:rFonts w:asciiTheme="minorHAnsi" w:hAnsiTheme="minorHAnsi" w:cstheme="minorHAnsi"/>
        </w:rPr>
        <w:t xml:space="preserve"> usnesením č. </w:t>
      </w:r>
      <w:r w:rsidR="00AB36B2">
        <w:rPr>
          <w:rFonts w:asciiTheme="minorHAnsi" w:hAnsiTheme="minorHAnsi" w:cstheme="minorHAnsi"/>
        </w:rPr>
        <w:t>10</w:t>
      </w:r>
      <w:r w:rsidR="000D4887">
        <w:rPr>
          <w:rFonts w:asciiTheme="minorHAnsi" w:hAnsiTheme="minorHAnsi" w:cstheme="minorHAnsi"/>
        </w:rPr>
        <w:t>/VIII</w:t>
      </w:r>
      <w:r w:rsidRPr="000D4887">
        <w:rPr>
          <w:rFonts w:asciiTheme="minorHAnsi" w:hAnsiTheme="minorHAnsi" w:cstheme="minorHAnsi"/>
        </w:rPr>
        <w:t>/2023</w:t>
      </w:r>
    </w:p>
    <w:p w14:paraId="1E6EBCA2" w14:textId="784129B2" w:rsidR="00214123" w:rsidRPr="008142C5" w:rsidRDefault="00214123" w:rsidP="00A36482">
      <w:pPr>
        <w:pStyle w:val="NormlnKZ"/>
        <w:ind w:firstLine="0"/>
        <w:rPr>
          <w:rFonts w:asciiTheme="minorHAnsi" w:hAnsiTheme="minorHAnsi" w:cstheme="minorHAnsi"/>
        </w:rPr>
      </w:pPr>
      <w:r w:rsidRPr="000D4887">
        <w:rPr>
          <w:rFonts w:asciiTheme="minorHAnsi" w:hAnsiTheme="minorHAnsi" w:cstheme="minorHAnsi"/>
          <w:b/>
          <w:i/>
        </w:rPr>
        <w:t>k o n t r o l n í   z á v ě r</w:t>
      </w:r>
      <w:r w:rsidRPr="000D4887">
        <w:rPr>
          <w:rFonts w:asciiTheme="minorHAnsi" w:hAnsiTheme="minorHAnsi" w:cstheme="minorHAnsi"/>
        </w:rPr>
        <w:t xml:space="preserve">   v tomto znění:</w:t>
      </w:r>
    </w:p>
    <w:p w14:paraId="12302235" w14:textId="77777777" w:rsidR="0029710A" w:rsidRDefault="0029710A" w:rsidP="0029710A">
      <w:pPr>
        <w:spacing w:line="240" w:lineRule="auto"/>
        <w:rPr>
          <w:highlight w:val="yellow"/>
        </w:rPr>
      </w:pPr>
    </w:p>
    <w:p w14:paraId="033EEC98" w14:textId="0A384283" w:rsidR="00FF5642" w:rsidRDefault="00FF5642" w:rsidP="00FF5642">
      <w:pPr>
        <w:spacing w:after="0"/>
        <w:jc w:val="center"/>
        <w:rPr>
          <w:b/>
          <w:color w:val="auto"/>
          <w:sz w:val="32"/>
          <w:szCs w:val="32"/>
        </w:rPr>
      </w:pPr>
      <w:r w:rsidRPr="00F75916">
        <w:rPr>
          <w:b/>
          <w:color w:val="auto"/>
          <w:sz w:val="32"/>
          <w:szCs w:val="32"/>
        </w:rPr>
        <w:lastRenderedPageBreak/>
        <w:t>Hazardní hry v České republice</w:t>
      </w:r>
    </w:p>
    <w:p w14:paraId="2B5C5031" w14:textId="77777777" w:rsidR="00F4521B" w:rsidRDefault="00F4521B" w:rsidP="00FF5642">
      <w:pPr>
        <w:spacing w:after="0"/>
        <w:jc w:val="center"/>
      </w:pPr>
    </w:p>
    <w:p w14:paraId="20072C6E" w14:textId="5FA53C49" w:rsidR="00FF5642" w:rsidRPr="001E51C9" w:rsidRDefault="00CE2613" w:rsidP="00CE2613">
      <w:pPr>
        <w:spacing w:after="0"/>
        <w:jc w:val="center"/>
        <w:rPr>
          <w:sz w:val="28"/>
          <w:szCs w:val="28"/>
        </w:rPr>
      </w:pPr>
      <w:r w:rsidRPr="001E51C9">
        <w:rPr>
          <w:rFonts w:ascii="Calibri Light" w:eastAsia="Times New Roman" w:hAnsi="Calibri Light" w:cs="Calibri"/>
          <w:noProof/>
          <w:color w:val="auto"/>
          <w:sz w:val="28"/>
          <w:szCs w:val="28"/>
        </w:rPr>
        <mc:AlternateContent>
          <mc:Choice Requires="wps">
            <w:drawing>
              <wp:anchor distT="0" distB="0" distL="114300" distR="114300" simplePos="0" relativeHeight="251663368" behindDoc="0" locked="0" layoutInCell="1" allowOverlap="1" wp14:anchorId="78E353AB" wp14:editId="08D637E4">
                <wp:simplePos x="0" y="0"/>
                <wp:positionH relativeFrom="margin">
                  <wp:posOffset>3119755</wp:posOffset>
                </wp:positionH>
                <wp:positionV relativeFrom="paragraph">
                  <wp:posOffset>225425</wp:posOffset>
                </wp:positionV>
                <wp:extent cx="2602865" cy="968375"/>
                <wp:effectExtent l="0" t="0" r="26035" b="22225"/>
                <wp:wrapTopAndBottom/>
                <wp:docPr id="4" name="Obdélník: se zakulacenými rohy 4"/>
                <wp:cNvGraphicFramePr/>
                <a:graphic xmlns:a="http://schemas.openxmlformats.org/drawingml/2006/main">
                  <a:graphicData uri="http://schemas.microsoft.com/office/word/2010/wordprocessingShape">
                    <wps:wsp>
                      <wps:cNvSpPr/>
                      <wps:spPr>
                        <a:xfrm>
                          <a:off x="0" y="0"/>
                          <a:ext cx="2602865" cy="968375"/>
                        </a:xfrm>
                        <a:prstGeom prst="roundRect">
                          <a:avLst/>
                        </a:prstGeom>
                        <a:noFill/>
                        <a:ln w="25400" cap="flat" cmpd="sng" algn="ctr">
                          <a:solidFill>
                            <a:srgbClr val="C00000"/>
                          </a:solidFill>
                          <a:prstDash val="solid"/>
                          <a:miter lim="800000"/>
                        </a:ln>
                        <a:effectLst/>
                      </wps:spPr>
                      <wps:txbx>
                        <w:txbxContent>
                          <w:p w14:paraId="2310CDB5" w14:textId="77777777" w:rsidR="00FF1AD0" w:rsidRPr="00681CA7" w:rsidRDefault="00FF1AD0" w:rsidP="00FF5642">
                            <w:pPr>
                              <w:spacing w:after="0"/>
                              <w:jc w:val="center"/>
                              <w:rPr>
                                <w:b/>
                                <w:color w:val="C00000"/>
                                <w:sz w:val="32"/>
                                <w:szCs w:val="32"/>
                              </w:rPr>
                            </w:pPr>
                            <w:r w:rsidRPr="00681CA7">
                              <w:rPr>
                                <w:b/>
                                <w:color w:val="C00000"/>
                                <w:sz w:val="32"/>
                                <w:szCs w:val="32"/>
                                <w:lang w:eastAsia="cs-CZ"/>
                              </w:rPr>
                              <w:t xml:space="preserve">50,5 </w:t>
                            </w:r>
                            <w:r w:rsidRPr="00681CA7">
                              <w:rPr>
                                <w:b/>
                                <w:color w:val="C00000"/>
                                <w:sz w:val="32"/>
                                <w:szCs w:val="32"/>
                              </w:rPr>
                              <w:t>mld. Kč</w:t>
                            </w:r>
                          </w:p>
                          <w:p w14:paraId="56B04F27" w14:textId="77777777" w:rsidR="00FF1AD0" w:rsidRPr="0093283E" w:rsidRDefault="00FF1AD0" w:rsidP="00BA1024">
                            <w:pPr>
                              <w:spacing w:after="0" w:line="240" w:lineRule="auto"/>
                              <w:jc w:val="center"/>
                              <w:rPr>
                                <w:color w:val="C00000"/>
                                <w:sz w:val="22"/>
                                <w:szCs w:val="22"/>
                                <w:lang w:eastAsia="cs-CZ"/>
                              </w:rPr>
                            </w:pPr>
                            <w:r w:rsidRPr="0093283E">
                              <w:rPr>
                                <w:color w:val="C00000"/>
                                <w:sz w:val="22"/>
                                <w:szCs w:val="22"/>
                                <w:lang w:eastAsia="cs-CZ"/>
                              </w:rPr>
                              <w:t>Celkové inkaso daně z hazardních her</w:t>
                            </w:r>
                            <w:r w:rsidRPr="0093283E">
                              <w:rPr>
                                <w:color w:val="C00000"/>
                                <w:sz w:val="22"/>
                                <w:szCs w:val="22"/>
                                <w:lang w:eastAsia="cs-CZ"/>
                              </w:rPr>
                              <w:br/>
                              <w:t>za roky 2017–2021</w:t>
                            </w:r>
                          </w:p>
                          <w:p w14:paraId="44D96010" w14:textId="77777777" w:rsidR="00FF1AD0" w:rsidRPr="007B7733" w:rsidRDefault="00FF1AD0" w:rsidP="00FF5642">
                            <w:pPr>
                              <w:spacing w:after="0"/>
                              <w:jc w:val="center"/>
                              <w:rPr>
                                <w:color w:val="C00000"/>
                                <w:sz w:val="22"/>
                                <w:lang w:eastAsia="cs-CZ"/>
                              </w:rPr>
                            </w:pP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E353AB" id="Obdélník: se zakulacenými rohy 4" o:spid="_x0000_s1026" style="position:absolute;left:0;text-align:left;margin-left:245.65pt;margin-top:17.75pt;width:204.95pt;height:76.25pt;z-index:251663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" filled="f" strokecolor="#c00000" strokeweight="2pt">
                <v:stroke joinstyle="miter"/>
                <v:textbox>
                  <w:txbxContent>
                    <w:p w14:paraId="2310CDB5" w14:textId="77777777" w:rsidR="00FF1AD0" w:rsidRPr="00681CA7" w:rsidRDefault="00FF1AD0" w:rsidP="00FF5642">
                      <w:pPr>
                        <w:spacing w:after="0"/>
                        <w:jc w:val="center"/>
                        <w:rPr>
                          <w:b/>
                          <w:color w:val="C00000"/>
                          <w:sz w:val="32"/>
                          <w:szCs w:val="32"/>
                        </w:rPr>
                      </w:pPr>
                      <w:r w:rsidRPr="00681CA7">
                        <w:rPr>
                          <w:b/>
                          <w:color w:val="C00000"/>
                          <w:sz w:val="32"/>
                          <w:szCs w:val="32"/>
                          <w:lang w:eastAsia="cs-CZ"/>
                        </w:rPr>
                        <w:t xml:space="preserve">50,5 </w:t>
                      </w:r>
                      <w:r w:rsidRPr="00681CA7">
                        <w:rPr>
                          <w:b/>
                          <w:color w:val="C00000"/>
                          <w:sz w:val="32"/>
                          <w:szCs w:val="32"/>
                        </w:rPr>
                        <w:t>mld. Kč</w:t>
                      </w:r>
                    </w:p>
                    <w:p w14:paraId="56B04F27" w14:textId="77777777" w:rsidR="00FF1AD0" w:rsidRPr="0093283E" w:rsidRDefault="00FF1AD0" w:rsidP="00BA1024">
                      <w:pPr>
                        <w:spacing w:after="0" w:line="240" w:lineRule="auto"/>
                        <w:jc w:val="center"/>
                        <w:rPr>
                          <w:color w:val="C00000"/>
                          <w:sz w:val="22"/>
                          <w:szCs w:val="22"/>
                          <w:lang w:eastAsia="cs-CZ"/>
                        </w:rPr>
                      </w:pPr>
                      <w:r w:rsidRPr="0093283E">
                        <w:rPr>
                          <w:color w:val="C00000"/>
                          <w:sz w:val="22"/>
                          <w:szCs w:val="22"/>
                          <w:lang w:eastAsia="cs-CZ"/>
                        </w:rPr>
                        <w:t>Celkové inkaso daně z hazardních her</w:t>
                      </w:r>
                      <w:r w:rsidRPr="0093283E">
                        <w:rPr>
                          <w:color w:val="C00000"/>
                          <w:sz w:val="22"/>
                          <w:szCs w:val="22"/>
                          <w:lang w:eastAsia="cs-CZ"/>
                        </w:rPr>
                        <w:br/>
                        <w:t>za roky 2017–2021</w:t>
                      </w:r>
                    </w:p>
                    <w:p w14:paraId="44D96010" w14:textId="77777777" w:rsidR="00FF1AD0" w:rsidRPr="007B7733" w:rsidRDefault="00FF1AD0" w:rsidP="00FF5642">
                      <w:pPr>
                        <w:spacing w:after="0"/>
                        <w:jc w:val="center"/>
                        <w:rPr>
                          <w:color w:val="C00000"/>
                          <w:sz w:val="22"/>
                          <w:lang w:eastAsia="cs-CZ"/>
                        </w:rPr>
                      </w:pPr>
                    </w:p>
                  </w:txbxContent>
                </v:textbox>
                <w10:wrap type="topAndBottom" anchorx="margin"/>
              </v:roundrect>
            </w:pict>
          </mc:Fallback>
        </mc:AlternateContent>
      </w:r>
      <w:r w:rsidRPr="001E51C9">
        <w:rPr>
          <w:rFonts w:ascii="Calibri Light" w:eastAsia="Times New Roman" w:hAnsi="Calibri Light" w:cs="Calibri"/>
          <w:noProof/>
          <w:color w:val="auto"/>
          <w:sz w:val="28"/>
          <w:szCs w:val="28"/>
        </w:rPr>
        <mc:AlternateContent>
          <mc:Choice Requires="wps">
            <w:drawing>
              <wp:anchor distT="0" distB="0" distL="114300" distR="114300" simplePos="0" relativeHeight="251661320" behindDoc="0" locked="0" layoutInCell="1" allowOverlap="1" wp14:anchorId="48A23F07" wp14:editId="0D47C8B6">
                <wp:simplePos x="0" y="0"/>
                <wp:positionH relativeFrom="margin">
                  <wp:align>left</wp:align>
                </wp:positionH>
                <wp:positionV relativeFrom="paragraph">
                  <wp:posOffset>222885</wp:posOffset>
                </wp:positionV>
                <wp:extent cx="2619375" cy="971550"/>
                <wp:effectExtent l="0" t="0" r="28575" b="19050"/>
                <wp:wrapTopAndBottom/>
                <wp:docPr id="9" name="Obdélník: se zakulacenými rohy 9"/>
                <wp:cNvGraphicFramePr/>
                <a:graphic xmlns:a="http://schemas.openxmlformats.org/drawingml/2006/main">
                  <a:graphicData uri="http://schemas.microsoft.com/office/word/2010/wordprocessingShape">
                    <wps:wsp>
                      <wps:cNvSpPr/>
                      <wps:spPr>
                        <a:xfrm>
                          <a:off x="0" y="0"/>
                          <a:ext cx="2619375" cy="971550"/>
                        </a:xfrm>
                        <a:prstGeom prst="roundRect">
                          <a:avLst/>
                        </a:prstGeom>
                        <a:noFill/>
                        <a:ln w="25400" cap="flat" cmpd="sng" algn="ctr">
                          <a:solidFill>
                            <a:srgbClr val="0070C0"/>
                          </a:solidFill>
                          <a:prstDash val="solid"/>
                          <a:miter lim="800000"/>
                        </a:ln>
                        <a:effectLst/>
                      </wps:spPr>
                      <wps:txbx>
                        <w:txbxContent>
                          <w:p w14:paraId="40A1AC40" w14:textId="77777777" w:rsidR="00FF1AD0" w:rsidRPr="00D361BC" w:rsidRDefault="00FF1AD0" w:rsidP="00FF5642">
                            <w:pPr>
                              <w:spacing w:after="0"/>
                              <w:jc w:val="center"/>
                              <w:rPr>
                                <w:b/>
                                <w:color w:val="0070C0"/>
                                <w:sz w:val="32"/>
                                <w:szCs w:val="32"/>
                                <w:lang w:eastAsia="cs-CZ"/>
                              </w:rPr>
                            </w:pPr>
                            <w:r w:rsidRPr="00D361BC">
                              <w:rPr>
                                <w:b/>
                                <w:color w:val="0070C0"/>
                                <w:sz w:val="32"/>
                                <w:szCs w:val="32"/>
                                <w:lang w:eastAsia="cs-CZ"/>
                              </w:rPr>
                              <w:t>180 mld. Kč</w:t>
                            </w:r>
                          </w:p>
                          <w:p w14:paraId="1559FBB4" w14:textId="77777777" w:rsidR="00FF1AD0" w:rsidRPr="00D361BC" w:rsidRDefault="00FF1AD0" w:rsidP="00BA1024">
                            <w:pPr>
                              <w:spacing w:after="0" w:line="240" w:lineRule="auto"/>
                              <w:jc w:val="center"/>
                              <w:rPr>
                                <w:color w:val="0070C0"/>
                                <w:sz w:val="22"/>
                                <w:szCs w:val="22"/>
                                <w:lang w:eastAsia="cs-CZ"/>
                              </w:rPr>
                            </w:pPr>
                            <w:r w:rsidRPr="00D361BC">
                              <w:rPr>
                                <w:color w:val="0070C0"/>
                                <w:sz w:val="22"/>
                                <w:szCs w:val="22"/>
                                <w:lang w:eastAsia="cs-CZ"/>
                              </w:rPr>
                              <w:t>Rozdíl mezi přijatými vklady (1,80 bil. Kč)</w:t>
                            </w:r>
                            <w:r w:rsidRPr="00D361BC">
                              <w:rPr>
                                <w:color w:val="0070C0"/>
                                <w:sz w:val="22"/>
                                <w:szCs w:val="22"/>
                                <w:lang w:eastAsia="cs-CZ"/>
                              </w:rPr>
                              <w:br/>
                              <w:t>a vyplacenými výhrami (1,62 bil. Kč)</w:t>
                            </w:r>
                            <w:r w:rsidRPr="00D361BC">
                              <w:rPr>
                                <w:color w:val="0070C0"/>
                                <w:sz w:val="22"/>
                                <w:szCs w:val="22"/>
                                <w:lang w:eastAsia="cs-CZ"/>
                              </w:rPr>
                              <w:br/>
                              <w:t xml:space="preserve">za roky 2017–2021 </w:t>
                            </w:r>
                          </w:p>
                          <w:p w14:paraId="3819E3CF" w14:textId="77777777" w:rsidR="00FF1AD0" w:rsidRPr="006F38C2" w:rsidRDefault="00FF1AD0" w:rsidP="00FF5642">
                            <w:pPr>
                              <w:spacing w:after="0"/>
                              <w:jc w:val="center"/>
                              <w:rPr>
                                <w:sz w:val="22"/>
                                <w:lang w:eastAsia="cs-CZ"/>
                              </w:rPr>
                            </w:pP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A23F07" id="Obdélník: se zakulacenými rohy 9" o:spid="_x0000_s1027" style="position:absolute;left:0;text-align:left;margin-left:0;margin-top:17.55pt;width:206.25pt;height:76.5pt;z-index:251661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" filled="f" strokecolor="#0070c0" strokeweight="2pt">
                <v:stroke joinstyle="miter"/>
                <v:textbox>
                  <w:txbxContent>
                    <w:p w14:paraId="40A1AC40" w14:textId="77777777" w:rsidR="00FF1AD0" w:rsidRPr="00D361BC" w:rsidRDefault="00FF1AD0" w:rsidP="00FF5642">
                      <w:pPr>
                        <w:spacing w:after="0"/>
                        <w:jc w:val="center"/>
                        <w:rPr>
                          <w:b/>
                          <w:color w:val="0070C0"/>
                          <w:sz w:val="32"/>
                          <w:szCs w:val="32"/>
                          <w:lang w:eastAsia="cs-CZ"/>
                        </w:rPr>
                      </w:pPr>
                      <w:r w:rsidRPr="00D361BC">
                        <w:rPr>
                          <w:b/>
                          <w:color w:val="0070C0"/>
                          <w:sz w:val="32"/>
                          <w:szCs w:val="32"/>
                          <w:lang w:eastAsia="cs-CZ"/>
                        </w:rPr>
                        <w:t>180 mld. Kč</w:t>
                      </w:r>
                    </w:p>
                    <w:p w14:paraId="1559FBB4" w14:textId="77777777" w:rsidR="00FF1AD0" w:rsidRPr="00D361BC" w:rsidRDefault="00FF1AD0" w:rsidP="00BA1024">
                      <w:pPr>
                        <w:spacing w:after="0" w:line="240" w:lineRule="auto"/>
                        <w:jc w:val="center"/>
                        <w:rPr>
                          <w:color w:val="0070C0"/>
                          <w:sz w:val="22"/>
                          <w:szCs w:val="22"/>
                          <w:lang w:eastAsia="cs-CZ"/>
                        </w:rPr>
                      </w:pPr>
                      <w:r w:rsidRPr="00D361BC">
                        <w:rPr>
                          <w:color w:val="0070C0"/>
                          <w:sz w:val="22"/>
                          <w:szCs w:val="22"/>
                          <w:lang w:eastAsia="cs-CZ"/>
                        </w:rPr>
                        <w:t>Rozdíl mezi přijatými vklady (1,80 bil. Kč)</w:t>
                      </w:r>
                      <w:r w:rsidRPr="00D361BC">
                        <w:rPr>
                          <w:color w:val="0070C0"/>
                          <w:sz w:val="22"/>
                          <w:szCs w:val="22"/>
                          <w:lang w:eastAsia="cs-CZ"/>
                        </w:rPr>
                        <w:br/>
                        <w:t>a vyplacenými výhrami (1,62 bil. Kč)</w:t>
                      </w:r>
                      <w:r w:rsidRPr="00D361BC">
                        <w:rPr>
                          <w:color w:val="0070C0"/>
                          <w:sz w:val="22"/>
                          <w:szCs w:val="22"/>
                          <w:lang w:eastAsia="cs-CZ"/>
                        </w:rPr>
                        <w:br/>
                        <w:t xml:space="preserve">za roky 2017–2021 </w:t>
                      </w:r>
                    </w:p>
                    <w:p w14:paraId="3819E3CF" w14:textId="77777777" w:rsidR="00FF1AD0" w:rsidRPr="006F38C2" w:rsidRDefault="00FF1AD0" w:rsidP="00FF5642">
                      <w:pPr>
                        <w:spacing w:after="0"/>
                        <w:jc w:val="center"/>
                        <w:rPr>
                          <w:sz w:val="22"/>
                          <w:lang w:eastAsia="cs-CZ"/>
                        </w:rPr>
                      </w:pPr>
                    </w:p>
                  </w:txbxContent>
                </v:textbox>
                <w10:wrap type="topAndBottom" anchorx="margin"/>
              </v:roundrect>
            </w:pict>
          </mc:Fallback>
        </mc:AlternateContent>
      </w:r>
    </w:p>
    <w:p w14:paraId="4F48891B" w14:textId="211B90BD" w:rsidR="00FF5642" w:rsidRDefault="00D56EB7" w:rsidP="00CE2613">
      <w:pPr>
        <w:spacing w:after="0"/>
      </w:pPr>
      <w:r w:rsidRPr="001E51C9">
        <w:rPr>
          <w:rFonts w:ascii="Calibri Light" w:eastAsia="Times New Roman" w:hAnsi="Calibri Light" w:cs="Calibri"/>
          <w:noProof/>
          <w:color w:val="auto"/>
          <w:sz w:val="28"/>
          <w:szCs w:val="28"/>
        </w:rPr>
        <mc:AlternateContent>
          <mc:Choice Requires="wps">
            <w:drawing>
              <wp:anchor distT="0" distB="0" distL="114300" distR="114300" simplePos="0" relativeHeight="251662344" behindDoc="0" locked="0" layoutInCell="1" allowOverlap="1" wp14:anchorId="612E5B1B" wp14:editId="797E3068">
                <wp:simplePos x="0" y="0"/>
                <wp:positionH relativeFrom="margin">
                  <wp:posOffset>3119755</wp:posOffset>
                </wp:positionH>
                <wp:positionV relativeFrom="paragraph">
                  <wp:posOffset>1321435</wp:posOffset>
                </wp:positionV>
                <wp:extent cx="2607945" cy="979170"/>
                <wp:effectExtent l="0" t="0" r="20955" b="11430"/>
                <wp:wrapTopAndBottom/>
                <wp:docPr id="5" name="Obdélník: se zakulacenými rohy 5"/>
                <wp:cNvGraphicFramePr/>
                <a:graphic xmlns:a="http://schemas.openxmlformats.org/drawingml/2006/main">
                  <a:graphicData uri="http://schemas.microsoft.com/office/word/2010/wordprocessingShape">
                    <wps:wsp>
                      <wps:cNvSpPr/>
                      <wps:spPr>
                        <a:xfrm>
                          <a:off x="0" y="0"/>
                          <a:ext cx="2607945" cy="979170"/>
                        </a:xfrm>
                        <a:prstGeom prst="roundRect">
                          <a:avLst/>
                        </a:prstGeom>
                        <a:noFill/>
                        <a:ln w="25400" cap="flat" cmpd="sng" algn="ctr">
                          <a:solidFill>
                            <a:srgbClr val="C00000"/>
                          </a:solidFill>
                          <a:prstDash val="solid"/>
                          <a:miter lim="800000"/>
                        </a:ln>
                        <a:effectLst/>
                      </wps:spPr>
                      <wps:txbx>
                        <w:txbxContent>
                          <w:p w14:paraId="5C6E08A9" w14:textId="77777777" w:rsidR="00FF1AD0" w:rsidRPr="00F54F95" w:rsidRDefault="00FF1AD0" w:rsidP="00FF5642">
                            <w:pPr>
                              <w:spacing w:after="0"/>
                              <w:jc w:val="center"/>
                              <w:rPr>
                                <w:b/>
                                <w:color w:val="C00000"/>
                                <w:sz w:val="32"/>
                                <w:szCs w:val="32"/>
                                <w:lang w:eastAsia="cs-CZ"/>
                              </w:rPr>
                            </w:pPr>
                            <w:r>
                              <w:rPr>
                                <w:b/>
                                <w:color w:val="C00000"/>
                                <w:sz w:val="32"/>
                                <w:szCs w:val="32"/>
                                <w:lang w:eastAsia="cs-CZ"/>
                              </w:rPr>
                              <w:t>0 z 15</w:t>
                            </w:r>
                          </w:p>
                          <w:p w14:paraId="044F1743" w14:textId="2F6C656A" w:rsidR="00FF1AD0" w:rsidRPr="0093283E" w:rsidRDefault="00FF1AD0" w:rsidP="00FF5642">
                            <w:pPr>
                              <w:spacing w:after="0" w:line="240" w:lineRule="auto"/>
                              <w:jc w:val="center"/>
                              <w:rPr>
                                <w:color w:val="C00000"/>
                                <w:sz w:val="22"/>
                                <w:szCs w:val="22"/>
                              </w:rPr>
                            </w:pPr>
                            <w:r w:rsidRPr="0093283E">
                              <w:rPr>
                                <w:color w:val="C00000"/>
                                <w:sz w:val="22"/>
                                <w:szCs w:val="22"/>
                                <w:lang w:eastAsia="cs-CZ"/>
                              </w:rPr>
                              <w:t>Data v AISG se ani v jednom případě neshodovala s údaji ve vzorku 15 kontrolovaných daňových přiznání</w:t>
                            </w:r>
                          </w:p>
                          <w:p w14:paraId="693C0CFA" w14:textId="77777777" w:rsidR="00FF1AD0" w:rsidRPr="006F38C2" w:rsidRDefault="00FF1AD0" w:rsidP="00FF5642">
                            <w:pPr>
                              <w:spacing w:after="0"/>
                              <w:jc w:val="center"/>
                              <w:rPr>
                                <w:sz w:val="22"/>
                                <w:lang w:eastAsia="cs-CZ"/>
                              </w:rPr>
                            </w:pP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2E5B1B" id="Obdélník: se zakulacenými rohy 5" o:spid="_x0000_s1028" style="position:absolute;left:0;text-align:left;margin-left:245.65pt;margin-top:104.05pt;width:205.35pt;height:77.1pt;z-index:251662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" filled="f" strokecolor="#c00000" strokeweight="2pt">
                <v:stroke joinstyle="miter"/>
                <v:textbox>
                  <w:txbxContent>
                    <w:p w14:paraId="5C6E08A9" w14:textId="77777777" w:rsidR="00FF1AD0" w:rsidRPr="00F54F95" w:rsidRDefault="00FF1AD0" w:rsidP="00FF5642">
                      <w:pPr>
                        <w:spacing w:after="0"/>
                        <w:jc w:val="center"/>
                        <w:rPr>
                          <w:b/>
                          <w:color w:val="C00000"/>
                          <w:sz w:val="32"/>
                          <w:szCs w:val="32"/>
                          <w:lang w:eastAsia="cs-CZ"/>
                        </w:rPr>
                      </w:pPr>
                      <w:r>
                        <w:rPr>
                          <w:b/>
                          <w:color w:val="C00000"/>
                          <w:sz w:val="32"/>
                          <w:szCs w:val="32"/>
                          <w:lang w:eastAsia="cs-CZ"/>
                        </w:rPr>
                        <w:t>0 z 15</w:t>
                      </w:r>
                    </w:p>
                    <w:p w14:paraId="044F1743" w14:textId="2F6C656A" w:rsidR="00FF1AD0" w:rsidRPr="0093283E" w:rsidRDefault="00FF1AD0" w:rsidP="00FF5642">
                      <w:pPr>
                        <w:spacing w:after="0" w:line="240" w:lineRule="auto"/>
                        <w:jc w:val="center"/>
                        <w:rPr>
                          <w:color w:val="C00000"/>
                          <w:sz w:val="22"/>
                          <w:szCs w:val="22"/>
                        </w:rPr>
                      </w:pPr>
                      <w:r w:rsidRPr="0093283E">
                        <w:rPr>
                          <w:color w:val="C00000"/>
                          <w:sz w:val="22"/>
                          <w:szCs w:val="22"/>
                          <w:lang w:eastAsia="cs-CZ"/>
                        </w:rPr>
                        <w:t>Data v AISG se ani v jednom případě neshodovala s údaji ve vzorku 15 kontrolovaných daňových přiznání</w:t>
                      </w:r>
                    </w:p>
                    <w:p w14:paraId="693C0CFA" w14:textId="77777777" w:rsidR="00FF1AD0" w:rsidRPr="006F38C2" w:rsidRDefault="00FF1AD0" w:rsidP="00FF5642">
                      <w:pPr>
                        <w:spacing w:after="0"/>
                        <w:jc w:val="center"/>
                        <w:rPr>
                          <w:sz w:val="22"/>
                          <w:lang w:eastAsia="cs-CZ"/>
                        </w:rPr>
                      </w:pPr>
                    </w:p>
                  </w:txbxContent>
                </v:textbox>
                <w10:wrap type="topAndBottom" anchorx="margin"/>
              </v:roundrect>
            </w:pict>
          </mc:Fallback>
        </mc:AlternateContent>
      </w:r>
      <w:r w:rsidRPr="001E51C9">
        <w:rPr>
          <w:rFonts w:ascii="Calibri Light" w:eastAsia="Times New Roman" w:hAnsi="Calibri Light" w:cs="Calibri"/>
          <w:noProof/>
          <w:color w:val="auto"/>
          <w:sz w:val="28"/>
          <w:szCs w:val="28"/>
        </w:rPr>
        <mc:AlternateContent>
          <mc:Choice Requires="wps">
            <w:drawing>
              <wp:anchor distT="0" distB="0" distL="114300" distR="114300" simplePos="0" relativeHeight="251660296" behindDoc="0" locked="0" layoutInCell="1" allowOverlap="1" wp14:anchorId="5F6AE400" wp14:editId="17C171B1">
                <wp:simplePos x="0" y="0"/>
                <wp:positionH relativeFrom="margin">
                  <wp:align>left</wp:align>
                </wp:positionH>
                <wp:positionV relativeFrom="paragraph">
                  <wp:posOffset>1315036</wp:posOffset>
                </wp:positionV>
                <wp:extent cx="2625725" cy="990600"/>
                <wp:effectExtent l="0" t="0" r="22225" b="19050"/>
                <wp:wrapTopAndBottom/>
                <wp:docPr id="7" name="Obdélník: se zakulacenými rohy 7"/>
                <wp:cNvGraphicFramePr/>
                <a:graphic xmlns:a="http://schemas.openxmlformats.org/drawingml/2006/main">
                  <a:graphicData uri="http://schemas.microsoft.com/office/word/2010/wordprocessingShape">
                    <wps:wsp>
                      <wps:cNvSpPr/>
                      <wps:spPr>
                        <a:xfrm>
                          <a:off x="0" y="0"/>
                          <a:ext cx="2625725" cy="990600"/>
                        </a:xfrm>
                        <a:prstGeom prst="roundRect">
                          <a:avLst/>
                        </a:prstGeom>
                        <a:noFill/>
                        <a:ln w="25400" cap="flat" cmpd="sng" algn="ctr">
                          <a:solidFill>
                            <a:srgbClr val="0070C0"/>
                          </a:solidFill>
                          <a:prstDash val="solid"/>
                          <a:miter lim="800000"/>
                        </a:ln>
                        <a:effectLst/>
                      </wps:spPr>
                      <wps:txbx>
                        <w:txbxContent>
                          <w:p w14:paraId="5DCFFB3F" w14:textId="77777777" w:rsidR="00FF1AD0" w:rsidRPr="00681CA7" w:rsidRDefault="00FF1AD0" w:rsidP="00FF5642">
                            <w:pPr>
                              <w:spacing w:after="0"/>
                              <w:jc w:val="center"/>
                              <w:rPr>
                                <w:b/>
                                <w:color w:val="0070C0"/>
                                <w:sz w:val="32"/>
                                <w:szCs w:val="32"/>
                                <w:lang w:eastAsia="cs-CZ"/>
                              </w:rPr>
                            </w:pPr>
                            <w:r w:rsidRPr="00681CA7">
                              <w:rPr>
                                <w:b/>
                                <w:color w:val="0070C0"/>
                                <w:sz w:val="32"/>
                                <w:szCs w:val="32"/>
                                <w:lang w:eastAsia="cs-CZ"/>
                              </w:rPr>
                              <w:t>158 mil. Kč</w:t>
                            </w:r>
                          </w:p>
                          <w:p w14:paraId="0EE67FA6" w14:textId="073D1326" w:rsidR="00FF1AD0" w:rsidRPr="0093283E" w:rsidRDefault="00FF1AD0" w:rsidP="00B11344">
                            <w:pPr>
                              <w:spacing w:after="0" w:line="240" w:lineRule="auto"/>
                              <w:jc w:val="center"/>
                              <w:rPr>
                                <w:color w:val="0070C0"/>
                                <w:sz w:val="22"/>
                                <w:szCs w:val="22"/>
                              </w:rPr>
                            </w:pPr>
                            <w:r w:rsidRPr="0093283E">
                              <w:rPr>
                                <w:color w:val="0070C0"/>
                                <w:sz w:val="22"/>
                                <w:szCs w:val="22"/>
                              </w:rPr>
                              <w:t xml:space="preserve">Celková výše výdajů </w:t>
                            </w:r>
                            <w:r>
                              <w:rPr>
                                <w:color w:val="0070C0"/>
                                <w:sz w:val="22"/>
                                <w:szCs w:val="22"/>
                              </w:rPr>
                              <w:t>Ministerstva financí</w:t>
                            </w:r>
                            <w:r>
                              <w:rPr>
                                <w:color w:val="0070C0"/>
                                <w:sz w:val="22"/>
                                <w:szCs w:val="22"/>
                              </w:rPr>
                              <w:br/>
                            </w:r>
                            <w:r w:rsidRPr="0093283E">
                              <w:rPr>
                                <w:color w:val="0070C0"/>
                                <w:sz w:val="22"/>
                                <w:szCs w:val="22"/>
                              </w:rPr>
                              <w:t>na nový informační systém AISG</w:t>
                            </w:r>
                            <w:r w:rsidRPr="0093283E">
                              <w:rPr>
                                <w:color w:val="0070C0"/>
                                <w:sz w:val="22"/>
                                <w:szCs w:val="22"/>
                                <w:vertAlign w:val="superscript"/>
                              </w:rPr>
                              <w:t>1</w:t>
                            </w:r>
                            <w:r>
                              <w:rPr>
                                <w:color w:val="0070C0"/>
                                <w:sz w:val="22"/>
                                <w:szCs w:val="22"/>
                              </w:rPr>
                              <w:br/>
                            </w:r>
                            <w:r w:rsidRPr="0093283E">
                              <w:rPr>
                                <w:color w:val="0070C0"/>
                                <w:sz w:val="22"/>
                                <w:szCs w:val="22"/>
                              </w:rPr>
                              <w:t>do doby ukončení kontroly</w:t>
                            </w:r>
                          </w:p>
                          <w:p w14:paraId="3BBBBC07" w14:textId="77777777" w:rsidR="00FF1AD0" w:rsidRPr="006F38C2" w:rsidRDefault="00FF1AD0" w:rsidP="00FF5642">
                            <w:pPr>
                              <w:spacing w:after="0"/>
                              <w:jc w:val="center"/>
                              <w:rPr>
                                <w:sz w:val="22"/>
                                <w:lang w:eastAsia="cs-CZ"/>
                              </w:rPr>
                            </w:pP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6AE400" id="Obdélník: se zakulacenými rohy 7" o:spid="_x0000_s1029" style="position:absolute;left:0;text-align:left;margin-left:0;margin-top:103.55pt;width:206.75pt;height:78pt;z-index:251660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" filled="f" strokecolor="#0070c0" strokeweight="2pt">
                <v:stroke joinstyle="miter"/>
                <v:textbox>
                  <w:txbxContent>
                    <w:p w14:paraId="5DCFFB3F" w14:textId="77777777" w:rsidR="00FF1AD0" w:rsidRPr="00681CA7" w:rsidRDefault="00FF1AD0" w:rsidP="00FF5642">
                      <w:pPr>
                        <w:spacing w:after="0"/>
                        <w:jc w:val="center"/>
                        <w:rPr>
                          <w:b/>
                          <w:color w:val="0070C0"/>
                          <w:sz w:val="32"/>
                          <w:szCs w:val="32"/>
                          <w:lang w:eastAsia="cs-CZ"/>
                        </w:rPr>
                      </w:pPr>
                      <w:r w:rsidRPr="00681CA7">
                        <w:rPr>
                          <w:b/>
                          <w:color w:val="0070C0"/>
                          <w:sz w:val="32"/>
                          <w:szCs w:val="32"/>
                          <w:lang w:eastAsia="cs-CZ"/>
                        </w:rPr>
                        <w:t>158 mil. Kč</w:t>
                      </w:r>
                    </w:p>
                    <w:p w14:paraId="0EE67FA6" w14:textId="073D1326" w:rsidR="00FF1AD0" w:rsidRPr="0093283E" w:rsidRDefault="00FF1AD0" w:rsidP="00B11344">
                      <w:pPr>
                        <w:spacing w:after="0" w:line="240" w:lineRule="auto"/>
                        <w:jc w:val="center"/>
                        <w:rPr>
                          <w:color w:val="0070C0"/>
                          <w:sz w:val="22"/>
                          <w:szCs w:val="22"/>
                        </w:rPr>
                      </w:pPr>
                      <w:r w:rsidRPr="0093283E">
                        <w:rPr>
                          <w:color w:val="0070C0"/>
                          <w:sz w:val="22"/>
                          <w:szCs w:val="22"/>
                        </w:rPr>
                        <w:t xml:space="preserve">Celková výše výdajů </w:t>
                      </w:r>
                      <w:r>
                        <w:rPr>
                          <w:color w:val="0070C0"/>
                          <w:sz w:val="22"/>
                          <w:szCs w:val="22"/>
                        </w:rPr>
                        <w:t>Ministerstva financí</w:t>
                      </w:r>
                      <w:r>
                        <w:rPr>
                          <w:color w:val="0070C0"/>
                          <w:sz w:val="22"/>
                          <w:szCs w:val="22"/>
                        </w:rPr>
                        <w:br/>
                      </w:r>
                      <w:r w:rsidRPr="0093283E">
                        <w:rPr>
                          <w:color w:val="0070C0"/>
                          <w:sz w:val="22"/>
                          <w:szCs w:val="22"/>
                        </w:rPr>
                        <w:t>na nový informační systém AISG</w:t>
                      </w:r>
                      <w:r w:rsidRPr="0093283E">
                        <w:rPr>
                          <w:color w:val="0070C0"/>
                          <w:sz w:val="22"/>
                          <w:szCs w:val="22"/>
                          <w:vertAlign w:val="superscript"/>
                        </w:rPr>
                        <w:t>1</w:t>
                      </w:r>
                      <w:r>
                        <w:rPr>
                          <w:color w:val="0070C0"/>
                          <w:sz w:val="22"/>
                          <w:szCs w:val="22"/>
                        </w:rPr>
                        <w:br/>
                      </w:r>
                      <w:r w:rsidRPr="0093283E">
                        <w:rPr>
                          <w:color w:val="0070C0"/>
                          <w:sz w:val="22"/>
                          <w:szCs w:val="22"/>
                        </w:rPr>
                        <w:t>do doby ukončení kontroly</w:t>
                      </w:r>
                    </w:p>
                    <w:p w14:paraId="3BBBBC07" w14:textId="77777777" w:rsidR="00FF1AD0" w:rsidRPr="006F38C2" w:rsidRDefault="00FF1AD0" w:rsidP="00FF5642">
                      <w:pPr>
                        <w:spacing w:after="0"/>
                        <w:jc w:val="center"/>
                        <w:rPr>
                          <w:sz w:val="22"/>
                          <w:lang w:eastAsia="cs-CZ"/>
                        </w:rPr>
                      </w:pPr>
                    </w:p>
                  </w:txbxContent>
                </v:textbox>
                <w10:wrap type="topAndBottom" anchorx="margin"/>
              </v:roundrect>
            </w:pict>
          </mc:Fallback>
        </mc:AlternateContent>
      </w:r>
    </w:p>
    <w:p w14:paraId="02876428" w14:textId="696DDA82" w:rsidR="00CE2613" w:rsidRDefault="00BE608E" w:rsidP="00CE2613">
      <w:pPr>
        <w:ind w:left="1416" w:firstLine="708"/>
      </w:pPr>
      <w:bookmarkStart w:id="3" w:name="_GoBack"/>
      <w:r>
        <w:rPr>
          <w:noProof/>
        </w:rPr>
        <w:drawing>
          <wp:anchor distT="0" distB="0" distL="114300" distR="114300" simplePos="0" relativeHeight="251665416" behindDoc="0" locked="0" layoutInCell="1" allowOverlap="1" wp14:anchorId="0F01D416" wp14:editId="5A0F8A51">
            <wp:simplePos x="0" y="0"/>
            <wp:positionH relativeFrom="margin">
              <wp:align>left</wp:align>
            </wp:positionH>
            <wp:positionV relativeFrom="paragraph">
              <wp:posOffset>2117090</wp:posOffset>
            </wp:positionV>
            <wp:extent cx="5742305" cy="4495800"/>
            <wp:effectExtent l="0" t="0" r="0" b="0"/>
            <wp:wrapNone/>
            <wp:docPr id="1" name="Graf 1">
              <a:extLst xmlns:a="http://schemas.openxmlformats.org/drawingml/2006/main">
                <a:ext uri="{FF2B5EF4-FFF2-40B4-BE49-F238E27FC236}">
                  <a16:creationId xmlns:a16="http://schemas.microsoft.com/office/drawing/2014/main" id="{260E88E4-8E83-4A4B-A520-8AFA559BBC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bookmarkEnd w:id="3"/>
      <w:r w:rsidR="00D56EB7" w:rsidRPr="00214123">
        <w:rPr>
          <w:noProof/>
        </w:rPr>
        <mc:AlternateContent>
          <mc:Choice Requires="wps">
            <w:drawing>
              <wp:anchor distT="0" distB="0" distL="114300" distR="114300" simplePos="0" relativeHeight="251664392" behindDoc="1" locked="0" layoutInCell="1" allowOverlap="1" wp14:anchorId="47856149" wp14:editId="36CC62A6">
                <wp:simplePos x="0" y="0"/>
                <wp:positionH relativeFrom="margin">
                  <wp:align>left</wp:align>
                </wp:positionH>
                <wp:positionV relativeFrom="paragraph">
                  <wp:posOffset>1476033</wp:posOffset>
                </wp:positionV>
                <wp:extent cx="5724525" cy="596265"/>
                <wp:effectExtent l="0" t="0" r="28575" b="13335"/>
                <wp:wrapThrough wrapText="bothSides">
                  <wp:wrapPolygon edited="0">
                    <wp:start x="72" y="0"/>
                    <wp:lineTo x="0" y="690"/>
                    <wp:lineTo x="0" y="21393"/>
                    <wp:lineTo x="21636" y="21393"/>
                    <wp:lineTo x="21636" y="690"/>
                    <wp:lineTo x="21564" y="0"/>
                    <wp:lineTo x="72" y="0"/>
                  </wp:wrapPolygon>
                </wp:wrapThrough>
                <wp:docPr id="3" name="Obdélník: se zakulacenými rohy 3"/>
                <wp:cNvGraphicFramePr/>
                <a:graphic xmlns:a="http://schemas.openxmlformats.org/drawingml/2006/main">
                  <a:graphicData uri="http://schemas.microsoft.com/office/word/2010/wordprocessingShape">
                    <wps:wsp>
                      <wps:cNvSpPr/>
                      <wps:spPr>
                        <a:xfrm>
                          <a:off x="0" y="0"/>
                          <a:ext cx="5724525" cy="596265"/>
                        </a:xfrm>
                        <a:prstGeom prst="roundRect">
                          <a:avLst/>
                        </a:prstGeom>
                        <a:noFill/>
                        <a:ln w="254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3747CD" w14:textId="5FE8C2CB" w:rsidR="00FF1AD0" w:rsidRPr="001E51C9" w:rsidRDefault="00FF1AD0" w:rsidP="00FF5642">
                            <w:pPr>
                              <w:spacing w:after="0"/>
                              <w:jc w:val="center"/>
                              <w:rPr>
                                <w:sz w:val="22"/>
                                <w:szCs w:val="22"/>
                                <w:lang w:eastAsia="cs-CZ"/>
                              </w:rPr>
                            </w:pPr>
                            <w:r w:rsidRPr="001E51C9">
                              <w:rPr>
                                <w:color w:val="C00000"/>
                                <w:sz w:val="22"/>
                                <w:szCs w:val="22"/>
                                <w:lang w:eastAsia="cs-CZ"/>
                              </w:rPr>
                              <w:t>Ministerstvo financí nevybudovalo potřebný informační systém</w:t>
                            </w:r>
                            <w:r>
                              <w:rPr>
                                <w:color w:val="C00000"/>
                                <w:sz w:val="22"/>
                                <w:szCs w:val="22"/>
                                <w:lang w:eastAsia="cs-CZ"/>
                              </w:rPr>
                              <w:br/>
                            </w:r>
                            <w:r w:rsidRPr="001E51C9">
                              <w:rPr>
                                <w:color w:val="C00000"/>
                                <w:sz w:val="22"/>
                                <w:szCs w:val="22"/>
                                <w:lang w:eastAsia="cs-CZ"/>
                              </w:rPr>
                              <w:t>s úplnou datovou základnou</w:t>
                            </w:r>
                            <w:r>
                              <w:rPr>
                                <w:color w:val="C00000"/>
                                <w:sz w:val="22"/>
                                <w:szCs w:val="22"/>
                                <w:lang w:eastAsia="cs-CZ"/>
                              </w:rPr>
                              <w:t xml:space="preserve"> </w:t>
                            </w:r>
                            <w:r w:rsidRPr="001E51C9">
                              <w:rPr>
                                <w:color w:val="C00000"/>
                                <w:sz w:val="22"/>
                                <w:szCs w:val="22"/>
                                <w:lang w:eastAsia="cs-CZ"/>
                              </w:rPr>
                              <w:t>pro oblast hazardních her.</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856149" id="Obdélník: se zakulacenými rohy 3" o:spid="_x0000_s1030" style="position:absolute;left:0;text-align:left;margin-left:0;margin-top:116.2pt;width:450.75pt;height:46.95pt;z-index:-251652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" filled="f" strokecolor="#c00000" strokeweight="2pt">
                <v:stroke joinstyle="miter"/>
                <v:textbox>
                  <w:txbxContent>
                    <w:p w14:paraId="6A3747CD" w14:textId="5FE8C2CB" w:rsidR="00FF1AD0" w:rsidRPr="001E51C9" w:rsidRDefault="00FF1AD0" w:rsidP="00FF5642">
                      <w:pPr>
                        <w:spacing w:after="0"/>
                        <w:jc w:val="center"/>
                        <w:rPr>
                          <w:sz w:val="22"/>
                          <w:szCs w:val="22"/>
                          <w:lang w:eastAsia="cs-CZ"/>
                        </w:rPr>
                      </w:pPr>
                      <w:r w:rsidRPr="001E51C9">
                        <w:rPr>
                          <w:color w:val="C00000"/>
                          <w:sz w:val="22"/>
                          <w:szCs w:val="22"/>
                          <w:lang w:eastAsia="cs-CZ"/>
                        </w:rPr>
                        <w:t>Ministerstvo financí nevybudovalo potřebný informační systém</w:t>
                      </w:r>
                      <w:r>
                        <w:rPr>
                          <w:color w:val="C00000"/>
                          <w:sz w:val="22"/>
                          <w:szCs w:val="22"/>
                          <w:lang w:eastAsia="cs-CZ"/>
                        </w:rPr>
                        <w:br/>
                      </w:r>
                      <w:r w:rsidRPr="001E51C9">
                        <w:rPr>
                          <w:color w:val="C00000"/>
                          <w:sz w:val="22"/>
                          <w:szCs w:val="22"/>
                          <w:lang w:eastAsia="cs-CZ"/>
                        </w:rPr>
                        <w:t>s úplnou datovou základnou</w:t>
                      </w:r>
                      <w:r>
                        <w:rPr>
                          <w:color w:val="C00000"/>
                          <w:sz w:val="22"/>
                          <w:szCs w:val="22"/>
                          <w:lang w:eastAsia="cs-CZ"/>
                        </w:rPr>
                        <w:t xml:space="preserve"> </w:t>
                      </w:r>
                      <w:r w:rsidRPr="001E51C9">
                        <w:rPr>
                          <w:color w:val="C00000"/>
                          <w:sz w:val="22"/>
                          <w:szCs w:val="22"/>
                          <w:lang w:eastAsia="cs-CZ"/>
                        </w:rPr>
                        <w:t>pro oblast hazardních her.</w:t>
                      </w:r>
                    </w:p>
                  </w:txbxContent>
                </v:textbox>
                <w10:wrap type="through" anchorx="margin"/>
              </v:roundrect>
            </w:pict>
          </mc:Fallback>
        </mc:AlternateContent>
      </w:r>
    </w:p>
    <w:p w14:paraId="4653B628" w14:textId="596A989E" w:rsidR="00CE2613" w:rsidRDefault="00CE2613" w:rsidP="00CE2613">
      <w:pPr>
        <w:ind w:left="1416" w:firstLine="708"/>
      </w:pPr>
    </w:p>
    <w:p w14:paraId="0CBF44D1" w14:textId="4D86BD1E" w:rsidR="00CE2613" w:rsidRDefault="00CE2613" w:rsidP="00CE2613">
      <w:pPr>
        <w:ind w:left="1416" w:firstLine="708"/>
      </w:pPr>
    </w:p>
    <w:p w14:paraId="75721F03" w14:textId="6B3D4F0B" w:rsidR="00CE2613" w:rsidRDefault="00CE2613" w:rsidP="00CE2613">
      <w:pPr>
        <w:ind w:left="1416" w:firstLine="708"/>
      </w:pPr>
    </w:p>
    <w:p w14:paraId="0317B4A0" w14:textId="2691EFF2" w:rsidR="00CE2613" w:rsidRDefault="00CE2613" w:rsidP="00CE2613">
      <w:pPr>
        <w:ind w:left="1416" w:firstLine="708"/>
      </w:pPr>
    </w:p>
    <w:p w14:paraId="2E00C908" w14:textId="3B61ABFA" w:rsidR="00FF5642" w:rsidRDefault="00FF5642" w:rsidP="00CE2613">
      <w:pPr>
        <w:ind w:left="1416" w:firstLine="708"/>
      </w:pPr>
      <w:r>
        <w:rPr>
          <w:rStyle w:val="Znakapoznpodarou"/>
        </w:rPr>
        <w:footnoteReference w:id="2"/>
      </w:r>
    </w:p>
    <w:p w14:paraId="2A20CDD6" w14:textId="225E92C1" w:rsidR="00FF5642" w:rsidRDefault="00FF5642" w:rsidP="00D8299C"/>
    <w:p w14:paraId="36A173A6" w14:textId="2B98329A" w:rsidR="00CE2613" w:rsidRDefault="00CE2613" w:rsidP="00396BD2">
      <w:pPr>
        <w:ind w:left="1416" w:firstLine="708"/>
      </w:pPr>
    </w:p>
    <w:p w14:paraId="08DA0BA6" w14:textId="2FFDA0A5" w:rsidR="00CE2613" w:rsidRDefault="00CE2613" w:rsidP="00396BD2">
      <w:pPr>
        <w:ind w:left="1416" w:firstLine="708"/>
      </w:pPr>
    </w:p>
    <w:p w14:paraId="30089C67" w14:textId="5564F9AD" w:rsidR="00CE2613" w:rsidRDefault="00CE2613" w:rsidP="00396BD2">
      <w:pPr>
        <w:ind w:left="1416" w:firstLine="708"/>
      </w:pPr>
    </w:p>
    <w:p w14:paraId="1DCB4F05" w14:textId="1BA33F3F" w:rsidR="00CE2613" w:rsidRDefault="00CE2613" w:rsidP="00396BD2">
      <w:pPr>
        <w:ind w:left="1416" w:firstLine="708"/>
      </w:pPr>
    </w:p>
    <w:p w14:paraId="60BE11DA" w14:textId="76BFBA59" w:rsidR="00CE2613" w:rsidRDefault="00CE2613" w:rsidP="00396BD2">
      <w:pPr>
        <w:ind w:left="1416" w:firstLine="708"/>
      </w:pPr>
    </w:p>
    <w:p w14:paraId="345CE696" w14:textId="69F55900" w:rsidR="00CE2613" w:rsidRDefault="00CE2613" w:rsidP="00396BD2">
      <w:pPr>
        <w:ind w:left="1416" w:firstLine="708"/>
      </w:pPr>
    </w:p>
    <w:p w14:paraId="13882CCE" w14:textId="77777777" w:rsidR="00D56EB7" w:rsidRDefault="00D56EB7" w:rsidP="00396BD2">
      <w:pPr>
        <w:ind w:left="1416" w:firstLine="708"/>
      </w:pPr>
    </w:p>
    <w:p w14:paraId="4D6E9644" w14:textId="4A3D91F9" w:rsidR="00D029C2" w:rsidRPr="00247CAB" w:rsidRDefault="00D029C2" w:rsidP="00247CAB">
      <w:pPr>
        <w:pStyle w:val="Nadpis1"/>
        <w:rPr>
          <w:rFonts w:asciiTheme="minorHAnsi" w:eastAsiaTheme="minorHAnsi" w:hAnsiTheme="minorHAnsi"/>
          <w:sz w:val="28"/>
          <w:szCs w:val="28"/>
          <w:lang w:eastAsia="cs-CZ"/>
        </w:rPr>
      </w:pPr>
      <w:r w:rsidRPr="00247CAB">
        <w:rPr>
          <w:sz w:val="28"/>
          <w:szCs w:val="28"/>
        </w:rPr>
        <w:lastRenderedPageBreak/>
        <w:t>S</w:t>
      </w:r>
      <w:r w:rsidR="00366984" w:rsidRPr="00247CAB">
        <w:rPr>
          <w:sz w:val="28"/>
          <w:szCs w:val="28"/>
        </w:rPr>
        <w:t>hrnutí a vyhodnocení</w:t>
      </w:r>
      <w:r w:rsidR="00366984">
        <w:rPr>
          <w:sz w:val="28"/>
          <w:szCs w:val="28"/>
        </w:rPr>
        <w:t xml:space="preserve"> </w:t>
      </w:r>
    </w:p>
    <w:p w14:paraId="26878AA4" w14:textId="52F5111B" w:rsidR="00D029C2" w:rsidRPr="008142C5" w:rsidRDefault="00D029C2" w:rsidP="00CE134E">
      <w:pPr>
        <w:spacing w:after="80" w:line="240" w:lineRule="auto"/>
        <w:rPr>
          <w:rFonts w:asciiTheme="minorHAnsi" w:hAnsiTheme="minorHAnsi"/>
          <w:lang w:eastAsia="cs-CZ"/>
        </w:rPr>
      </w:pPr>
      <w:r w:rsidRPr="008142C5">
        <w:rPr>
          <w:rFonts w:asciiTheme="minorHAnsi" w:hAnsiTheme="minorHAnsi"/>
          <w:lang w:eastAsia="cs-CZ"/>
        </w:rPr>
        <w:t xml:space="preserve">NKÚ </w:t>
      </w:r>
      <w:r w:rsidR="00D42980">
        <w:rPr>
          <w:rFonts w:asciiTheme="minorHAnsi" w:hAnsiTheme="minorHAnsi"/>
          <w:lang w:eastAsia="cs-CZ"/>
        </w:rPr>
        <w:t>kontrolní akcí prověřil, zda jsou</w:t>
      </w:r>
      <w:r w:rsidRPr="008142C5">
        <w:rPr>
          <w:rFonts w:asciiTheme="minorHAnsi" w:hAnsiTheme="minorHAnsi"/>
          <w:lang w:eastAsia="cs-CZ"/>
        </w:rPr>
        <w:t xml:space="preserve"> peněžní prostředk</w:t>
      </w:r>
      <w:r w:rsidR="00D42980">
        <w:rPr>
          <w:rFonts w:asciiTheme="minorHAnsi" w:hAnsiTheme="minorHAnsi"/>
          <w:lang w:eastAsia="cs-CZ"/>
        </w:rPr>
        <w:t>y</w:t>
      </w:r>
      <w:r w:rsidRPr="008142C5">
        <w:rPr>
          <w:rFonts w:asciiTheme="minorHAnsi" w:hAnsiTheme="minorHAnsi"/>
          <w:lang w:eastAsia="cs-CZ"/>
        </w:rPr>
        <w:t xml:space="preserve"> státu související s působností orgánů státní správy v</w:t>
      </w:r>
      <w:r w:rsidR="00204A5F">
        <w:rPr>
          <w:rFonts w:asciiTheme="minorHAnsi" w:hAnsiTheme="minorHAnsi"/>
          <w:lang w:eastAsia="cs-CZ"/>
        </w:rPr>
        <w:t xml:space="preserve"> </w:t>
      </w:r>
      <w:r w:rsidRPr="008142C5">
        <w:rPr>
          <w:rFonts w:asciiTheme="minorHAnsi" w:hAnsiTheme="minorHAnsi"/>
          <w:lang w:eastAsia="cs-CZ"/>
        </w:rPr>
        <w:t>oblasti hazardních her</w:t>
      </w:r>
      <w:r w:rsidR="001C62BF">
        <w:rPr>
          <w:rFonts w:asciiTheme="minorHAnsi" w:hAnsiTheme="minorHAnsi"/>
          <w:lang w:eastAsia="cs-CZ"/>
        </w:rPr>
        <w:t xml:space="preserve"> vynakládány</w:t>
      </w:r>
      <w:r w:rsidRPr="008142C5">
        <w:rPr>
          <w:rFonts w:asciiTheme="minorHAnsi" w:hAnsiTheme="minorHAnsi"/>
          <w:lang w:eastAsia="cs-CZ"/>
        </w:rPr>
        <w:t xml:space="preserve"> hospodárn</w:t>
      </w:r>
      <w:r w:rsidR="001C62BF">
        <w:rPr>
          <w:rFonts w:asciiTheme="minorHAnsi" w:hAnsiTheme="minorHAnsi"/>
          <w:lang w:eastAsia="cs-CZ"/>
        </w:rPr>
        <w:t>ě</w:t>
      </w:r>
      <w:r w:rsidRPr="008142C5">
        <w:rPr>
          <w:rFonts w:asciiTheme="minorHAnsi" w:hAnsiTheme="minorHAnsi"/>
          <w:lang w:eastAsia="cs-CZ"/>
        </w:rPr>
        <w:t>, efektivn</w:t>
      </w:r>
      <w:r w:rsidR="001C62BF">
        <w:rPr>
          <w:rFonts w:asciiTheme="minorHAnsi" w:hAnsiTheme="minorHAnsi"/>
          <w:lang w:eastAsia="cs-CZ"/>
        </w:rPr>
        <w:t>ě</w:t>
      </w:r>
      <w:r w:rsidR="00087B18">
        <w:rPr>
          <w:rFonts w:asciiTheme="minorHAnsi" w:hAnsiTheme="minorHAnsi"/>
          <w:lang w:eastAsia="cs-CZ"/>
        </w:rPr>
        <w:t xml:space="preserve"> </w:t>
      </w:r>
      <w:r w:rsidRPr="008142C5">
        <w:rPr>
          <w:rFonts w:asciiTheme="minorHAnsi" w:hAnsiTheme="minorHAnsi"/>
          <w:lang w:eastAsia="cs-CZ"/>
        </w:rPr>
        <w:t>a účeln</w:t>
      </w:r>
      <w:r w:rsidR="001C62BF">
        <w:rPr>
          <w:rFonts w:asciiTheme="minorHAnsi" w:hAnsiTheme="minorHAnsi"/>
          <w:lang w:eastAsia="cs-CZ"/>
        </w:rPr>
        <w:t>ě</w:t>
      </w:r>
      <w:r w:rsidRPr="008142C5">
        <w:rPr>
          <w:rFonts w:asciiTheme="minorHAnsi" w:hAnsiTheme="minorHAnsi"/>
          <w:lang w:eastAsia="cs-CZ"/>
        </w:rPr>
        <w:t xml:space="preserve">. Ke kontrole byly vybrány dodávky a služby </w:t>
      </w:r>
      <w:r w:rsidR="001C62BF">
        <w:rPr>
          <w:rFonts w:asciiTheme="minorHAnsi" w:hAnsiTheme="minorHAnsi"/>
          <w:lang w:eastAsia="cs-CZ"/>
        </w:rPr>
        <w:t>týkající se</w:t>
      </w:r>
      <w:r w:rsidRPr="008142C5">
        <w:rPr>
          <w:rFonts w:asciiTheme="minorHAnsi" w:hAnsiTheme="minorHAnsi"/>
          <w:lang w:eastAsia="cs-CZ"/>
        </w:rPr>
        <w:t xml:space="preserve"> budování, provoz</w:t>
      </w:r>
      <w:r w:rsidR="001C62BF">
        <w:rPr>
          <w:rFonts w:asciiTheme="minorHAnsi" w:hAnsiTheme="minorHAnsi"/>
          <w:lang w:eastAsia="cs-CZ"/>
        </w:rPr>
        <w:t>u</w:t>
      </w:r>
      <w:r w:rsidRPr="008142C5">
        <w:rPr>
          <w:rFonts w:asciiTheme="minorHAnsi" w:hAnsiTheme="minorHAnsi"/>
          <w:lang w:eastAsia="cs-CZ"/>
        </w:rPr>
        <w:t xml:space="preserve">, rozvoje a využívání informačních systémů v oblasti hazardních her. </w:t>
      </w:r>
      <w:r w:rsidRPr="008142C5">
        <w:rPr>
          <w:rFonts w:asciiTheme="minorHAnsi" w:hAnsiTheme="minorHAnsi"/>
        </w:rPr>
        <w:t>NKÚ rovněž kontroloval,</w:t>
      </w:r>
      <w:r w:rsidRPr="008142C5">
        <w:rPr>
          <w:rFonts w:asciiTheme="minorHAnsi" w:hAnsiTheme="minorHAnsi"/>
          <w:lang w:eastAsia="cs-CZ"/>
        </w:rPr>
        <w:t xml:space="preserve"> zda jsou cíle v oblasti správy daně z</w:t>
      </w:r>
      <w:r w:rsidR="00204A5F">
        <w:rPr>
          <w:rFonts w:asciiTheme="minorHAnsi" w:hAnsiTheme="minorHAnsi"/>
          <w:lang w:eastAsia="cs-CZ"/>
        </w:rPr>
        <w:t xml:space="preserve"> </w:t>
      </w:r>
      <w:r w:rsidRPr="008142C5">
        <w:rPr>
          <w:rFonts w:asciiTheme="minorHAnsi" w:hAnsiTheme="minorHAnsi"/>
          <w:lang w:eastAsia="cs-CZ"/>
        </w:rPr>
        <w:t>hazardních her naplňovány efektivně. Zejména se zaměřil na problematiku kontroly daňových tvrzení provozovatelů</w:t>
      </w:r>
      <w:r w:rsidR="002E43AE">
        <w:rPr>
          <w:rFonts w:asciiTheme="minorHAnsi" w:hAnsiTheme="minorHAnsi"/>
          <w:lang w:eastAsia="cs-CZ"/>
        </w:rPr>
        <w:t xml:space="preserve"> hazardních her</w:t>
      </w:r>
      <w:r w:rsidR="002E43AE" w:rsidRPr="002E43AE">
        <w:rPr>
          <w:rFonts w:asciiTheme="minorHAnsi" w:hAnsiTheme="minorHAnsi"/>
          <w:b/>
        </w:rPr>
        <w:t xml:space="preserve"> </w:t>
      </w:r>
      <w:r w:rsidR="002E43AE" w:rsidRPr="002E43AE">
        <w:rPr>
          <w:rFonts w:asciiTheme="minorHAnsi" w:hAnsiTheme="minorHAnsi"/>
        </w:rPr>
        <w:t>(dále také „provozovatel</w:t>
      </w:r>
      <w:r w:rsidR="00087B18">
        <w:rPr>
          <w:rFonts w:asciiTheme="minorHAnsi" w:hAnsiTheme="minorHAnsi"/>
        </w:rPr>
        <w:t>é</w:t>
      </w:r>
      <w:r w:rsidR="002E43AE" w:rsidRPr="002E43AE">
        <w:rPr>
          <w:rFonts w:asciiTheme="minorHAnsi" w:hAnsiTheme="minorHAnsi"/>
        </w:rPr>
        <w:t>“)</w:t>
      </w:r>
      <w:r w:rsidRPr="008142C5">
        <w:rPr>
          <w:rFonts w:asciiTheme="minorHAnsi" w:hAnsiTheme="minorHAnsi"/>
          <w:lang w:eastAsia="cs-CZ"/>
        </w:rPr>
        <w:t xml:space="preserve"> </w:t>
      </w:r>
      <w:r w:rsidR="00A72D4F" w:rsidRPr="00AB36B2">
        <w:rPr>
          <w:rFonts w:asciiTheme="minorHAnsi" w:hAnsiTheme="minorHAnsi"/>
          <w:color w:val="auto"/>
          <w:lang w:eastAsia="cs-CZ"/>
        </w:rPr>
        <w:t xml:space="preserve">správcem daně </w:t>
      </w:r>
      <w:r w:rsidRPr="008142C5">
        <w:rPr>
          <w:rFonts w:asciiTheme="minorHAnsi" w:hAnsiTheme="minorHAnsi"/>
          <w:lang w:eastAsia="cs-CZ"/>
        </w:rPr>
        <w:t>a</w:t>
      </w:r>
      <w:r w:rsidR="00087B18">
        <w:rPr>
          <w:rFonts w:asciiTheme="minorHAnsi" w:hAnsiTheme="minorHAnsi"/>
          <w:lang w:eastAsia="cs-CZ"/>
        </w:rPr>
        <w:t> </w:t>
      </w:r>
      <w:r w:rsidRPr="008142C5">
        <w:rPr>
          <w:rFonts w:asciiTheme="minorHAnsi" w:hAnsiTheme="minorHAnsi"/>
          <w:lang w:eastAsia="cs-CZ"/>
        </w:rPr>
        <w:t>zabezpečení úhrady daně.</w:t>
      </w:r>
    </w:p>
    <w:p w14:paraId="38DE8A8C" w14:textId="74B32358" w:rsidR="00D029C2" w:rsidRPr="008142C5" w:rsidRDefault="00D029C2" w:rsidP="00CE134E">
      <w:pPr>
        <w:spacing w:after="80" w:line="240" w:lineRule="auto"/>
        <w:rPr>
          <w:rFonts w:asciiTheme="minorHAnsi" w:hAnsiTheme="minorHAnsi"/>
          <w:b/>
        </w:rPr>
      </w:pPr>
      <w:bookmarkStart w:id="4" w:name="_Hlk135561923"/>
      <w:r w:rsidRPr="008142C5">
        <w:rPr>
          <w:rFonts w:asciiTheme="minorHAnsi" w:hAnsiTheme="minorHAnsi"/>
          <w:b/>
        </w:rPr>
        <w:t xml:space="preserve">I přes novou právní úpravu a </w:t>
      </w:r>
      <w:r w:rsidR="00B15349">
        <w:rPr>
          <w:rFonts w:asciiTheme="minorHAnsi" w:hAnsiTheme="minorHAnsi"/>
          <w:b/>
        </w:rPr>
        <w:t xml:space="preserve">zprovoznění části </w:t>
      </w:r>
      <w:r w:rsidRPr="008142C5">
        <w:rPr>
          <w:rFonts w:asciiTheme="minorHAnsi" w:hAnsiTheme="minorHAnsi"/>
          <w:b/>
        </w:rPr>
        <w:t>nov</w:t>
      </w:r>
      <w:r w:rsidR="00B15349">
        <w:rPr>
          <w:rFonts w:asciiTheme="minorHAnsi" w:hAnsiTheme="minorHAnsi"/>
          <w:b/>
        </w:rPr>
        <w:t xml:space="preserve">ého </w:t>
      </w:r>
      <w:r w:rsidRPr="008142C5">
        <w:rPr>
          <w:rFonts w:asciiTheme="minorHAnsi" w:hAnsiTheme="minorHAnsi"/>
          <w:b/>
        </w:rPr>
        <w:t>informační</w:t>
      </w:r>
      <w:r w:rsidR="00B15349">
        <w:rPr>
          <w:rFonts w:asciiTheme="minorHAnsi" w:hAnsiTheme="minorHAnsi"/>
          <w:b/>
        </w:rPr>
        <w:t>ho</w:t>
      </w:r>
      <w:r w:rsidRPr="008142C5">
        <w:rPr>
          <w:rFonts w:asciiTheme="minorHAnsi" w:hAnsiTheme="minorHAnsi"/>
          <w:b/>
        </w:rPr>
        <w:t xml:space="preserve"> systém</w:t>
      </w:r>
      <w:r w:rsidR="00B15349">
        <w:rPr>
          <w:rFonts w:asciiTheme="minorHAnsi" w:hAnsiTheme="minorHAnsi"/>
          <w:b/>
        </w:rPr>
        <w:t>u AISG</w:t>
      </w:r>
      <w:r w:rsidRPr="008142C5">
        <w:rPr>
          <w:rFonts w:asciiTheme="minorHAnsi" w:hAnsiTheme="minorHAnsi"/>
          <w:b/>
        </w:rPr>
        <w:t xml:space="preserve"> přetrvávají</w:t>
      </w:r>
      <w:r w:rsidRPr="00B62857">
        <w:rPr>
          <w:rFonts w:asciiTheme="minorHAnsi" w:hAnsiTheme="minorHAnsi"/>
          <w:b/>
          <w:color w:val="auto"/>
        </w:rPr>
        <w:t xml:space="preserve"> v oblasti hazardních her</w:t>
      </w:r>
      <w:r w:rsidR="0061029C" w:rsidRPr="0061029C">
        <w:rPr>
          <w:rFonts w:asciiTheme="minorHAnsi" w:hAnsiTheme="minorHAnsi"/>
          <w:b/>
          <w:color w:val="auto"/>
        </w:rPr>
        <w:t xml:space="preserve"> </w:t>
      </w:r>
      <w:r w:rsidR="0061029C" w:rsidRPr="00B62857">
        <w:rPr>
          <w:rFonts w:asciiTheme="minorHAnsi" w:hAnsiTheme="minorHAnsi"/>
          <w:b/>
          <w:color w:val="auto"/>
        </w:rPr>
        <w:t>problémy</w:t>
      </w:r>
      <w:r w:rsidR="00DE372B">
        <w:rPr>
          <w:rFonts w:asciiTheme="minorHAnsi" w:hAnsiTheme="minorHAnsi"/>
          <w:b/>
          <w:color w:val="auto"/>
        </w:rPr>
        <w:t>,</w:t>
      </w:r>
      <w:r>
        <w:rPr>
          <w:rFonts w:asciiTheme="minorHAnsi" w:hAnsiTheme="minorHAnsi"/>
          <w:b/>
          <w:color w:val="auto"/>
        </w:rPr>
        <w:t xml:space="preserve"> </w:t>
      </w:r>
      <w:r w:rsidR="00DE372B">
        <w:rPr>
          <w:rFonts w:asciiTheme="minorHAnsi" w:hAnsiTheme="minorHAnsi"/>
          <w:b/>
          <w:color w:val="auto"/>
        </w:rPr>
        <w:t xml:space="preserve">na které </w:t>
      </w:r>
      <w:r>
        <w:rPr>
          <w:rFonts w:asciiTheme="minorHAnsi" w:hAnsiTheme="minorHAnsi"/>
          <w:b/>
          <w:color w:val="auto"/>
        </w:rPr>
        <w:t xml:space="preserve">NKÚ </w:t>
      </w:r>
      <w:r w:rsidR="00DE372B">
        <w:rPr>
          <w:rFonts w:asciiTheme="minorHAnsi" w:hAnsiTheme="minorHAnsi"/>
          <w:b/>
          <w:color w:val="auto"/>
        </w:rPr>
        <w:t xml:space="preserve">upozornil </w:t>
      </w:r>
      <w:r>
        <w:rPr>
          <w:rFonts w:asciiTheme="minorHAnsi" w:hAnsiTheme="minorHAnsi"/>
          <w:b/>
          <w:color w:val="auto"/>
        </w:rPr>
        <w:t>v roce 2014 v kontrolní akci</w:t>
      </w:r>
      <w:r w:rsidRPr="008142C5">
        <w:rPr>
          <w:rFonts w:asciiTheme="minorHAnsi" w:hAnsiTheme="minorHAnsi"/>
          <w:b/>
        </w:rPr>
        <w:t xml:space="preserve"> 13/35</w:t>
      </w:r>
      <w:r w:rsidRPr="00247CAB">
        <w:rPr>
          <w:rStyle w:val="Znakapoznpodarou"/>
          <w:rFonts w:asciiTheme="minorHAnsi" w:hAnsiTheme="minorHAnsi"/>
          <w:b/>
          <w:color w:val="auto"/>
        </w:rPr>
        <w:footnoteReference w:id="3"/>
      </w:r>
      <w:r w:rsidRPr="00B62857">
        <w:rPr>
          <w:rFonts w:asciiTheme="minorHAnsi" w:hAnsiTheme="minorHAnsi"/>
          <w:b/>
          <w:color w:val="auto"/>
        </w:rPr>
        <w:t>.</w:t>
      </w:r>
      <w:r>
        <w:rPr>
          <w:rFonts w:asciiTheme="minorHAnsi" w:hAnsiTheme="minorHAnsi"/>
          <w:b/>
          <w:color w:val="auto"/>
        </w:rPr>
        <w:t xml:space="preserve"> NKÚ zjistil, že ani po devíti letech </w:t>
      </w:r>
      <w:r w:rsidR="00996336">
        <w:rPr>
          <w:rFonts w:asciiTheme="minorHAnsi" w:hAnsiTheme="minorHAnsi"/>
          <w:b/>
          <w:color w:val="auto"/>
        </w:rPr>
        <w:t xml:space="preserve">od </w:t>
      </w:r>
      <w:r w:rsidR="00C35F48">
        <w:rPr>
          <w:rFonts w:asciiTheme="minorHAnsi" w:hAnsiTheme="minorHAnsi"/>
          <w:b/>
          <w:color w:val="auto"/>
        </w:rPr>
        <w:t>ukončení předchozí</w:t>
      </w:r>
      <w:r w:rsidR="00996336">
        <w:rPr>
          <w:rFonts w:asciiTheme="minorHAnsi" w:hAnsiTheme="minorHAnsi"/>
          <w:b/>
          <w:color w:val="auto"/>
        </w:rPr>
        <w:t xml:space="preserve"> kontroly </w:t>
      </w:r>
      <w:r w:rsidRPr="008142C5">
        <w:rPr>
          <w:rFonts w:asciiTheme="minorHAnsi" w:hAnsiTheme="minorHAnsi"/>
          <w:b/>
        </w:rPr>
        <w:t>Ministerstvo financí nezajistilo informační podporu</w:t>
      </w:r>
      <w:r w:rsidR="0061029C">
        <w:rPr>
          <w:rFonts w:asciiTheme="minorHAnsi" w:hAnsiTheme="minorHAnsi"/>
          <w:b/>
        </w:rPr>
        <w:t xml:space="preserve"> </w:t>
      </w:r>
      <w:r w:rsidRPr="008142C5">
        <w:rPr>
          <w:rFonts w:asciiTheme="minorHAnsi" w:hAnsiTheme="minorHAnsi"/>
          <w:b/>
        </w:rPr>
        <w:t xml:space="preserve">pro efektivní výkon </w:t>
      </w:r>
      <w:r w:rsidR="00996336">
        <w:rPr>
          <w:rFonts w:asciiTheme="minorHAnsi" w:hAnsiTheme="minorHAnsi"/>
          <w:b/>
        </w:rPr>
        <w:t xml:space="preserve">svěřených </w:t>
      </w:r>
      <w:r w:rsidRPr="008142C5">
        <w:rPr>
          <w:rFonts w:asciiTheme="minorHAnsi" w:hAnsiTheme="minorHAnsi"/>
          <w:b/>
        </w:rPr>
        <w:t>činností v oblasti hazardních her a správy daně z</w:t>
      </w:r>
      <w:r w:rsidR="00BF0520">
        <w:rPr>
          <w:rFonts w:asciiTheme="minorHAnsi" w:hAnsiTheme="minorHAnsi"/>
          <w:b/>
        </w:rPr>
        <w:t> </w:t>
      </w:r>
      <w:r w:rsidRPr="008142C5">
        <w:rPr>
          <w:rFonts w:asciiTheme="minorHAnsi" w:hAnsiTheme="minorHAnsi"/>
          <w:b/>
        </w:rPr>
        <w:t>hazardních</w:t>
      </w:r>
      <w:r w:rsidR="00BF0520">
        <w:rPr>
          <w:rFonts w:asciiTheme="minorHAnsi" w:hAnsiTheme="minorHAnsi"/>
          <w:b/>
        </w:rPr>
        <w:t xml:space="preserve"> her, kterou vykonává Specializovaný finanční úřad.</w:t>
      </w:r>
      <w:r w:rsidR="00667C3E">
        <w:rPr>
          <w:rFonts w:asciiTheme="minorHAnsi" w:hAnsiTheme="minorHAnsi"/>
          <w:b/>
        </w:rPr>
        <w:t xml:space="preserve"> Přetrvávají rovněž problémy v</w:t>
      </w:r>
      <w:r w:rsidR="0061029C">
        <w:rPr>
          <w:rFonts w:asciiTheme="minorHAnsi" w:hAnsiTheme="minorHAnsi"/>
          <w:b/>
        </w:rPr>
        <w:t xml:space="preserve"> oblasti </w:t>
      </w:r>
      <w:r w:rsidR="00667C3E">
        <w:rPr>
          <w:rFonts w:asciiTheme="minorHAnsi" w:hAnsiTheme="minorHAnsi"/>
          <w:b/>
        </w:rPr>
        <w:t>doz</w:t>
      </w:r>
      <w:r w:rsidR="00BA7583">
        <w:rPr>
          <w:rFonts w:asciiTheme="minorHAnsi" w:hAnsiTheme="minorHAnsi"/>
          <w:b/>
        </w:rPr>
        <w:t>o</w:t>
      </w:r>
      <w:r w:rsidR="00667C3E">
        <w:rPr>
          <w:rFonts w:asciiTheme="minorHAnsi" w:hAnsiTheme="minorHAnsi"/>
          <w:b/>
        </w:rPr>
        <w:t>r</w:t>
      </w:r>
      <w:r w:rsidR="0061029C">
        <w:rPr>
          <w:rFonts w:asciiTheme="minorHAnsi" w:hAnsiTheme="minorHAnsi"/>
          <w:b/>
        </w:rPr>
        <w:t>u</w:t>
      </w:r>
      <w:r w:rsidR="00667C3E">
        <w:rPr>
          <w:rFonts w:asciiTheme="minorHAnsi" w:hAnsiTheme="minorHAnsi"/>
          <w:b/>
        </w:rPr>
        <w:t xml:space="preserve"> nad dodržováním povinností </w:t>
      </w:r>
      <w:r w:rsidRPr="00BA7583">
        <w:rPr>
          <w:rFonts w:asciiTheme="minorHAnsi" w:hAnsiTheme="minorHAnsi"/>
          <w:b/>
        </w:rPr>
        <w:t>provozovatel</w:t>
      </w:r>
      <w:r w:rsidR="00F66A31">
        <w:rPr>
          <w:rFonts w:asciiTheme="minorHAnsi" w:hAnsiTheme="minorHAnsi"/>
          <w:b/>
        </w:rPr>
        <w:t>ů</w:t>
      </w:r>
      <w:r w:rsidRPr="00BA7583">
        <w:rPr>
          <w:rFonts w:asciiTheme="minorHAnsi" w:hAnsiTheme="minorHAnsi"/>
          <w:b/>
        </w:rPr>
        <w:t xml:space="preserve"> hazardních her.</w:t>
      </w:r>
    </w:p>
    <w:p w14:paraId="562852F4" w14:textId="6A0B3897" w:rsidR="008C59E8" w:rsidRPr="00AB36B2" w:rsidRDefault="00D029C2" w:rsidP="00CE134E">
      <w:pPr>
        <w:spacing w:after="80" w:line="240" w:lineRule="auto"/>
        <w:rPr>
          <w:rFonts w:asciiTheme="minorHAnsi" w:hAnsiTheme="minorHAnsi"/>
          <w:b/>
          <w:color w:val="auto"/>
        </w:rPr>
      </w:pPr>
      <w:bookmarkStart w:id="5" w:name="_Hlk135561915"/>
      <w:bookmarkEnd w:id="4"/>
      <w:r w:rsidRPr="008142C5">
        <w:rPr>
          <w:rFonts w:asciiTheme="minorHAnsi" w:hAnsiTheme="minorHAnsi"/>
          <w:b/>
        </w:rPr>
        <w:t>Peněžní prostředky státu na budování, provoz, rozvoj a využívání informačních systémů</w:t>
      </w:r>
      <w:r w:rsidR="00563AC7">
        <w:rPr>
          <w:rFonts w:asciiTheme="minorHAnsi" w:hAnsiTheme="minorHAnsi"/>
          <w:b/>
        </w:rPr>
        <w:t xml:space="preserve"> </w:t>
      </w:r>
      <w:r w:rsidR="004517D0">
        <w:rPr>
          <w:rFonts w:asciiTheme="minorHAnsi" w:hAnsiTheme="minorHAnsi"/>
          <w:b/>
        </w:rPr>
        <w:t xml:space="preserve">v oblasti hazardních her </w:t>
      </w:r>
      <w:r w:rsidR="007F2753">
        <w:rPr>
          <w:rFonts w:asciiTheme="minorHAnsi" w:hAnsiTheme="minorHAnsi"/>
          <w:b/>
        </w:rPr>
        <w:t xml:space="preserve">AISG a </w:t>
      </w:r>
      <w:r w:rsidR="00B07AF7">
        <w:rPr>
          <w:rFonts w:asciiTheme="minorHAnsi" w:hAnsiTheme="minorHAnsi"/>
          <w:b/>
        </w:rPr>
        <w:t>SDSL</w:t>
      </w:r>
      <w:r w:rsidR="00B07AF7" w:rsidRPr="00247CAB">
        <w:rPr>
          <w:rStyle w:val="Znakapoznpodarou"/>
          <w:rFonts w:asciiTheme="minorHAnsi" w:hAnsiTheme="minorHAnsi"/>
          <w:b/>
        </w:rPr>
        <w:footnoteReference w:id="4"/>
      </w:r>
      <w:r w:rsidR="00B07AF7" w:rsidRPr="00BA1024">
        <w:rPr>
          <w:rFonts w:asciiTheme="minorHAnsi" w:hAnsiTheme="minorHAnsi"/>
        </w:rPr>
        <w:t xml:space="preserve"> </w:t>
      </w:r>
      <w:r w:rsidRPr="008142C5">
        <w:rPr>
          <w:rFonts w:asciiTheme="minorHAnsi" w:hAnsiTheme="minorHAnsi"/>
          <w:b/>
        </w:rPr>
        <w:t>byly z části vynaloženy nehospodárně</w:t>
      </w:r>
      <w:r w:rsidR="00AB36B2">
        <w:rPr>
          <w:rFonts w:asciiTheme="minorHAnsi" w:hAnsiTheme="minorHAnsi"/>
          <w:b/>
        </w:rPr>
        <w:t xml:space="preserve"> </w:t>
      </w:r>
      <w:r w:rsidRPr="008142C5">
        <w:rPr>
          <w:rFonts w:asciiTheme="minorHAnsi" w:hAnsiTheme="minorHAnsi"/>
          <w:b/>
        </w:rPr>
        <w:t xml:space="preserve">a neúčelně. </w:t>
      </w:r>
      <w:r w:rsidR="00BF4635">
        <w:rPr>
          <w:rFonts w:asciiTheme="minorHAnsi" w:hAnsiTheme="minorHAnsi"/>
          <w:b/>
        </w:rPr>
        <w:t>N</w:t>
      </w:r>
      <w:r w:rsidRPr="008142C5">
        <w:rPr>
          <w:rFonts w:asciiTheme="minorHAnsi" w:hAnsiTheme="minorHAnsi"/>
          <w:b/>
        </w:rPr>
        <w:t xml:space="preserve">egativní vliv </w:t>
      </w:r>
      <w:r w:rsidR="00BF4635">
        <w:rPr>
          <w:rFonts w:asciiTheme="minorHAnsi" w:hAnsiTheme="minorHAnsi"/>
          <w:b/>
        </w:rPr>
        <w:t xml:space="preserve">mělo </w:t>
      </w:r>
      <w:r w:rsidRPr="008142C5">
        <w:rPr>
          <w:rFonts w:asciiTheme="minorHAnsi" w:hAnsiTheme="minorHAnsi"/>
          <w:b/>
        </w:rPr>
        <w:t xml:space="preserve">zejména </w:t>
      </w:r>
      <w:r w:rsidR="002410E2">
        <w:rPr>
          <w:rFonts w:asciiTheme="minorHAnsi" w:hAnsiTheme="minorHAnsi"/>
          <w:b/>
        </w:rPr>
        <w:t>ukončení</w:t>
      </w:r>
      <w:r w:rsidR="00041FAA">
        <w:rPr>
          <w:rFonts w:asciiTheme="minorHAnsi" w:hAnsiTheme="minorHAnsi"/>
          <w:b/>
        </w:rPr>
        <w:t xml:space="preserve"> </w:t>
      </w:r>
      <w:r w:rsidR="00C35F48">
        <w:rPr>
          <w:rFonts w:asciiTheme="minorHAnsi" w:hAnsiTheme="minorHAnsi"/>
          <w:b/>
        </w:rPr>
        <w:t xml:space="preserve">projektu </w:t>
      </w:r>
      <w:r w:rsidR="008C59E8">
        <w:rPr>
          <w:rFonts w:asciiTheme="minorHAnsi" w:hAnsiTheme="minorHAnsi"/>
          <w:b/>
        </w:rPr>
        <w:t xml:space="preserve">nově budovaného </w:t>
      </w:r>
      <w:r w:rsidR="00563AC7">
        <w:rPr>
          <w:rFonts w:asciiTheme="minorHAnsi" w:hAnsiTheme="minorHAnsi"/>
          <w:b/>
        </w:rPr>
        <w:t>AISG</w:t>
      </w:r>
      <w:r w:rsidR="002410E2">
        <w:rPr>
          <w:rFonts w:asciiTheme="minorHAnsi" w:hAnsiTheme="minorHAnsi"/>
          <w:b/>
        </w:rPr>
        <w:t xml:space="preserve"> </w:t>
      </w:r>
      <w:r w:rsidR="001F4B83">
        <w:rPr>
          <w:rFonts w:asciiTheme="minorHAnsi" w:hAnsiTheme="minorHAnsi"/>
          <w:b/>
        </w:rPr>
        <w:t xml:space="preserve">Ministerstvem financí </w:t>
      </w:r>
      <w:r w:rsidR="002410E2">
        <w:rPr>
          <w:rFonts w:asciiTheme="minorHAnsi" w:hAnsiTheme="minorHAnsi"/>
          <w:b/>
        </w:rPr>
        <w:t xml:space="preserve">ve stavu, kdy </w:t>
      </w:r>
      <w:r w:rsidR="001C62BF">
        <w:rPr>
          <w:rFonts w:asciiTheme="minorHAnsi" w:hAnsiTheme="minorHAnsi"/>
          <w:b/>
        </w:rPr>
        <w:t xml:space="preserve">systém </w:t>
      </w:r>
      <w:r w:rsidR="002410E2">
        <w:rPr>
          <w:rFonts w:asciiTheme="minorHAnsi" w:hAnsiTheme="minorHAnsi"/>
          <w:b/>
        </w:rPr>
        <w:t xml:space="preserve">nebyl </w:t>
      </w:r>
      <w:r w:rsidR="008C59E8">
        <w:rPr>
          <w:rFonts w:asciiTheme="minorHAnsi" w:hAnsiTheme="minorHAnsi"/>
          <w:b/>
        </w:rPr>
        <w:t xml:space="preserve">plně </w:t>
      </w:r>
      <w:r w:rsidR="002410E2">
        <w:rPr>
          <w:rFonts w:asciiTheme="minorHAnsi" w:hAnsiTheme="minorHAnsi"/>
          <w:b/>
        </w:rPr>
        <w:t>funkční</w:t>
      </w:r>
      <w:r w:rsidR="00563AC7" w:rsidDel="001F4B83">
        <w:rPr>
          <w:rFonts w:asciiTheme="minorHAnsi" w:hAnsiTheme="minorHAnsi"/>
          <w:b/>
        </w:rPr>
        <w:t>.</w:t>
      </w:r>
      <w:r w:rsidRPr="008142C5">
        <w:rPr>
          <w:rFonts w:asciiTheme="minorHAnsi" w:hAnsiTheme="minorHAnsi"/>
          <w:b/>
        </w:rPr>
        <w:t xml:space="preserve"> </w:t>
      </w:r>
      <w:r w:rsidR="00F83D11">
        <w:rPr>
          <w:rFonts w:asciiTheme="minorHAnsi" w:hAnsiTheme="minorHAnsi"/>
          <w:b/>
        </w:rPr>
        <w:t>M</w:t>
      </w:r>
      <w:r w:rsidR="002410E2">
        <w:rPr>
          <w:rFonts w:asciiTheme="minorHAnsi" w:hAnsiTheme="minorHAnsi"/>
          <w:b/>
        </w:rPr>
        <w:t>inisterstvo financí</w:t>
      </w:r>
      <w:r w:rsidR="00F83D11">
        <w:rPr>
          <w:rFonts w:asciiTheme="minorHAnsi" w:hAnsiTheme="minorHAnsi"/>
          <w:b/>
        </w:rPr>
        <w:t>, S</w:t>
      </w:r>
      <w:r w:rsidR="008C59E8">
        <w:rPr>
          <w:rFonts w:asciiTheme="minorHAnsi" w:hAnsiTheme="minorHAnsi"/>
          <w:b/>
        </w:rPr>
        <w:t>pecializovaný finanční úřad</w:t>
      </w:r>
      <w:r w:rsidR="00F83D11">
        <w:rPr>
          <w:rFonts w:asciiTheme="minorHAnsi" w:hAnsiTheme="minorHAnsi"/>
          <w:b/>
        </w:rPr>
        <w:t xml:space="preserve"> a</w:t>
      </w:r>
      <w:r w:rsidR="008C59E8">
        <w:rPr>
          <w:rFonts w:asciiTheme="minorHAnsi" w:hAnsiTheme="minorHAnsi"/>
          <w:b/>
        </w:rPr>
        <w:t xml:space="preserve"> orgány</w:t>
      </w:r>
      <w:r w:rsidR="00F83D11">
        <w:rPr>
          <w:rFonts w:asciiTheme="minorHAnsi" w:hAnsiTheme="minorHAnsi"/>
          <w:b/>
        </w:rPr>
        <w:t xml:space="preserve"> C</w:t>
      </w:r>
      <w:r w:rsidR="008C59E8">
        <w:rPr>
          <w:rFonts w:asciiTheme="minorHAnsi" w:hAnsiTheme="minorHAnsi"/>
          <w:b/>
        </w:rPr>
        <w:t>elní správy</w:t>
      </w:r>
      <w:r w:rsidR="00F83D11">
        <w:rPr>
          <w:rFonts w:asciiTheme="minorHAnsi" w:hAnsiTheme="minorHAnsi"/>
          <w:b/>
        </w:rPr>
        <w:t xml:space="preserve"> ČR</w:t>
      </w:r>
      <w:r w:rsidR="00CD20C7">
        <w:rPr>
          <w:rFonts w:asciiTheme="minorHAnsi" w:hAnsiTheme="minorHAnsi"/>
          <w:b/>
        </w:rPr>
        <w:t xml:space="preserve"> (dále také „CS ČR“)</w:t>
      </w:r>
      <w:r w:rsidR="00F83D11">
        <w:rPr>
          <w:rFonts w:asciiTheme="minorHAnsi" w:hAnsiTheme="minorHAnsi"/>
          <w:b/>
        </w:rPr>
        <w:t xml:space="preserve"> </w:t>
      </w:r>
      <w:r w:rsidR="008C59E8">
        <w:rPr>
          <w:rFonts w:asciiTheme="minorHAnsi" w:hAnsiTheme="minorHAnsi"/>
          <w:b/>
        </w:rPr>
        <w:t xml:space="preserve">proto pro výkon </w:t>
      </w:r>
      <w:r w:rsidR="00F83D11">
        <w:rPr>
          <w:rFonts w:asciiTheme="minorHAnsi" w:hAnsiTheme="minorHAnsi"/>
          <w:b/>
        </w:rPr>
        <w:t>činnost</w:t>
      </w:r>
      <w:r w:rsidR="00C54F28">
        <w:rPr>
          <w:rFonts w:asciiTheme="minorHAnsi" w:hAnsiTheme="minorHAnsi"/>
          <w:b/>
        </w:rPr>
        <w:t xml:space="preserve">í v oblasti </w:t>
      </w:r>
      <w:r w:rsidR="00C54F28" w:rsidRPr="00AB36B2">
        <w:rPr>
          <w:rFonts w:asciiTheme="minorHAnsi" w:hAnsiTheme="minorHAnsi"/>
          <w:b/>
          <w:color w:val="auto"/>
        </w:rPr>
        <w:t>hazardních her</w:t>
      </w:r>
      <w:r w:rsidR="008C59E8" w:rsidRPr="00AB36B2">
        <w:rPr>
          <w:rFonts w:asciiTheme="minorHAnsi" w:hAnsiTheme="minorHAnsi"/>
          <w:b/>
          <w:color w:val="auto"/>
        </w:rPr>
        <w:t xml:space="preserve"> </w:t>
      </w:r>
      <w:r w:rsidR="004A18DB" w:rsidRPr="00AB36B2">
        <w:rPr>
          <w:rFonts w:asciiTheme="minorHAnsi" w:hAnsiTheme="minorHAnsi"/>
          <w:b/>
          <w:color w:val="auto"/>
        </w:rPr>
        <w:t xml:space="preserve">využívají </w:t>
      </w:r>
      <w:r w:rsidR="008C59E8" w:rsidRPr="00AB36B2">
        <w:rPr>
          <w:rFonts w:asciiTheme="minorHAnsi" w:hAnsiTheme="minorHAnsi"/>
          <w:b/>
          <w:color w:val="auto"/>
        </w:rPr>
        <w:t xml:space="preserve">původní </w:t>
      </w:r>
      <w:r w:rsidR="00FF6BC4" w:rsidRPr="00AB36B2">
        <w:rPr>
          <w:rFonts w:asciiTheme="minorHAnsi" w:hAnsiTheme="minorHAnsi"/>
          <w:b/>
          <w:color w:val="auto"/>
        </w:rPr>
        <w:t xml:space="preserve">nevyhovující </w:t>
      </w:r>
      <w:r w:rsidR="008C59E8" w:rsidRPr="00AB36B2">
        <w:rPr>
          <w:rFonts w:asciiTheme="minorHAnsi" w:hAnsiTheme="minorHAnsi"/>
          <w:b/>
          <w:color w:val="auto"/>
        </w:rPr>
        <w:t>informační systém</w:t>
      </w:r>
      <w:r w:rsidR="00F83D11" w:rsidRPr="00AB36B2">
        <w:rPr>
          <w:rFonts w:asciiTheme="minorHAnsi" w:hAnsiTheme="minorHAnsi"/>
          <w:b/>
          <w:color w:val="auto"/>
        </w:rPr>
        <w:t xml:space="preserve"> SDSL</w:t>
      </w:r>
      <w:r w:rsidR="004A18DB" w:rsidRPr="00AB36B2">
        <w:rPr>
          <w:rFonts w:asciiTheme="minorHAnsi" w:hAnsiTheme="minorHAnsi"/>
          <w:b/>
          <w:color w:val="auto"/>
        </w:rPr>
        <w:t>, který měl být novým AISG nahrazen</w:t>
      </w:r>
      <w:r w:rsidR="00F83D11" w:rsidRPr="00AB36B2">
        <w:rPr>
          <w:rFonts w:asciiTheme="minorHAnsi" w:hAnsiTheme="minorHAnsi"/>
          <w:b/>
          <w:color w:val="auto"/>
        </w:rPr>
        <w:t xml:space="preserve">. </w:t>
      </w:r>
      <w:r w:rsidR="001C62BF">
        <w:rPr>
          <w:rFonts w:asciiTheme="minorHAnsi" w:hAnsiTheme="minorHAnsi"/>
          <w:b/>
          <w:color w:val="auto"/>
        </w:rPr>
        <w:t xml:space="preserve">Podnik </w:t>
      </w:r>
      <w:r w:rsidR="00015B3B" w:rsidRPr="00AB36B2">
        <w:rPr>
          <w:rFonts w:asciiTheme="minorHAnsi" w:hAnsiTheme="minorHAnsi"/>
          <w:b/>
          <w:color w:val="auto"/>
        </w:rPr>
        <w:t xml:space="preserve">Státní pokladna </w:t>
      </w:r>
      <w:r w:rsidR="002509D1" w:rsidRPr="00AB36B2">
        <w:rPr>
          <w:rFonts w:asciiTheme="minorHAnsi" w:hAnsiTheme="minorHAnsi"/>
          <w:b/>
          <w:color w:val="auto"/>
        </w:rPr>
        <w:t>Centrum sdílených služeb</w:t>
      </w:r>
      <w:r w:rsidR="00A046DD" w:rsidRPr="00AB36B2">
        <w:rPr>
          <w:rFonts w:asciiTheme="minorHAnsi" w:hAnsiTheme="minorHAnsi"/>
          <w:b/>
          <w:color w:val="auto"/>
        </w:rPr>
        <w:t>, s.</w:t>
      </w:r>
      <w:r w:rsidR="001C62BF">
        <w:rPr>
          <w:rFonts w:asciiTheme="minorHAnsi" w:hAnsiTheme="minorHAnsi"/>
          <w:b/>
          <w:color w:val="auto"/>
        </w:rPr>
        <w:t> </w:t>
      </w:r>
      <w:r w:rsidR="00A046DD" w:rsidRPr="00AB36B2">
        <w:rPr>
          <w:rFonts w:asciiTheme="minorHAnsi" w:hAnsiTheme="minorHAnsi"/>
          <w:b/>
          <w:color w:val="auto"/>
        </w:rPr>
        <w:t>p.</w:t>
      </w:r>
      <w:r w:rsidR="001C62BF">
        <w:rPr>
          <w:rFonts w:asciiTheme="minorHAnsi" w:hAnsiTheme="minorHAnsi"/>
          <w:b/>
          <w:color w:val="auto"/>
        </w:rPr>
        <w:t>,</w:t>
      </w:r>
      <w:r w:rsidR="002509D1" w:rsidRPr="00AB36B2">
        <w:rPr>
          <w:rFonts w:asciiTheme="minorHAnsi" w:hAnsiTheme="minorHAnsi"/>
          <w:b/>
          <w:color w:val="auto"/>
        </w:rPr>
        <w:t xml:space="preserve"> </w:t>
      </w:r>
      <w:r w:rsidR="00262281" w:rsidRPr="00AB36B2">
        <w:rPr>
          <w:rFonts w:asciiTheme="minorHAnsi" w:hAnsiTheme="minorHAnsi"/>
          <w:b/>
          <w:color w:val="auto"/>
        </w:rPr>
        <w:t xml:space="preserve">v rámci realizace projektu AISG </w:t>
      </w:r>
      <w:r w:rsidR="002509D1" w:rsidRPr="00AB36B2">
        <w:rPr>
          <w:rFonts w:asciiTheme="minorHAnsi" w:hAnsiTheme="minorHAnsi"/>
          <w:b/>
          <w:color w:val="auto"/>
        </w:rPr>
        <w:t>nepostupoval v souladu s</w:t>
      </w:r>
      <w:r w:rsidR="00262281" w:rsidRPr="00AB36B2">
        <w:rPr>
          <w:rFonts w:asciiTheme="minorHAnsi" w:hAnsiTheme="minorHAnsi"/>
          <w:b/>
          <w:color w:val="auto"/>
        </w:rPr>
        <w:t xml:space="preserve">e zákonem </w:t>
      </w:r>
      <w:r w:rsidR="00A72D4F" w:rsidRPr="00AB36B2">
        <w:rPr>
          <w:rFonts w:asciiTheme="minorHAnsi" w:hAnsiTheme="minorHAnsi"/>
          <w:b/>
          <w:color w:val="auto"/>
        </w:rPr>
        <w:t xml:space="preserve">č. 134/2016 Sb., </w:t>
      </w:r>
      <w:r w:rsidR="00262281" w:rsidRPr="00AB36B2">
        <w:rPr>
          <w:rFonts w:asciiTheme="minorHAnsi" w:hAnsiTheme="minorHAnsi"/>
          <w:b/>
          <w:color w:val="auto"/>
        </w:rPr>
        <w:t>o zadávání veřejných zakázek</w:t>
      </w:r>
      <w:r w:rsidR="00A72D4F" w:rsidRPr="00AB36B2">
        <w:rPr>
          <w:rFonts w:asciiTheme="minorHAnsi" w:hAnsiTheme="minorHAnsi"/>
          <w:b/>
          <w:color w:val="auto"/>
        </w:rPr>
        <w:t xml:space="preserve"> (dále také „ZZVZ“)</w:t>
      </w:r>
      <w:r w:rsidR="00262281" w:rsidRPr="00AB36B2">
        <w:rPr>
          <w:rFonts w:asciiTheme="minorHAnsi" w:hAnsiTheme="minorHAnsi"/>
          <w:b/>
          <w:color w:val="auto"/>
        </w:rPr>
        <w:t>.</w:t>
      </w:r>
    </w:p>
    <w:p w14:paraId="778B09B6" w14:textId="37598554" w:rsidR="005D321B" w:rsidRPr="00AB36B2" w:rsidRDefault="008C59E8" w:rsidP="00CE134E">
      <w:pPr>
        <w:spacing w:after="80" w:line="240" w:lineRule="auto"/>
        <w:rPr>
          <w:rFonts w:asciiTheme="minorHAnsi" w:hAnsiTheme="minorHAnsi"/>
          <w:b/>
          <w:color w:val="auto"/>
        </w:rPr>
      </w:pPr>
      <w:r w:rsidRPr="00AB36B2">
        <w:rPr>
          <w:rFonts w:asciiTheme="minorHAnsi" w:hAnsiTheme="minorHAnsi"/>
          <w:b/>
          <w:color w:val="auto"/>
        </w:rPr>
        <w:t xml:space="preserve">Specializovaný finanční úřad </w:t>
      </w:r>
      <w:r w:rsidR="00563AC7" w:rsidRPr="00AB36B2">
        <w:rPr>
          <w:rFonts w:asciiTheme="minorHAnsi" w:hAnsiTheme="minorHAnsi"/>
          <w:b/>
          <w:color w:val="auto"/>
        </w:rPr>
        <w:t xml:space="preserve">neměl k dispozici informační </w:t>
      </w:r>
      <w:r w:rsidR="005D321B" w:rsidRPr="00AB36B2">
        <w:rPr>
          <w:rFonts w:asciiTheme="minorHAnsi" w:hAnsiTheme="minorHAnsi"/>
          <w:b/>
          <w:color w:val="auto"/>
        </w:rPr>
        <w:t>podporu</w:t>
      </w:r>
      <w:r w:rsidR="00563AC7" w:rsidRPr="00AB36B2">
        <w:rPr>
          <w:rFonts w:asciiTheme="minorHAnsi" w:hAnsiTheme="minorHAnsi"/>
          <w:b/>
          <w:color w:val="auto"/>
        </w:rPr>
        <w:t xml:space="preserve"> poskytující spolehlivou datovou základnu pro kontrolu daňových přiznání provozovatelů</w:t>
      </w:r>
      <w:r w:rsidR="005D321B" w:rsidRPr="00AB36B2">
        <w:rPr>
          <w:rFonts w:asciiTheme="minorHAnsi" w:hAnsiTheme="minorHAnsi"/>
          <w:b/>
          <w:color w:val="auto"/>
        </w:rPr>
        <w:t>.</w:t>
      </w:r>
      <w:r w:rsidR="00A943D5" w:rsidRPr="00AB36B2">
        <w:rPr>
          <w:rFonts w:asciiTheme="minorHAnsi" w:hAnsiTheme="minorHAnsi"/>
          <w:b/>
          <w:color w:val="auto"/>
        </w:rPr>
        <w:t xml:space="preserve"> </w:t>
      </w:r>
      <w:r w:rsidR="005D321B" w:rsidRPr="00AB36B2">
        <w:rPr>
          <w:rFonts w:asciiTheme="minorHAnsi" w:hAnsiTheme="minorHAnsi"/>
          <w:b/>
          <w:color w:val="auto"/>
        </w:rPr>
        <w:t>C</w:t>
      </w:r>
      <w:r w:rsidR="00A943D5" w:rsidRPr="00AB36B2">
        <w:rPr>
          <w:rFonts w:asciiTheme="minorHAnsi" w:hAnsiTheme="minorHAnsi"/>
          <w:b/>
          <w:color w:val="auto"/>
        </w:rPr>
        <w:t xml:space="preserve">íle </w:t>
      </w:r>
      <w:r w:rsidR="005D321B" w:rsidRPr="00AB36B2">
        <w:rPr>
          <w:rFonts w:asciiTheme="minorHAnsi" w:hAnsiTheme="minorHAnsi"/>
          <w:b/>
          <w:color w:val="auto"/>
        </w:rPr>
        <w:t>v oblasti správy daně tak byly naplňovány se sníženou efektivností</w:t>
      </w:r>
      <w:r w:rsidR="00A652FC" w:rsidRPr="00AB36B2">
        <w:rPr>
          <w:rFonts w:asciiTheme="minorHAnsi" w:hAnsiTheme="minorHAnsi"/>
          <w:b/>
          <w:color w:val="auto"/>
        </w:rPr>
        <w:t>.</w:t>
      </w:r>
    </w:p>
    <w:p w14:paraId="4C75F5F3" w14:textId="5DF31C5E" w:rsidR="00D029C2" w:rsidRPr="00AB36B2" w:rsidRDefault="005F6A44" w:rsidP="00CE134E">
      <w:pPr>
        <w:spacing w:after="80" w:line="240" w:lineRule="auto"/>
        <w:rPr>
          <w:rFonts w:asciiTheme="minorHAnsi" w:hAnsiTheme="minorHAnsi"/>
          <w:color w:val="auto"/>
          <w:lang w:eastAsia="cs-CZ"/>
        </w:rPr>
      </w:pPr>
      <w:r w:rsidRPr="004C533C">
        <w:rPr>
          <w:rFonts w:asciiTheme="minorHAnsi" w:hAnsiTheme="minorHAnsi"/>
          <w:b/>
          <w:color w:val="auto"/>
          <w:spacing w:val="-2"/>
        </w:rPr>
        <w:t>Výkon dozoru M</w:t>
      </w:r>
      <w:r w:rsidR="003A6C77" w:rsidRPr="004C533C">
        <w:rPr>
          <w:rFonts w:asciiTheme="minorHAnsi" w:hAnsiTheme="minorHAnsi"/>
          <w:b/>
          <w:color w:val="auto"/>
          <w:spacing w:val="-2"/>
        </w:rPr>
        <w:t xml:space="preserve">inisterstva financí </w:t>
      </w:r>
      <w:r w:rsidRPr="004C533C">
        <w:rPr>
          <w:rFonts w:asciiTheme="minorHAnsi" w:hAnsiTheme="minorHAnsi"/>
          <w:b/>
          <w:color w:val="auto"/>
          <w:spacing w:val="-2"/>
        </w:rPr>
        <w:t xml:space="preserve">nad hazardními hrami </w:t>
      </w:r>
      <w:r w:rsidR="00966406" w:rsidRPr="004C533C">
        <w:rPr>
          <w:rFonts w:asciiTheme="minorHAnsi" w:hAnsiTheme="minorHAnsi"/>
          <w:b/>
          <w:color w:val="auto"/>
          <w:spacing w:val="-2"/>
        </w:rPr>
        <w:t>stanovený zákonem č. 186/2016 Sb.,</w:t>
      </w:r>
      <w:r w:rsidR="00966406" w:rsidRPr="00AB36B2">
        <w:rPr>
          <w:rFonts w:asciiTheme="minorHAnsi" w:hAnsiTheme="minorHAnsi"/>
          <w:b/>
          <w:color w:val="auto"/>
        </w:rPr>
        <w:t xml:space="preserve"> o hazardních hrách (dále také „ZHH“)</w:t>
      </w:r>
      <w:r w:rsidR="00966406">
        <w:rPr>
          <w:rFonts w:asciiTheme="minorHAnsi" w:hAnsiTheme="minorHAnsi"/>
          <w:b/>
          <w:color w:val="auto"/>
        </w:rPr>
        <w:t>,</w:t>
      </w:r>
      <w:r w:rsidR="004C533C" w:rsidRPr="004C533C">
        <w:rPr>
          <w:rFonts w:asciiTheme="minorHAnsi" w:hAnsiTheme="minorHAnsi"/>
          <w:b/>
          <w:color w:val="auto"/>
        </w:rPr>
        <w:t xml:space="preserve"> </w:t>
      </w:r>
      <w:r w:rsidR="004C533C" w:rsidRPr="00AB36B2">
        <w:rPr>
          <w:rFonts w:asciiTheme="minorHAnsi" w:hAnsiTheme="minorHAnsi"/>
          <w:b/>
          <w:color w:val="auto"/>
        </w:rPr>
        <w:t xml:space="preserve">byl </w:t>
      </w:r>
      <w:r w:rsidR="004C533C">
        <w:rPr>
          <w:rFonts w:asciiTheme="minorHAnsi" w:hAnsiTheme="minorHAnsi"/>
          <w:b/>
          <w:color w:val="auto"/>
        </w:rPr>
        <w:t>při</w:t>
      </w:r>
      <w:r w:rsidR="002C2DBC" w:rsidRPr="009379A1">
        <w:rPr>
          <w:rFonts w:asciiTheme="minorHAnsi" w:hAnsiTheme="minorHAnsi"/>
          <w:b/>
          <w:color w:val="auto"/>
        </w:rPr>
        <w:t xml:space="preserve"> provádění </w:t>
      </w:r>
      <w:r w:rsidRPr="00030829">
        <w:rPr>
          <w:rFonts w:asciiTheme="minorHAnsi" w:hAnsiTheme="minorHAnsi"/>
          <w:b/>
          <w:color w:val="auto"/>
        </w:rPr>
        <w:t>zápis</w:t>
      </w:r>
      <w:r w:rsidR="002C2DBC" w:rsidRPr="00030829">
        <w:rPr>
          <w:rFonts w:asciiTheme="minorHAnsi" w:hAnsiTheme="minorHAnsi"/>
          <w:b/>
          <w:color w:val="auto"/>
        </w:rPr>
        <w:t>ů</w:t>
      </w:r>
      <w:r w:rsidRPr="009379A1">
        <w:rPr>
          <w:rFonts w:asciiTheme="minorHAnsi" w:hAnsiTheme="minorHAnsi"/>
          <w:b/>
          <w:color w:val="auto"/>
        </w:rPr>
        <w:t xml:space="preserve"> na seznam nepovolených internetových her </w:t>
      </w:r>
      <w:r w:rsidR="00AA19DC" w:rsidRPr="00AB36B2">
        <w:rPr>
          <w:rFonts w:asciiTheme="minorHAnsi" w:hAnsiTheme="minorHAnsi"/>
          <w:b/>
          <w:color w:val="auto"/>
        </w:rPr>
        <w:t>administrativně</w:t>
      </w:r>
      <w:r w:rsidR="008D66EE" w:rsidRPr="00AB36B2">
        <w:rPr>
          <w:rFonts w:asciiTheme="minorHAnsi" w:hAnsiTheme="minorHAnsi"/>
          <w:b/>
          <w:color w:val="auto"/>
        </w:rPr>
        <w:t xml:space="preserve"> </w:t>
      </w:r>
      <w:r w:rsidR="00AA19DC" w:rsidRPr="00AB36B2">
        <w:rPr>
          <w:rFonts w:asciiTheme="minorHAnsi" w:hAnsiTheme="minorHAnsi"/>
          <w:b/>
          <w:color w:val="auto"/>
        </w:rPr>
        <w:t>a časově náročný</w:t>
      </w:r>
      <w:r w:rsidRPr="00AB36B2">
        <w:rPr>
          <w:b/>
          <w:bCs/>
          <w:color w:val="auto"/>
        </w:rPr>
        <w:t xml:space="preserve">. Tato náročnost </w:t>
      </w:r>
      <w:r w:rsidRPr="00AB36B2">
        <w:rPr>
          <w:rFonts w:asciiTheme="minorHAnsi" w:hAnsiTheme="minorHAnsi"/>
          <w:b/>
          <w:color w:val="auto"/>
        </w:rPr>
        <w:t xml:space="preserve">byla významně ovlivněna </w:t>
      </w:r>
      <w:r w:rsidR="001B45CE" w:rsidRPr="00AB36B2">
        <w:rPr>
          <w:rFonts w:asciiTheme="minorHAnsi" w:hAnsiTheme="minorHAnsi"/>
          <w:b/>
          <w:color w:val="auto"/>
        </w:rPr>
        <w:t>n</w:t>
      </w:r>
      <w:r w:rsidR="0025506B" w:rsidRPr="00AB36B2">
        <w:rPr>
          <w:rFonts w:asciiTheme="minorHAnsi" w:hAnsiTheme="minorHAnsi"/>
          <w:b/>
          <w:color w:val="auto"/>
        </w:rPr>
        <w:t>ejednoznačn</w:t>
      </w:r>
      <w:r w:rsidRPr="00AB36B2">
        <w:rPr>
          <w:rFonts w:asciiTheme="minorHAnsi" w:hAnsiTheme="minorHAnsi"/>
          <w:b/>
          <w:color w:val="auto"/>
        </w:rPr>
        <w:t>ou</w:t>
      </w:r>
      <w:r w:rsidR="0025506B" w:rsidRPr="00AB36B2">
        <w:rPr>
          <w:rFonts w:asciiTheme="minorHAnsi" w:hAnsiTheme="minorHAnsi"/>
          <w:b/>
          <w:color w:val="auto"/>
        </w:rPr>
        <w:t xml:space="preserve"> právní úprav</w:t>
      </w:r>
      <w:r w:rsidRPr="00AB36B2">
        <w:rPr>
          <w:rFonts w:asciiTheme="minorHAnsi" w:hAnsiTheme="minorHAnsi"/>
          <w:b/>
          <w:color w:val="auto"/>
        </w:rPr>
        <w:t>ou</w:t>
      </w:r>
      <w:r w:rsidR="00A34B1B" w:rsidRPr="00AB36B2">
        <w:rPr>
          <w:rFonts w:asciiTheme="minorHAnsi" w:hAnsiTheme="minorHAnsi"/>
          <w:b/>
          <w:color w:val="auto"/>
        </w:rPr>
        <w:t xml:space="preserve"> zákonného znaku nelegálně provozované internetové hazardní hry</w:t>
      </w:r>
      <w:r w:rsidR="00DE4C9F" w:rsidRPr="00AB36B2">
        <w:rPr>
          <w:rStyle w:val="Znakapoznpodarou"/>
          <w:b/>
          <w:bCs/>
          <w:color w:val="auto"/>
        </w:rPr>
        <w:footnoteReference w:id="5"/>
      </w:r>
      <w:r w:rsidR="00DE4C9F" w:rsidRPr="00AB36B2">
        <w:rPr>
          <w:rFonts w:asciiTheme="minorHAnsi" w:hAnsiTheme="minorHAnsi"/>
          <w:b/>
          <w:color w:val="auto"/>
        </w:rPr>
        <w:t>.</w:t>
      </w:r>
    </w:p>
    <w:p w14:paraId="4C953EF0" w14:textId="5D6BF00C" w:rsidR="0003568B" w:rsidRPr="007B40BF" w:rsidRDefault="003A6C77" w:rsidP="00CE134E">
      <w:pPr>
        <w:spacing w:after="80" w:line="240" w:lineRule="auto"/>
        <w:rPr>
          <w:rStyle w:val="Odkaznakoment"/>
          <w:rFonts w:asciiTheme="minorHAnsi" w:hAnsiTheme="minorHAnsi"/>
          <w:b/>
          <w:sz w:val="24"/>
          <w:szCs w:val="24"/>
        </w:rPr>
      </w:pPr>
      <w:r>
        <w:rPr>
          <w:rFonts w:asciiTheme="minorHAnsi" w:hAnsiTheme="minorHAnsi"/>
          <w:b/>
        </w:rPr>
        <w:t xml:space="preserve">NKÚ také zjistil případy, kdy </w:t>
      </w:r>
      <w:r w:rsidR="0003568B">
        <w:rPr>
          <w:rFonts w:asciiTheme="minorHAnsi" w:hAnsiTheme="minorHAnsi"/>
          <w:b/>
        </w:rPr>
        <w:t>M</w:t>
      </w:r>
      <w:r w:rsidR="00EB0C34">
        <w:rPr>
          <w:rFonts w:asciiTheme="minorHAnsi" w:hAnsiTheme="minorHAnsi"/>
          <w:b/>
        </w:rPr>
        <w:t>inisterstvo financí</w:t>
      </w:r>
      <w:r w:rsidR="00262281">
        <w:rPr>
          <w:rFonts w:asciiTheme="minorHAnsi" w:hAnsiTheme="minorHAnsi"/>
          <w:b/>
        </w:rPr>
        <w:t xml:space="preserve"> a</w:t>
      </w:r>
      <w:r w:rsidR="0029302F">
        <w:rPr>
          <w:rFonts w:asciiTheme="minorHAnsi" w:hAnsiTheme="minorHAnsi"/>
          <w:b/>
        </w:rPr>
        <w:t xml:space="preserve"> </w:t>
      </w:r>
      <w:r w:rsidR="0029302F" w:rsidRPr="00DE4C9F">
        <w:rPr>
          <w:rFonts w:asciiTheme="minorHAnsi" w:hAnsiTheme="minorHAnsi"/>
          <w:b/>
        </w:rPr>
        <w:t>S</w:t>
      </w:r>
      <w:r w:rsidR="007C473C" w:rsidRPr="00DE4C9F">
        <w:rPr>
          <w:rFonts w:asciiTheme="minorHAnsi" w:hAnsiTheme="minorHAnsi"/>
          <w:b/>
        </w:rPr>
        <w:t xml:space="preserve">pecializovaný finanční úřad </w:t>
      </w:r>
      <w:r w:rsidR="0029302F">
        <w:rPr>
          <w:rFonts w:asciiTheme="minorHAnsi" w:hAnsiTheme="minorHAnsi"/>
          <w:b/>
        </w:rPr>
        <w:t>nepostupoval</w:t>
      </w:r>
      <w:r>
        <w:rPr>
          <w:rFonts w:asciiTheme="minorHAnsi" w:hAnsiTheme="minorHAnsi"/>
          <w:b/>
        </w:rPr>
        <w:t>y</w:t>
      </w:r>
      <w:r w:rsidR="0029302F">
        <w:rPr>
          <w:rFonts w:asciiTheme="minorHAnsi" w:hAnsiTheme="minorHAnsi"/>
          <w:b/>
        </w:rPr>
        <w:t xml:space="preserve"> v souladu </w:t>
      </w:r>
      <w:r w:rsidR="00EE286F">
        <w:rPr>
          <w:rFonts w:asciiTheme="minorHAnsi" w:hAnsiTheme="minorHAnsi"/>
          <w:b/>
        </w:rPr>
        <w:t xml:space="preserve">se zákonem o hazardních hrách </w:t>
      </w:r>
      <w:r w:rsidR="00EE286F" w:rsidRPr="00AB36B2">
        <w:rPr>
          <w:rFonts w:asciiTheme="minorHAnsi" w:hAnsiTheme="minorHAnsi"/>
          <w:b/>
          <w:color w:val="auto"/>
        </w:rPr>
        <w:t xml:space="preserve">a </w:t>
      </w:r>
      <w:r w:rsidR="008D66EE" w:rsidRPr="00AB36B2">
        <w:rPr>
          <w:rFonts w:asciiTheme="minorHAnsi" w:hAnsiTheme="minorHAnsi"/>
          <w:b/>
          <w:color w:val="auto"/>
        </w:rPr>
        <w:t xml:space="preserve">zákonem č. 280/2009 Sb., </w:t>
      </w:r>
      <w:r w:rsidR="00EE286F" w:rsidRPr="00AB36B2">
        <w:rPr>
          <w:rFonts w:asciiTheme="minorHAnsi" w:hAnsiTheme="minorHAnsi"/>
          <w:b/>
          <w:color w:val="auto"/>
        </w:rPr>
        <w:t>daňov</w:t>
      </w:r>
      <w:r w:rsidR="00AB36B2" w:rsidRPr="00AB36B2">
        <w:rPr>
          <w:rFonts w:asciiTheme="minorHAnsi" w:hAnsiTheme="minorHAnsi"/>
          <w:b/>
          <w:color w:val="auto"/>
        </w:rPr>
        <w:t>ý</w:t>
      </w:r>
      <w:r w:rsidR="00EE286F" w:rsidRPr="00AB36B2">
        <w:rPr>
          <w:rFonts w:asciiTheme="minorHAnsi" w:hAnsiTheme="minorHAnsi"/>
          <w:b/>
          <w:color w:val="auto"/>
        </w:rPr>
        <w:t xml:space="preserve"> řád</w:t>
      </w:r>
      <w:r w:rsidR="008D66EE" w:rsidRPr="00AB36B2">
        <w:rPr>
          <w:rFonts w:asciiTheme="minorHAnsi" w:hAnsiTheme="minorHAnsi"/>
          <w:b/>
          <w:color w:val="auto"/>
        </w:rPr>
        <w:t xml:space="preserve"> (dále také „DŘ“)</w:t>
      </w:r>
      <w:r w:rsidR="00EE286F" w:rsidRPr="00AB36B2">
        <w:rPr>
          <w:rFonts w:asciiTheme="minorHAnsi" w:hAnsiTheme="minorHAnsi"/>
          <w:b/>
          <w:color w:val="auto"/>
        </w:rPr>
        <w:t>.</w:t>
      </w:r>
    </w:p>
    <w:bookmarkEnd w:id="5"/>
    <w:p w14:paraId="35624383" w14:textId="24CE4C33" w:rsidR="00D029C2" w:rsidRPr="008142C5" w:rsidRDefault="00D029C2" w:rsidP="00CE134E">
      <w:pPr>
        <w:spacing w:after="80" w:line="240" w:lineRule="auto"/>
        <w:rPr>
          <w:rFonts w:asciiTheme="minorHAnsi" w:hAnsiTheme="minorHAnsi"/>
          <w:b/>
        </w:rPr>
      </w:pPr>
      <w:r w:rsidRPr="008142C5">
        <w:rPr>
          <w:rFonts w:asciiTheme="minorHAnsi" w:hAnsiTheme="minorHAnsi"/>
        </w:rPr>
        <w:t>Celkové vyhodnocení vychází zejména z těchto kontrolou zjištěných skutečností:</w:t>
      </w:r>
      <w:r w:rsidRPr="008142C5">
        <w:rPr>
          <w:rFonts w:asciiTheme="minorHAnsi" w:hAnsiTheme="minorHAnsi"/>
          <w:b/>
        </w:rPr>
        <w:t xml:space="preserve"> </w:t>
      </w:r>
    </w:p>
    <w:p w14:paraId="3AD04216" w14:textId="58E15069" w:rsidR="00F443E0" w:rsidRPr="008142C5" w:rsidRDefault="00547711" w:rsidP="00CE134E">
      <w:pPr>
        <w:pStyle w:val="Nadpis1"/>
        <w:numPr>
          <w:ilvl w:val="0"/>
          <w:numId w:val="0"/>
        </w:numPr>
        <w:spacing w:before="0" w:after="80" w:line="240" w:lineRule="auto"/>
        <w:jc w:val="both"/>
        <w:rPr>
          <w:rFonts w:asciiTheme="minorHAnsi" w:hAnsiTheme="minorHAnsi"/>
        </w:rPr>
      </w:pPr>
      <w:r>
        <w:rPr>
          <w:rFonts w:asciiTheme="minorHAnsi" w:hAnsiTheme="minorHAnsi"/>
          <w:color w:val="auto"/>
        </w:rPr>
        <w:lastRenderedPageBreak/>
        <w:t>1.1</w:t>
      </w:r>
      <w:r w:rsidR="00431E67">
        <w:rPr>
          <w:rFonts w:asciiTheme="minorHAnsi" w:hAnsiTheme="minorHAnsi"/>
          <w:color w:val="auto"/>
        </w:rPr>
        <w:t xml:space="preserve"> </w:t>
      </w:r>
      <w:r w:rsidR="000948BE" w:rsidRPr="00FC75C7">
        <w:rPr>
          <w:rFonts w:asciiTheme="minorHAnsi" w:hAnsiTheme="minorHAnsi"/>
          <w:color w:val="auto"/>
        </w:rPr>
        <w:t>M</w:t>
      </w:r>
      <w:r w:rsidR="00A86850">
        <w:rPr>
          <w:rFonts w:asciiTheme="minorHAnsi" w:hAnsiTheme="minorHAnsi"/>
          <w:color w:val="auto"/>
        </w:rPr>
        <w:t>inisterstvo financí</w:t>
      </w:r>
      <w:r w:rsidR="000948BE" w:rsidRPr="00FC75C7">
        <w:rPr>
          <w:rFonts w:asciiTheme="minorHAnsi" w:hAnsiTheme="minorHAnsi"/>
          <w:color w:val="auto"/>
        </w:rPr>
        <w:t xml:space="preserve"> </w:t>
      </w:r>
      <w:r w:rsidR="000948BE">
        <w:rPr>
          <w:rFonts w:asciiTheme="minorHAnsi" w:hAnsiTheme="minorHAnsi"/>
          <w:color w:val="auto"/>
        </w:rPr>
        <w:t xml:space="preserve">nezajistilo plnou funkčnost nového informačního systému pro </w:t>
      </w:r>
      <w:r w:rsidR="00340D56">
        <w:rPr>
          <w:rFonts w:asciiTheme="minorHAnsi" w:hAnsiTheme="minorHAnsi"/>
          <w:color w:val="auto"/>
        </w:rPr>
        <w:t xml:space="preserve">podporu výkonu činností v oblasti </w:t>
      </w:r>
      <w:r w:rsidR="000948BE">
        <w:rPr>
          <w:rFonts w:asciiTheme="minorHAnsi" w:hAnsiTheme="minorHAnsi"/>
          <w:color w:val="auto"/>
        </w:rPr>
        <w:t>hazardní</w:t>
      </w:r>
      <w:r w:rsidR="00340D56">
        <w:rPr>
          <w:rFonts w:asciiTheme="minorHAnsi" w:hAnsiTheme="minorHAnsi"/>
          <w:color w:val="auto"/>
        </w:rPr>
        <w:t xml:space="preserve">ch </w:t>
      </w:r>
      <w:r w:rsidR="000948BE">
        <w:rPr>
          <w:rFonts w:asciiTheme="minorHAnsi" w:hAnsiTheme="minorHAnsi"/>
          <w:color w:val="auto"/>
        </w:rPr>
        <w:t>h</w:t>
      </w:r>
      <w:r w:rsidR="00340D56">
        <w:rPr>
          <w:rFonts w:asciiTheme="minorHAnsi" w:hAnsiTheme="minorHAnsi"/>
          <w:color w:val="auto"/>
        </w:rPr>
        <w:t>er</w:t>
      </w:r>
      <w:r w:rsidR="000948BE" w:rsidRPr="00FC75C7">
        <w:rPr>
          <w:rFonts w:asciiTheme="minorHAnsi" w:hAnsiTheme="minorHAnsi"/>
          <w:color w:val="auto"/>
        </w:rPr>
        <w:t>.</w:t>
      </w:r>
    </w:p>
    <w:p w14:paraId="6A5737CD" w14:textId="5F082DAA" w:rsidR="000948BE" w:rsidRPr="00554CA5" w:rsidRDefault="000948BE" w:rsidP="001E51C9">
      <w:pPr>
        <w:pStyle w:val="Odstavecseseznamem"/>
        <w:numPr>
          <w:ilvl w:val="0"/>
          <w:numId w:val="58"/>
        </w:numPr>
        <w:spacing w:after="120"/>
        <w:ind w:left="714" w:hanging="357"/>
        <w:contextualSpacing w:val="0"/>
        <w:rPr>
          <w:rFonts w:asciiTheme="minorHAnsi" w:eastAsiaTheme="minorHAnsi" w:hAnsiTheme="minorHAnsi" w:cstheme="minorHAnsi"/>
          <w:sz w:val="24"/>
          <w:szCs w:val="24"/>
          <w:lang w:eastAsia="en-US"/>
        </w:rPr>
      </w:pPr>
      <w:r w:rsidRPr="008142C5">
        <w:rPr>
          <w:rFonts w:asciiTheme="minorHAnsi" w:eastAsiaTheme="minorHAnsi" w:hAnsiTheme="minorHAnsi" w:cstheme="minorHAnsi"/>
          <w:sz w:val="24"/>
          <w:szCs w:val="24"/>
          <w:lang w:eastAsia="en-US"/>
        </w:rPr>
        <w:t xml:space="preserve">MF připravovalo od roku 2014 nový informační systém pro </w:t>
      </w:r>
      <w:r w:rsidR="00340D56">
        <w:rPr>
          <w:rFonts w:asciiTheme="minorHAnsi" w:eastAsiaTheme="minorHAnsi" w:hAnsiTheme="minorHAnsi" w:cstheme="minorHAnsi"/>
          <w:sz w:val="24"/>
          <w:szCs w:val="24"/>
          <w:lang w:eastAsia="en-US"/>
        </w:rPr>
        <w:t>dozor</w:t>
      </w:r>
      <w:r w:rsidRPr="008142C5">
        <w:rPr>
          <w:rFonts w:asciiTheme="minorHAnsi" w:eastAsiaTheme="minorHAnsi" w:hAnsiTheme="minorHAnsi" w:cstheme="minorHAnsi"/>
          <w:sz w:val="24"/>
          <w:szCs w:val="24"/>
          <w:lang w:eastAsia="en-US"/>
        </w:rPr>
        <w:t xml:space="preserve"> nad hazardními hrami</w:t>
      </w:r>
      <w:r w:rsidR="00547711" w:rsidRPr="008142C5" w:rsidDel="00744EBD">
        <w:rPr>
          <w:rFonts w:asciiTheme="minorHAnsi" w:eastAsiaTheme="minorHAnsi" w:hAnsiTheme="minorHAnsi" w:cstheme="minorHAnsi"/>
          <w:sz w:val="24"/>
          <w:szCs w:val="24"/>
          <w:lang w:eastAsia="en-US"/>
        </w:rPr>
        <w:t>.</w:t>
      </w:r>
      <w:r w:rsidR="00547711" w:rsidRPr="008142C5">
        <w:rPr>
          <w:rFonts w:asciiTheme="minorHAnsi" w:eastAsiaTheme="minorHAnsi" w:hAnsiTheme="minorHAnsi" w:cstheme="minorHAnsi"/>
          <w:sz w:val="24"/>
          <w:szCs w:val="24"/>
          <w:lang w:eastAsia="en-US"/>
        </w:rPr>
        <w:t xml:space="preserve"> </w:t>
      </w:r>
      <w:r w:rsidR="00547711" w:rsidRPr="008142C5">
        <w:rPr>
          <w:rFonts w:asciiTheme="minorHAnsi" w:hAnsiTheme="minorHAnsi" w:cstheme="minorHAnsi"/>
          <w:color w:val="auto"/>
          <w:sz w:val="24"/>
          <w:szCs w:val="24"/>
        </w:rPr>
        <w:t xml:space="preserve">Smlouvy s dodavateli </w:t>
      </w:r>
      <w:r w:rsidR="00B215AF">
        <w:rPr>
          <w:rFonts w:asciiTheme="minorHAnsi" w:hAnsiTheme="minorHAnsi" w:cstheme="minorHAnsi"/>
          <w:color w:val="auto"/>
          <w:sz w:val="24"/>
          <w:szCs w:val="24"/>
        </w:rPr>
        <w:t>uzavřelo</w:t>
      </w:r>
      <w:r w:rsidR="00547711" w:rsidRPr="008142C5">
        <w:rPr>
          <w:rFonts w:asciiTheme="minorHAnsi" w:hAnsiTheme="minorHAnsi" w:cstheme="minorHAnsi"/>
          <w:color w:val="auto"/>
          <w:sz w:val="24"/>
          <w:szCs w:val="24"/>
        </w:rPr>
        <w:t xml:space="preserve"> v roce 2018, resp. 2019. Podle nich měl být AISG plně funkční </w:t>
      </w:r>
      <w:r w:rsidR="000C2E3F" w:rsidRPr="008142C5">
        <w:rPr>
          <w:rFonts w:asciiTheme="minorHAnsi" w:hAnsiTheme="minorHAnsi" w:cstheme="minorHAnsi"/>
          <w:color w:val="auto"/>
          <w:sz w:val="24"/>
          <w:szCs w:val="24"/>
        </w:rPr>
        <w:t xml:space="preserve">od </w:t>
      </w:r>
      <w:r w:rsidR="00547711" w:rsidRPr="008142C5">
        <w:rPr>
          <w:rFonts w:asciiTheme="minorHAnsi" w:hAnsiTheme="minorHAnsi" w:cstheme="minorHAnsi"/>
          <w:color w:val="auto"/>
          <w:sz w:val="24"/>
          <w:szCs w:val="24"/>
        </w:rPr>
        <w:t xml:space="preserve">května 2020. Ke smlouvám </w:t>
      </w:r>
      <w:r w:rsidR="00B215AF">
        <w:rPr>
          <w:rFonts w:asciiTheme="minorHAnsi" w:hAnsiTheme="minorHAnsi" w:cstheme="minorHAnsi"/>
          <w:color w:val="auto"/>
          <w:sz w:val="24"/>
          <w:szCs w:val="24"/>
        </w:rPr>
        <w:t>uzavřelo</w:t>
      </w:r>
      <w:r w:rsidR="00547711" w:rsidRPr="008142C5">
        <w:rPr>
          <w:rFonts w:asciiTheme="minorHAnsi" w:hAnsiTheme="minorHAnsi" w:cstheme="minorHAnsi"/>
          <w:color w:val="auto"/>
          <w:sz w:val="24"/>
          <w:szCs w:val="24"/>
        </w:rPr>
        <w:t xml:space="preserve"> </w:t>
      </w:r>
      <w:r w:rsidR="00E85BF7">
        <w:rPr>
          <w:rFonts w:asciiTheme="minorHAnsi" w:hAnsiTheme="minorHAnsi" w:cstheme="minorHAnsi"/>
          <w:color w:val="auto"/>
          <w:sz w:val="24"/>
          <w:szCs w:val="24"/>
        </w:rPr>
        <w:t xml:space="preserve">MF </w:t>
      </w:r>
      <w:r w:rsidR="00547711" w:rsidRPr="008142C5">
        <w:rPr>
          <w:rFonts w:asciiTheme="minorHAnsi" w:hAnsiTheme="minorHAnsi" w:cstheme="minorHAnsi"/>
          <w:color w:val="auto"/>
          <w:sz w:val="24"/>
          <w:szCs w:val="24"/>
        </w:rPr>
        <w:t>dodatky, kterými se změnila cena</w:t>
      </w:r>
      <w:r w:rsidR="0029302F">
        <w:rPr>
          <w:rFonts w:asciiTheme="minorHAnsi" w:hAnsiTheme="minorHAnsi" w:cstheme="minorHAnsi"/>
          <w:color w:val="auto"/>
          <w:sz w:val="24"/>
          <w:szCs w:val="24"/>
        </w:rPr>
        <w:t xml:space="preserve">, </w:t>
      </w:r>
      <w:r w:rsidR="00547711" w:rsidRPr="008142C5">
        <w:rPr>
          <w:rFonts w:asciiTheme="minorHAnsi" w:hAnsiTheme="minorHAnsi" w:cstheme="minorHAnsi"/>
          <w:color w:val="auto"/>
          <w:sz w:val="24"/>
          <w:szCs w:val="24"/>
        </w:rPr>
        <w:t xml:space="preserve">zúžil rozsah a prodloužil termín dodání. </w:t>
      </w:r>
      <w:r w:rsidRPr="008142C5">
        <w:rPr>
          <w:rFonts w:asciiTheme="minorHAnsi" w:eastAsiaTheme="minorHAnsi" w:hAnsiTheme="minorHAnsi" w:cstheme="minorHAnsi"/>
          <w:sz w:val="24"/>
          <w:szCs w:val="24"/>
          <w:lang w:eastAsia="en-US"/>
        </w:rPr>
        <w:t xml:space="preserve">V srpnu 2020 </w:t>
      </w:r>
      <w:r w:rsidR="00B215AF">
        <w:rPr>
          <w:rFonts w:asciiTheme="minorHAnsi" w:eastAsiaTheme="minorHAnsi" w:hAnsiTheme="minorHAnsi" w:cstheme="minorHAnsi"/>
          <w:sz w:val="24"/>
          <w:szCs w:val="24"/>
          <w:lang w:eastAsia="en-US"/>
        </w:rPr>
        <w:t>MF</w:t>
      </w:r>
      <w:r w:rsidR="00B215AF" w:rsidRPr="008142C5">
        <w:rPr>
          <w:rFonts w:asciiTheme="minorHAnsi" w:eastAsiaTheme="minorHAnsi" w:hAnsiTheme="minorHAnsi" w:cstheme="minorHAnsi"/>
          <w:sz w:val="24"/>
          <w:szCs w:val="24"/>
          <w:lang w:eastAsia="en-US"/>
        </w:rPr>
        <w:t xml:space="preserve"> </w:t>
      </w:r>
      <w:r w:rsidRPr="008142C5">
        <w:rPr>
          <w:rFonts w:asciiTheme="minorHAnsi" w:eastAsiaTheme="minorHAnsi" w:hAnsiTheme="minorHAnsi" w:cstheme="minorHAnsi"/>
          <w:sz w:val="24"/>
          <w:szCs w:val="24"/>
          <w:lang w:eastAsia="en-US"/>
        </w:rPr>
        <w:t xml:space="preserve">rozvoj AISG </w:t>
      </w:r>
      <w:r w:rsidR="00B215AF">
        <w:rPr>
          <w:rFonts w:asciiTheme="minorHAnsi" w:eastAsiaTheme="minorHAnsi" w:hAnsiTheme="minorHAnsi" w:cstheme="minorHAnsi"/>
          <w:sz w:val="24"/>
          <w:szCs w:val="24"/>
          <w:lang w:eastAsia="en-US"/>
        </w:rPr>
        <w:t>ukončilo</w:t>
      </w:r>
      <w:r w:rsidR="00547711" w:rsidRPr="008142C5">
        <w:rPr>
          <w:rFonts w:asciiTheme="minorHAnsi" w:eastAsiaTheme="minorHAnsi" w:hAnsiTheme="minorHAnsi" w:cstheme="minorHAnsi"/>
          <w:sz w:val="24"/>
          <w:szCs w:val="24"/>
          <w:lang w:eastAsia="en-US"/>
        </w:rPr>
        <w:t xml:space="preserve">, </w:t>
      </w:r>
      <w:r w:rsidR="008C7CA7">
        <w:rPr>
          <w:rFonts w:asciiTheme="minorHAnsi" w:eastAsiaTheme="minorHAnsi" w:hAnsiTheme="minorHAnsi" w:cstheme="minorHAnsi"/>
          <w:sz w:val="24"/>
          <w:szCs w:val="24"/>
          <w:lang w:eastAsia="en-US"/>
        </w:rPr>
        <w:br/>
      </w:r>
      <w:r w:rsidR="00547711" w:rsidRPr="008142C5">
        <w:rPr>
          <w:rFonts w:asciiTheme="minorHAnsi" w:eastAsiaTheme="minorHAnsi" w:hAnsiTheme="minorHAnsi" w:cstheme="minorHAnsi"/>
          <w:sz w:val="24"/>
          <w:szCs w:val="24"/>
          <w:lang w:eastAsia="en-US"/>
        </w:rPr>
        <w:t>a to</w:t>
      </w:r>
      <w:r w:rsidRPr="008142C5">
        <w:rPr>
          <w:rFonts w:asciiTheme="minorHAnsi" w:eastAsiaTheme="minorHAnsi" w:hAnsiTheme="minorHAnsi" w:cstheme="minorHAnsi"/>
          <w:sz w:val="24"/>
          <w:szCs w:val="24"/>
          <w:lang w:eastAsia="en-US"/>
        </w:rPr>
        <w:t xml:space="preserve"> ve stavu, kdy byly </w:t>
      </w:r>
      <w:r w:rsidR="00923B4C">
        <w:rPr>
          <w:rFonts w:asciiTheme="minorHAnsi" w:eastAsiaTheme="minorHAnsi" w:hAnsiTheme="minorHAnsi" w:cstheme="minorHAnsi"/>
          <w:sz w:val="24"/>
          <w:szCs w:val="24"/>
          <w:lang w:eastAsia="en-US"/>
        </w:rPr>
        <w:t xml:space="preserve">plně </w:t>
      </w:r>
      <w:r w:rsidRPr="008142C5">
        <w:rPr>
          <w:rFonts w:asciiTheme="minorHAnsi" w:eastAsiaTheme="minorHAnsi" w:hAnsiTheme="minorHAnsi" w:cstheme="minorHAnsi"/>
          <w:sz w:val="24"/>
          <w:szCs w:val="24"/>
          <w:lang w:eastAsia="en-US"/>
        </w:rPr>
        <w:t>funkční pouze dva ze tří jeho modulů</w:t>
      </w:r>
      <w:r w:rsidR="00923B4C">
        <w:rPr>
          <w:rFonts w:asciiTheme="minorHAnsi" w:eastAsiaTheme="minorHAnsi" w:hAnsiTheme="minorHAnsi" w:cstheme="minorHAnsi"/>
          <w:sz w:val="24"/>
          <w:szCs w:val="24"/>
          <w:lang w:eastAsia="en-US"/>
        </w:rPr>
        <w:t xml:space="preserve">, </w:t>
      </w:r>
      <w:r w:rsidR="00894FC4">
        <w:rPr>
          <w:rFonts w:asciiTheme="minorHAnsi" w:eastAsiaTheme="minorHAnsi" w:hAnsiTheme="minorHAnsi" w:cstheme="minorHAnsi"/>
          <w:sz w:val="24"/>
          <w:szCs w:val="24"/>
          <w:lang w:eastAsia="en-US"/>
        </w:rPr>
        <w:t xml:space="preserve">přitom peněžní prostředky </w:t>
      </w:r>
      <w:r w:rsidR="002848CF">
        <w:rPr>
          <w:rFonts w:asciiTheme="minorHAnsi" w:eastAsiaTheme="minorHAnsi" w:hAnsiTheme="minorHAnsi" w:cstheme="minorHAnsi"/>
          <w:sz w:val="24"/>
          <w:szCs w:val="24"/>
          <w:lang w:eastAsia="en-US"/>
        </w:rPr>
        <w:t>vynaložilo</w:t>
      </w:r>
      <w:r w:rsidR="00894FC4">
        <w:rPr>
          <w:rFonts w:asciiTheme="minorHAnsi" w:eastAsiaTheme="minorHAnsi" w:hAnsiTheme="minorHAnsi" w:cstheme="minorHAnsi"/>
          <w:sz w:val="24"/>
          <w:szCs w:val="24"/>
          <w:lang w:eastAsia="en-US"/>
        </w:rPr>
        <w:t xml:space="preserve"> na budování všech modulů</w:t>
      </w:r>
      <w:r w:rsidR="00894FC4" w:rsidRPr="008142C5">
        <w:rPr>
          <w:rFonts w:asciiTheme="minorHAnsi" w:eastAsiaTheme="minorHAnsi" w:hAnsiTheme="minorHAnsi" w:cstheme="minorHAnsi"/>
          <w:sz w:val="24"/>
          <w:szCs w:val="24"/>
          <w:lang w:eastAsia="en-US"/>
        </w:rPr>
        <w:t>.</w:t>
      </w:r>
      <w:r w:rsidR="00894FC4">
        <w:rPr>
          <w:rFonts w:asciiTheme="minorHAnsi" w:eastAsiaTheme="minorHAnsi" w:hAnsiTheme="minorHAnsi" w:cstheme="minorHAnsi"/>
          <w:sz w:val="24"/>
          <w:szCs w:val="24"/>
          <w:lang w:eastAsia="en-US"/>
        </w:rPr>
        <w:t xml:space="preserve"> </w:t>
      </w:r>
      <w:r w:rsidRPr="00554CA5">
        <w:rPr>
          <w:rFonts w:asciiTheme="minorHAnsi" w:eastAsiaTheme="minorHAnsi" w:hAnsiTheme="minorHAnsi" w:cstheme="minorHAnsi"/>
          <w:sz w:val="24"/>
          <w:szCs w:val="24"/>
          <w:lang w:eastAsia="en-US"/>
        </w:rPr>
        <w:t>MF tak vynaložilo část peněžních prostředků na realizaci AISG neúčelně a nehospodárně</w:t>
      </w:r>
      <w:r w:rsidR="00B9075D" w:rsidRPr="00554CA5">
        <w:rPr>
          <w:rFonts w:asciiTheme="minorHAnsi" w:eastAsiaTheme="minorHAnsi" w:hAnsiTheme="minorHAnsi" w:cstheme="minorHAnsi"/>
          <w:sz w:val="24"/>
          <w:szCs w:val="24"/>
          <w:lang w:eastAsia="en-US"/>
        </w:rPr>
        <w:t>, protože tyto prostředky nezajistily optimální míru plnění stanovených úkolů</w:t>
      </w:r>
      <w:r w:rsidRPr="00554CA5">
        <w:rPr>
          <w:rFonts w:asciiTheme="minorHAnsi" w:eastAsiaTheme="minorHAnsi" w:hAnsiTheme="minorHAnsi" w:cstheme="minorHAnsi"/>
          <w:sz w:val="24"/>
          <w:szCs w:val="24"/>
          <w:lang w:eastAsia="en-US"/>
        </w:rPr>
        <w:t xml:space="preserve"> (viz odst.</w:t>
      </w:r>
      <w:r w:rsidR="001E6FB2" w:rsidRPr="00554CA5">
        <w:rPr>
          <w:rFonts w:asciiTheme="minorHAnsi" w:eastAsiaTheme="minorHAnsi" w:hAnsiTheme="minorHAnsi" w:cstheme="minorHAnsi"/>
          <w:sz w:val="24"/>
          <w:szCs w:val="24"/>
          <w:lang w:eastAsia="en-US"/>
        </w:rPr>
        <w:t xml:space="preserve"> </w:t>
      </w:r>
      <w:r w:rsidR="00D31553" w:rsidRPr="00554CA5">
        <w:rPr>
          <w:rFonts w:asciiTheme="minorHAnsi" w:eastAsiaTheme="minorHAnsi" w:hAnsiTheme="minorHAnsi" w:cstheme="minorHAnsi"/>
          <w:sz w:val="24"/>
          <w:szCs w:val="24"/>
          <w:lang w:eastAsia="en-US"/>
        </w:rPr>
        <w:t>4.</w:t>
      </w:r>
      <w:r w:rsidR="00C9236D" w:rsidRPr="00554CA5">
        <w:rPr>
          <w:rFonts w:asciiTheme="minorHAnsi" w:eastAsiaTheme="minorHAnsi" w:hAnsiTheme="minorHAnsi" w:cstheme="minorHAnsi"/>
          <w:sz w:val="24"/>
          <w:szCs w:val="24"/>
          <w:lang w:eastAsia="en-US"/>
        </w:rPr>
        <w:t>4</w:t>
      </w:r>
      <w:r w:rsidR="00166FFE" w:rsidRPr="00554CA5">
        <w:rPr>
          <w:rFonts w:asciiTheme="minorHAnsi" w:eastAsiaTheme="minorHAnsi" w:hAnsiTheme="minorHAnsi" w:cstheme="minorHAnsi"/>
          <w:sz w:val="24"/>
          <w:szCs w:val="24"/>
          <w:lang w:eastAsia="en-US"/>
        </w:rPr>
        <w:t xml:space="preserve"> až 4.</w:t>
      </w:r>
      <w:r w:rsidR="00C9340D" w:rsidRPr="00554CA5">
        <w:rPr>
          <w:rFonts w:asciiTheme="minorHAnsi" w:eastAsiaTheme="minorHAnsi" w:hAnsiTheme="minorHAnsi" w:cstheme="minorHAnsi"/>
          <w:sz w:val="24"/>
          <w:szCs w:val="24"/>
          <w:lang w:eastAsia="en-US"/>
        </w:rPr>
        <w:t>1</w:t>
      </w:r>
      <w:r w:rsidR="00C9340D">
        <w:rPr>
          <w:rFonts w:asciiTheme="minorHAnsi" w:eastAsiaTheme="minorHAnsi" w:hAnsiTheme="minorHAnsi" w:cstheme="minorHAnsi"/>
          <w:sz w:val="24"/>
          <w:szCs w:val="24"/>
          <w:lang w:eastAsia="en-US"/>
        </w:rPr>
        <w:t>6</w:t>
      </w:r>
      <w:r w:rsidR="00B17878" w:rsidRPr="00554CA5">
        <w:rPr>
          <w:rFonts w:asciiTheme="minorHAnsi" w:eastAsiaTheme="minorHAnsi" w:hAnsiTheme="minorHAnsi" w:cstheme="minorHAnsi"/>
          <w:sz w:val="24"/>
          <w:szCs w:val="24"/>
          <w:lang w:eastAsia="en-US"/>
        </w:rPr>
        <w:t>)</w:t>
      </w:r>
      <w:r w:rsidR="00756439">
        <w:rPr>
          <w:rFonts w:asciiTheme="minorHAnsi" w:eastAsiaTheme="minorHAnsi" w:hAnsiTheme="minorHAnsi" w:cstheme="minorHAnsi"/>
          <w:sz w:val="24"/>
          <w:szCs w:val="24"/>
          <w:lang w:eastAsia="en-US"/>
        </w:rPr>
        <w:t>.</w:t>
      </w:r>
    </w:p>
    <w:p w14:paraId="610DCF79" w14:textId="57CCCB51" w:rsidR="00C078FB" w:rsidRPr="00554CA5" w:rsidRDefault="00C078FB" w:rsidP="001E51C9">
      <w:pPr>
        <w:pStyle w:val="Odstavecseseznamem"/>
        <w:numPr>
          <w:ilvl w:val="0"/>
          <w:numId w:val="58"/>
        </w:numPr>
        <w:spacing w:after="120"/>
        <w:ind w:left="714" w:hanging="357"/>
        <w:contextualSpacing w:val="0"/>
        <w:rPr>
          <w:rFonts w:asciiTheme="minorHAnsi" w:eastAsiaTheme="minorHAnsi" w:hAnsiTheme="minorHAnsi" w:cstheme="minorHAnsi"/>
          <w:sz w:val="24"/>
          <w:szCs w:val="24"/>
          <w:lang w:eastAsia="en-US"/>
        </w:rPr>
      </w:pPr>
      <w:r w:rsidRPr="00554CA5">
        <w:rPr>
          <w:rFonts w:asciiTheme="minorHAnsi" w:eastAsiaTheme="minorHAnsi" w:hAnsiTheme="minorHAnsi" w:cstheme="minorHAnsi"/>
          <w:sz w:val="24"/>
          <w:szCs w:val="24"/>
          <w:lang w:eastAsia="en-US"/>
        </w:rPr>
        <w:t xml:space="preserve">V důsledku nedokončení AISG </w:t>
      </w:r>
      <w:r w:rsidR="00615DC0">
        <w:rPr>
          <w:rFonts w:asciiTheme="minorHAnsi" w:eastAsiaTheme="minorHAnsi" w:hAnsiTheme="minorHAnsi" w:cstheme="minorHAnsi"/>
          <w:sz w:val="24"/>
          <w:szCs w:val="24"/>
          <w:lang w:eastAsia="en-US"/>
        </w:rPr>
        <w:t>udrž</w:t>
      </w:r>
      <w:r w:rsidR="005D38F2">
        <w:rPr>
          <w:rFonts w:asciiTheme="minorHAnsi" w:eastAsiaTheme="minorHAnsi" w:hAnsiTheme="minorHAnsi" w:cstheme="minorHAnsi"/>
          <w:sz w:val="24"/>
          <w:szCs w:val="24"/>
          <w:lang w:eastAsia="en-US"/>
        </w:rPr>
        <w:t>u</w:t>
      </w:r>
      <w:r w:rsidR="00615DC0">
        <w:rPr>
          <w:rFonts w:asciiTheme="minorHAnsi" w:eastAsiaTheme="minorHAnsi" w:hAnsiTheme="minorHAnsi" w:cstheme="minorHAnsi"/>
          <w:sz w:val="24"/>
          <w:szCs w:val="24"/>
          <w:lang w:eastAsia="en-US"/>
        </w:rPr>
        <w:t>je</w:t>
      </w:r>
      <w:r w:rsidRPr="00554CA5">
        <w:rPr>
          <w:rFonts w:asciiTheme="minorHAnsi" w:eastAsiaTheme="minorHAnsi" w:hAnsiTheme="minorHAnsi" w:cstheme="minorHAnsi"/>
          <w:sz w:val="24"/>
          <w:szCs w:val="24"/>
          <w:lang w:eastAsia="en-US"/>
        </w:rPr>
        <w:t xml:space="preserve"> MF v provozu nevyhovující informační systém SDSL</w:t>
      </w:r>
      <w:r w:rsidR="006110F0" w:rsidRPr="00554CA5">
        <w:rPr>
          <w:rFonts w:asciiTheme="minorHAnsi" w:eastAsiaTheme="minorHAnsi" w:hAnsiTheme="minorHAnsi" w:cstheme="minorHAnsi"/>
          <w:sz w:val="24"/>
          <w:szCs w:val="24"/>
          <w:lang w:eastAsia="en-US"/>
        </w:rPr>
        <w:t>,</w:t>
      </w:r>
      <w:r w:rsidRPr="00554CA5">
        <w:rPr>
          <w:rFonts w:asciiTheme="minorHAnsi" w:eastAsiaTheme="minorHAnsi" w:hAnsiTheme="minorHAnsi" w:cstheme="minorHAnsi"/>
          <w:sz w:val="24"/>
          <w:szCs w:val="24"/>
          <w:lang w:eastAsia="en-US"/>
        </w:rPr>
        <w:t xml:space="preserve"> který vznikl pro potřeby </w:t>
      </w:r>
      <w:r w:rsidR="005E750E" w:rsidRPr="00554CA5">
        <w:rPr>
          <w:rFonts w:asciiTheme="minorHAnsi" w:eastAsiaTheme="minorHAnsi" w:hAnsiTheme="minorHAnsi" w:cstheme="minorHAnsi"/>
          <w:sz w:val="24"/>
          <w:szCs w:val="24"/>
          <w:lang w:eastAsia="en-US"/>
        </w:rPr>
        <w:t xml:space="preserve">činností dle </w:t>
      </w:r>
      <w:r w:rsidRPr="00554CA5">
        <w:rPr>
          <w:rFonts w:asciiTheme="minorHAnsi" w:eastAsiaTheme="minorHAnsi" w:hAnsiTheme="minorHAnsi" w:cstheme="minorHAnsi"/>
          <w:sz w:val="24"/>
          <w:szCs w:val="24"/>
          <w:lang w:eastAsia="en-US"/>
        </w:rPr>
        <w:t>zákona</w:t>
      </w:r>
      <w:r w:rsidR="008C7140" w:rsidRPr="00554CA5">
        <w:rPr>
          <w:rFonts w:asciiTheme="minorHAnsi" w:eastAsiaTheme="minorHAnsi" w:hAnsiTheme="minorHAnsi" w:cstheme="minorHAnsi"/>
          <w:sz w:val="24"/>
          <w:szCs w:val="24"/>
          <w:lang w:eastAsia="en-US"/>
        </w:rPr>
        <w:t xml:space="preserve"> č. 202/1990 Sb., </w:t>
      </w:r>
      <w:r w:rsidRPr="00554CA5">
        <w:rPr>
          <w:rFonts w:asciiTheme="minorHAnsi" w:eastAsiaTheme="minorHAnsi" w:hAnsiTheme="minorHAnsi" w:cstheme="minorHAnsi"/>
          <w:sz w:val="24"/>
          <w:szCs w:val="24"/>
          <w:lang w:eastAsia="en-US"/>
        </w:rPr>
        <w:t>o loteriích a jiných podobných hrách</w:t>
      </w:r>
      <w:r w:rsidR="008C7140" w:rsidRPr="00554CA5">
        <w:rPr>
          <w:rFonts w:asciiTheme="minorHAnsi" w:eastAsiaTheme="minorHAnsi" w:hAnsiTheme="minorHAnsi" w:cstheme="minorHAnsi"/>
          <w:sz w:val="24"/>
          <w:szCs w:val="24"/>
          <w:lang w:eastAsia="en-US"/>
        </w:rPr>
        <w:t xml:space="preserve"> (dále také „ZoL“)</w:t>
      </w:r>
      <w:r w:rsidR="00202711">
        <w:rPr>
          <w:rFonts w:asciiTheme="minorHAnsi" w:eastAsiaTheme="minorHAnsi" w:hAnsiTheme="minorHAnsi" w:cstheme="minorHAnsi"/>
          <w:sz w:val="24"/>
          <w:szCs w:val="24"/>
          <w:lang w:eastAsia="en-US"/>
        </w:rPr>
        <w:t>,</w:t>
      </w:r>
      <w:r w:rsidR="00447A8C" w:rsidRPr="00554CA5">
        <w:rPr>
          <w:rFonts w:asciiTheme="minorHAnsi" w:eastAsiaTheme="minorHAnsi" w:hAnsiTheme="minorHAnsi" w:cstheme="minorHAnsi"/>
          <w:sz w:val="24"/>
          <w:szCs w:val="24"/>
          <w:lang w:eastAsia="en-US"/>
        </w:rPr>
        <w:t xml:space="preserve"> a měl být novým AISG plně nahrazen</w:t>
      </w:r>
      <w:r w:rsidRPr="00554CA5" w:rsidDel="00447A8C">
        <w:rPr>
          <w:rFonts w:asciiTheme="minorHAnsi" w:eastAsiaTheme="minorHAnsi" w:hAnsiTheme="minorHAnsi" w:cstheme="minorHAnsi"/>
          <w:sz w:val="24"/>
          <w:szCs w:val="24"/>
          <w:lang w:eastAsia="en-US"/>
        </w:rPr>
        <w:t>.</w:t>
      </w:r>
      <w:r w:rsidRPr="00554CA5">
        <w:rPr>
          <w:rFonts w:asciiTheme="minorHAnsi" w:eastAsiaTheme="minorHAnsi" w:hAnsiTheme="minorHAnsi" w:cstheme="minorHAnsi"/>
          <w:sz w:val="24"/>
          <w:szCs w:val="24"/>
          <w:lang w:eastAsia="en-US"/>
        </w:rPr>
        <w:t xml:space="preserve"> </w:t>
      </w:r>
      <w:r w:rsidR="00DD51CB" w:rsidRPr="00554CA5">
        <w:rPr>
          <w:rFonts w:asciiTheme="minorHAnsi" w:eastAsiaTheme="minorHAnsi" w:hAnsiTheme="minorHAnsi" w:cstheme="minorHAnsi"/>
          <w:sz w:val="24"/>
          <w:szCs w:val="24"/>
          <w:lang w:eastAsia="en-US"/>
        </w:rPr>
        <w:t>Peněžní</w:t>
      </w:r>
      <w:r w:rsidR="0020316E" w:rsidRPr="00554CA5">
        <w:rPr>
          <w:rFonts w:asciiTheme="minorHAnsi" w:eastAsiaTheme="minorHAnsi" w:hAnsiTheme="minorHAnsi" w:cstheme="minorHAnsi"/>
          <w:sz w:val="24"/>
          <w:szCs w:val="24"/>
          <w:lang w:eastAsia="en-US"/>
        </w:rPr>
        <w:t xml:space="preserve"> prostředk</w:t>
      </w:r>
      <w:r w:rsidR="00DD51CB" w:rsidRPr="00554CA5">
        <w:rPr>
          <w:rFonts w:asciiTheme="minorHAnsi" w:eastAsiaTheme="minorHAnsi" w:hAnsiTheme="minorHAnsi" w:cstheme="minorHAnsi"/>
          <w:sz w:val="24"/>
          <w:szCs w:val="24"/>
          <w:lang w:eastAsia="en-US"/>
        </w:rPr>
        <w:t>y</w:t>
      </w:r>
      <w:r w:rsidR="0020316E" w:rsidRPr="00554CA5">
        <w:rPr>
          <w:rFonts w:asciiTheme="minorHAnsi" w:eastAsiaTheme="minorHAnsi" w:hAnsiTheme="minorHAnsi" w:cstheme="minorHAnsi"/>
          <w:sz w:val="24"/>
          <w:szCs w:val="24"/>
          <w:lang w:eastAsia="en-US"/>
        </w:rPr>
        <w:t xml:space="preserve"> na s</w:t>
      </w:r>
      <w:r w:rsidRPr="00554CA5">
        <w:rPr>
          <w:rFonts w:asciiTheme="minorHAnsi" w:eastAsiaTheme="minorHAnsi" w:hAnsiTheme="minorHAnsi" w:cstheme="minorHAnsi"/>
          <w:sz w:val="24"/>
          <w:szCs w:val="24"/>
          <w:lang w:eastAsia="en-US"/>
        </w:rPr>
        <w:t xml:space="preserve">ouběžný provoz dvou informačních systémů pro výkon činností v oblasti hazardních her </w:t>
      </w:r>
      <w:r w:rsidR="00DD51CB" w:rsidRPr="00554CA5">
        <w:rPr>
          <w:rFonts w:asciiTheme="minorHAnsi" w:eastAsiaTheme="minorHAnsi" w:hAnsiTheme="minorHAnsi" w:cstheme="minorHAnsi"/>
          <w:sz w:val="24"/>
          <w:szCs w:val="24"/>
          <w:lang w:eastAsia="en-US"/>
        </w:rPr>
        <w:t>po datu 31.</w:t>
      </w:r>
      <w:r w:rsidR="001F5A70" w:rsidRPr="00554CA5">
        <w:rPr>
          <w:rFonts w:asciiTheme="minorHAnsi" w:eastAsiaTheme="minorHAnsi" w:hAnsiTheme="minorHAnsi" w:cstheme="minorHAnsi"/>
          <w:sz w:val="24"/>
          <w:szCs w:val="24"/>
          <w:lang w:eastAsia="en-US"/>
        </w:rPr>
        <w:t xml:space="preserve"> </w:t>
      </w:r>
      <w:r w:rsidR="00DD51CB" w:rsidRPr="00554CA5">
        <w:rPr>
          <w:rFonts w:asciiTheme="minorHAnsi" w:eastAsiaTheme="minorHAnsi" w:hAnsiTheme="minorHAnsi" w:cstheme="minorHAnsi"/>
          <w:sz w:val="24"/>
          <w:szCs w:val="24"/>
          <w:lang w:eastAsia="en-US"/>
        </w:rPr>
        <w:t>12.</w:t>
      </w:r>
      <w:r w:rsidR="001F5A70" w:rsidRPr="00554CA5">
        <w:rPr>
          <w:rFonts w:asciiTheme="minorHAnsi" w:eastAsiaTheme="minorHAnsi" w:hAnsiTheme="minorHAnsi" w:cstheme="minorHAnsi"/>
          <w:sz w:val="24"/>
          <w:szCs w:val="24"/>
          <w:lang w:eastAsia="en-US"/>
        </w:rPr>
        <w:t xml:space="preserve"> </w:t>
      </w:r>
      <w:r w:rsidR="00DD51CB" w:rsidRPr="00554CA5">
        <w:rPr>
          <w:rFonts w:asciiTheme="minorHAnsi" w:eastAsiaTheme="minorHAnsi" w:hAnsiTheme="minorHAnsi" w:cstheme="minorHAnsi"/>
          <w:sz w:val="24"/>
          <w:szCs w:val="24"/>
          <w:lang w:eastAsia="en-US"/>
        </w:rPr>
        <w:t>2022</w:t>
      </w:r>
      <w:r w:rsidR="00DD51CB" w:rsidRPr="00554CA5">
        <w:rPr>
          <w:rStyle w:val="Znakapoznpodarou"/>
          <w:rFonts w:asciiTheme="minorHAnsi" w:eastAsiaTheme="minorHAnsi" w:hAnsiTheme="minorHAnsi" w:cstheme="minorHAnsi"/>
          <w:sz w:val="24"/>
          <w:szCs w:val="24"/>
          <w:lang w:eastAsia="en-US"/>
        </w:rPr>
        <w:footnoteReference w:id="6"/>
      </w:r>
      <w:r w:rsidR="00DD51CB" w:rsidRPr="00554CA5">
        <w:rPr>
          <w:rFonts w:asciiTheme="minorHAnsi" w:eastAsiaTheme="minorHAnsi" w:hAnsiTheme="minorHAnsi" w:cstheme="minorHAnsi"/>
          <w:sz w:val="24"/>
          <w:szCs w:val="24"/>
          <w:lang w:eastAsia="en-US"/>
        </w:rPr>
        <w:t xml:space="preserve"> hodnotí</w:t>
      </w:r>
      <w:r w:rsidRPr="00554CA5">
        <w:rPr>
          <w:rFonts w:asciiTheme="minorHAnsi" w:eastAsiaTheme="minorHAnsi" w:hAnsiTheme="minorHAnsi" w:cstheme="minorHAnsi"/>
          <w:sz w:val="24"/>
          <w:szCs w:val="24"/>
          <w:lang w:eastAsia="en-US"/>
        </w:rPr>
        <w:t xml:space="preserve"> NKÚ jako </w:t>
      </w:r>
      <w:r w:rsidR="00DD51CB" w:rsidRPr="00554CA5">
        <w:rPr>
          <w:rFonts w:asciiTheme="minorHAnsi" w:eastAsiaTheme="minorHAnsi" w:hAnsiTheme="minorHAnsi" w:cstheme="minorHAnsi"/>
          <w:sz w:val="24"/>
          <w:szCs w:val="24"/>
          <w:lang w:eastAsia="en-US"/>
        </w:rPr>
        <w:t>nehospodárně</w:t>
      </w:r>
      <w:r w:rsidR="008C7CA7">
        <w:rPr>
          <w:rFonts w:asciiTheme="minorHAnsi" w:eastAsiaTheme="minorHAnsi" w:hAnsiTheme="minorHAnsi" w:cstheme="minorHAnsi"/>
          <w:sz w:val="24"/>
          <w:szCs w:val="24"/>
          <w:lang w:eastAsia="en-US"/>
        </w:rPr>
        <w:t xml:space="preserve"> </w:t>
      </w:r>
      <w:r w:rsidR="00A046DD">
        <w:rPr>
          <w:rFonts w:asciiTheme="minorHAnsi" w:eastAsiaTheme="minorHAnsi" w:hAnsiTheme="minorHAnsi" w:cstheme="minorHAnsi"/>
          <w:sz w:val="24"/>
          <w:szCs w:val="24"/>
          <w:lang w:eastAsia="en-US"/>
        </w:rPr>
        <w:br/>
      </w:r>
      <w:r w:rsidR="00DD51CB" w:rsidRPr="00554CA5">
        <w:rPr>
          <w:rFonts w:asciiTheme="minorHAnsi" w:eastAsiaTheme="minorHAnsi" w:hAnsiTheme="minorHAnsi" w:cstheme="minorHAnsi"/>
          <w:sz w:val="24"/>
          <w:szCs w:val="24"/>
          <w:lang w:eastAsia="en-US"/>
        </w:rPr>
        <w:t>a neúčelně vynaložené</w:t>
      </w:r>
      <w:r w:rsidRPr="00554CA5">
        <w:rPr>
          <w:rFonts w:asciiTheme="minorHAnsi" w:eastAsiaTheme="minorHAnsi" w:hAnsiTheme="minorHAnsi" w:cstheme="minorHAnsi"/>
          <w:sz w:val="24"/>
          <w:szCs w:val="24"/>
          <w:lang w:eastAsia="en-US"/>
        </w:rPr>
        <w:t xml:space="preserve"> (viz odst</w:t>
      </w:r>
      <w:r w:rsidR="00F96D7E" w:rsidRPr="00554CA5">
        <w:rPr>
          <w:rFonts w:asciiTheme="minorHAnsi" w:eastAsiaTheme="minorHAnsi" w:hAnsiTheme="minorHAnsi" w:cstheme="minorHAnsi"/>
          <w:sz w:val="24"/>
          <w:szCs w:val="24"/>
          <w:lang w:eastAsia="en-US"/>
        </w:rPr>
        <w:t>.</w:t>
      </w:r>
      <w:r w:rsidRPr="00554CA5">
        <w:rPr>
          <w:rFonts w:asciiTheme="minorHAnsi" w:eastAsiaTheme="minorHAnsi" w:hAnsiTheme="minorHAnsi" w:cstheme="minorHAnsi"/>
          <w:sz w:val="24"/>
          <w:szCs w:val="24"/>
          <w:lang w:eastAsia="en-US"/>
        </w:rPr>
        <w:t xml:space="preserve"> </w:t>
      </w:r>
      <w:r w:rsidR="00421447" w:rsidRPr="00554CA5">
        <w:rPr>
          <w:rFonts w:asciiTheme="minorHAnsi" w:eastAsiaTheme="minorHAnsi" w:hAnsiTheme="minorHAnsi" w:cstheme="minorHAnsi"/>
          <w:sz w:val="24"/>
          <w:szCs w:val="24"/>
          <w:lang w:eastAsia="en-US"/>
        </w:rPr>
        <w:t>4.1, 4.</w:t>
      </w:r>
      <w:r w:rsidR="00C9340D" w:rsidRPr="00554CA5">
        <w:rPr>
          <w:rFonts w:asciiTheme="minorHAnsi" w:eastAsiaTheme="minorHAnsi" w:hAnsiTheme="minorHAnsi" w:cstheme="minorHAnsi"/>
          <w:sz w:val="24"/>
          <w:szCs w:val="24"/>
          <w:lang w:eastAsia="en-US"/>
        </w:rPr>
        <w:t>1</w:t>
      </w:r>
      <w:r w:rsidR="00C9340D">
        <w:rPr>
          <w:rFonts w:asciiTheme="minorHAnsi" w:eastAsiaTheme="minorHAnsi" w:hAnsiTheme="minorHAnsi" w:cstheme="minorHAnsi"/>
          <w:sz w:val="24"/>
          <w:szCs w:val="24"/>
          <w:lang w:eastAsia="en-US"/>
        </w:rPr>
        <w:t>6</w:t>
      </w:r>
      <w:r w:rsidRPr="00554CA5">
        <w:rPr>
          <w:rFonts w:asciiTheme="minorHAnsi" w:eastAsiaTheme="minorHAnsi" w:hAnsiTheme="minorHAnsi" w:cstheme="minorHAnsi"/>
          <w:sz w:val="24"/>
          <w:szCs w:val="24"/>
          <w:lang w:eastAsia="en-US"/>
        </w:rPr>
        <w:t>)</w:t>
      </w:r>
      <w:r w:rsidR="00756439">
        <w:rPr>
          <w:rFonts w:asciiTheme="minorHAnsi" w:eastAsiaTheme="minorHAnsi" w:hAnsiTheme="minorHAnsi" w:cstheme="minorHAnsi"/>
          <w:sz w:val="24"/>
          <w:szCs w:val="24"/>
          <w:lang w:eastAsia="en-US"/>
        </w:rPr>
        <w:t>.</w:t>
      </w:r>
    </w:p>
    <w:p w14:paraId="6F77FE94" w14:textId="71EB8356" w:rsidR="00447A8C" w:rsidRPr="00554CA5" w:rsidRDefault="00922515" w:rsidP="003834D2">
      <w:pPr>
        <w:pStyle w:val="Odstavecseseznamem"/>
        <w:numPr>
          <w:ilvl w:val="0"/>
          <w:numId w:val="58"/>
        </w:numPr>
        <w:spacing w:after="120"/>
        <w:ind w:left="714" w:hanging="357"/>
        <w:contextualSpacing w:val="0"/>
        <w:rPr>
          <w:rFonts w:asciiTheme="minorHAnsi" w:eastAsiaTheme="minorHAnsi" w:hAnsiTheme="minorHAnsi" w:cstheme="minorHAnsi"/>
          <w:sz w:val="24"/>
          <w:szCs w:val="24"/>
          <w:lang w:eastAsia="en-US"/>
        </w:rPr>
      </w:pPr>
      <w:r w:rsidRPr="00554CA5">
        <w:rPr>
          <w:rFonts w:asciiTheme="minorHAnsi" w:eastAsiaTheme="minorHAnsi" w:hAnsiTheme="minorHAnsi" w:cstheme="minorHAnsi"/>
          <w:sz w:val="24"/>
          <w:szCs w:val="24"/>
          <w:lang w:eastAsia="en-US"/>
        </w:rPr>
        <w:t>N</w:t>
      </w:r>
      <w:r w:rsidR="00C078FB" w:rsidRPr="00554CA5">
        <w:rPr>
          <w:rFonts w:asciiTheme="minorHAnsi" w:eastAsiaTheme="minorHAnsi" w:hAnsiTheme="minorHAnsi" w:cstheme="minorHAnsi"/>
          <w:sz w:val="24"/>
          <w:szCs w:val="24"/>
          <w:lang w:eastAsia="en-US"/>
        </w:rPr>
        <w:t xml:space="preserve">a zajištění souladu </w:t>
      </w:r>
      <w:r w:rsidR="005176AD" w:rsidRPr="00554CA5">
        <w:rPr>
          <w:rFonts w:asciiTheme="minorHAnsi" w:eastAsiaTheme="minorHAnsi" w:hAnsiTheme="minorHAnsi" w:cstheme="minorHAnsi"/>
          <w:sz w:val="24"/>
          <w:szCs w:val="24"/>
          <w:lang w:eastAsia="en-US"/>
        </w:rPr>
        <w:t xml:space="preserve">IS SDSL s právním </w:t>
      </w:r>
      <w:r w:rsidR="00EC4090" w:rsidRPr="00554CA5">
        <w:rPr>
          <w:rFonts w:asciiTheme="minorHAnsi" w:eastAsiaTheme="minorHAnsi" w:hAnsiTheme="minorHAnsi" w:cstheme="minorHAnsi"/>
          <w:sz w:val="24"/>
          <w:szCs w:val="24"/>
          <w:lang w:eastAsia="en-US"/>
        </w:rPr>
        <w:t xml:space="preserve">řádem </w:t>
      </w:r>
      <w:r w:rsidR="005176AD" w:rsidRPr="00554CA5">
        <w:rPr>
          <w:rFonts w:asciiTheme="minorHAnsi" w:eastAsiaTheme="minorHAnsi" w:hAnsiTheme="minorHAnsi" w:cstheme="minorHAnsi"/>
          <w:sz w:val="24"/>
          <w:szCs w:val="24"/>
          <w:lang w:eastAsia="en-US"/>
        </w:rPr>
        <w:t>ČR</w:t>
      </w:r>
      <w:r w:rsidR="00C078FB" w:rsidRPr="00554CA5">
        <w:rPr>
          <w:rFonts w:asciiTheme="minorHAnsi" w:eastAsiaTheme="minorHAnsi" w:hAnsiTheme="minorHAnsi" w:cstheme="minorHAnsi"/>
          <w:sz w:val="24"/>
          <w:szCs w:val="24"/>
          <w:lang w:eastAsia="en-US"/>
        </w:rPr>
        <w:t xml:space="preserve"> vynaložilo </w:t>
      </w:r>
      <w:r w:rsidR="005176AD" w:rsidRPr="00554CA5">
        <w:rPr>
          <w:rFonts w:asciiTheme="minorHAnsi" w:eastAsiaTheme="minorHAnsi" w:hAnsiTheme="minorHAnsi" w:cstheme="minorHAnsi"/>
          <w:sz w:val="24"/>
          <w:szCs w:val="24"/>
          <w:lang w:eastAsia="en-US"/>
        </w:rPr>
        <w:t xml:space="preserve">MF </w:t>
      </w:r>
      <w:r w:rsidR="007B6B08" w:rsidRPr="00554CA5">
        <w:rPr>
          <w:rFonts w:asciiTheme="minorHAnsi" w:eastAsiaTheme="minorHAnsi" w:hAnsiTheme="minorHAnsi" w:cstheme="minorHAnsi"/>
          <w:sz w:val="24"/>
          <w:szCs w:val="24"/>
          <w:lang w:eastAsia="en-US"/>
        </w:rPr>
        <w:t xml:space="preserve">v letech 2016 a 2017 více než 2,5 mil. Kč, přestože </w:t>
      </w:r>
      <w:r w:rsidR="0077777E" w:rsidRPr="00554CA5">
        <w:rPr>
          <w:rFonts w:asciiTheme="minorHAnsi" w:eastAsiaTheme="minorHAnsi" w:hAnsiTheme="minorHAnsi" w:cstheme="minorHAnsi"/>
          <w:sz w:val="24"/>
          <w:szCs w:val="24"/>
          <w:lang w:eastAsia="en-US"/>
        </w:rPr>
        <w:t>tyto úpravy</w:t>
      </w:r>
      <w:r w:rsidR="003834D2" w:rsidRPr="00554CA5">
        <w:rPr>
          <w:rFonts w:asciiTheme="minorHAnsi" w:eastAsiaTheme="minorHAnsi" w:hAnsiTheme="minorHAnsi" w:cstheme="minorHAnsi"/>
          <w:sz w:val="24"/>
          <w:szCs w:val="24"/>
          <w:lang w:eastAsia="en-US"/>
        </w:rPr>
        <w:t xml:space="preserve"> IS SDSL byl</w:t>
      </w:r>
      <w:r w:rsidR="0077777E" w:rsidRPr="00554CA5">
        <w:rPr>
          <w:rFonts w:asciiTheme="minorHAnsi" w:eastAsiaTheme="minorHAnsi" w:hAnsiTheme="minorHAnsi" w:cstheme="minorHAnsi"/>
          <w:sz w:val="24"/>
          <w:szCs w:val="24"/>
          <w:lang w:eastAsia="en-US"/>
        </w:rPr>
        <w:t>y</w:t>
      </w:r>
      <w:r w:rsidR="003834D2" w:rsidRPr="00554CA5">
        <w:rPr>
          <w:rFonts w:asciiTheme="minorHAnsi" w:eastAsiaTheme="minorHAnsi" w:hAnsiTheme="minorHAnsi" w:cstheme="minorHAnsi"/>
          <w:sz w:val="24"/>
          <w:szCs w:val="24"/>
          <w:lang w:eastAsia="en-US"/>
        </w:rPr>
        <w:t xml:space="preserve"> zajištěn</w:t>
      </w:r>
      <w:r w:rsidR="0077777E" w:rsidRPr="00554CA5">
        <w:rPr>
          <w:rFonts w:asciiTheme="minorHAnsi" w:eastAsiaTheme="minorHAnsi" w:hAnsiTheme="minorHAnsi" w:cstheme="minorHAnsi"/>
          <w:sz w:val="24"/>
          <w:szCs w:val="24"/>
          <w:lang w:eastAsia="en-US"/>
        </w:rPr>
        <w:t>y</w:t>
      </w:r>
      <w:r w:rsidR="003834D2" w:rsidRPr="00554CA5">
        <w:rPr>
          <w:rFonts w:asciiTheme="minorHAnsi" w:eastAsiaTheme="minorHAnsi" w:hAnsiTheme="minorHAnsi" w:cstheme="minorHAnsi"/>
          <w:sz w:val="24"/>
          <w:szCs w:val="24"/>
          <w:lang w:eastAsia="en-US"/>
        </w:rPr>
        <w:t xml:space="preserve"> smlouvou s paušálním plněním uzavřenou v roce 2009. </w:t>
      </w:r>
      <w:r w:rsidR="00C078FB" w:rsidRPr="00554CA5">
        <w:rPr>
          <w:rFonts w:asciiTheme="minorHAnsi" w:eastAsiaTheme="minorHAnsi" w:hAnsiTheme="minorHAnsi" w:cstheme="minorHAnsi"/>
          <w:sz w:val="24"/>
          <w:szCs w:val="24"/>
          <w:lang w:eastAsia="en-US"/>
        </w:rPr>
        <w:t xml:space="preserve">NKÚ vyhodnotil </w:t>
      </w:r>
      <w:r w:rsidR="00874FF4">
        <w:rPr>
          <w:rFonts w:asciiTheme="minorHAnsi" w:eastAsiaTheme="minorHAnsi" w:hAnsiTheme="minorHAnsi" w:cstheme="minorHAnsi"/>
          <w:sz w:val="24"/>
          <w:szCs w:val="24"/>
          <w:lang w:eastAsia="en-US"/>
        </w:rPr>
        <w:t xml:space="preserve">toto duplicitní </w:t>
      </w:r>
      <w:r w:rsidR="00C078FB" w:rsidRPr="00554CA5">
        <w:rPr>
          <w:rFonts w:asciiTheme="minorHAnsi" w:eastAsiaTheme="minorHAnsi" w:hAnsiTheme="minorHAnsi" w:cstheme="minorHAnsi"/>
          <w:sz w:val="24"/>
          <w:szCs w:val="24"/>
          <w:lang w:eastAsia="en-US"/>
        </w:rPr>
        <w:t xml:space="preserve">vynaložení peněžních prostředků jako </w:t>
      </w:r>
      <w:r w:rsidR="00874FF4">
        <w:rPr>
          <w:rFonts w:asciiTheme="minorHAnsi" w:eastAsiaTheme="minorHAnsi" w:hAnsiTheme="minorHAnsi" w:cstheme="minorHAnsi"/>
          <w:sz w:val="24"/>
          <w:szCs w:val="24"/>
          <w:lang w:eastAsia="en-US"/>
        </w:rPr>
        <w:t xml:space="preserve">neúčelné a </w:t>
      </w:r>
      <w:r w:rsidR="00B61403" w:rsidRPr="00554CA5">
        <w:rPr>
          <w:rFonts w:asciiTheme="minorHAnsi" w:eastAsiaTheme="minorHAnsi" w:hAnsiTheme="minorHAnsi" w:cstheme="minorHAnsi"/>
          <w:sz w:val="24"/>
          <w:szCs w:val="24"/>
          <w:lang w:eastAsia="en-US"/>
        </w:rPr>
        <w:t xml:space="preserve">nehospodárné a rovněž jako </w:t>
      </w:r>
      <w:r w:rsidR="00C078FB" w:rsidRPr="00554CA5">
        <w:rPr>
          <w:rFonts w:asciiTheme="minorHAnsi" w:eastAsiaTheme="minorHAnsi" w:hAnsiTheme="minorHAnsi" w:cstheme="minorHAnsi"/>
          <w:sz w:val="24"/>
          <w:szCs w:val="24"/>
          <w:lang w:eastAsia="en-US"/>
        </w:rPr>
        <w:t xml:space="preserve">skutečnost nasvědčující porušení rozpočtové kázně (viz odst. </w:t>
      </w:r>
      <w:r w:rsidR="00A05AF2" w:rsidRPr="00554CA5">
        <w:rPr>
          <w:rFonts w:asciiTheme="minorHAnsi" w:eastAsiaTheme="minorHAnsi" w:hAnsiTheme="minorHAnsi" w:cstheme="minorHAnsi"/>
          <w:sz w:val="24"/>
          <w:szCs w:val="24"/>
          <w:lang w:eastAsia="en-US"/>
        </w:rPr>
        <w:t>4.</w:t>
      </w:r>
      <w:r w:rsidR="00421447" w:rsidRPr="00554CA5">
        <w:rPr>
          <w:rFonts w:asciiTheme="minorHAnsi" w:eastAsiaTheme="minorHAnsi" w:hAnsiTheme="minorHAnsi" w:cstheme="minorHAnsi"/>
          <w:sz w:val="24"/>
          <w:szCs w:val="24"/>
          <w:lang w:eastAsia="en-US"/>
        </w:rPr>
        <w:t>2</w:t>
      </w:r>
      <w:r w:rsidR="00C078FB" w:rsidRPr="00554CA5">
        <w:rPr>
          <w:rFonts w:asciiTheme="minorHAnsi" w:eastAsiaTheme="minorHAnsi" w:hAnsiTheme="minorHAnsi" w:cstheme="minorHAnsi"/>
          <w:sz w:val="24"/>
          <w:szCs w:val="24"/>
          <w:lang w:eastAsia="en-US"/>
        </w:rPr>
        <w:t>)</w:t>
      </w:r>
      <w:r w:rsidR="00C9340D">
        <w:rPr>
          <w:rFonts w:asciiTheme="minorHAnsi" w:eastAsiaTheme="minorHAnsi" w:hAnsiTheme="minorHAnsi" w:cstheme="minorHAnsi"/>
          <w:sz w:val="24"/>
          <w:szCs w:val="24"/>
          <w:lang w:eastAsia="en-US"/>
        </w:rPr>
        <w:t>.</w:t>
      </w:r>
    </w:p>
    <w:p w14:paraId="37A3C277" w14:textId="2C01592B" w:rsidR="007575A8" w:rsidRPr="00A8246F" w:rsidRDefault="00B61403" w:rsidP="00A36482">
      <w:pPr>
        <w:pStyle w:val="Nadpis1"/>
        <w:numPr>
          <w:ilvl w:val="0"/>
          <w:numId w:val="0"/>
        </w:numPr>
        <w:spacing w:before="0" w:line="240" w:lineRule="auto"/>
        <w:jc w:val="both"/>
        <w:rPr>
          <w:rFonts w:asciiTheme="minorHAnsi" w:hAnsiTheme="minorHAnsi"/>
          <w:color w:val="auto"/>
        </w:rPr>
      </w:pPr>
      <w:r>
        <w:rPr>
          <w:rFonts w:asciiTheme="minorHAnsi" w:hAnsiTheme="minorHAnsi"/>
          <w:color w:val="auto"/>
        </w:rPr>
        <w:t xml:space="preserve">1.2 </w:t>
      </w:r>
      <w:r w:rsidR="00C078FB" w:rsidRPr="00A8246F">
        <w:rPr>
          <w:rFonts w:asciiTheme="minorHAnsi" w:hAnsiTheme="minorHAnsi"/>
          <w:color w:val="auto"/>
        </w:rPr>
        <w:t>Data v informačních systémech pro podporu správy daně z hazardních her nejsou plně využitelná</w:t>
      </w:r>
      <w:r w:rsidR="00BE11D7">
        <w:rPr>
          <w:rFonts w:asciiTheme="minorHAnsi" w:hAnsiTheme="minorHAnsi"/>
          <w:color w:val="auto"/>
        </w:rPr>
        <w:t>.</w:t>
      </w:r>
    </w:p>
    <w:p w14:paraId="522B7F4E" w14:textId="5A4B26D9" w:rsidR="00431E67" w:rsidRPr="00554CA5" w:rsidRDefault="00632556" w:rsidP="001E51C9">
      <w:pPr>
        <w:pStyle w:val="Odstavecseseznamem"/>
        <w:numPr>
          <w:ilvl w:val="0"/>
          <w:numId w:val="58"/>
        </w:numPr>
        <w:spacing w:after="120"/>
        <w:ind w:left="714" w:hanging="357"/>
        <w:contextualSpacing w:val="0"/>
        <w:rPr>
          <w:rFonts w:asciiTheme="minorHAnsi" w:eastAsiaTheme="minorHAnsi" w:hAnsiTheme="minorHAnsi" w:cstheme="minorHAnsi"/>
          <w:sz w:val="24"/>
          <w:szCs w:val="24"/>
          <w:lang w:eastAsia="en-US"/>
        </w:rPr>
      </w:pPr>
      <w:r w:rsidRPr="008142C5">
        <w:rPr>
          <w:rFonts w:asciiTheme="minorHAnsi" w:eastAsiaTheme="minorHAnsi" w:hAnsiTheme="minorHAnsi" w:cstheme="minorHAnsi"/>
          <w:sz w:val="24"/>
          <w:szCs w:val="24"/>
          <w:lang w:eastAsia="en-US"/>
        </w:rPr>
        <w:t xml:space="preserve">NKÚ </w:t>
      </w:r>
      <w:r>
        <w:rPr>
          <w:rFonts w:asciiTheme="minorHAnsi" w:eastAsiaTheme="minorHAnsi" w:hAnsiTheme="minorHAnsi" w:cstheme="minorHAnsi"/>
          <w:sz w:val="24"/>
          <w:szCs w:val="24"/>
          <w:lang w:eastAsia="en-US"/>
        </w:rPr>
        <w:t>n</w:t>
      </w:r>
      <w:r w:rsidR="00431E67" w:rsidRPr="008142C5">
        <w:rPr>
          <w:rFonts w:asciiTheme="minorHAnsi" w:eastAsiaTheme="minorHAnsi" w:hAnsiTheme="minorHAnsi" w:cstheme="minorHAnsi"/>
          <w:sz w:val="24"/>
          <w:szCs w:val="24"/>
          <w:lang w:eastAsia="en-US"/>
        </w:rPr>
        <w:t xml:space="preserve">a kontrolním vzorku patnácti přiznání k dani z hazardních her </w:t>
      </w:r>
      <w:r w:rsidR="003F6E2A">
        <w:rPr>
          <w:rFonts w:asciiTheme="minorHAnsi" w:eastAsiaTheme="minorHAnsi" w:hAnsiTheme="minorHAnsi" w:cstheme="minorHAnsi"/>
          <w:sz w:val="24"/>
          <w:szCs w:val="24"/>
          <w:lang w:eastAsia="en-US"/>
        </w:rPr>
        <w:t xml:space="preserve">zjistil, že ani v jednom případě se data </w:t>
      </w:r>
      <w:r w:rsidR="003F6E2A" w:rsidRPr="00554CA5">
        <w:rPr>
          <w:rFonts w:asciiTheme="minorHAnsi" w:eastAsiaTheme="minorHAnsi" w:hAnsiTheme="minorHAnsi" w:cstheme="minorHAnsi"/>
          <w:sz w:val="24"/>
          <w:szCs w:val="24"/>
          <w:lang w:eastAsia="en-US"/>
        </w:rPr>
        <w:t>v</w:t>
      </w:r>
      <w:r w:rsidR="00204A5F">
        <w:rPr>
          <w:rFonts w:asciiTheme="minorHAnsi" w:eastAsiaTheme="minorHAnsi" w:hAnsiTheme="minorHAnsi" w:cstheme="minorHAnsi"/>
          <w:sz w:val="24"/>
          <w:szCs w:val="24"/>
          <w:lang w:eastAsia="en-US"/>
        </w:rPr>
        <w:t xml:space="preserve"> </w:t>
      </w:r>
      <w:r w:rsidR="003F6E2A" w:rsidRPr="00554CA5">
        <w:rPr>
          <w:rFonts w:asciiTheme="minorHAnsi" w:eastAsiaTheme="minorHAnsi" w:hAnsiTheme="minorHAnsi" w:cstheme="minorHAnsi"/>
          <w:sz w:val="24"/>
          <w:szCs w:val="24"/>
          <w:lang w:eastAsia="en-US"/>
        </w:rPr>
        <w:t>AISG neshodovala s</w:t>
      </w:r>
      <w:r w:rsidR="00204A5F">
        <w:rPr>
          <w:rFonts w:asciiTheme="minorHAnsi" w:eastAsiaTheme="minorHAnsi" w:hAnsiTheme="minorHAnsi" w:cstheme="minorHAnsi"/>
          <w:sz w:val="24"/>
          <w:szCs w:val="24"/>
          <w:lang w:eastAsia="en-US"/>
        </w:rPr>
        <w:t xml:space="preserve"> </w:t>
      </w:r>
      <w:r w:rsidR="003F6E2A" w:rsidRPr="00554CA5">
        <w:rPr>
          <w:rFonts w:asciiTheme="minorHAnsi" w:eastAsiaTheme="minorHAnsi" w:hAnsiTheme="minorHAnsi" w:cstheme="minorHAnsi"/>
          <w:sz w:val="24"/>
          <w:szCs w:val="24"/>
          <w:lang w:eastAsia="en-US"/>
        </w:rPr>
        <w:t>údaji v</w:t>
      </w:r>
      <w:r w:rsidR="00204A5F">
        <w:rPr>
          <w:rFonts w:asciiTheme="minorHAnsi" w:eastAsiaTheme="minorHAnsi" w:hAnsiTheme="minorHAnsi" w:cstheme="minorHAnsi"/>
          <w:sz w:val="24"/>
          <w:szCs w:val="24"/>
          <w:lang w:eastAsia="en-US"/>
        </w:rPr>
        <w:t xml:space="preserve"> </w:t>
      </w:r>
      <w:r w:rsidR="003F6E2A" w:rsidRPr="00554CA5">
        <w:rPr>
          <w:rFonts w:asciiTheme="minorHAnsi" w:eastAsiaTheme="minorHAnsi" w:hAnsiTheme="minorHAnsi" w:cstheme="minorHAnsi"/>
          <w:sz w:val="24"/>
          <w:szCs w:val="24"/>
          <w:lang w:eastAsia="en-US"/>
        </w:rPr>
        <w:t>daňových přiznáních</w:t>
      </w:r>
      <w:r>
        <w:rPr>
          <w:rFonts w:asciiTheme="minorHAnsi" w:eastAsiaTheme="minorHAnsi" w:hAnsiTheme="minorHAnsi" w:cstheme="minorHAnsi"/>
          <w:sz w:val="24"/>
          <w:szCs w:val="24"/>
          <w:lang w:eastAsia="en-US"/>
        </w:rPr>
        <w:t>,</w:t>
      </w:r>
      <w:r w:rsidR="003F6E2A" w:rsidRPr="00554CA5">
        <w:rPr>
          <w:rFonts w:asciiTheme="minorHAnsi" w:eastAsiaTheme="minorHAnsi" w:hAnsiTheme="minorHAnsi" w:cstheme="minorHAnsi"/>
          <w:sz w:val="24"/>
          <w:szCs w:val="24"/>
          <w:lang w:eastAsia="en-US"/>
        </w:rPr>
        <w:t xml:space="preserve"> a</w:t>
      </w:r>
      <w:r>
        <w:rPr>
          <w:rFonts w:asciiTheme="minorHAnsi" w:eastAsiaTheme="minorHAnsi" w:hAnsiTheme="minorHAnsi" w:cstheme="minorHAnsi"/>
          <w:sz w:val="24"/>
          <w:szCs w:val="24"/>
          <w:lang w:eastAsia="en-US"/>
        </w:rPr>
        <w:t xml:space="preserve"> dále</w:t>
      </w:r>
      <w:r w:rsidR="003F6E2A" w:rsidRPr="00554CA5">
        <w:rPr>
          <w:rFonts w:asciiTheme="minorHAnsi" w:eastAsiaTheme="minorHAnsi" w:hAnsiTheme="minorHAnsi" w:cstheme="minorHAnsi"/>
          <w:sz w:val="24"/>
          <w:szCs w:val="24"/>
          <w:lang w:eastAsia="en-US"/>
        </w:rPr>
        <w:t xml:space="preserve"> </w:t>
      </w:r>
      <w:r w:rsidR="00431E67" w:rsidRPr="00554CA5">
        <w:rPr>
          <w:rFonts w:asciiTheme="minorHAnsi" w:eastAsiaTheme="minorHAnsi" w:hAnsiTheme="minorHAnsi" w:cstheme="minorHAnsi"/>
          <w:sz w:val="24"/>
          <w:szCs w:val="24"/>
          <w:lang w:eastAsia="en-US"/>
        </w:rPr>
        <w:t>ověřil, že SFÚ využíval data z AISG pouze omezeně</w:t>
      </w:r>
      <w:r w:rsidR="00B41483">
        <w:rPr>
          <w:rFonts w:asciiTheme="minorHAnsi" w:eastAsiaTheme="minorHAnsi" w:hAnsiTheme="minorHAnsi" w:cstheme="minorHAnsi"/>
          <w:sz w:val="24"/>
          <w:szCs w:val="24"/>
          <w:lang w:eastAsia="en-US"/>
        </w:rPr>
        <w:t>;</w:t>
      </w:r>
      <w:r w:rsidR="00F03EEB" w:rsidRPr="00554CA5">
        <w:rPr>
          <w:rFonts w:asciiTheme="minorHAnsi" w:eastAsiaTheme="minorHAnsi" w:hAnsiTheme="minorHAnsi" w:cstheme="minorHAnsi"/>
          <w:sz w:val="24"/>
          <w:szCs w:val="24"/>
          <w:lang w:eastAsia="en-US"/>
        </w:rPr>
        <w:t xml:space="preserve"> </w:t>
      </w:r>
      <w:r w:rsidRPr="00554CA5">
        <w:rPr>
          <w:rFonts w:asciiTheme="minorHAnsi" w:eastAsiaTheme="minorHAnsi" w:hAnsiTheme="minorHAnsi" w:cstheme="minorHAnsi"/>
          <w:sz w:val="24"/>
          <w:szCs w:val="24"/>
          <w:lang w:eastAsia="en-US"/>
        </w:rPr>
        <w:t xml:space="preserve">do doby ukončení kontroly NKÚ </w:t>
      </w:r>
      <w:r w:rsidR="00F03EEB" w:rsidRPr="00554CA5">
        <w:rPr>
          <w:rFonts w:asciiTheme="minorHAnsi" w:eastAsiaTheme="minorHAnsi" w:hAnsiTheme="minorHAnsi" w:cstheme="minorHAnsi"/>
          <w:sz w:val="24"/>
          <w:szCs w:val="24"/>
          <w:lang w:eastAsia="en-US"/>
        </w:rPr>
        <w:t>např.</w:t>
      </w:r>
      <w:r w:rsidR="00431E67" w:rsidRPr="00554CA5">
        <w:rPr>
          <w:rFonts w:asciiTheme="minorHAnsi" w:eastAsiaTheme="minorHAnsi" w:hAnsiTheme="minorHAnsi" w:cstheme="minorHAnsi"/>
          <w:sz w:val="24"/>
          <w:szCs w:val="24"/>
          <w:lang w:eastAsia="en-US"/>
        </w:rPr>
        <w:t xml:space="preserve"> ve zjištěných případech </w:t>
      </w:r>
      <w:r w:rsidRPr="00554CA5">
        <w:rPr>
          <w:rFonts w:asciiTheme="minorHAnsi" w:eastAsiaTheme="minorHAnsi" w:hAnsiTheme="minorHAnsi" w:cstheme="minorHAnsi"/>
          <w:sz w:val="24"/>
          <w:szCs w:val="24"/>
          <w:lang w:eastAsia="en-US"/>
        </w:rPr>
        <w:t xml:space="preserve">nevyužil </w:t>
      </w:r>
      <w:r w:rsidR="00431E67" w:rsidRPr="00554CA5">
        <w:rPr>
          <w:rFonts w:asciiTheme="minorHAnsi" w:eastAsiaTheme="minorHAnsi" w:hAnsiTheme="minorHAnsi" w:cstheme="minorHAnsi"/>
          <w:sz w:val="24"/>
          <w:szCs w:val="24"/>
          <w:lang w:eastAsia="en-US"/>
        </w:rPr>
        <w:t xml:space="preserve">tyto </w:t>
      </w:r>
      <w:r>
        <w:rPr>
          <w:rFonts w:asciiTheme="minorHAnsi" w:eastAsiaTheme="minorHAnsi" w:hAnsiTheme="minorHAnsi" w:cstheme="minorHAnsi"/>
          <w:sz w:val="24"/>
          <w:szCs w:val="24"/>
          <w:lang w:eastAsia="en-US"/>
        </w:rPr>
        <w:t>údaje</w:t>
      </w:r>
      <w:r w:rsidR="00431E67" w:rsidRPr="00554CA5">
        <w:rPr>
          <w:rFonts w:asciiTheme="minorHAnsi" w:eastAsiaTheme="minorHAnsi" w:hAnsiTheme="minorHAnsi" w:cstheme="minorHAnsi"/>
          <w:sz w:val="24"/>
          <w:szCs w:val="24"/>
          <w:lang w:eastAsia="en-US"/>
        </w:rPr>
        <w:t xml:space="preserve"> pro účely doměřovacích řízení. Využívání dat o</w:t>
      </w:r>
      <w:r w:rsidR="00A34B1B">
        <w:rPr>
          <w:rFonts w:asciiTheme="minorHAnsi" w:eastAsiaTheme="minorHAnsi" w:hAnsiTheme="minorHAnsi" w:cstheme="minorHAnsi"/>
          <w:sz w:val="24"/>
          <w:szCs w:val="24"/>
          <w:lang w:eastAsia="en-US"/>
        </w:rPr>
        <w:t>mezovala</w:t>
      </w:r>
      <w:r w:rsidR="00431E67" w:rsidRPr="00554CA5">
        <w:rPr>
          <w:rFonts w:asciiTheme="minorHAnsi" w:eastAsiaTheme="minorHAnsi" w:hAnsiTheme="minorHAnsi" w:cstheme="minorHAnsi"/>
          <w:sz w:val="24"/>
          <w:szCs w:val="24"/>
          <w:lang w:eastAsia="en-US"/>
        </w:rPr>
        <w:t xml:space="preserve"> jejich nedostatečná kvalita (viz odst. </w:t>
      </w:r>
      <w:r w:rsidR="0053192B">
        <w:rPr>
          <w:rFonts w:asciiTheme="minorHAnsi" w:eastAsiaTheme="minorHAnsi" w:hAnsiTheme="minorHAnsi" w:cstheme="minorHAnsi"/>
          <w:sz w:val="24"/>
          <w:szCs w:val="24"/>
          <w:lang w:eastAsia="en-US"/>
        </w:rPr>
        <w:t xml:space="preserve">4.20, </w:t>
      </w:r>
      <w:r w:rsidR="00C03836" w:rsidRPr="00554CA5">
        <w:rPr>
          <w:rFonts w:asciiTheme="minorHAnsi" w:eastAsiaTheme="minorHAnsi" w:hAnsiTheme="minorHAnsi" w:cstheme="minorHAnsi"/>
          <w:sz w:val="24"/>
          <w:szCs w:val="24"/>
          <w:lang w:eastAsia="en-US"/>
        </w:rPr>
        <w:t>4.</w:t>
      </w:r>
      <w:r w:rsidR="00C9340D" w:rsidRPr="00554CA5">
        <w:rPr>
          <w:rFonts w:asciiTheme="minorHAnsi" w:eastAsiaTheme="minorHAnsi" w:hAnsiTheme="minorHAnsi" w:cstheme="minorHAnsi"/>
          <w:sz w:val="24"/>
          <w:szCs w:val="24"/>
          <w:lang w:eastAsia="en-US"/>
        </w:rPr>
        <w:t>2</w:t>
      </w:r>
      <w:r w:rsidR="00F6156C">
        <w:rPr>
          <w:rFonts w:asciiTheme="minorHAnsi" w:eastAsiaTheme="minorHAnsi" w:hAnsiTheme="minorHAnsi" w:cstheme="minorHAnsi"/>
          <w:sz w:val="24"/>
          <w:szCs w:val="24"/>
          <w:lang w:eastAsia="en-US"/>
        </w:rPr>
        <w:t>5</w:t>
      </w:r>
      <w:r w:rsidR="00431E67" w:rsidRPr="00554CA5">
        <w:rPr>
          <w:rFonts w:asciiTheme="minorHAnsi" w:eastAsiaTheme="minorHAnsi" w:hAnsiTheme="minorHAnsi" w:cstheme="minorHAnsi"/>
          <w:sz w:val="24"/>
          <w:szCs w:val="24"/>
          <w:lang w:eastAsia="en-US"/>
        </w:rPr>
        <w:t>)</w:t>
      </w:r>
      <w:r w:rsidR="00C9340D">
        <w:rPr>
          <w:rFonts w:asciiTheme="minorHAnsi" w:eastAsiaTheme="minorHAnsi" w:hAnsiTheme="minorHAnsi" w:cstheme="minorHAnsi"/>
          <w:sz w:val="24"/>
          <w:szCs w:val="24"/>
          <w:lang w:eastAsia="en-US"/>
        </w:rPr>
        <w:t>.</w:t>
      </w:r>
    </w:p>
    <w:p w14:paraId="0C37E830" w14:textId="078E1DFD" w:rsidR="001B3A74" w:rsidRPr="00554CA5" w:rsidRDefault="001B3A74" w:rsidP="001E51C9">
      <w:pPr>
        <w:pStyle w:val="Odstavecseseznamem"/>
        <w:numPr>
          <w:ilvl w:val="0"/>
          <w:numId w:val="58"/>
        </w:numPr>
        <w:spacing w:after="120"/>
        <w:ind w:left="714" w:hanging="357"/>
        <w:contextualSpacing w:val="0"/>
        <w:rPr>
          <w:rFonts w:asciiTheme="minorHAnsi" w:eastAsiaTheme="minorHAnsi" w:hAnsiTheme="minorHAnsi" w:cstheme="minorHAnsi"/>
          <w:sz w:val="24"/>
          <w:szCs w:val="24"/>
          <w:lang w:eastAsia="en-US"/>
        </w:rPr>
      </w:pPr>
      <w:r w:rsidRPr="00554CA5">
        <w:rPr>
          <w:rFonts w:asciiTheme="minorHAnsi" w:eastAsiaTheme="minorHAnsi" w:hAnsiTheme="minorHAnsi" w:cstheme="minorHAnsi"/>
          <w:sz w:val="24"/>
          <w:szCs w:val="24"/>
          <w:lang w:eastAsia="en-US"/>
        </w:rPr>
        <w:t xml:space="preserve">Efektivnost výkonu kontrolních činností správce daně </w:t>
      </w:r>
      <w:r w:rsidR="00317459">
        <w:rPr>
          <w:rFonts w:asciiTheme="minorHAnsi" w:eastAsiaTheme="minorHAnsi" w:hAnsiTheme="minorHAnsi" w:cstheme="minorHAnsi"/>
          <w:sz w:val="24"/>
          <w:szCs w:val="24"/>
          <w:lang w:eastAsia="en-US"/>
        </w:rPr>
        <w:t xml:space="preserve">z </w:t>
      </w:r>
      <w:r w:rsidRPr="00554CA5">
        <w:rPr>
          <w:rFonts w:asciiTheme="minorHAnsi" w:eastAsiaTheme="minorHAnsi" w:hAnsiTheme="minorHAnsi" w:cstheme="minorHAnsi"/>
          <w:sz w:val="24"/>
          <w:szCs w:val="24"/>
          <w:lang w:eastAsia="en-US"/>
        </w:rPr>
        <w:t>hazardních her snižovalo zasíl</w:t>
      </w:r>
      <w:r w:rsidR="00317459">
        <w:rPr>
          <w:rFonts w:asciiTheme="minorHAnsi" w:eastAsiaTheme="minorHAnsi" w:hAnsiTheme="minorHAnsi" w:cstheme="minorHAnsi"/>
          <w:sz w:val="24"/>
          <w:szCs w:val="24"/>
          <w:lang w:eastAsia="en-US"/>
        </w:rPr>
        <w:t>á</w:t>
      </w:r>
      <w:r w:rsidRPr="00554CA5">
        <w:rPr>
          <w:rFonts w:asciiTheme="minorHAnsi" w:eastAsiaTheme="minorHAnsi" w:hAnsiTheme="minorHAnsi" w:cstheme="minorHAnsi"/>
          <w:sz w:val="24"/>
          <w:szCs w:val="24"/>
          <w:lang w:eastAsia="en-US"/>
        </w:rPr>
        <w:t xml:space="preserve">ní chybných dat </w:t>
      </w:r>
      <w:r w:rsidR="00EC4090" w:rsidRPr="00554CA5">
        <w:rPr>
          <w:rFonts w:asciiTheme="minorHAnsi" w:eastAsiaTheme="minorHAnsi" w:hAnsiTheme="minorHAnsi" w:cstheme="minorHAnsi"/>
          <w:sz w:val="24"/>
          <w:szCs w:val="24"/>
          <w:lang w:eastAsia="en-US"/>
        </w:rPr>
        <w:t xml:space="preserve">ze strany </w:t>
      </w:r>
      <w:r w:rsidRPr="00554CA5">
        <w:rPr>
          <w:rFonts w:asciiTheme="minorHAnsi" w:eastAsiaTheme="minorHAnsi" w:hAnsiTheme="minorHAnsi" w:cstheme="minorHAnsi"/>
          <w:sz w:val="24"/>
          <w:szCs w:val="24"/>
          <w:lang w:eastAsia="en-US"/>
        </w:rPr>
        <w:t>provozovatel</w:t>
      </w:r>
      <w:r w:rsidR="00EC4090" w:rsidRPr="00554CA5">
        <w:rPr>
          <w:rFonts w:asciiTheme="minorHAnsi" w:eastAsiaTheme="minorHAnsi" w:hAnsiTheme="minorHAnsi" w:cstheme="minorHAnsi"/>
          <w:sz w:val="24"/>
          <w:szCs w:val="24"/>
          <w:lang w:eastAsia="en-US"/>
        </w:rPr>
        <w:t>ů</w:t>
      </w:r>
      <w:r w:rsidRPr="00554CA5">
        <w:rPr>
          <w:rFonts w:asciiTheme="minorHAnsi" w:eastAsiaTheme="minorHAnsi" w:hAnsiTheme="minorHAnsi" w:cstheme="minorHAnsi"/>
          <w:sz w:val="24"/>
          <w:szCs w:val="24"/>
          <w:lang w:eastAsia="en-US"/>
        </w:rPr>
        <w:t xml:space="preserve"> hazardních her do informačních systémů nebo obtížná využitelnost datových sestav AISG správcem daně z hazardních her. Přetrvává komplikovaný, neautomatizovaný, administrativně náročný způsob výměny a sdílení informací mezi dotčenými orgány (viz odst.</w:t>
      </w:r>
      <w:r w:rsidR="0016083C">
        <w:rPr>
          <w:rFonts w:asciiTheme="minorHAnsi" w:eastAsiaTheme="minorHAnsi" w:hAnsiTheme="minorHAnsi" w:cstheme="minorHAnsi"/>
          <w:sz w:val="24"/>
          <w:szCs w:val="24"/>
          <w:lang w:eastAsia="en-US"/>
        </w:rPr>
        <w:t xml:space="preserve"> </w:t>
      </w:r>
      <w:r w:rsidRPr="00554CA5">
        <w:rPr>
          <w:rFonts w:asciiTheme="minorHAnsi" w:eastAsiaTheme="minorHAnsi" w:hAnsiTheme="minorHAnsi" w:cstheme="minorHAnsi"/>
          <w:sz w:val="24"/>
          <w:szCs w:val="24"/>
          <w:lang w:eastAsia="en-US"/>
        </w:rPr>
        <w:t>4.</w:t>
      </w:r>
      <w:r w:rsidR="009D62C5">
        <w:rPr>
          <w:rFonts w:asciiTheme="minorHAnsi" w:eastAsiaTheme="minorHAnsi" w:hAnsiTheme="minorHAnsi" w:cstheme="minorHAnsi"/>
          <w:sz w:val="24"/>
          <w:szCs w:val="24"/>
          <w:lang w:eastAsia="en-US"/>
        </w:rPr>
        <w:t>17</w:t>
      </w:r>
      <w:r w:rsidR="00C9340D" w:rsidRPr="00554CA5">
        <w:rPr>
          <w:rFonts w:asciiTheme="minorHAnsi" w:eastAsiaTheme="minorHAnsi" w:hAnsiTheme="minorHAnsi" w:cstheme="minorHAnsi"/>
          <w:sz w:val="24"/>
          <w:szCs w:val="24"/>
          <w:lang w:eastAsia="en-US"/>
        </w:rPr>
        <w:t xml:space="preserve"> </w:t>
      </w:r>
      <w:r w:rsidR="000372E6" w:rsidRPr="00554CA5">
        <w:rPr>
          <w:rFonts w:asciiTheme="minorHAnsi" w:eastAsiaTheme="minorHAnsi" w:hAnsiTheme="minorHAnsi" w:cstheme="minorHAnsi"/>
          <w:sz w:val="24"/>
          <w:szCs w:val="24"/>
          <w:lang w:eastAsia="en-US"/>
        </w:rPr>
        <w:t>až</w:t>
      </w:r>
      <w:r w:rsidR="00142744" w:rsidRPr="00554CA5">
        <w:rPr>
          <w:rFonts w:asciiTheme="minorHAnsi" w:eastAsiaTheme="minorHAnsi" w:hAnsiTheme="minorHAnsi" w:cstheme="minorHAnsi"/>
          <w:sz w:val="24"/>
          <w:szCs w:val="24"/>
          <w:lang w:eastAsia="en-US"/>
        </w:rPr>
        <w:t xml:space="preserve"> 4.</w:t>
      </w:r>
      <w:r w:rsidR="00C9340D" w:rsidRPr="00554CA5">
        <w:rPr>
          <w:rFonts w:asciiTheme="minorHAnsi" w:eastAsiaTheme="minorHAnsi" w:hAnsiTheme="minorHAnsi" w:cstheme="minorHAnsi"/>
          <w:sz w:val="24"/>
          <w:szCs w:val="24"/>
          <w:lang w:eastAsia="en-US"/>
        </w:rPr>
        <w:t>2</w:t>
      </w:r>
      <w:r w:rsidR="009D62C5">
        <w:rPr>
          <w:rFonts w:asciiTheme="minorHAnsi" w:eastAsiaTheme="minorHAnsi" w:hAnsiTheme="minorHAnsi" w:cstheme="minorHAnsi"/>
          <w:sz w:val="24"/>
          <w:szCs w:val="24"/>
          <w:lang w:eastAsia="en-US"/>
        </w:rPr>
        <w:t>1</w:t>
      </w:r>
      <w:r w:rsidR="00553D4D" w:rsidRPr="00554CA5">
        <w:rPr>
          <w:rFonts w:asciiTheme="minorHAnsi" w:eastAsiaTheme="minorHAnsi" w:hAnsiTheme="minorHAnsi" w:cstheme="minorHAnsi"/>
          <w:sz w:val="24"/>
          <w:szCs w:val="24"/>
          <w:lang w:eastAsia="en-US"/>
        </w:rPr>
        <w:t xml:space="preserve">, </w:t>
      </w:r>
      <w:r w:rsidR="00907ECD" w:rsidRPr="00554CA5">
        <w:rPr>
          <w:rFonts w:asciiTheme="minorHAnsi" w:eastAsiaTheme="minorHAnsi" w:hAnsiTheme="minorHAnsi" w:cstheme="minorHAnsi"/>
          <w:sz w:val="24"/>
          <w:szCs w:val="24"/>
          <w:lang w:eastAsia="en-US"/>
        </w:rPr>
        <w:t>4.</w:t>
      </w:r>
      <w:r w:rsidR="00C9340D" w:rsidRPr="00554CA5">
        <w:rPr>
          <w:rFonts w:asciiTheme="minorHAnsi" w:eastAsiaTheme="minorHAnsi" w:hAnsiTheme="minorHAnsi" w:cstheme="minorHAnsi"/>
          <w:sz w:val="24"/>
          <w:szCs w:val="24"/>
          <w:lang w:eastAsia="en-US"/>
        </w:rPr>
        <w:t>2</w:t>
      </w:r>
      <w:r w:rsidR="009D62C5">
        <w:rPr>
          <w:rFonts w:asciiTheme="minorHAnsi" w:eastAsiaTheme="minorHAnsi" w:hAnsiTheme="minorHAnsi" w:cstheme="minorHAnsi"/>
          <w:sz w:val="24"/>
          <w:szCs w:val="24"/>
          <w:lang w:eastAsia="en-US"/>
        </w:rPr>
        <w:t>3</w:t>
      </w:r>
      <w:r w:rsidR="00C9340D" w:rsidRPr="00554CA5">
        <w:rPr>
          <w:rFonts w:asciiTheme="minorHAnsi" w:eastAsiaTheme="minorHAnsi" w:hAnsiTheme="minorHAnsi" w:cstheme="minorHAnsi"/>
          <w:sz w:val="24"/>
          <w:szCs w:val="24"/>
          <w:lang w:eastAsia="en-US"/>
        </w:rPr>
        <w:t xml:space="preserve"> </w:t>
      </w:r>
      <w:r w:rsidR="005603F9" w:rsidRPr="00554CA5">
        <w:rPr>
          <w:rFonts w:asciiTheme="minorHAnsi" w:eastAsiaTheme="minorHAnsi" w:hAnsiTheme="minorHAnsi" w:cstheme="minorHAnsi"/>
          <w:sz w:val="24"/>
          <w:szCs w:val="24"/>
          <w:lang w:eastAsia="en-US"/>
        </w:rPr>
        <w:t>až 4.</w:t>
      </w:r>
      <w:r w:rsidR="009D62C5">
        <w:rPr>
          <w:rFonts w:asciiTheme="minorHAnsi" w:eastAsiaTheme="minorHAnsi" w:hAnsiTheme="minorHAnsi" w:cstheme="minorHAnsi"/>
          <w:sz w:val="24"/>
          <w:szCs w:val="24"/>
          <w:lang w:eastAsia="en-US"/>
        </w:rPr>
        <w:t>2</w:t>
      </w:r>
      <w:r w:rsidR="004D76C0">
        <w:rPr>
          <w:rFonts w:asciiTheme="minorHAnsi" w:eastAsiaTheme="minorHAnsi" w:hAnsiTheme="minorHAnsi" w:cstheme="minorHAnsi"/>
          <w:sz w:val="24"/>
          <w:szCs w:val="24"/>
          <w:lang w:eastAsia="en-US"/>
        </w:rPr>
        <w:t>8</w:t>
      </w:r>
      <w:r w:rsidRPr="00554CA5">
        <w:rPr>
          <w:rFonts w:asciiTheme="minorHAnsi" w:eastAsiaTheme="minorHAnsi" w:hAnsiTheme="minorHAnsi" w:cstheme="minorHAnsi"/>
          <w:sz w:val="24"/>
          <w:szCs w:val="24"/>
          <w:lang w:eastAsia="en-US"/>
        </w:rPr>
        <w:t>)</w:t>
      </w:r>
      <w:r w:rsidR="00C9340D">
        <w:rPr>
          <w:rFonts w:asciiTheme="minorHAnsi" w:eastAsiaTheme="minorHAnsi" w:hAnsiTheme="minorHAnsi" w:cstheme="minorHAnsi"/>
          <w:sz w:val="24"/>
          <w:szCs w:val="24"/>
          <w:lang w:eastAsia="en-US"/>
        </w:rPr>
        <w:t>.</w:t>
      </w:r>
    </w:p>
    <w:p w14:paraId="097BD4B9" w14:textId="0437200D" w:rsidR="00431E67" w:rsidRPr="008142C5" w:rsidRDefault="00431E67" w:rsidP="00A36482">
      <w:pPr>
        <w:pStyle w:val="Odstavecseseznamem"/>
        <w:numPr>
          <w:ilvl w:val="0"/>
          <w:numId w:val="58"/>
        </w:numPr>
        <w:spacing w:after="120"/>
        <w:rPr>
          <w:rFonts w:asciiTheme="minorHAnsi" w:eastAsiaTheme="minorHAnsi" w:hAnsiTheme="minorHAnsi" w:cstheme="minorHAnsi"/>
          <w:sz w:val="24"/>
          <w:szCs w:val="24"/>
          <w:lang w:eastAsia="en-US"/>
        </w:rPr>
      </w:pPr>
      <w:bookmarkStart w:id="6" w:name="_Hlk134531497"/>
      <w:r w:rsidRPr="00554CA5">
        <w:rPr>
          <w:rFonts w:asciiTheme="minorHAnsi" w:eastAsiaTheme="minorHAnsi" w:hAnsiTheme="minorHAnsi" w:cstheme="minorHAnsi"/>
          <w:sz w:val="24"/>
          <w:szCs w:val="24"/>
          <w:lang w:eastAsia="en-US"/>
        </w:rPr>
        <w:t>Neúplnost a nespolehlivost dat v IS SDSL</w:t>
      </w:r>
      <w:r w:rsidR="00D029C2" w:rsidRPr="00554CA5">
        <w:rPr>
          <w:rFonts w:asciiTheme="minorHAnsi" w:eastAsiaTheme="minorHAnsi" w:hAnsiTheme="minorHAnsi" w:cstheme="minorHAnsi"/>
          <w:sz w:val="24"/>
          <w:szCs w:val="24"/>
          <w:lang w:eastAsia="en-US"/>
        </w:rPr>
        <w:t xml:space="preserve"> </w:t>
      </w:r>
      <w:r w:rsidR="00E84374" w:rsidRPr="00554CA5">
        <w:rPr>
          <w:rFonts w:asciiTheme="minorHAnsi" w:eastAsiaTheme="minorHAnsi" w:hAnsiTheme="minorHAnsi" w:cstheme="minorHAnsi"/>
          <w:sz w:val="24"/>
          <w:szCs w:val="24"/>
          <w:lang w:eastAsia="en-US"/>
        </w:rPr>
        <w:t>snižovaly</w:t>
      </w:r>
      <w:r w:rsidR="00033738" w:rsidRPr="00554CA5">
        <w:rPr>
          <w:rFonts w:asciiTheme="minorHAnsi" w:eastAsiaTheme="minorHAnsi" w:hAnsiTheme="minorHAnsi" w:cstheme="minorHAnsi"/>
          <w:sz w:val="24"/>
          <w:szCs w:val="24"/>
          <w:lang w:eastAsia="en-US"/>
        </w:rPr>
        <w:t xml:space="preserve"> </w:t>
      </w:r>
      <w:r w:rsidRPr="00554CA5">
        <w:rPr>
          <w:rFonts w:asciiTheme="minorHAnsi" w:eastAsiaTheme="minorHAnsi" w:hAnsiTheme="minorHAnsi" w:cstheme="minorHAnsi"/>
          <w:sz w:val="24"/>
          <w:szCs w:val="24"/>
          <w:lang w:eastAsia="en-US"/>
        </w:rPr>
        <w:t>efektivnost</w:t>
      </w:r>
      <w:r w:rsidRPr="00554CA5" w:rsidDel="00033738">
        <w:rPr>
          <w:rFonts w:asciiTheme="minorHAnsi" w:eastAsiaTheme="minorHAnsi" w:hAnsiTheme="minorHAnsi" w:cstheme="minorHAnsi"/>
          <w:sz w:val="24"/>
          <w:szCs w:val="24"/>
          <w:lang w:eastAsia="en-US"/>
        </w:rPr>
        <w:t xml:space="preserve"> </w:t>
      </w:r>
      <w:r w:rsidRPr="00554CA5">
        <w:rPr>
          <w:rFonts w:asciiTheme="minorHAnsi" w:eastAsiaTheme="minorHAnsi" w:hAnsiTheme="minorHAnsi" w:cstheme="minorHAnsi"/>
          <w:sz w:val="24"/>
          <w:szCs w:val="24"/>
          <w:lang w:eastAsia="en-US"/>
        </w:rPr>
        <w:t>výkonu kontrolních činností správce daně z hazardních her</w:t>
      </w:r>
      <w:r w:rsidR="006B2946" w:rsidRPr="00554CA5">
        <w:rPr>
          <w:rFonts w:asciiTheme="minorHAnsi" w:eastAsiaTheme="minorHAnsi" w:hAnsiTheme="minorHAnsi" w:cstheme="minorHAnsi"/>
          <w:sz w:val="24"/>
          <w:szCs w:val="24"/>
          <w:lang w:eastAsia="en-US"/>
        </w:rPr>
        <w:t xml:space="preserve"> vzhledem k nutnosti tyto informace pro účely daňového řízení dodatečně ověřovat z jiných zdrojů</w:t>
      </w:r>
      <w:r w:rsidRPr="00554CA5">
        <w:rPr>
          <w:rFonts w:asciiTheme="minorHAnsi" w:eastAsiaTheme="minorHAnsi" w:hAnsiTheme="minorHAnsi" w:cstheme="minorHAnsi"/>
          <w:sz w:val="24"/>
          <w:szCs w:val="24"/>
          <w:lang w:eastAsia="en-US"/>
        </w:rPr>
        <w:t xml:space="preserve"> (viz odst. </w:t>
      </w:r>
      <w:r w:rsidR="006928E0" w:rsidRPr="00554CA5">
        <w:rPr>
          <w:rFonts w:asciiTheme="minorHAnsi" w:eastAsiaTheme="minorHAnsi" w:hAnsiTheme="minorHAnsi" w:cstheme="minorHAnsi"/>
          <w:sz w:val="24"/>
          <w:szCs w:val="24"/>
          <w:lang w:eastAsia="en-US"/>
        </w:rPr>
        <w:t>4.</w:t>
      </w:r>
      <w:r w:rsidR="00C9340D">
        <w:rPr>
          <w:rFonts w:asciiTheme="minorHAnsi" w:eastAsiaTheme="minorHAnsi" w:hAnsiTheme="minorHAnsi" w:cstheme="minorHAnsi"/>
          <w:sz w:val="24"/>
          <w:szCs w:val="24"/>
          <w:lang w:eastAsia="en-US"/>
        </w:rPr>
        <w:t>19</w:t>
      </w:r>
      <w:r w:rsidRPr="008142C5">
        <w:rPr>
          <w:rFonts w:asciiTheme="minorHAnsi" w:eastAsiaTheme="minorHAnsi" w:hAnsiTheme="minorHAnsi" w:cstheme="minorHAnsi"/>
          <w:sz w:val="24"/>
          <w:szCs w:val="24"/>
          <w:lang w:eastAsia="en-US"/>
        </w:rPr>
        <w:t>)</w:t>
      </w:r>
      <w:r w:rsidR="00C9340D">
        <w:rPr>
          <w:rFonts w:asciiTheme="minorHAnsi" w:eastAsiaTheme="minorHAnsi" w:hAnsiTheme="minorHAnsi" w:cstheme="minorHAnsi"/>
          <w:sz w:val="24"/>
          <w:szCs w:val="24"/>
          <w:lang w:eastAsia="en-US"/>
        </w:rPr>
        <w:t>.</w:t>
      </w:r>
      <w:r w:rsidRPr="008142C5">
        <w:rPr>
          <w:rFonts w:asciiTheme="minorHAnsi" w:eastAsiaTheme="minorHAnsi" w:hAnsiTheme="minorHAnsi" w:cstheme="minorHAnsi"/>
          <w:sz w:val="24"/>
          <w:szCs w:val="24"/>
          <w:lang w:eastAsia="en-US"/>
        </w:rPr>
        <w:t xml:space="preserve"> </w:t>
      </w:r>
    </w:p>
    <w:bookmarkEnd w:id="6"/>
    <w:p w14:paraId="35C1CDD1" w14:textId="7AA3B0ED" w:rsidR="00431E67" w:rsidRPr="00A8246F" w:rsidRDefault="00B61403" w:rsidP="00A36482">
      <w:pPr>
        <w:pStyle w:val="Nadpis1"/>
        <w:numPr>
          <w:ilvl w:val="0"/>
          <w:numId w:val="0"/>
        </w:numPr>
        <w:spacing w:before="0" w:line="240" w:lineRule="auto"/>
        <w:jc w:val="both"/>
        <w:rPr>
          <w:rFonts w:asciiTheme="minorHAnsi" w:hAnsiTheme="minorHAnsi"/>
          <w:color w:val="auto"/>
        </w:rPr>
      </w:pPr>
      <w:r>
        <w:rPr>
          <w:rFonts w:asciiTheme="minorHAnsi" w:hAnsiTheme="minorHAnsi"/>
          <w:color w:val="auto"/>
        </w:rPr>
        <w:t>1.3</w:t>
      </w:r>
      <w:r w:rsidR="00A8246F">
        <w:rPr>
          <w:rFonts w:asciiTheme="minorHAnsi" w:hAnsiTheme="minorHAnsi"/>
          <w:color w:val="auto"/>
        </w:rPr>
        <w:t xml:space="preserve"> </w:t>
      </w:r>
      <w:r w:rsidR="00431E67" w:rsidRPr="00A8246F">
        <w:rPr>
          <w:rFonts w:asciiTheme="minorHAnsi" w:hAnsiTheme="minorHAnsi"/>
          <w:color w:val="auto"/>
        </w:rPr>
        <w:t xml:space="preserve">Státní podnik SPCSS nepostupoval při realizaci veřejných zakázek na systém AISG v souladu se zákonem o zadávání veřejných zakázek. </w:t>
      </w:r>
    </w:p>
    <w:p w14:paraId="38CC0FF3" w14:textId="7D17B3E5" w:rsidR="00431E67" w:rsidRPr="00554CA5" w:rsidRDefault="00431E67" w:rsidP="00BA1024">
      <w:pPr>
        <w:pStyle w:val="Odstavecseseznamem"/>
        <w:numPr>
          <w:ilvl w:val="0"/>
          <w:numId w:val="64"/>
        </w:numPr>
        <w:spacing w:after="120"/>
        <w:rPr>
          <w:rFonts w:asciiTheme="minorHAnsi" w:hAnsiTheme="minorHAnsi"/>
          <w:sz w:val="24"/>
          <w:szCs w:val="24"/>
        </w:rPr>
      </w:pPr>
      <w:r w:rsidRPr="003947AF">
        <w:rPr>
          <w:sz w:val="24"/>
          <w:szCs w:val="24"/>
        </w:rPr>
        <w:t>Státní podnik SPCSS</w:t>
      </w:r>
      <w:r w:rsidR="00B61403" w:rsidRPr="003947AF">
        <w:rPr>
          <w:rFonts w:asciiTheme="minorHAnsi" w:hAnsiTheme="minorHAnsi"/>
          <w:sz w:val="24"/>
          <w:szCs w:val="24"/>
        </w:rPr>
        <w:t xml:space="preserve">, který na základě vertikální spolupráce </w:t>
      </w:r>
      <w:r w:rsidR="00BE11D7">
        <w:rPr>
          <w:rFonts w:asciiTheme="minorHAnsi" w:hAnsiTheme="minorHAnsi"/>
          <w:sz w:val="24"/>
          <w:szCs w:val="24"/>
        </w:rPr>
        <w:t xml:space="preserve">s MF </w:t>
      </w:r>
      <w:r w:rsidR="00B61403" w:rsidRPr="003947AF">
        <w:rPr>
          <w:rFonts w:asciiTheme="minorHAnsi" w:hAnsiTheme="minorHAnsi"/>
          <w:sz w:val="24"/>
          <w:szCs w:val="24"/>
        </w:rPr>
        <w:t xml:space="preserve">zajišťoval </w:t>
      </w:r>
      <w:r w:rsidR="00195B93" w:rsidRPr="003947AF">
        <w:rPr>
          <w:rFonts w:asciiTheme="minorHAnsi" w:hAnsiTheme="minorHAnsi"/>
          <w:sz w:val="24"/>
          <w:szCs w:val="24"/>
        </w:rPr>
        <w:t xml:space="preserve">provoz celého AISG a </w:t>
      </w:r>
      <w:r w:rsidR="00B61403" w:rsidRPr="003947AF">
        <w:rPr>
          <w:rFonts w:asciiTheme="minorHAnsi" w:hAnsiTheme="minorHAnsi"/>
          <w:sz w:val="24"/>
          <w:szCs w:val="24"/>
        </w:rPr>
        <w:t xml:space="preserve">dodávku jednoho ze tří modulů AISG, opakovaně nezadával veřejné </w:t>
      </w:r>
      <w:r w:rsidR="00B61403" w:rsidRPr="003947AF">
        <w:rPr>
          <w:rFonts w:asciiTheme="minorHAnsi" w:hAnsiTheme="minorHAnsi"/>
          <w:sz w:val="24"/>
          <w:szCs w:val="24"/>
        </w:rPr>
        <w:lastRenderedPageBreak/>
        <w:t xml:space="preserve">zakázky </w:t>
      </w:r>
      <w:r w:rsidR="00E00C0E" w:rsidRPr="003947AF">
        <w:rPr>
          <w:rFonts w:asciiTheme="minorHAnsi" w:hAnsiTheme="minorHAnsi"/>
          <w:sz w:val="24"/>
          <w:szCs w:val="24"/>
        </w:rPr>
        <w:t>(dále také „VZ“)</w:t>
      </w:r>
      <w:r w:rsidR="00B61403" w:rsidRPr="003947AF">
        <w:rPr>
          <w:rFonts w:asciiTheme="minorHAnsi" w:hAnsiTheme="minorHAnsi"/>
          <w:sz w:val="24"/>
          <w:szCs w:val="24"/>
        </w:rPr>
        <w:t xml:space="preserve"> na subdodávky</w:t>
      </w:r>
      <w:r w:rsidR="00EF6470" w:rsidRPr="003947AF">
        <w:rPr>
          <w:rFonts w:asciiTheme="minorHAnsi" w:hAnsiTheme="minorHAnsi"/>
          <w:sz w:val="24"/>
          <w:szCs w:val="24"/>
        </w:rPr>
        <w:t xml:space="preserve"> </w:t>
      </w:r>
      <w:r w:rsidR="00EF6470" w:rsidRPr="00554CA5">
        <w:rPr>
          <w:rFonts w:asciiTheme="minorHAnsi" w:hAnsiTheme="minorHAnsi"/>
          <w:sz w:val="24"/>
          <w:szCs w:val="24"/>
        </w:rPr>
        <w:t xml:space="preserve">v </w:t>
      </w:r>
      <w:r w:rsidRPr="00554CA5">
        <w:rPr>
          <w:rFonts w:asciiTheme="minorHAnsi" w:hAnsiTheme="minorHAnsi"/>
          <w:sz w:val="24"/>
          <w:szCs w:val="24"/>
        </w:rPr>
        <w:t>zákonem stanovených druzích zadávacích řízení podle</w:t>
      </w:r>
      <w:r w:rsidR="00D0225F">
        <w:rPr>
          <w:rFonts w:asciiTheme="minorHAnsi" w:hAnsiTheme="minorHAnsi"/>
          <w:sz w:val="24"/>
          <w:szCs w:val="24"/>
        </w:rPr>
        <w:t xml:space="preserve"> ZZVZ</w:t>
      </w:r>
      <w:r w:rsidR="00D0225F" w:rsidRPr="00554CA5">
        <w:rPr>
          <w:sz w:val="24"/>
          <w:szCs w:val="24"/>
          <w:vertAlign w:val="superscript"/>
        </w:rPr>
        <w:footnoteReference w:id="7"/>
      </w:r>
      <w:r w:rsidR="00B61403" w:rsidRPr="00554CA5">
        <w:rPr>
          <w:rFonts w:asciiTheme="minorHAnsi" w:hAnsiTheme="minorHAnsi"/>
          <w:sz w:val="24"/>
          <w:szCs w:val="24"/>
        </w:rPr>
        <w:t>. V</w:t>
      </w:r>
      <w:r w:rsidR="008C7CA7">
        <w:rPr>
          <w:rFonts w:asciiTheme="minorHAnsi" w:hAnsiTheme="minorHAnsi"/>
          <w:sz w:val="24"/>
          <w:szCs w:val="24"/>
        </w:rPr>
        <w:t xml:space="preserve"> </w:t>
      </w:r>
      <w:r w:rsidR="00B61403" w:rsidRPr="00554CA5">
        <w:rPr>
          <w:rFonts w:asciiTheme="minorHAnsi" w:hAnsiTheme="minorHAnsi"/>
          <w:sz w:val="24"/>
          <w:szCs w:val="24"/>
        </w:rPr>
        <w:t xml:space="preserve">některých případech </w:t>
      </w:r>
      <w:r w:rsidR="00BE11D7" w:rsidRPr="00554CA5">
        <w:rPr>
          <w:rFonts w:asciiTheme="minorHAnsi" w:hAnsiTheme="minorHAnsi"/>
          <w:sz w:val="24"/>
          <w:szCs w:val="24"/>
        </w:rPr>
        <w:t xml:space="preserve">také </w:t>
      </w:r>
      <w:r w:rsidR="00B61403" w:rsidRPr="00554CA5">
        <w:rPr>
          <w:rFonts w:asciiTheme="minorHAnsi" w:hAnsiTheme="minorHAnsi"/>
          <w:sz w:val="24"/>
          <w:szCs w:val="24"/>
        </w:rPr>
        <w:t>nepostupoval v</w:t>
      </w:r>
      <w:r w:rsidR="008C7CA7">
        <w:rPr>
          <w:rFonts w:asciiTheme="minorHAnsi" w:hAnsiTheme="minorHAnsi"/>
          <w:sz w:val="24"/>
          <w:szCs w:val="24"/>
        </w:rPr>
        <w:t xml:space="preserve"> </w:t>
      </w:r>
      <w:r w:rsidR="00B61403" w:rsidRPr="00554CA5">
        <w:rPr>
          <w:rFonts w:asciiTheme="minorHAnsi" w:hAnsiTheme="minorHAnsi"/>
          <w:sz w:val="24"/>
          <w:szCs w:val="24"/>
        </w:rPr>
        <w:t>souladu se zásadou transparentnosti dle tohoto zákona</w:t>
      </w:r>
      <w:r w:rsidR="00EF6470" w:rsidRPr="00554CA5">
        <w:rPr>
          <w:rStyle w:val="Znakapoznpodarou"/>
          <w:rFonts w:asciiTheme="minorHAnsi" w:hAnsiTheme="minorHAnsi"/>
          <w:sz w:val="24"/>
          <w:szCs w:val="24"/>
        </w:rPr>
        <w:footnoteReference w:id="8"/>
      </w:r>
      <w:r w:rsidR="00491BBE" w:rsidRPr="00554CA5">
        <w:rPr>
          <w:rFonts w:asciiTheme="minorHAnsi" w:hAnsiTheme="minorHAnsi"/>
          <w:sz w:val="24"/>
          <w:szCs w:val="24"/>
        </w:rPr>
        <w:t xml:space="preserve"> </w:t>
      </w:r>
      <w:r w:rsidRPr="00554CA5">
        <w:rPr>
          <w:rFonts w:asciiTheme="minorHAnsi" w:hAnsiTheme="minorHAnsi"/>
          <w:sz w:val="24"/>
          <w:szCs w:val="24"/>
        </w:rPr>
        <w:t>(viz odst</w:t>
      </w:r>
      <w:r w:rsidR="00104841" w:rsidRPr="00554CA5">
        <w:rPr>
          <w:rFonts w:asciiTheme="minorHAnsi" w:hAnsiTheme="minorHAnsi"/>
          <w:sz w:val="24"/>
          <w:szCs w:val="24"/>
        </w:rPr>
        <w:t>.</w:t>
      </w:r>
      <w:r w:rsidR="00553D4D" w:rsidRPr="00554CA5">
        <w:rPr>
          <w:rFonts w:asciiTheme="minorHAnsi" w:hAnsiTheme="minorHAnsi"/>
          <w:sz w:val="24"/>
          <w:szCs w:val="24"/>
        </w:rPr>
        <w:t xml:space="preserve"> 4.7</w:t>
      </w:r>
      <w:r w:rsidR="002458F5" w:rsidRPr="00554CA5">
        <w:rPr>
          <w:rFonts w:asciiTheme="minorHAnsi" w:hAnsiTheme="minorHAnsi"/>
          <w:sz w:val="24"/>
          <w:szCs w:val="24"/>
        </w:rPr>
        <w:t>, 4.8</w:t>
      </w:r>
      <w:r w:rsidRPr="00554CA5" w:rsidDel="00104841">
        <w:rPr>
          <w:rFonts w:asciiTheme="minorHAnsi" w:hAnsiTheme="minorHAnsi"/>
          <w:sz w:val="24"/>
          <w:szCs w:val="24"/>
        </w:rPr>
        <w:t>)</w:t>
      </w:r>
      <w:r w:rsidR="00C9340D">
        <w:rPr>
          <w:rFonts w:asciiTheme="minorHAnsi" w:hAnsiTheme="minorHAnsi"/>
          <w:sz w:val="24"/>
          <w:szCs w:val="24"/>
        </w:rPr>
        <w:t>.</w:t>
      </w:r>
    </w:p>
    <w:p w14:paraId="5108E82F" w14:textId="3B987F6E" w:rsidR="00F443E0" w:rsidRPr="00554CA5" w:rsidRDefault="00B61403" w:rsidP="00A36482">
      <w:pPr>
        <w:pStyle w:val="Nadpis1"/>
        <w:numPr>
          <w:ilvl w:val="0"/>
          <w:numId w:val="0"/>
        </w:numPr>
        <w:spacing w:before="0" w:line="240" w:lineRule="auto"/>
        <w:jc w:val="both"/>
        <w:rPr>
          <w:rFonts w:asciiTheme="minorHAnsi" w:hAnsiTheme="minorHAnsi"/>
          <w:color w:val="auto"/>
        </w:rPr>
      </w:pPr>
      <w:r w:rsidRPr="00554CA5">
        <w:rPr>
          <w:rFonts w:asciiTheme="minorHAnsi" w:hAnsiTheme="minorHAnsi"/>
          <w:color w:val="auto"/>
        </w:rPr>
        <w:t>1.4</w:t>
      </w:r>
      <w:r w:rsidR="00A8246F" w:rsidRPr="00554CA5">
        <w:rPr>
          <w:rFonts w:asciiTheme="minorHAnsi" w:hAnsiTheme="minorHAnsi"/>
          <w:color w:val="auto"/>
        </w:rPr>
        <w:t xml:space="preserve"> </w:t>
      </w:r>
      <w:r w:rsidR="00431E67" w:rsidRPr="00554CA5">
        <w:rPr>
          <w:rFonts w:asciiTheme="minorHAnsi" w:hAnsiTheme="minorHAnsi"/>
          <w:color w:val="auto"/>
        </w:rPr>
        <w:t xml:space="preserve">Ministerstvo financí a Specializovaný finanční úřad nepostupovaly při výkonu činností </w:t>
      </w:r>
      <w:r w:rsidR="008C7CA7">
        <w:rPr>
          <w:rFonts w:asciiTheme="minorHAnsi" w:hAnsiTheme="minorHAnsi"/>
          <w:color w:val="auto"/>
        </w:rPr>
        <w:br/>
      </w:r>
      <w:r w:rsidR="00431E67" w:rsidRPr="00554CA5">
        <w:rPr>
          <w:rFonts w:asciiTheme="minorHAnsi" w:hAnsiTheme="minorHAnsi"/>
          <w:color w:val="auto"/>
        </w:rPr>
        <w:t>v</w:t>
      </w:r>
      <w:r w:rsidR="008C7CA7">
        <w:rPr>
          <w:rFonts w:asciiTheme="minorHAnsi" w:hAnsiTheme="minorHAnsi"/>
          <w:color w:val="auto"/>
        </w:rPr>
        <w:t xml:space="preserve"> </w:t>
      </w:r>
      <w:r w:rsidR="00431E67" w:rsidRPr="00554CA5">
        <w:rPr>
          <w:rFonts w:asciiTheme="minorHAnsi" w:hAnsiTheme="minorHAnsi"/>
          <w:color w:val="auto"/>
        </w:rPr>
        <w:t>oblasti hazardních her a daně z hazardních her ve zjištěných případech v souladu s</w:t>
      </w:r>
      <w:r w:rsidR="005430D2" w:rsidRPr="00554CA5">
        <w:rPr>
          <w:rFonts w:asciiTheme="minorHAnsi" w:hAnsiTheme="minorHAnsi"/>
          <w:color w:val="auto"/>
        </w:rPr>
        <w:t> </w:t>
      </w:r>
      <w:r w:rsidR="00431E67" w:rsidRPr="00554CA5">
        <w:rPr>
          <w:rFonts w:asciiTheme="minorHAnsi" w:hAnsiTheme="minorHAnsi"/>
          <w:color w:val="auto"/>
        </w:rPr>
        <w:t>právními předpisy</w:t>
      </w:r>
      <w:r w:rsidR="00BE11D7">
        <w:rPr>
          <w:rFonts w:asciiTheme="minorHAnsi" w:hAnsiTheme="minorHAnsi"/>
          <w:color w:val="auto"/>
        </w:rPr>
        <w:t>;</w:t>
      </w:r>
      <w:r w:rsidR="009D5F5F">
        <w:rPr>
          <w:rFonts w:asciiTheme="minorHAnsi" w:hAnsiTheme="minorHAnsi"/>
          <w:color w:val="auto"/>
        </w:rPr>
        <w:t xml:space="preserve"> MF nevyužívalo své zákonné oprávnění</w:t>
      </w:r>
      <w:r w:rsidR="00431E67" w:rsidRPr="00554CA5">
        <w:rPr>
          <w:rFonts w:asciiTheme="minorHAnsi" w:hAnsiTheme="minorHAnsi"/>
          <w:color w:val="auto"/>
        </w:rPr>
        <w:t>.</w:t>
      </w:r>
    </w:p>
    <w:p w14:paraId="1402D19E" w14:textId="0C3AF32E" w:rsidR="0003568B" w:rsidRPr="00554CA5" w:rsidRDefault="0003568B" w:rsidP="001E51C9">
      <w:pPr>
        <w:pStyle w:val="Odstavecseseznamem"/>
        <w:numPr>
          <w:ilvl w:val="0"/>
          <w:numId w:val="58"/>
        </w:numPr>
        <w:autoSpaceDE w:val="0"/>
        <w:autoSpaceDN w:val="0"/>
        <w:adjustRightInd w:val="0"/>
        <w:spacing w:after="120" w:line="259" w:lineRule="auto"/>
        <w:ind w:left="714" w:hanging="357"/>
        <w:contextualSpacing w:val="0"/>
        <w:rPr>
          <w:rFonts w:eastAsiaTheme="majorEastAsia" w:cs="Calibri"/>
          <w:sz w:val="24"/>
          <w:szCs w:val="24"/>
        </w:rPr>
      </w:pPr>
      <w:bookmarkStart w:id="7" w:name="_Hlk133370327"/>
      <w:r w:rsidRPr="00554CA5">
        <w:rPr>
          <w:rFonts w:eastAsiaTheme="majorEastAsia" w:cs="Calibri"/>
          <w:sz w:val="24"/>
          <w:szCs w:val="24"/>
        </w:rPr>
        <w:t xml:space="preserve">MF při správě </w:t>
      </w:r>
      <w:r w:rsidR="00C6354E" w:rsidRPr="00554CA5">
        <w:rPr>
          <w:rFonts w:eastAsiaTheme="majorEastAsia" w:cs="Calibri"/>
          <w:sz w:val="24"/>
          <w:szCs w:val="24"/>
        </w:rPr>
        <w:t xml:space="preserve">jistot a </w:t>
      </w:r>
      <w:r w:rsidRPr="00554CA5">
        <w:rPr>
          <w:rFonts w:eastAsiaTheme="majorEastAsia" w:cs="Calibri"/>
          <w:sz w:val="24"/>
          <w:szCs w:val="24"/>
        </w:rPr>
        <w:t xml:space="preserve">kaucí složených provozovateli opakovaně nepostupovalo v souladu se </w:t>
      </w:r>
      <w:r w:rsidR="00073B4A" w:rsidRPr="00554CA5">
        <w:rPr>
          <w:rFonts w:eastAsiaTheme="majorEastAsia" w:cs="Calibri"/>
          <w:sz w:val="24"/>
          <w:szCs w:val="24"/>
        </w:rPr>
        <w:t xml:space="preserve">ZoL a </w:t>
      </w:r>
      <w:r w:rsidRPr="00554CA5">
        <w:rPr>
          <w:rFonts w:eastAsiaTheme="majorEastAsia" w:cs="Calibri"/>
          <w:sz w:val="24"/>
          <w:szCs w:val="24"/>
        </w:rPr>
        <w:t>ZHH</w:t>
      </w:r>
      <w:r w:rsidR="00AB36B2">
        <w:rPr>
          <w:rFonts w:eastAsiaTheme="majorEastAsia" w:cs="Calibri"/>
          <w:sz w:val="24"/>
          <w:szCs w:val="24"/>
        </w:rPr>
        <w:t>.</w:t>
      </w:r>
      <w:r w:rsidRPr="00554CA5">
        <w:rPr>
          <w:rFonts w:eastAsiaTheme="majorEastAsia" w:cs="Calibri"/>
          <w:sz w:val="24"/>
          <w:szCs w:val="24"/>
        </w:rPr>
        <w:t xml:space="preserve"> </w:t>
      </w:r>
      <w:bookmarkEnd w:id="7"/>
      <w:r w:rsidRPr="00554CA5">
        <w:rPr>
          <w:rFonts w:eastAsiaTheme="majorEastAsia" w:cs="Calibri"/>
          <w:sz w:val="24"/>
          <w:szCs w:val="24"/>
        </w:rPr>
        <w:t xml:space="preserve">NKÚ zjistil, že </w:t>
      </w:r>
      <w:r w:rsidR="00BE11D7" w:rsidRPr="00554CA5">
        <w:rPr>
          <w:rFonts w:eastAsiaTheme="majorEastAsia" w:cs="Calibri"/>
          <w:sz w:val="24"/>
          <w:szCs w:val="24"/>
        </w:rPr>
        <w:t xml:space="preserve">MF </w:t>
      </w:r>
      <w:r w:rsidRPr="00554CA5">
        <w:rPr>
          <w:rFonts w:eastAsiaTheme="majorEastAsia" w:cs="Calibri"/>
          <w:sz w:val="24"/>
          <w:szCs w:val="24"/>
        </w:rPr>
        <w:t xml:space="preserve">v některých případech i při existenci daňových nedoplatků vrátilo </w:t>
      </w:r>
      <w:r w:rsidR="00BE11D7" w:rsidRPr="00554CA5">
        <w:rPr>
          <w:rFonts w:eastAsiaTheme="majorEastAsia" w:cs="Calibri"/>
          <w:sz w:val="24"/>
          <w:szCs w:val="24"/>
        </w:rPr>
        <w:t xml:space="preserve">kauci </w:t>
      </w:r>
      <w:r w:rsidRPr="00554CA5">
        <w:rPr>
          <w:rFonts w:eastAsiaTheme="majorEastAsia" w:cs="Calibri"/>
          <w:sz w:val="24"/>
          <w:szCs w:val="24"/>
        </w:rPr>
        <w:t xml:space="preserve">provozovateli nebo nečinilo žádné kroky až do skončení platnosti poskytnuté kauce. MF bylo také téměř </w:t>
      </w:r>
      <w:r w:rsidR="00BE11D7">
        <w:rPr>
          <w:rFonts w:eastAsiaTheme="majorEastAsia" w:cs="Calibri"/>
          <w:sz w:val="24"/>
          <w:szCs w:val="24"/>
        </w:rPr>
        <w:t>dva</w:t>
      </w:r>
      <w:r w:rsidRPr="00554CA5">
        <w:rPr>
          <w:rFonts w:eastAsiaTheme="majorEastAsia" w:cs="Calibri"/>
          <w:sz w:val="24"/>
          <w:szCs w:val="24"/>
        </w:rPr>
        <w:t xml:space="preserve"> roky bezdůvodně nečinné a nerozhodlo o podaném rozkladu proti zrušení základního povolení a během této doby skončila platnost poskytnuté kauce. V důsledku postupů MF se staly pohledávky státu </w:t>
      </w:r>
      <w:r w:rsidR="00200F4A" w:rsidRPr="00554CA5">
        <w:rPr>
          <w:rFonts w:eastAsiaTheme="majorEastAsia" w:cs="Calibri"/>
          <w:sz w:val="24"/>
          <w:szCs w:val="24"/>
        </w:rPr>
        <w:t xml:space="preserve">ve formě </w:t>
      </w:r>
      <w:r w:rsidR="006129FD" w:rsidRPr="00554CA5">
        <w:rPr>
          <w:rFonts w:eastAsiaTheme="majorEastAsia" w:cs="Calibri"/>
          <w:sz w:val="24"/>
          <w:szCs w:val="24"/>
        </w:rPr>
        <w:t xml:space="preserve">neuhrazené </w:t>
      </w:r>
      <w:r w:rsidR="00200F4A" w:rsidRPr="00554CA5">
        <w:rPr>
          <w:rFonts w:eastAsiaTheme="majorEastAsia" w:cs="Calibri"/>
          <w:sz w:val="24"/>
          <w:szCs w:val="24"/>
        </w:rPr>
        <w:t>daně z</w:t>
      </w:r>
      <w:r w:rsidR="004F0462" w:rsidRPr="00554CA5">
        <w:rPr>
          <w:rFonts w:eastAsiaTheme="majorEastAsia" w:cs="Calibri"/>
          <w:sz w:val="24"/>
          <w:szCs w:val="24"/>
        </w:rPr>
        <w:t> hazardních her</w:t>
      </w:r>
      <w:r w:rsidRPr="00554CA5">
        <w:rPr>
          <w:rFonts w:eastAsiaTheme="majorEastAsia" w:cs="Calibri"/>
          <w:sz w:val="24"/>
          <w:szCs w:val="24"/>
        </w:rPr>
        <w:t xml:space="preserve"> ve výši desítek milionů korun nezajištěnými (viz</w:t>
      </w:r>
      <w:r w:rsidR="00A72674" w:rsidRPr="00554CA5">
        <w:rPr>
          <w:rFonts w:eastAsiaTheme="majorEastAsia" w:cs="Calibri"/>
          <w:sz w:val="24"/>
          <w:szCs w:val="24"/>
        </w:rPr>
        <w:t xml:space="preserve"> </w:t>
      </w:r>
      <w:r w:rsidR="00A72674" w:rsidRPr="00554CA5">
        <w:rPr>
          <w:rFonts w:asciiTheme="minorHAnsi" w:hAnsiTheme="minorHAnsi"/>
          <w:sz w:val="24"/>
          <w:szCs w:val="24"/>
        </w:rPr>
        <w:t>odst. 4.</w:t>
      </w:r>
      <w:r w:rsidR="00C9340D" w:rsidRPr="00554CA5">
        <w:rPr>
          <w:rFonts w:asciiTheme="minorHAnsi" w:hAnsiTheme="minorHAnsi"/>
          <w:sz w:val="24"/>
          <w:szCs w:val="24"/>
        </w:rPr>
        <w:t>3</w:t>
      </w:r>
      <w:r w:rsidR="004D76C0">
        <w:rPr>
          <w:rFonts w:asciiTheme="minorHAnsi" w:hAnsiTheme="minorHAnsi"/>
          <w:sz w:val="24"/>
          <w:szCs w:val="24"/>
        </w:rPr>
        <w:t>3</w:t>
      </w:r>
      <w:r w:rsidR="00FF49FF">
        <w:rPr>
          <w:rFonts w:eastAsiaTheme="majorEastAsia" w:cs="Calibri"/>
          <w:sz w:val="24"/>
          <w:szCs w:val="24"/>
        </w:rPr>
        <w:t>,</w:t>
      </w:r>
      <w:r w:rsidR="00780A40" w:rsidRPr="00554CA5">
        <w:rPr>
          <w:rFonts w:eastAsiaTheme="majorEastAsia" w:cs="Calibri"/>
          <w:sz w:val="24"/>
          <w:szCs w:val="24"/>
        </w:rPr>
        <w:t xml:space="preserve"> 4.</w:t>
      </w:r>
      <w:r w:rsidR="00C9340D" w:rsidRPr="00554CA5">
        <w:rPr>
          <w:rFonts w:eastAsiaTheme="majorEastAsia" w:cs="Calibri"/>
          <w:sz w:val="24"/>
          <w:szCs w:val="24"/>
        </w:rPr>
        <w:t>3</w:t>
      </w:r>
      <w:r w:rsidR="004D76C0">
        <w:rPr>
          <w:rFonts w:eastAsiaTheme="majorEastAsia" w:cs="Calibri"/>
          <w:sz w:val="24"/>
          <w:szCs w:val="24"/>
        </w:rPr>
        <w:t>4</w:t>
      </w:r>
      <w:r w:rsidR="00780A40" w:rsidRPr="00554CA5">
        <w:rPr>
          <w:rFonts w:eastAsiaTheme="majorEastAsia" w:cs="Calibri"/>
          <w:sz w:val="24"/>
          <w:szCs w:val="24"/>
        </w:rPr>
        <w:t xml:space="preserve">, </w:t>
      </w:r>
      <w:r w:rsidR="00BE11D7">
        <w:rPr>
          <w:rFonts w:eastAsiaTheme="majorEastAsia" w:cs="Calibri"/>
          <w:sz w:val="24"/>
          <w:szCs w:val="24"/>
        </w:rPr>
        <w:t>p</w:t>
      </w:r>
      <w:r w:rsidRPr="00554CA5">
        <w:rPr>
          <w:rFonts w:eastAsiaTheme="majorEastAsia" w:cs="Calibri"/>
          <w:sz w:val="24"/>
          <w:szCs w:val="24"/>
        </w:rPr>
        <w:t>říklad č. 1</w:t>
      </w:r>
      <w:r w:rsidR="00FF49FF">
        <w:rPr>
          <w:rFonts w:eastAsiaTheme="majorEastAsia" w:cs="Calibri"/>
          <w:sz w:val="24"/>
          <w:szCs w:val="24"/>
        </w:rPr>
        <w:t>,</w:t>
      </w:r>
      <w:r w:rsidRPr="00554CA5">
        <w:rPr>
          <w:rFonts w:eastAsiaTheme="majorEastAsia" w:cs="Calibri"/>
          <w:sz w:val="24"/>
          <w:szCs w:val="24"/>
        </w:rPr>
        <w:t xml:space="preserve"> </w:t>
      </w:r>
      <w:r w:rsidR="00BE11D7">
        <w:rPr>
          <w:rFonts w:eastAsiaTheme="majorEastAsia" w:cs="Calibri"/>
          <w:sz w:val="24"/>
          <w:szCs w:val="24"/>
        </w:rPr>
        <w:t>p</w:t>
      </w:r>
      <w:r w:rsidRPr="00554CA5">
        <w:rPr>
          <w:rFonts w:eastAsiaTheme="majorEastAsia" w:cs="Calibri"/>
          <w:sz w:val="24"/>
          <w:szCs w:val="24"/>
        </w:rPr>
        <w:t>říklad č.</w:t>
      </w:r>
      <w:r w:rsidR="00415A70" w:rsidRPr="00554CA5">
        <w:rPr>
          <w:rFonts w:eastAsiaTheme="majorEastAsia" w:cs="Calibri"/>
          <w:sz w:val="24"/>
          <w:szCs w:val="24"/>
        </w:rPr>
        <w:t xml:space="preserve"> 2</w:t>
      </w:r>
      <w:r w:rsidR="00117D49">
        <w:rPr>
          <w:rFonts w:eastAsiaTheme="majorEastAsia" w:cs="Calibri"/>
          <w:sz w:val="24"/>
          <w:szCs w:val="24"/>
        </w:rPr>
        <w:t>,</w:t>
      </w:r>
      <w:r w:rsidR="00FF49FF">
        <w:rPr>
          <w:rFonts w:eastAsiaTheme="majorEastAsia" w:cs="Calibri"/>
          <w:sz w:val="24"/>
          <w:szCs w:val="24"/>
        </w:rPr>
        <w:t xml:space="preserve"> </w:t>
      </w:r>
      <w:r w:rsidR="00BE11D7">
        <w:rPr>
          <w:rFonts w:eastAsiaTheme="majorEastAsia" w:cs="Calibri"/>
          <w:sz w:val="24"/>
          <w:szCs w:val="24"/>
        </w:rPr>
        <w:t>p</w:t>
      </w:r>
      <w:r w:rsidR="00FF49FF">
        <w:rPr>
          <w:rFonts w:eastAsiaTheme="majorEastAsia" w:cs="Calibri"/>
          <w:sz w:val="24"/>
          <w:szCs w:val="24"/>
        </w:rPr>
        <w:t>říklad č. 3</w:t>
      </w:r>
      <w:r w:rsidRPr="00554CA5">
        <w:rPr>
          <w:rFonts w:eastAsiaTheme="majorEastAsia" w:cs="Calibri"/>
          <w:sz w:val="24"/>
          <w:szCs w:val="24"/>
        </w:rPr>
        <w:t>)</w:t>
      </w:r>
      <w:r w:rsidR="00C9340D">
        <w:rPr>
          <w:rFonts w:eastAsiaTheme="majorEastAsia" w:cs="Calibri"/>
          <w:sz w:val="24"/>
          <w:szCs w:val="24"/>
        </w:rPr>
        <w:t>.</w:t>
      </w:r>
    </w:p>
    <w:p w14:paraId="204B79A1" w14:textId="6FE1EE4C" w:rsidR="00D63150" w:rsidRPr="00554CA5" w:rsidRDefault="00D63150" w:rsidP="001E51C9">
      <w:pPr>
        <w:pStyle w:val="Odstavecseseznamem"/>
        <w:numPr>
          <w:ilvl w:val="0"/>
          <w:numId w:val="58"/>
        </w:numPr>
        <w:spacing w:after="120"/>
        <w:ind w:left="714" w:hanging="357"/>
        <w:contextualSpacing w:val="0"/>
        <w:rPr>
          <w:rFonts w:asciiTheme="minorHAnsi" w:eastAsiaTheme="minorHAnsi" w:hAnsiTheme="minorHAnsi" w:cstheme="minorHAnsi"/>
          <w:sz w:val="24"/>
          <w:szCs w:val="24"/>
          <w:lang w:eastAsia="en-US"/>
        </w:rPr>
      </w:pPr>
      <w:r w:rsidRPr="00554CA5">
        <w:rPr>
          <w:rFonts w:asciiTheme="minorHAnsi" w:eastAsiaTheme="minorHAnsi" w:hAnsiTheme="minorHAnsi" w:cstheme="minorHAnsi"/>
          <w:sz w:val="24"/>
          <w:szCs w:val="24"/>
          <w:lang w:eastAsia="en-US"/>
        </w:rPr>
        <w:t>SFÚ v jednom případě nepostupoval v souladu s </w:t>
      </w:r>
      <w:r w:rsidR="004F07F6">
        <w:rPr>
          <w:rFonts w:asciiTheme="minorHAnsi" w:eastAsiaTheme="minorHAnsi" w:hAnsiTheme="minorHAnsi" w:cstheme="minorHAnsi"/>
          <w:sz w:val="24"/>
          <w:szCs w:val="24"/>
          <w:lang w:eastAsia="en-US"/>
        </w:rPr>
        <w:t>DŘ</w:t>
      </w:r>
      <w:r w:rsidRPr="00554CA5">
        <w:rPr>
          <w:rFonts w:asciiTheme="minorHAnsi" w:eastAsiaTheme="minorHAnsi" w:hAnsiTheme="minorHAnsi" w:cstheme="minorHAnsi"/>
          <w:sz w:val="24"/>
          <w:szCs w:val="24"/>
          <w:vertAlign w:val="superscript"/>
          <w:lang w:eastAsia="en-US"/>
        </w:rPr>
        <w:footnoteReference w:id="9"/>
      </w:r>
      <w:r w:rsidRPr="00554CA5">
        <w:rPr>
          <w:rFonts w:asciiTheme="minorHAnsi" w:eastAsiaTheme="minorHAnsi" w:hAnsiTheme="minorHAnsi" w:cstheme="minorHAnsi"/>
          <w:sz w:val="24"/>
          <w:szCs w:val="24"/>
          <w:lang w:eastAsia="en-US"/>
        </w:rPr>
        <w:t>, když nezabezpečil úhradu daně ve výši více než 12 mil. Kč. S</w:t>
      </w:r>
      <w:r w:rsidR="009C669F" w:rsidRPr="00554CA5">
        <w:rPr>
          <w:rFonts w:asciiTheme="minorHAnsi" w:eastAsiaTheme="minorHAnsi" w:hAnsiTheme="minorHAnsi" w:cstheme="minorHAnsi"/>
          <w:sz w:val="24"/>
          <w:szCs w:val="24"/>
          <w:lang w:eastAsia="en-US"/>
        </w:rPr>
        <w:t>FÚ</w:t>
      </w:r>
      <w:r w:rsidRPr="00554CA5">
        <w:rPr>
          <w:rFonts w:asciiTheme="minorHAnsi" w:eastAsiaTheme="minorHAnsi" w:hAnsiTheme="minorHAnsi" w:cstheme="minorHAnsi"/>
          <w:sz w:val="24"/>
          <w:szCs w:val="24"/>
          <w:lang w:eastAsia="en-US"/>
        </w:rPr>
        <w:t xml:space="preserve"> povolil </w:t>
      </w:r>
      <w:r w:rsidR="001D5786" w:rsidRPr="00554CA5">
        <w:rPr>
          <w:rFonts w:asciiTheme="minorHAnsi" w:eastAsiaTheme="minorHAnsi" w:hAnsiTheme="minorHAnsi" w:cstheme="minorHAnsi"/>
          <w:sz w:val="24"/>
          <w:szCs w:val="24"/>
          <w:lang w:eastAsia="en-US"/>
        </w:rPr>
        <w:t xml:space="preserve">posečkání úhrady daně </w:t>
      </w:r>
      <w:r w:rsidR="007F7FF5" w:rsidRPr="00554CA5">
        <w:rPr>
          <w:rFonts w:asciiTheme="minorHAnsi" w:eastAsiaTheme="minorHAnsi" w:hAnsiTheme="minorHAnsi" w:cstheme="minorHAnsi"/>
          <w:sz w:val="24"/>
          <w:szCs w:val="24"/>
          <w:lang w:eastAsia="en-US"/>
        </w:rPr>
        <w:t>z</w:t>
      </w:r>
      <w:r w:rsidR="008C7CA7">
        <w:rPr>
          <w:rFonts w:asciiTheme="minorHAnsi" w:eastAsiaTheme="minorHAnsi" w:hAnsiTheme="minorHAnsi" w:cstheme="minorHAnsi"/>
          <w:sz w:val="24"/>
          <w:szCs w:val="24"/>
          <w:lang w:eastAsia="en-US"/>
        </w:rPr>
        <w:t xml:space="preserve"> </w:t>
      </w:r>
      <w:r w:rsidR="002E43AE" w:rsidRPr="00554CA5">
        <w:rPr>
          <w:rFonts w:asciiTheme="minorHAnsi" w:eastAsiaTheme="minorHAnsi" w:hAnsiTheme="minorHAnsi" w:cstheme="minorHAnsi"/>
          <w:sz w:val="24"/>
          <w:szCs w:val="24"/>
          <w:lang w:eastAsia="en-US"/>
        </w:rPr>
        <w:t>hazardních her</w:t>
      </w:r>
      <w:r w:rsidR="007F7FF5" w:rsidRPr="00554CA5">
        <w:rPr>
          <w:rFonts w:asciiTheme="minorHAnsi" w:eastAsiaTheme="minorHAnsi" w:hAnsiTheme="minorHAnsi" w:cstheme="minorHAnsi"/>
          <w:sz w:val="24"/>
          <w:szCs w:val="24"/>
          <w:lang w:eastAsia="en-US"/>
        </w:rPr>
        <w:t xml:space="preserve"> </w:t>
      </w:r>
      <w:r w:rsidR="009C669F" w:rsidRPr="00554CA5">
        <w:rPr>
          <w:rFonts w:asciiTheme="minorHAnsi" w:eastAsiaTheme="minorHAnsi" w:hAnsiTheme="minorHAnsi" w:cstheme="minorHAnsi"/>
          <w:sz w:val="24"/>
          <w:szCs w:val="24"/>
          <w:lang w:eastAsia="en-US"/>
        </w:rPr>
        <w:t xml:space="preserve">provozovateli </w:t>
      </w:r>
      <w:r w:rsidRPr="00554CA5">
        <w:rPr>
          <w:rFonts w:asciiTheme="minorHAnsi" w:eastAsiaTheme="minorHAnsi" w:hAnsiTheme="minorHAnsi" w:cstheme="minorHAnsi"/>
          <w:sz w:val="24"/>
          <w:szCs w:val="24"/>
          <w:lang w:eastAsia="en-US"/>
        </w:rPr>
        <w:t>v</w:t>
      </w:r>
      <w:r w:rsidR="007F7FF5" w:rsidRPr="00554CA5">
        <w:rPr>
          <w:rFonts w:asciiTheme="minorHAnsi" w:eastAsiaTheme="minorHAnsi" w:hAnsiTheme="minorHAnsi" w:cstheme="minorHAnsi"/>
          <w:sz w:val="24"/>
          <w:szCs w:val="24"/>
          <w:lang w:eastAsia="en-US"/>
        </w:rPr>
        <w:t> </w:t>
      </w:r>
      <w:r w:rsidRPr="00554CA5">
        <w:rPr>
          <w:rFonts w:asciiTheme="minorHAnsi" w:eastAsiaTheme="minorHAnsi" w:hAnsiTheme="minorHAnsi" w:cstheme="minorHAnsi"/>
          <w:sz w:val="24"/>
          <w:szCs w:val="24"/>
          <w:lang w:eastAsia="en-US"/>
        </w:rPr>
        <w:t>úpadku</w:t>
      </w:r>
      <w:r w:rsidR="007F7FF5" w:rsidRPr="00554CA5">
        <w:rPr>
          <w:rFonts w:asciiTheme="minorHAnsi" w:eastAsiaTheme="minorHAnsi" w:hAnsiTheme="minorHAnsi" w:cstheme="minorHAnsi"/>
          <w:sz w:val="24"/>
          <w:szCs w:val="24"/>
          <w:lang w:eastAsia="en-US"/>
        </w:rPr>
        <w:t>, na jehož majetek soud prohlásil konkurs.</w:t>
      </w:r>
      <w:r w:rsidRPr="00554CA5">
        <w:rPr>
          <w:rFonts w:asciiTheme="minorHAnsi" w:eastAsiaTheme="minorHAnsi" w:hAnsiTheme="minorHAnsi" w:cstheme="minorHAnsi"/>
          <w:sz w:val="24"/>
          <w:szCs w:val="24"/>
          <w:lang w:eastAsia="en-US"/>
        </w:rPr>
        <w:t xml:space="preserve"> </w:t>
      </w:r>
      <w:r w:rsidR="00655F01" w:rsidRPr="00554CA5">
        <w:rPr>
          <w:rFonts w:asciiTheme="minorHAnsi" w:eastAsiaTheme="minorHAnsi" w:hAnsiTheme="minorHAnsi" w:cstheme="minorHAnsi"/>
          <w:sz w:val="24"/>
          <w:szCs w:val="24"/>
          <w:lang w:eastAsia="en-US"/>
        </w:rPr>
        <w:t>P</w:t>
      </w:r>
      <w:r w:rsidR="009C669F" w:rsidRPr="00554CA5">
        <w:rPr>
          <w:rFonts w:asciiTheme="minorHAnsi" w:eastAsiaTheme="minorHAnsi" w:hAnsiTheme="minorHAnsi" w:cstheme="minorHAnsi"/>
          <w:sz w:val="24"/>
          <w:szCs w:val="24"/>
          <w:lang w:eastAsia="en-US"/>
        </w:rPr>
        <w:t>rovozovatel</w:t>
      </w:r>
      <w:r w:rsidR="009C669F" w:rsidRPr="00554CA5" w:rsidDel="007F7FF5">
        <w:rPr>
          <w:rFonts w:asciiTheme="minorHAnsi" w:eastAsiaTheme="minorHAnsi" w:hAnsiTheme="minorHAnsi" w:cstheme="minorHAnsi"/>
          <w:sz w:val="24"/>
          <w:szCs w:val="24"/>
          <w:lang w:eastAsia="en-US"/>
        </w:rPr>
        <w:t xml:space="preserve"> </w:t>
      </w:r>
      <w:r w:rsidR="007F7FF5" w:rsidRPr="00554CA5">
        <w:rPr>
          <w:rFonts w:asciiTheme="minorHAnsi" w:eastAsiaTheme="minorHAnsi" w:hAnsiTheme="minorHAnsi" w:cstheme="minorHAnsi"/>
          <w:sz w:val="24"/>
          <w:szCs w:val="24"/>
          <w:lang w:eastAsia="en-US"/>
        </w:rPr>
        <w:t xml:space="preserve">přitom v žádosti o posečkání doložil, že </w:t>
      </w:r>
      <w:r w:rsidR="009C669F" w:rsidRPr="00554CA5">
        <w:rPr>
          <w:rFonts w:asciiTheme="minorHAnsi" w:eastAsiaTheme="minorHAnsi" w:hAnsiTheme="minorHAnsi" w:cstheme="minorHAnsi"/>
          <w:sz w:val="24"/>
          <w:szCs w:val="24"/>
          <w:lang w:eastAsia="en-US"/>
        </w:rPr>
        <w:t>disponoval dostatečnými finančními prostředky k</w:t>
      </w:r>
      <w:r w:rsidR="00BE11D7">
        <w:rPr>
          <w:rFonts w:asciiTheme="minorHAnsi" w:eastAsiaTheme="minorHAnsi" w:hAnsiTheme="minorHAnsi" w:cstheme="minorHAnsi"/>
          <w:sz w:val="24"/>
          <w:szCs w:val="24"/>
          <w:lang w:eastAsia="en-US"/>
        </w:rPr>
        <w:t> </w:t>
      </w:r>
      <w:r w:rsidR="009C669F" w:rsidRPr="00554CA5">
        <w:rPr>
          <w:rFonts w:asciiTheme="minorHAnsi" w:eastAsiaTheme="minorHAnsi" w:hAnsiTheme="minorHAnsi" w:cstheme="minorHAnsi"/>
          <w:sz w:val="24"/>
          <w:szCs w:val="24"/>
          <w:lang w:eastAsia="en-US"/>
        </w:rPr>
        <w:t>úhradě</w:t>
      </w:r>
      <w:r w:rsidRPr="00554CA5">
        <w:rPr>
          <w:rFonts w:asciiTheme="minorHAnsi" w:eastAsiaTheme="minorHAnsi" w:hAnsiTheme="minorHAnsi" w:cstheme="minorHAnsi"/>
          <w:sz w:val="24"/>
          <w:szCs w:val="24"/>
          <w:lang w:eastAsia="en-US"/>
        </w:rPr>
        <w:t xml:space="preserve"> daně (viz </w:t>
      </w:r>
      <w:r w:rsidR="00FE75BA">
        <w:rPr>
          <w:rFonts w:asciiTheme="minorHAnsi" w:eastAsiaTheme="minorHAnsi" w:hAnsiTheme="minorHAnsi" w:cstheme="minorHAnsi"/>
          <w:sz w:val="24"/>
          <w:szCs w:val="24"/>
          <w:lang w:eastAsia="en-US"/>
        </w:rPr>
        <w:t>p</w:t>
      </w:r>
      <w:r w:rsidR="00C9074A" w:rsidRPr="00554CA5">
        <w:rPr>
          <w:rFonts w:asciiTheme="minorHAnsi" w:eastAsiaTheme="minorHAnsi" w:hAnsiTheme="minorHAnsi" w:cstheme="minorHAnsi"/>
          <w:sz w:val="24"/>
          <w:szCs w:val="24"/>
          <w:lang w:eastAsia="en-US"/>
        </w:rPr>
        <w:t xml:space="preserve">říklad č. </w:t>
      </w:r>
      <w:r w:rsidR="00244E8A" w:rsidRPr="00554CA5">
        <w:rPr>
          <w:rFonts w:asciiTheme="minorHAnsi" w:eastAsiaTheme="minorHAnsi" w:hAnsiTheme="minorHAnsi" w:cstheme="minorHAnsi"/>
          <w:sz w:val="24"/>
          <w:szCs w:val="24"/>
          <w:lang w:eastAsia="en-US"/>
        </w:rPr>
        <w:t>1</w:t>
      </w:r>
      <w:r w:rsidRPr="00554CA5">
        <w:rPr>
          <w:rFonts w:asciiTheme="minorHAnsi" w:eastAsiaTheme="minorHAnsi" w:hAnsiTheme="minorHAnsi" w:cstheme="minorHAnsi"/>
          <w:sz w:val="24"/>
          <w:szCs w:val="24"/>
          <w:lang w:eastAsia="en-US"/>
        </w:rPr>
        <w:t>)</w:t>
      </w:r>
      <w:r w:rsidR="00C9340D">
        <w:rPr>
          <w:rFonts w:asciiTheme="minorHAnsi" w:eastAsiaTheme="minorHAnsi" w:hAnsiTheme="minorHAnsi" w:cstheme="minorHAnsi"/>
          <w:sz w:val="24"/>
          <w:szCs w:val="24"/>
          <w:lang w:eastAsia="en-US"/>
        </w:rPr>
        <w:t>.</w:t>
      </w:r>
    </w:p>
    <w:p w14:paraId="0A17DCAF" w14:textId="49524C9E" w:rsidR="00B61403" w:rsidRPr="00554CA5" w:rsidRDefault="00B61403" w:rsidP="001E51C9">
      <w:pPr>
        <w:pStyle w:val="Odstavecseseznamem"/>
        <w:numPr>
          <w:ilvl w:val="0"/>
          <w:numId w:val="58"/>
        </w:numPr>
        <w:spacing w:after="120"/>
        <w:ind w:left="714" w:hanging="357"/>
        <w:contextualSpacing w:val="0"/>
        <w:rPr>
          <w:rFonts w:asciiTheme="minorHAnsi" w:eastAsiaTheme="minorHAnsi" w:hAnsiTheme="minorHAnsi" w:cstheme="minorHAnsi"/>
          <w:sz w:val="24"/>
          <w:szCs w:val="24"/>
          <w:lang w:eastAsia="en-US"/>
        </w:rPr>
      </w:pPr>
      <w:r w:rsidRPr="008142C5">
        <w:rPr>
          <w:rFonts w:asciiTheme="minorHAnsi" w:eastAsiaTheme="minorHAnsi" w:hAnsiTheme="minorHAnsi" w:cstheme="minorHAnsi"/>
          <w:sz w:val="24"/>
          <w:szCs w:val="24"/>
          <w:lang w:eastAsia="en-US"/>
        </w:rPr>
        <w:t xml:space="preserve">SFÚ má podle </w:t>
      </w:r>
      <w:r w:rsidR="00E00C0E" w:rsidRPr="008142C5">
        <w:rPr>
          <w:rFonts w:asciiTheme="minorHAnsi" w:eastAsiaTheme="minorHAnsi" w:hAnsiTheme="minorHAnsi" w:cstheme="minorHAnsi"/>
          <w:sz w:val="24"/>
          <w:szCs w:val="24"/>
          <w:lang w:eastAsia="en-US"/>
        </w:rPr>
        <w:t xml:space="preserve">zákona č. 187/2016 Sb., o dani z </w:t>
      </w:r>
      <w:r w:rsidR="00E00C0E" w:rsidRPr="00554CA5">
        <w:rPr>
          <w:rFonts w:asciiTheme="minorHAnsi" w:eastAsiaTheme="minorHAnsi" w:hAnsiTheme="minorHAnsi" w:cstheme="minorHAnsi"/>
          <w:sz w:val="24"/>
          <w:szCs w:val="24"/>
          <w:lang w:eastAsia="en-US"/>
        </w:rPr>
        <w:t>hazardních her (dále také „</w:t>
      </w:r>
      <w:r w:rsidRPr="00554CA5">
        <w:rPr>
          <w:rFonts w:asciiTheme="minorHAnsi" w:eastAsiaTheme="minorHAnsi" w:hAnsiTheme="minorHAnsi" w:cstheme="minorHAnsi"/>
          <w:sz w:val="24"/>
          <w:szCs w:val="24"/>
          <w:lang w:eastAsia="en-US"/>
        </w:rPr>
        <w:t>Z</w:t>
      </w:r>
      <w:r w:rsidR="00F620C8" w:rsidRPr="00554CA5">
        <w:rPr>
          <w:rFonts w:asciiTheme="minorHAnsi" w:eastAsiaTheme="minorHAnsi" w:hAnsiTheme="minorHAnsi" w:cstheme="minorHAnsi"/>
          <w:sz w:val="24"/>
          <w:szCs w:val="24"/>
          <w:lang w:eastAsia="en-US"/>
        </w:rPr>
        <w:t>D</w:t>
      </w:r>
      <w:r w:rsidRPr="00554CA5">
        <w:rPr>
          <w:rFonts w:asciiTheme="minorHAnsi" w:eastAsiaTheme="minorHAnsi" w:hAnsiTheme="minorHAnsi" w:cstheme="minorHAnsi"/>
          <w:sz w:val="24"/>
          <w:szCs w:val="24"/>
          <w:lang w:eastAsia="en-US"/>
        </w:rPr>
        <w:t>HH</w:t>
      </w:r>
      <w:r w:rsidR="00E00C0E" w:rsidRPr="00554CA5">
        <w:rPr>
          <w:rFonts w:asciiTheme="minorHAnsi" w:eastAsiaTheme="minorHAnsi" w:hAnsiTheme="minorHAnsi" w:cstheme="minorHAnsi"/>
          <w:sz w:val="24"/>
          <w:szCs w:val="24"/>
          <w:lang w:eastAsia="en-US"/>
        </w:rPr>
        <w:t>“)</w:t>
      </w:r>
      <w:r w:rsidR="00FE75BA">
        <w:rPr>
          <w:rFonts w:asciiTheme="minorHAnsi" w:eastAsiaTheme="minorHAnsi" w:hAnsiTheme="minorHAnsi" w:cstheme="minorHAnsi"/>
          <w:sz w:val="24"/>
          <w:szCs w:val="24"/>
          <w:lang w:eastAsia="en-US"/>
        </w:rPr>
        <w:t>,</w:t>
      </w:r>
      <w:r w:rsidRPr="00554CA5">
        <w:rPr>
          <w:rFonts w:asciiTheme="minorHAnsi" w:eastAsiaTheme="minorHAnsi" w:hAnsiTheme="minorHAnsi" w:cstheme="minorHAnsi"/>
          <w:sz w:val="24"/>
          <w:szCs w:val="24"/>
          <w:lang w:eastAsia="en-US"/>
        </w:rPr>
        <w:t xml:space="preserve"> povinnost informovat MF o provozovatelích, kteří porušují své daňové povinnosti</w:t>
      </w:r>
      <w:r w:rsidR="00F620C8" w:rsidRPr="00554CA5">
        <w:rPr>
          <w:rStyle w:val="Znakapoznpodarou"/>
          <w:rFonts w:asciiTheme="minorHAnsi" w:eastAsiaTheme="minorHAnsi" w:hAnsiTheme="minorHAnsi" w:cstheme="minorHAnsi"/>
          <w:sz w:val="24"/>
          <w:szCs w:val="24"/>
          <w:lang w:eastAsia="en-US"/>
        </w:rPr>
        <w:footnoteReference w:id="10"/>
      </w:r>
      <w:r w:rsidRPr="00554CA5">
        <w:rPr>
          <w:rFonts w:asciiTheme="minorHAnsi" w:eastAsiaTheme="minorHAnsi" w:hAnsiTheme="minorHAnsi" w:cstheme="minorHAnsi"/>
          <w:sz w:val="24"/>
          <w:szCs w:val="24"/>
          <w:lang w:eastAsia="en-US"/>
        </w:rPr>
        <w:t>. NKÚ zjistil, že v</w:t>
      </w:r>
      <w:r w:rsidR="008C7CA7">
        <w:rPr>
          <w:rFonts w:asciiTheme="minorHAnsi" w:eastAsiaTheme="minorHAnsi" w:hAnsiTheme="minorHAnsi" w:cstheme="minorHAnsi"/>
          <w:sz w:val="24"/>
          <w:szCs w:val="24"/>
          <w:lang w:eastAsia="en-US"/>
        </w:rPr>
        <w:t xml:space="preserve"> </w:t>
      </w:r>
      <w:r w:rsidRPr="00554CA5">
        <w:rPr>
          <w:rFonts w:asciiTheme="minorHAnsi" w:eastAsiaTheme="minorHAnsi" w:hAnsiTheme="minorHAnsi" w:cstheme="minorHAnsi"/>
          <w:sz w:val="24"/>
          <w:szCs w:val="24"/>
          <w:lang w:eastAsia="en-US"/>
        </w:rPr>
        <w:t>případě 11 daňových subjektů, jejichž daňové nedoplatky</w:t>
      </w:r>
      <w:r w:rsidR="00BE11D7">
        <w:rPr>
          <w:rFonts w:asciiTheme="minorHAnsi" w:eastAsiaTheme="minorHAnsi" w:hAnsiTheme="minorHAnsi" w:cstheme="minorHAnsi"/>
          <w:sz w:val="24"/>
          <w:szCs w:val="24"/>
          <w:lang w:eastAsia="en-US"/>
        </w:rPr>
        <w:t xml:space="preserve"> </w:t>
      </w:r>
      <w:r w:rsidRPr="00554CA5">
        <w:rPr>
          <w:rFonts w:asciiTheme="minorHAnsi" w:eastAsiaTheme="minorHAnsi" w:hAnsiTheme="minorHAnsi" w:cstheme="minorHAnsi"/>
          <w:sz w:val="24"/>
          <w:szCs w:val="24"/>
          <w:lang w:eastAsia="en-US"/>
        </w:rPr>
        <w:t xml:space="preserve">ve sledovaném období činily celkem více než 2 mld. Kč, </w:t>
      </w:r>
      <w:r w:rsidR="00FE75BA" w:rsidRPr="00554CA5">
        <w:rPr>
          <w:rFonts w:asciiTheme="minorHAnsi" w:eastAsiaTheme="minorHAnsi" w:hAnsiTheme="minorHAnsi" w:cstheme="minorHAnsi"/>
          <w:sz w:val="24"/>
          <w:szCs w:val="24"/>
          <w:lang w:eastAsia="en-US"/>
        </w:rPr>
        <w:t xml:space="preserve">SFÚ </w:t>
      </w:r>
      <w:r w:rsidRPr="00554CA5">
        <w:rPr>
          <w:rFonts w:asciiTheme="minorHAnsi" w:eastAsiaTheme="minorHAnsi" w:hAnsiTheme="minorHAnsi" w:cstheme="minorHAnsi"/>
          <w:sz w:val="24"/>
          <w:szCs w:val="24"/>
          <w:lang w:eastAsia="en-US"/>
        </w:rPr>
        <w:t xml:space="preserve">tyto informace pro účely řízení o zrušení základního povolení neposkytl </w:t>
      </w:r>
      <w:r w:rsidR="00A812FF" w:rsidRPr="00554CA5">
        <w:rPr>
          <w:rFonts w:asciiTheme="minorHAnsi" w:eastAsiaTheme="minorHAnsi" w:hAnsiTheme="minorHAnsi" w:cstheme="minorHAnsi"/>
          <w:sz w:val="24"/>
          <w:szCs w:val="24"/>
          <w:lang w:eastAsia="en-US"/>
        </w:rPr>
        <w:t>(viz odst.</w:t>
      </w:r>
      <w:r w:rsidR="00220C4D" w:rsidRPr="00554CA5">
        <w:rPr>
          <w:rFonts w:asciiTheme="minorHAnsi" w:eastAsiaTheme="minorHAnsi" w:hAnsiTheme="minorHAnsi" w:cstheme="minorHAnsi"/>
          <w:sz w:val="24"/>
          <w:szCs w:val="24"/>
          <w:lang w:eastAsia="en-US"/>
        </w:rPr>
        <w:t xml:space="preserve"> </w:t>
      </w:r>
      <w:r w:rsidR="006A1133" w:rsidRPr="00554CA5">
        <w:rPr>
          <w:rFonts w:asciiTheme="minorHAnsi" w:eastAsiaTheme="minorHAnsi" w:hAnsiTheme="minorHAnsi" w:cstheme="minorHAnsi"/>
          <w:sz w:val="24"/>
          <w:szCs w:val="24"/>
          <w:lang w:eastAsia="en-US"/>
        </w:rPr>
        <w:t>4.</w:t>
      </w:r>
      <w:r w:rsidR="004D76C0">
        <w:rPr>
          <w:rFonts w:asciiTheme="minorHAnsi" w:eastAsiaTheme="minorHAnsi" w:hAnsiTheme="minorHAnsi" w:cstheme="minorHAnsi"/>
          <w:sz w:val="24"/>
          <w:szCs w:val="24"/>
          <w:lang w:eastAsia="en-US"/>
        </w:rPr>
        <w:t>35</w:t>
      </w:r>
      <w:r w:rsidR="00A812FF" w:rsidRPr="00554CA5">
        <w:rPr>
          <w:rFonts w:asciiTheme="minorHAnsi" w:eastAsiaTheme="minorHAnsi" w:hAnsiTheme="minorHAnsi" w:cstheme="minorHAnsi"/>
          <w:sz w:val="24"/>
          <w:szCs w:val="24"/>
          <w:lang w:eastAsia="en-US"/>
        </w:rPr>
        <w:t>)</w:t>
      </w:r>
      <w:r w:rsidR="00C9340D">
        <w:rPr>
          <w:rFonts w:asciiTheme="minorHAnsi" w:eastAsiaTheme="minorHAnsi" w:hAnsiTheme="minorHAnsi" w:cstheme="minorHAnsi"/>
          <w:sz w:val="24"/>
          <w:szCs w:val="24"/>
          <w:lang w:eastAsia="en-US"/>
        </w:rPr>
        <w:t>.</w:t>
      </w:r>
      <w:r w:rsidRPr="00554CA5">
        <w:rPr>
          <w:rFonts w:asciiTheme="minorHAnsi" w:eastAsiaTheme="minorHAnsi" w:hAnsiTheme="minorHAnsi" w:cstheme="minorHAnsi"/>
          <w:sz w:val="24"/>
          <w:szCs w:val="24"/>
          <w:lang w:eastAsia="en-US"/>
        </w:rPr>
        <w:t xml:space="preserve"> </w:t>
      </w:r>
    </w:p>
    <w:p w14:paraId="7EE16F0E" w14:textId="43AF0558" w:rsidR="00113AB0" w:rsidRPr="00554CA5" w:rsidRDefault="00B61403" w:rsidP="00113AB0">
      <w:pPr>
        <w:pStyle w:val="Odstavecseseznamem"/>
        <w:numPr>
          <w:ilvl w:val="0"/>
          <w:numId w:val="58"/>
        </w:numPr>
        <w:spacing w:after="120"/>
        <w:rPr>
          <w:rFonts w:asciiTheme="minorHAnsi" w:eastAsiaTheme="minorHAnsi" w:hAnsiTheme="minorHAnsi" w:cstheme="minorHAnsi"/>
          <w:sz w:val="24"/>
          <w:szCs w:val="24"/>
          <w:lang w:eastAsia="en-US"/>
        </w:rPr>
      </w:pPr>
      <w:r w:rsidRPr="00554CA5">
        <w:rPr>
          <w:rFonts w:asciiTheme="minorHAnsi" w:eastAsiaTheme="minorHAnsi" w:hAnsiTheme="minorHAnsi" w:cstheme="minorHAnsi"/>
          <w:sz w:val="24"/>
          <w:szCs w:val="24"/>
          <w:lang w:eastAsia="en-US"/>
        </w:rPr>
        <w:t>MF podle</w:t>
      </w:r>
      <w:r w:rsidR="002E2C2F">
        <w:rPr>
          <w:rFonts w:asciiTheme="minorHAnsi" w:eastAsiaTheme="minorHAnsi" w:hAnsiTheme="minorHAnsi" w:cstheme="minorHAnsi"/>
          <w:sz w:val="24"/>
          <w:szCs w:val="24"/>
          <w:lang w:eastAsia="en-US"/>
        </w:rPr>
        <w:t xml:space="preserve"> </w:t>
      </w:r>
      <w:r w:rsidR="001E2021">
        <w:rPr>
          <w:rFonts w:asciiTheme="minorHAnsi" w:eastAsiaTheme="minorHAnsi" w:hAnsiTheme="minorHAnsi" w:cstheme="minorHAnsi"/>
          <w:sz w:val="24"/>
          <w:szCs w:val="24"/>
          <w:lang w:eastAsia="en-US"/>
        </w:rPr>
        <w:t>ZHH</w:t>
      </w:r>
      <w:r w:rsidR="00F620C8" w:rsidRPr="00554CA5">
        <w:rPr>
          <w:rStyle w:val="Znakapoznpodarou"/>
          <w:rFonts w:asciiTheme="minorHAnsi" w:eastAsiaTheme="minorHAnsi" w:hAnsiTheme="minorHAnsi" w:cstheme="minorHAnsi"/>
          <w:sz w:val="24"/>
          <w:szCs w:val="24"/>
          <w:lang w:eastAsia="en-US"/>
        </w:rPr>
        <w:footnoteReference w:id="11"/>
      </w:r>
      <w:r w:rsidRPr="00554CA5">
        <w:rPr>
          <w:rFonts w:asciiTheme="minorHAnsi" w:eastAsiaTheme="minorHAnsi" w:hAnsiTheme="minorHAnsi" w:cstheme="minorHAnsi"/>
          <w:sz w:val="24"/>
          <w:szCs w:val="24"/>
          <w:lang w:eastAsia="en-US"/>
        </w:rPr>
        <w:t xml:space="preserve"> zruš</w:t>
      </w:r>
      <w:r w:rsidR="00FC0631" w:rsidRPr="00554CA5">
        <w:rPr>
          <w:rFonts w:asciiTheme="minorHAnsi" w:eastAsiaTheme="minorHAnsi" w:hAnsiTheme="minorHAnsi" w:cstheme="minorHAnsi"/>
          <w:sz w:val="24"/>
          <w:szCs w:val="24"/>
          <w:lang w:eastAsia="en-US"/>
        </w:rPr>
        <w:t>í</w:t>
      </w:r>
      <w:r w:rsidRPr="00554CA5">
        <w:rPr>
          <w:rFonts w:asciiTheme="minorHAnsi" w:eastAsiaTheme="minorHAnsi" w:hAnsiTheme="minorHAnsi" w:cstheme="minorHAnsi"/>
          <w:sz w:val="24"/>
          <w:szCs w:val="24"/>
          <w:lang w:eastAsia="en-US"/>
        </w:rPr>
        <w:t xml:space="preserve"> základní povolení provozovatelům, kteří opakovaně porušují povinnosti stanoven</w:t>
      </w:r>
      <w:r w:rsidR="009C4930">
        <w:rPr>
          <w:rFonts w:asciiTheme="minorHAnsi" w:eastAsiaTheme="minorHAnsi" w:hAnsiTheme="minorHAnsi" w:cstheme="minorHAnsi"/>
          <w:sz w:val="24"/>
          <w:szCs w:val="24"/>
          <w:lang w:eastAsia="en-US"/>
        </w:rPr>
        <w:t>é</w:t>
      </w:r>
      <w:r w:rsidRPr="00554CA5">
        <w:rPr>
          <w:rFonts w:asciiTheme="minorHAnsi" w:eastAsiaTheme="minorHAnsi" w:hAnsiTheme="minorHAnsi" w:cstheme="minorHAnsi"/>
          <w:sz w:val="24"/>
          <w:szCs w:val="24"/>
          <w:lang w:eastAsia="en-US"/>
        </w:rPr>
        <w:t xml:space="preserve"> ZHH nebo ZDHH. NKÚ zjistil, že i když MF informace o takových porušeních povinností </w:t>
      </w:r>
      <w:r w:rsidR="00431E67" w:rsidRPr="00554CA5">
        <w:rPr>
          <w:rFonts w:asciiTheme="minorHAnsi" w:eastAsiaTheme="minorHAnsi" w:hAnsiTheme="minorHAnsi" w:cstheme="minorHAnsi"/>
          <w:sz w:val="24"/>
          <w:szCs w:val="24"/>
          <w:lang w:eastAsia="en-US"/>
        </w:rPr>
        <w:t>od dozorového orgánu (GŘC) a správce daně z hazardních her (SFÚ)</w:t>
      </w:r>
      <w:r w:rsidR="00472425" w:rsidRPr="00554CA5">
        <w:rPr>
          <w:rFonts w:asciiTheme="minorHAnsi" w:eastAsiaTheme="minorHAnsi" w:hAnsiTheme="minorHAnsi" w:cstheme="minorHAnsi"/>
          <w:sz w:val="24"/>
          <w:szCs w:val="24"/>
          <w:lang w:eastAsia="en-US"/>
        </w:rPr>
        <w:t xml:space="preserve"> dostávalo</w:t>
      </w:r>
      <w:r w:rsidR="0056704C" w:rsidRPr="00554CA5">
        <w:rPr>
          <w:rFonts w:asciiTheme="minorHAnsi" w:eastAsiaTheme="minorHAnsi" w:hAnsiTheme="minorHAnsi" w:cstheme="minorHAnsi"/>
          <w:sz w:val="24"/>
          <w:szCs w:val="24"/>
          <w:lang w:eastAsia="en-US"/>
        </w:rPr>
        <w:t>,</w:t>
      </w:r>
      <w:r w:rsidR="00431E67" w:rsidRPr="00554CA5">
        <w:rPr>
          <w:rFonts w:asciiTheme="minorHAnsi" w:eastAsiaTheme="minorHAnsi" w:hAnsiTheme="minorHAnsi" w:cstheme="minorHAnsi"/>
          <w:sz w:val="24"/>
          <w:szCs w:val="24"/>
          <w:lang w:eastAsia="en-US"/>
        </w:rPr>
        <w:t xml:space="preserve"> </w:t>
      </w:r>
      <w:r w:rsidR="007D7AB7" w:rsidRPr="00554CA5">
        <w:rPr>
          <w:rFonts w:asciiTheme="minorHAnsi" w:eastAsiaTheme="minorHAnsi" w:hAnsiTheme="minorHAnsi" w:cstheme="minorHAnsi"/>
          <w:sz w:val="24"/>
          <w:szCs w:val="24"/>
          <w:lang w:eastAsia="en-US"/>
        </w:rPr>
        <w:t>ani v</w:t>
      </w:r>
      <w:r w:rsidR="00204A5F">
        <w:rPr>
          <w:rFonts w:asciiTheme="minorHAnsi" w:eastAsiaTheme="minorHAnsi" w:hAnsiTheme="minorHAnsi" w:cstheme="minorHAnsi"/>
          <w:sz w:val="24"/>
          <w:szCs w:val="24"/>
          <w:lang w:eastAsia="en-US"/>
        </w:rPr>
        <w:t xml:space="preserve"> </w:t>
      </w:r>
      <w:r w:rsidR="007D7AB7" w:rsidRPr="00554CA5">
        <w:rPr>
          <w:rFonts w:asciiTheme="minorHAnsi" w:eastAsiaTheme="minorHAnsi" w:hAnsiTheme="minorHAnsi" w:cstheme="minorHAnsi"/>
          <w:sz w:val="24"/>
          <w:szCs w:val="24"/>
          <w:lang w:eastAsia="en-US"/>
        </w:rPr>
        <w:t xml:space="preserve">jednom případě </w:t>
      </w:r>
      <w:r w:rsidR="008F79BB" w:rsidRPr="00241457">
        <w:rPr>
          <w:rFonts w:asciiTheme="minorHAnsi" w:eastAsiaTheme="minorHAnsi" w:hAnsiTheme="minorHAnsi" w:cstheme="minorHAnsi"/>
          <w:color w:val="auto"/>
          <w:sz w:val="24"/>
          <w:szCs w:val="24"/>
          <w:lang w:eastAsia="en-US"/>
        </w:rPr>
        <w:t>z</w:t>
      </w:r>
      <w:r w:rsidR="00204A5F">
        <w:rPr>
          <w:rFonts w:asciiTheme="minorHAnsi" w:eastAsiaTheme="minorHAnsi" w:hAnsiTheme="minorHAnsi" w:cstheme="minorHAnsi"/>
          <w:color w:val="auto"/>
          <w:sz w:val="24"/>
          <w:szCs w:val="24"/>
          <w:lang w:eastAsia="en-US"/>
        </w:rPr>
        <w:t xml:space="preserve"> </w:t>
      </w:r>
      <w:r w:rsidR="008F79BB" w:rsidRPr="00241457">
        <w:rPr>
          <w:rFonts w:asciiTheme="minorHAnsi" w:eastAsiaTheme="minorHAnsi" w:hAnsiTheme="minorHAnsi" w:cstheme="minorHAnsi"/>
          <w:color w:val="auto"/>
          <w:sz w:val="24"/>
          <w:szCs w:val="24"/>
          <w:lang w:eastAsia="en-US"/>
        </w:rPr>
        <w:t xml:space="preserve">tohoto důvodu </w:t>
      </w:r>
      <w:r w:rsidR="00472425" w:rsidRPr="00554CA5">
        <w:rPr>
          <w:rFonts w:asciiTheme="minorHAnsi" w:eastAsiaTheme="minorHAnsi" w:hAnsiTheme="minorHAnsi" w:cstheme="minorHAnsi"/>
          <w:sz w:val="24"/>
          <w:szCs w:val="24"/>
          <w:lang w:eastAsia="en-US"/>
        </w:rPr>
        <w:t xml:space="preserve">základní povolení </w:t>
      </w:r>
      <w:r w:rsidR="009959E4" w:rsidRPr="00554CA5">
        <w:rPr>
          <w:rFonts w:asciiTheme="minorHAnsi" w:eastAsiaTheme="minorHAnsi" w:hAnsiTheme="minorHAnsi" w:cstheme="minorHAnsi"/>
          <w:sz w:val="24"/>
          <w:szCs w:val="24"/>
          <w:lang w:eastAsia="en-US"/>
        </w:rPr>
        <w:t xml:space="preserve">těmto provozovatelům </w:t>
      </w:r>
      <w:r w:rsidR="009C4930">
        <w:rPr>
          <w:rFonts w:asciiTheme="minorHAnsi" w:eastAsiaTheme="minorHAnsi" w:hAnsiTheme="minorHAnsi" w:cstheme="minorHAnsi"/>
          <w:sz w:val="24"/>
          <w:szCs w:val="24"/>
          <w:lang w:eastAsia="en-US"/>
        </w:rPr>
        <w:t>ne</w:t>
      </w:r>
      <w:r w:rsidR="00431E67" w:rsidRPr="00554CA5">
        <w:rPr>
          <w:rFonts w:asciiTheme="minorHAnsi" w:eastAsiaTheme="minorHAnsi" w:hAnsiTheme="minorHAnsi" w:cstheme="minorHAnsi"/>
          <w:sz w:val="24"/>
          <w:szCs w:val="24"/>
          <w:lang w:eastAsia="en-US"/>
        </w:rPr>
        <w:t>zrušilo</w:t>
      </w:r>
      <w:r w:rsidR="00472425" w:rsidRPr="00554CA5">
        <w:rPr>
          <w:rFonts w:asciiTheme="minorHAnsi" w:eastAsiaTheme="minorHAnsi" w:hAnsiTheme="minorHAnsi" w:cstheme="minorHAnsi"/>
          <w:sz w:val="24"/>
          <w:szCs w:val="24"/>
          <w:lang w:eastAsia="en-US"/>
        </w:rPr>
        <w:t xml:space="preserve"> </w:t>
      </w:r>
      <w:r w:rsidR="009C4930">
        <w:rPr>
          <w:rFonts w:asciiTheme="minorHAnsi" w:eastAsiaTheme="minorHAnsi" w:hAnsiTheme="minorHAnsi" w:cstheme="minorHAnsi"/>
          <w:sz w:val="24"/>
          <w:szCs w:val="24"/>
          <w:lang w:eastAsia="en-US"/>
        </w:rPr>
        <w:t>ani ne</w:t>
      </w:r>
      <w:r w:rsidR="00472425" w:rsidRPr="00554CA5">
        <w:rPr>
          <w:rFonts w:asciiTheme="minorHAnsi" w:eastAsiaTheme="minorHAnsi" w:hAnsiTheme="minorHAnsi" w:cstheme="minorHAnsi"/>
          <w:sz w:val="24"/>
          <w:szCs w:val="24"/>
          <w:lang w:eastAsia="en-US"/>
        </w:rPr>
        <w:t>zahájilo řízení o zrušení základního povolení</w:t>
      </w:r>
      <w:r w:rsidR="00431E67" w:rsidRPr="00554CA5">
        <w:rPr>
          <w:rFonts w:asciiTheme="minorHAnsi" w:eastAsiaTheme="minorHAnsi" w:hAnsiTheme="minorHAnsi" w:cstheme="minorHAnsi"/>
          <w:sz w:val="24"/>
          <w:szCs w:val="24"/>
          <w:lang w:eastAsia="en-US"/>
        </w:rPr>
        <w:t xml:space="preserve"> </w:t>
      </w:r>
      <w:r w:rsidR="00104841" w:rsidRPr="00554CA5">
        <w:rPr>
          <w:rFonts w:asciiTheme="minorHAnsi" w:eastAsiaTheme="minorHAnsi" w:hAnsiTheme="minorHAnsi" w:cstheme="minorHAnsi"/>
          <w:sz w:val="24"/>
          <w:szCs w:val="24"/>
          <w:lang w:eastAsia="en-US"/>
        </w:rPr>
        <w:t>(viz odst.</w:t>
      </w:r>
      <w:r w:rsidR="00030829">
        <w:rPr>
          <w:rFonts w:asciiTheme="minorHAnsi" w:eastAsiaTheme="minorHAnsi" w:hAnsiTheme="minorHAnsi" w:cstheme="minorHAnsi"/>
          <w:sz w:val="24"/>
          <w:szCs w:val="24"/>
          <w:lang w:eastAsia="en-US"/>
        </w:rPr>
        <w:t> </w:t>
      </w:r>
      <w:r w:rsidR="00220C4D" w:rsidRPr="00554CA5">
        <w:rPr>
          <w:rFonts w:asciiTheme="minorHAnsi" w:eastAsiaTheme="minorHAnsi" w:hAnsiTheme="minorHAnsi" w:cstheme="minorHAnsi"/>
          <w:sz w:val="24"/>
          <w:szCs w:val="24"/>
          <w:lang w:eastAsia="en-US"/>
        </w:rPr>
        <w:t>4.</w:t>
      </w:r>
      <w:r w:rsidR="004D76C0">
        <w:rPr>
          <w:rFonts w:asciiTheme="minorHAnsi" w:eastAsiaTheme="minorHAnsi" w:hAnsiTheme="minorHAnsi" w:cstheme="minorHAnsi"/>
          <w:sz w:val="24"/>
          <w:szCs w:val="24"/>
          <w:lang w:eastAsia="en-US"/>
        </w:rPr>
        <w:t>29</w:t>
      </w:r>
      <w:r w:rsidR="00C9074A" w:rsidRPr="00554CA5">
        <w:rPr>
          <w:rFonts w:asciiTheme="minorHAnsi" w:eastAsiaTheme="minorHAnsi" w:hAnsiTheme="minorHAnsi" w:cstheme="minorHAnsi"/>
          <w:sz w:val="24"/>
          <w:szCs w:val="24"/>
          <w:lang w:eastAsia="en-US"/>
        </w:rPr>
        <w:t>,</w:t>
      </w:r>
      <w:r w:rsidR="00220C4D" w:rsidRPr="00554CA5">
        <w:rPr>
          <w:rFonts w:asciiTheme="minorHAnsi" w:eastAsiaTheme="minorHAnsi" w:hAnsiTheme="minorHAnsi" w:cstheme="minorHAnsi"/>
          <w:sz w:val="24"/>
          <w:szCs w:val="24"/>
          <w:lang w:eastAsia="en-US"/>
        </w:rPr>
        <w:t xml:space="preserve"> 4.</w:t>
      </w:r>
      <w:r w:rsidR="00C9340D" w:rsidRPr="00554CA5">
        <w:rPr>
          <w:rFonts w:asciiTheme="minorHAnsi" w:eastAsiaTheme="minorHAnsi" w:hAnsiTheme="minorHAnsi" w:cstheme="minorHAnsi"/>
          <w:sz w:val="24"/>
          <w:szCs w:val="24"/>
          <w:lang w:eastAsia="en-US"/>
        </w:rPr>
        <w:t>3</w:t>
      </w:r>
      <w:r w:rsidR="004D76C0">
        <w:rPr>
          <w:rFonts w:asciiTheme="minorHAnsi" w:eastAsiaTheme="minorHAnsi" w:hAnsiTheme="minorHAnsi" w:cstheme="minorHAnsi"/>
          <w:sz w:val="24"/>
          <w:szCs w:val="24"/>
          <w:lang w:eastAsia="en-US"/>
        </w:rPr>
        <w:t>0</w:t>
      </w:r>
      <w:r w:rsidR="00104841" w:rsidRPr="00554CA5">
        <w:rPr>
          <w:rFonts w:asciiTheme="minorHAnsi" w:eastAsiaTheme="minorHAnsi" w:hAnsiTheme="minorHAnsi" w:cstheme="minorHAnsi"/>
          <w:sz w:val="24"/>
          <w:szCs w:val="24"/>
          <w:lang w:eastAsia="en-US"/>
        </w:rPr>
        <w:t>)</w:t>
      </w:r>
      <w:r w:rsidR="00C9340D">
        <w:rPr>
          <w:rFonts w:asciiTheme="minorHAnsi" w:eastAsiaTheme="minorHAnsi" w:hAnsiTheme="minorHAnsi" w:cstheme="minorHAnsi"/>
          <w:sz w:val="24"/>
          <w:szCs w:val="24"/>
          <w:lang w:eastAsia="en-US"/>
        </w:rPr>
        <w:t>.</w:t>
      </w:r>
    </w:p>
    <w:p w14:paraId="1097DD9C" w14:textId="5B09D161" w:rsidR="00431E67" w:rsidRPr="008C737B" w:rsidRDefault="00472425" w:rsidP="00A36482">
      <w:pPr>
        <w:pStyle w:val="Nadpis1"/>
        <w:numPr>
          <w:ilvl w:val="0"/>
          <w:numId w:val="0"/>
        </w:numPr>
        <w:spacing w:before="0" w:line="240" w:lineRule="auto"/>
        <w:jc w:val="both"/>
        <w:rPr>
          <w:rFonts w:asciiTheme="minorHAnsi" w:hAnsiTheme="minorHAnsi"/>
          <w:color w:val="auto"/>
        </w:rPr>
      </w:pPr>
      <w:r w:rsidRPr="00554CA5">
        <w:rPr>
          <w:rFonts w:asciiTheme="minorHAnsi" w:hAnsiTheme="minorHAnsi"/>
          <w:color w:val="auto"/>
        </w:rPr>
        <w:t>1.5</w:t>
      </w:r>
      <w:r w:rsidR="00A8246F" w:rsidRPr="00554CA5">
        <w:rPr>
          <w:rFonts w:asciiTheme="minorHAnsi" w:hAnsiTheme="minorHAnsi"/>
          <w:color w:val="auto"/>
        </w:rPr>
        <w:t xml:space="preserve"> </w:t>
      </w:r>
      <w:r w:rsidR="0003568B" w:rsidRPr="00554CA5">
        <w:rPr>
          <w:rFonts w:asciiTheme="minorHAnsi" w:hAnsiTheme="minorHAnsi"/>
          <w:color w:val="auto"/>
        </w:rPr>
        <w:t>Efektivnost dozoru v oblasti hazardních her provozovaných na</w:t>
      </w:r>
      <w:r w:rsidR="0003568B">
        <w:rPr>
          <w:rFonts w:asciiTheme="minorHAnsi" w:hAnsiTheme="minorHAnsi"/>
          <w:color w:val="auto"/>
        </w:rPr>
        <w:t xml:space="preserve"> internetu snižuje nejednoznačná právní úprava.</w:t>
      </w:r>
    </w:p>
    <w:p w14:paraId="32E0C56E" w14:textId="7552343E" w:rsidR="00431E67" w:rsidRPr="00554CA5" w:rsidRDefault="007D7AB7" w:rsidP="001E51C9">
      <w:pPr>
        <w:pStyle w:val="Odstavecseseznamem"/>
        <w:numPr>
          <w:ilvl w:val="0"/>
          <w:numId w:val="58"/>
        </w:numPr>
        <w:spacing w:after="120"/>
        <w:ind w:left="714" w:hanging="357"/>
        <w:contextualSpacing w:val="0"/>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V</w:t>
      </w:r>
      <w:r w:rsidR="00431E67" w:rsidRPr="008142C5">
        <w:rPr>
          <w:rFonts w:asciiTheme="minorHAnsi" w:eastAsiaTheme="minorHAnsi" w:hAnsiTheme="minorHAnsi" w:cstheme="minorHAnsi"/>
          <w:sz w:val="24"/>
          <w:szCs w:val="24"/>
          <w:lang w:eastAsia="en-US"/>
        </w:rPr>
        <w:t xml:space="preserve"> kontrolovaném období byl </w:t>
      </w:r>
      <w:r w:rsidR="005A061F">
        <w:rPr>
          <w:rFonts w:asciiTheme="minorHAnsi" w:eastAsiaTheme="minorHAnsi" w:hAnsiTheme="minorHAnsi" w:cstheme="minorHAnsi"/>
          <w:sz w:val="24"/>
          <w:szCs w:val="24"/>
          <w:lang w:eastAsia="en-US"/>
        </w:rPr>
        <w:t xml:space="preserve">dle údajů </w:t>
      </w:r>
      <w:r>
        <w:rPr>
          <w:rFonts w:asciiTheme="minorHAnsi" w:eastAsiaTheme="minorHAnsi" w:hAnsiTheme="minorHAnsi" w:cstheme="minorHAnsi"/>
          <w:sz w:val="24"/>
          <w:szCs w:val="24"/>
          <w:lang w:eastAsia="en-US"/>
        </w:rPr>
        <w:t xml:space="preserve">předložených </w:t>
      </w:r>
      <w:r w:rsidR="005A061F">
        <w:rPr>
          <w:rFonts w:asciiTheme="minorHAnsi" w:eastAsiaTheme="minorHAnsi" w:hAnsiTheme="minorHAnsi" w:cstheme="minorHAnsi"/>
          <w:sz w:val="24"/>
          <w:szCs w:val="24"/>
          <w:lang w:eastAsia="en-US"/>
        </w:rPr>
        <w:t xml:space="preserve">SFÚ </w:t>
      </w:r>
      <w:r w:rsidR="00431E67" w:rsidRPr="008142C5">
        <w:rPr>
          <w:rFonts w:asciiTheme="minorHAnsi" w:eastAsiaTheme="minorHAnsi" w:hAnsiTheme="minorHAnsi" w:cstheme="minorHAnsi"/>
          <w:sz w:val="24"/>
          <w:szCs w:val="24"/>
          <w:lang w:eastAsia="en-US"/>
        </w:rPr>
        <w:t xml:space="preserve">počet </w:t>
      </w:r>
      <w:r w:rsidR="002E6F0F">
        <w:rPr>
          <w:rFonts w:asciiTheme="minorHAnsi" w:eastAsiaTheme="minorHAnsi" w:hAnsiTheme="minorHAnsi" w:cstheme="minorHAnsi"/>
          <w:sz w:val="24"/>
          <w:szCs w:val="24"/>
          <w:lang w:eastAsia="en-US"/>
        </w:rPr>
        <w:t xml:space="preserve">detekovaných </w:t>
      </w:r>
      <w:r w:rsidR="00472425" w:rsidRPr="008142C5">
        <w:rPr>
          <w:rFonts w:asciiTheme="minorHAnsi" w:eastAsiaTheme="minorHAnsi" w:hAnsiTheme="minorHAnsi" w:cstheme="minorHAnsi"/>
          <w:sz w:val="24"/>
          <w:szCs w:val="24"/>
          <w:lang w:eastAsia="en-US"/>
        </w:rPr>
        <w:t xml:space="preserve">nelegálních </w:t>
      </w:r>
      <w:r w:rsidR="00431E67" w:rsidRPr="008142C5">
        <w:rPr>
          <w:rFonts w:asciiTheme="minorHAnsi" w:eastAsiaTheme="minorHAnsi" w:hAnsiTheme="minorHAnsi" w:cstheme="minorHAnsi"/>
          <w:sz w:val="24"/>
          <w:szCs w:val="24"/>
          <w:lang w:eastAsia="en-US"/>
        </w:rPr>
        <w:t>provozovatelů 15</w:t>
      </w:r>
      <w:r w:rsidR="00840BC2">
        <w:rPr>
          <w:rFonts w:asciiTheme="minorHAnsi" w:eastAsiaTheme="minorHAnsi" w:hAnsiTheme="minorHAnsi" w:cstheme="minorHAnsi"/>
          <w:sz w:val="24"/>
          <w:szCs w:val="24"/>
          <w:lang w:eastAsia="en-US"/>
        </w:rPr>
        <w:t>×</w:t>
      </w:r>
      <w:r w:rsidR="00431E67" w:rsidRPr="008142C5">
        <w:rPr>
          <w:rFonts w:asciiTheme="minorHAnsi" w:eastAsiaTheme="minorHAnsi" w:hAnsiTheme="minorHAnsi" w:cstheme="minorHAnsi"/>
          <w:sz w:val="24"/>
          <w:szCs w:val="24"/>
          <w:lang w:eastAsia="en-US"/>
        </w:rPr>
        <w:t xml:space="preserve"> vyšší než počet provozovatelů s vydaným základním povolením k provozování hazardních her.</w:t>
      </w:r>
      <w:r w:rsidR="001C5E59" w:rsidRPr="008142C5">
        <w:rPr>
          <w:rFonts w:asciiTheme="minorHAnsi" w:eastAsiaTheme="minorHAnsi" w:hAnsiTheme="minorHAnsi" w:cstheme="minorHAnsi"/>
          <w:sz w:val="24"/>
          <w:szCs w:val="24"/>
          <w:lang w:eastAsia="en-US"/>
        </w:rPr>
        <w:t xml:space="preserve"> </w:t>
      </w:r>
      <w:r w:rsidR="001C5E59" w:rsidRPr="008142C5">
        <w:rPr>
          <w:rFonts w:asciiTheme="minorHAnsi" w:eastAsiaTheme="minorHAnsi" w:hAnsiTheme="minorHAnsi" w:cstheme="minorHAnsi"/>
          <w:color w:val="auto"/>
          <w:sz w:val="24"/>
          <w:szCs w:val="24"/>
        </w:rPr>
        <w:t xml:space="preserve">Formulačně nejednoznačná právní úprava zákonného znaku nelegálně provozované hazardní hry – </w:t>
      </w:r>
      <w:r w:rsidR="001C5E59" w:rsidRPr="00247CAB">
        <w:rPr>
          <w:rFonts w:asciiTheme="minorHAnsi" w:eastAsiaTheme="minorHAnsi" w:hAnsiTheme="minorHAnsi" w:cstheme="minorHAnsi"/>
          <w:color w:val="auto"/>
          <w:sz w:val="24"/>
          <w:szCs w:val="24"/>
        </w:rPr>
        <w:t>„</w:t>
      </w:r>
      <w:r w:rsidR="001C5E59" w:rsidRPr="008142C5">
        <w:rPr>
          <w:rFonts w:asciiTheme="minorHAnsi" w:eastAsiaTheme="minorHAnsi" w:hAnsiTheme="minorHAnsi" w:cstheme="minorHAnsi"/>
          <w:i/>
          <w:color w:val="auto"/>
          <w:sz w:val="24"/>
          <w:szCs w:val="24"/>
        </w:rPr>
        <w:t xml:space="preserve">zaměření nebo cílení </w:t>
      </w:r>
      <w:r w:rsidR="001C5E59" w:rsidRPr="008142C5">
        <w:rPr>
          <w:rFonts w:asciiTheme="minorHAnsi" w:hAnsiTheme="minorHAnsi" w:cstheme="minorHAnsi"/>
          <w:i/>
          <w:color w:val="auto"/>
          <w:sz w:val="24"/>
          <w:szCs w:val="24"/>
        </w:rPr>
        <w:t>na osoby, které mají bydliště na území ČR</w:t>
      </w:r>
      <w:r w:rsidR="001C5E59" w:rsidRPr="00247CAB">
        <w:rPr>
          <w:rFonts w:asciiTheme="minorHAnsi" w:hAnsiTheme="minorHAnsi" w:cstheme="minorHAnsi"/>
          <w:color w:val="auto"/>
          <w:sz w:val="24"/>
          <w:szCs w:val="24"/>
        </w:rPr>
        <w:t>“</w:t>
      </w:r>
      <w:r w:rsidR="001C5E59" w:rsidRPr="008142C5">
        <w:rPr>
          <w:rFonts w:asciiTheme="minorHAnsi" w:eastAsiaTheme="minorHAnsi" w:hAnsiTheme="minorHAnsi" w:cstheme="minorHAnsi"/>
          <w:color w:val="auto"/>
          <w:sz w:val="24"/>
          <w:szCs w:val="24"/>
        </w:rPr>
        <w:t xml:space="preserve"> </w:t>
      </w:r>
      <w:r w:rsidR="00FE75BA">
        <w:rPr>
          <w:rFonts w:asciiTheme="minorHAnsi" w:eastAsiaTheme="minorHAnsi" w:hAnsiTheme="minorHAnsi" w:cstheme="minorHAnsi"/>
          <w:color w:val="auto"/>
          <w:sz w:val="24"/>
          <w:szCs w:val="24"/>
        </w:rPr>
        <w:t xml:space="preserve">– </w:t>
      </w:r>
      <w:r w:rsidR="001C5E59" w:rsidRPr="008142C5">
        <w:rPr>
          <w:rFonts w:asciiTheme="minorHAnsi" w:eastAsiaTheme="minorHAnsi" w:hAnsiTheme="minorHAnsi" w:cstheme="minorHAnsi"/>
          <w:color w:val="auto"/>
          <w:sz w:val="24"/>
          <w:szCs w:val="24"/>
        </w:rPr>
        <w:t xml:space="preserve">snižuje </w:t>
      </w:r>
      <w:r w:rsidR="00E0695A">
        <w:rPr>
          <w:rFonts w:asciiTheme="minorHAnsi" w:eastAsiaTheme="minorHAnsi" w:hAnsiTheme="minorHAnsi" w:cstheme="minorHAnsi"/>
          <w:color w:val="auto"/>
          <w:sz w:val="24"/>
          <w:szCs w:val="24"/>
        </w:rPr>
        <w:t>z důvodu značné administrativní</w:t>
      </w:r>
      <w:r w:rsidR="008C7CA7">
        <w:rPr>
          <w:rFonts w:asciiTheme="minorHAnsi" w:eastAsiaTheme="minorHAnsi" w:hAnsiTheme="minorHAnsi" w:cstheme="minorHAnsi"/>
          <w:color w:val="auto"/>
          <w:sz w:val="24"/>
          <w:szCs w:val="24"/>
        </w:rPr>
        <w:t xml:space="preserve"> </w:t>
      </w:r>
      <w:r w:rsidR="00767620">
        <w:rPr>
          <w:rFonts w:asciiTheme="minorHAnsi" w:eastAsiaTheme="minorHAnsi" w:hAnsiTheme="minorHAnsi" w:cstheme="minorHAnsi"/>
          <w:color w:val="auto"/>
          <w:sz w:val="24"/>
          <w:szCs w:val="24"/>
        </w:rPr>
        <w:br/>
      </w:r>
      <w:r w:rsidR="00E0695A">
        <w:rPr>
          <w:rFonts w:asciiTheme="minorHAnsi" w:eastAsiaTheme="minorHAnsi" w:hAnsiTheme="minorHAnsi" w:cstheme="minorHAnsi"/>
          <w:color w:val="auto"/>
          <w:sz w:val="24"/>
          <w:szCs w:val="24"/>
        </w:rPr>
        <w:lastRenderedPageBreak/>
        <w:t xml:space="preserve">i </w:t>
      </w:r>
      <w:r w:rsidR="00E0695A" w:rsidRPr="00554CA5">
        <w:rPr>
          <w:rFonts w:asciiTheme="minorHAnsi" w:eastAsiaTheme="minorHAnsi" w:hAnsiTheme="minorHAnsi" w:cstheme="minorHAnsi"/>
          <w:color w:val="auto"/>
          <w:sz w:val="24"/>
          <w:szCs w:val="24"/>
        </w:rPr>
        <w:t xml:space="preserve">časové náročnosti </w:t>
      </w:r>
      <w:r w:rsidR="001C5E59" w:rsidRPr="00554CA5">
        <w:rPr>
          <w:rFonts w:asciiTheme="minorHAnsi" w:eastAsiaTheme="minorHAnsi" w:hAnsiTheme="minorHAnsi" w:cstheme="minorHAnsi"/>
          <w:color w:val="auto"/>
          <w:sz w:val="24"/>
          <w:szCs w:val="24"/>
        </w:rPr>
        <w:t xml:space="preserve">efektivnost </w:t>
      </w:r>
      <w:r w:rsidR="00841F08" w:rsidRPr="00554CA5">
        <w:rPr>
          <w:rFonts w:asciiTheme="minorHAnsi" w:eastAsiaTheme="minorHAnsi" w:hAnsiTheme="minorHAnsi" w:cstheme="minorHAnsi"/>
          <w:color w:val="auto"/>
          <w:sz w:val="24"/>
          <w:szCs w:val="24"/>
        </w:rPr>
        <w:t xml:space="preserve">systému </w:t>
      </w:r>
      <w:r w:rsidR="001C5E59" w:rsidRPr="00554CA5">
        <w:rPr>
          <w:rFonts w:asciiTheme="minorHAnsi" w:eastAsiaTheme="minorHAnsi" w:hAnsiTheme="minorHAnsi" w:cstheme="minorHAnsi"/>
          <w:color w:val="auto"/>
          <w:sz w:val="24"/>
          <w:szCs w:val="24"/>
        </w:rPr>
        <w:t>dozorové činnosti (viz</w:t>
      </w:r>
      <w:r w:rsidR="00104841" w:rsidRPr="00554CA5">
        <w:rPr>
          <w:rFonts w:asciiTheme="minorHAnsi" w:eastAsiaTheme="minorHAnsi" w:hAnsiTheme="minorHAnsi" w:cstheme="minorHAnsi"/>
          <w:color w:val="auto"/>
          <w:sz w:val="24"/>
          <w:szCs w:val="24"/>
        </w:rPr>
        <w:t xml:space="preserve"> odst.</w:t>
      </w:r>
      <w:r w:rsidR="000A5728" w:rsidRPr="00554CA5">
        <w:rPr>
          <w:rFonts w:asciiTheme="minorHAnsi" w:eastAsiaTheme="minorHAnsi" w:hAnsiTheme="minorHAnsi" w:cstheme="minorHAnsi"/>
          <w:color w:val="auto"/>
          <w:sz w:val="24"/>
          <w:szCs w:val="24"/>
        </w:rPr>
        <w:t xml:space="preserve"> </w:t>
      </w:r>
      <w:r w:rsidR="00793382" w:rsidRPr="00554CA5">
        <w:rPr>
          <w:rFonts w:asciiTheme="minorHAnsi" w:eastAsiaTheme="minorHAnsi" w:hAnsiTheme="minorHAnsi" w:cstheme="minorHAnsi"/>
          <w:color w:val="auto"/>
          <w:sz w:val="24"/>
          <w:szCs w:val="24"/>
        </w:rPr>
        <w:t>4.</w:t>
      </w:r>
      <w:r w:rsidR="00C9340D" w:rsidRPr="00554CA5">
        <w:rPr>
          <w:rFonts w:asciiTheme="minorHAnsi" w:eastAsiaTheme="minorHAnsi" w:hAnsiTheme="minorHAnsi" w:cstheme="minorHAnsi"/>
          <w:color w:val="auto"/>
          <w:sz w:val="24"/>
          <w:szCs w:val="24"/>
        </w:rPr>
        <w:t>4</w:t>
      </w:r>
      <w:r w:rsidR="00977233">
        <w:rPr>
          <w:rFonts w:asciiTheme="minorHAnsi" w:eastAsiaTheme="minorHAnsi" w:hAnsiTheme="minorHAnsi" w:cstheme="minorHAnsi"/>
          <w:color w:val="auto"/>
          <w:sz w:val="24"/>
          <w:szCs w:val="24"/>
        </w:rPr>
        <w:t>4</w:t>
      </w:r>
      <w:r w:rsidR="00C9340D" w:rsidRPr="00554CA5">
        <w:rPr>
          <w:rFonts w:asciiTheme="minorHAnsi" w:eastAsiaTheme="minorHAnsi" w:hAnsiTheme="minorHAnsi" w:cstheme="minorHAnsi"/>
          <w:color w:val="auto"/>
          <w:sz w:val="24"/>
          <w:szCs w:val="24"/>
        </w:rPr>
        <w:t xml:space="preserve"> </w:t>
      </w:r>
      <w:r w:rsidR="00793382" w:rsidRPr="00554CA5">
        <w:rPr>
          <w:rFonts w:asciiTheme="minorHAnsi" w:eastAsiaTheme="minorHAnsi" w:hAnsiTheme="minorHAnsi" w:cstheme="minorHAnsi"/>
          <w:color w:val="auto"/>
          <w:sz w:val="24"/>
          <w:szCs w:val="24"/>
        </w:rPr>
        <w:t>až 4.</w:t>
      </w:r>
      <w:r w:rsidR="00C9340D" w:rsidRPr="00554CA5">
        <w:rPr>
          <w:rFonts w:asciiTheme="minorHAnsi" w:eastAsiaTheme="minorHAnsi" w:hAnsiTheme="minorHAnsi" w:cstheme="minorHAnsi"/>
          <w:color w:val="auto"/>
          <w:sz w:val="24"/>
          <w:szCs w:val="24"/>
        </w:rPr>
        <w:t>5</w:t>
      </w:r>
      <w:r w:rsidR="00435ADB">
        <w:rPr>
          <w:rFonts w:asciiTheme="minorHAnsi" w:eastAsiaTheme="minorHAnsi" w:hAnsiTheme="minorHAnsi" w:cstheme="minorHAnsi"/>
          <w:color w:val="auto"/>
          <w:sz w:val="24"/>
          <w:szCs w:val="24"/>
        </w:rPr>
        <w:t>2</w:t>
      </w:r>
      <w:r w:rsidR="00780113" w:rsidRPr="00554CA5">
        <w:rPr>
          <w:rFonts w:asciiTheme="minorHAnsi" w:eastAsiaTheme="minorHAnsi" w:hAnsiTheme="minorHAnsi" w:cstheme="minorHAnsi"/>
          <w:color w:val="auto"/>
          <w:sz w:val="24"/>
          <w:szCs w:val="24"/>
        </w:rPr>
        <w:t xml:space="preserve">, </w:t>
      </w:r>
      <w:r w:rsidR="00FE75BA">
        <w:rPr>
          <w:rFonts w:asciiTheme="minorHAnsi" w:eastAsiaTheme="minorHAnsi" w:hAnsiTheme="minorHAnsi" w:cstheme="minorHAnsi"/>
          <w:color w:val="auto"/>
          <w:sz w:val="24"/>
          <w:szCs w:val="24"/>
        </w:rPr>
        <w:t>p</w:t>
      </w:r>
      <w:r w:rsidR="00780113" w:rsidRPr="00554CA5">
        <w:rPr>
          <w:rFonts w:asciiTheme="minorHAnsi" w:eastAsiaTheme="minorHAnsi" w:hAnsiTheme="minorHAnsi" w:cstheme="minorHAnsi"/>
          <w:color w:val="auto"/>
          <w:sz w:val="24"/>
          <w:szCs w:val="24"/>
        </w:rPr>
        <w:t xml:space="preserve">říklad č. </w:t>
      </w:r>
      <w:r w:rsidR="00E0695A" w:rsidRPr="00554CA5">
        <w:rPr>
          <w:rFonts w:asciiTheme="minorHAnsi" w:eastAsiaTheme="minorHAnsi" w:hAnsiTheme="minorHAnsi" w:cstheme="minorHAnsi"/>
          <w:color w:val="auto"/>
          <w:sz w:val="24"/>
          <w:szCs w:val="24"/>
        </w:rPr>
        <w:t>4</w:t>
      </w:r>
      <w:r w:rsidR="001C5E59" w:rsidRPr="00554CA5">
        <w:rPr>
          <w:rFonts w:asciiTheme="minorHAnsi" w:eastAsiaTheme="minorHAnsi" w:hAnsiTheme="minorHAnsi" w:cstheme="minorHAnsi"/>
          <w:color w:val="auto"/>
          <w:sz w:val="24"/>
          <w:szCs w:val="24"/>
        </w:rPr>
        <w:t>)</w:t>
      </w:r>
      <w:r w:rsidR="00C9340D">
        <w:rPr>
          <w:rFonts w:asciiTheme="minorHAnsi" w:eastAsiaTheme="minorHAnsi" w:hAnsiTheme="minorHAnsi" w:cstheme="minorHAnsi"/>
          <w:color w:val="auto"/>
          <w:sz w:val="24"/>
          <w:szCs w:val="24"/>
        </w:rPr>
        <w:t>.</w:t>
      </w:r>
    </w:p>
    <w:p w14:paraId="0571EA81" w14:textId="08233E72" w:rsidR="00431E67" w:rsidRPr="00554CA5" w:rsidRDefault="005514F8" w:rsidP="00CE134E">
      <w:pPr>
        <w:pStyle w:val="Odstavecseseznamem"/>
        <w:numPr>
          <w:ilvl w:val="0"/>
          <w:numId w:val="58"/>
        </w:numPr>
        <w:spacing w:after="120"/>
        <w:ind w:left="714" w:hanging="357"/>
        <w:contextualSpacing w:val="0"/>
        <w:rPr>
          <w:rFonts w:asciiTheme="minorHAnsi" w:eastAsiaTheme="minorHAnsi" w:hAnsiTheme="minorHAnsi" w:cstheme="minorHAnsi"/>
          <w:sz w:val="24"/>
          <w:szCs w:val="24"/>
          <w:lang w:eastAsia="en-US"/>
        </w:rPr>
      </w:pPr>
      <w:r w:rsidRPr="00554CA5">
        <w:rPr>
          <w:rFonts w:asciiTheme="minorHAnsi" w:hAnsiTheme="minorHAnsi" w:cstheme="minorHAnsi"/>
          <w:color w:val="auto"/>
          <w:sz w:val="24"/>
          <w:szCs w:val="24"/>
        </w:rPr>
        <w:t xml:space="preserve">Celkový počet kontrol MF a </w:t>
      </w:r>
      <w:r w:rsidRPr="00554CA5">
        <w:rPr>
          <w:rFonts w:asciiTheme="minorHAnsi" w:eastAsiaTheme="minorHAnsi" w:hAnsiTheme="minorHAnsi" w:cstheme="minorHAnsi"/>
          <w:sz w:val="24"/>
          <w:szCs w:val="24"/>
          <w:lang w:eastAsia="en-US"/>
        </w:rPr>
        <w:t xml:space="preserve">CS ČR </w:t>
      </w:r>
      <w:r w:rsidR="00446D91">
        <w:rPr>
          <w:rFonts w:asciiTheme="minorHAnsi" w:eastAsiaTheme="minorHAnsi" w:hAnsiTheme="minorHAnsi" w:cstheme="minorHAnsi"/>
          <w:sz w:val="24"/>
          <w:szCs w:val="24"/>
          <w:lang w:eastAsia="en-US"/>
        </w:rPr>
        <w:t xml:space="preserve">u </w:t>
      </w:r>
      <w:r w:rsidRPr="00554CA5">
        <w:rPr>
          <w:rFonts w:asciiTheme="minorHAnsi" w:hAnsiTheme="minorHAnsi" w:cstheme="minorHAnsi"/>
          <w:color w:val="auto"/>
          <w:sz w:val="24"/>
          <w:szCs w:val="24"/>
        </w:rPr>
        <w:t>provozovatelů byl v</w:t>
      </w:r>
      <w:r w:rsidR="0070735D" w:rsidRPr="00554CA5">
        <w:rPr>
          <w:rFonts w:asciiTheme="minorHAnsi" w:hAnsiTheme="minorHAnsi" w:cstheme="minorHAnsi"/>
          <w:color w:val="auto"/>
          <w:sz w:val="24"/>
          <w:szCs w:val="24"/>
        </w:rPr>
        <w:t> </w:t>
      </w:r>
      <w:r w:rsidRPr="00554CA5">
        <w:rPr>
          <w:rFonts w:asciiTheme="minorHAnsi" w:hAnsiTheme="minorHAnsi" w:cstheme="minorHAnsi"/>
          <w:color w:val="auto"/>
          <w:sz w:val="24"/>
          <w:szCs w:val="24"/>
        </w:rPr>
        <w:t xml:space="preserve">období </w:t>
      </w:r>
      <w:r w:rsidR="00446D91">
        <w:rPr>
          <w:rFonts w:asciiTheme="minorHAnsi" w:hAnsiTheme="minorHAnsi" w:cstheme="minorHAnsi"/>
          <w:color w:val="auto"/>
          <w:sz w:val="24"/>
          <w:szCs w:val="24"/>
        </w:rPr>
        <w:t xml:space="preserve">let </w:t>
      </w:r>
      <w:r w:rsidRPr="00554CA5">
        <w:rPr>
          <w:rFonts w:asciiTheme="minorHAnsi" w:hAnsiTheme="minorHAnsi" w:cstheme="minorHAnsi"/>
          <w:color w:val="auto"/>
          <w:sz w:val="24"/>
          <w:szCs w:val="24"/>
        </w:rPr>
        <w:t xml:space="preserve">2017 až 2021 </w:t>
      </w:r>
      <w:r w:rsidR="00446D91">
        <w:rPr>
          <w:rFonts w:asciiTheme="minorHAnsi" w:hAnsiTheme="minorHAnsi" w:cstheme="minorHAnsi"/>
          <w:color w:val="auto"/>
          <w:sz w:val="24"/>
          <w:szCs w:val="24"/>
        </w:rPr>
        <w:br/>
      </w:r>
      <w:r w:rsidR="000D2764" w:rsidRPr="00554CA5">
        <w:rPr>
          <w:rFonts w:asciiTheme="minorHAnsi" w:hAnsiTheme="minorHAnsi" w:cstheme="minorHAnsi"/>
          <w:color w:val="auto"/>
          <w:sz w:val="24"/>
          <w:szCs w:val="24"/>
        </w:rPr>
        <w:t>v land-base</w:t>
      </w:r>
      <w:r w:rsidR="000D2764" w:rsidRPr="00241457">
        <w:rPr>
          <w:rFonts w:asciiTheme="minorHAnsi" w:hAnsiTheme="minorHAnsi" w:cstheme="minorHAnsi"/>
          <w:color w:val="auto"/>
          <w:sz w:val="24"/>
          <w:szCs w:val="24"/>
        </w:rPr>
        <w:t>d</w:t>
      </w:r>
      <w:r w:rsidR="00DB4E3C" w:rsidRPr="00241457">
        <w:rPr>
          <w:rStyle w:val="Znakapoznpodarou"/>
          <w:rFonts w:asciiTheme="minorHAnsi" w:hAnsiTheme="minorHAnsi" w:cstheme="minorHAnsi"/>
          <w:color w:val="auto"/>
          <w:sz w:val="24"/>
          <w:szCs w:val="24"/>
        </w:rPr>
        <w:footnoteReference w:id="12"/>
      </w:r>
      <w:r w:rsidR="000D2764" w:rsidRPr="00241457">
        <w:rPr>
          <w:rFonts w:asciiTheme="minorHAnsi" w:hAnsiTheme="minorHAnsi" w:cstheme="minorHAnsi"/>
          <w:color w:val="auto"/>
          <w:sz w:val="24"/>
          <w:szCs w:val="24"/>
        </w:rPr>
        <w:t xml:space="preserve"> </w:t>
      </w:r>
      <w:r w:rsidR="000D2764" w:rsidRPr="00554CA5">
        <w:rPr>
          <w:rFonts w:asciiTheme="minorHAnsi" w:hAnsiTheme="minorHAnsi" w:cstheme="minorHAnsi"/>
          <w:color w:val="auto"/>
          <w:sz w:val="24"/>
          <w:szCs w:val="24"/>
        </w:rPr>
        <w:t xml:space="preserve">prostředí </w:t>
      </w:r>
      <w:r w:rsidR="00541B70" w:rsidRPr="00554CA5">
        <w:rPr>
          <w:rFonts w:asciiTheme="minorHAnsi" w:hAnsiTheme="minorHAnsi" w:cstheme="minorHAnsi"/>
          <w:color w:val="auto"/>
          <w:sz w:val="24"/>
          <w:szCs w:val="24"/>
        </w:rPr>
        <w:t xml:space="preserve">1 005 a </w:t>
      </w:r>
      <w:r w:rsidR="00446D91">
        <w:rPr>
          <w:rFonts w:asciiTheme="minorHAnsi" w:hAnsiTheme="minorHAnsi" w:cstheme="minorHAnsi"/>
          <w:color w:val="auto"/>
          <w:sz w:val="24"/>
          <w:szCs w:val="24"/>
        </w:rPr>
        <w:t xml:space="preserve">v </w:t>
      </w:r>
      <w:r w:rsidR="000D2764" w:rsidRPr="00554CA5">
        <w:rPr>
          <w:rFonts w:asciiTheme="minorHAnsi" w:hAnsiTheme="minorHAnsi" w:cstheme="minorHAnsi"/>
          <w:color w:val="auto"/>
          <w:sz w:val="24"/>
          <w:szCs w:val="24"/>
        </w:rPr>
        <w:t xml:space="preserve">internetovém prostředí </w:t>
      </w:r>
      <w:r w:rsidR="00541B70" w:rsidRPr="00554CA5">
        <w:rPr>
          <w:rFonts w:asciiTheme="minorHAnsi" w:hAnsiTheme="minorHAnsi" w:cstheme="minorHAnsi"/>
          <w:color w:val="auto"/>
          <w:sz w:val="24"/>
          <w:szCs w:val="24"/>
        </w:rPr>
        <w:t>167</w:t>
      </w:r>
      <w:r w:rsidRPr="00554CA5">
        <w:rPr>
          <w:rFonts w:asciiTheme="minorHAnsi" w:hAnsiTheme="minorHAnsi" w:cstheme="minorHAnsi"/>
          <w:color w:val="auto"/>
          <w:sz w:val="24"/>
          <w:szCs w:val="24"/>
        </w:rPr>
        <w:t xml:space="preserve">. </w:t>
      </w:r>
      <w:r w:rsidR="006A1757" w:rsidRPr="00554CA5">
        <w:rPr>
          <w:rFonts w:asciiTheme="minorHAnsi" w:eastAsiaTheme="minorHAnsi" w:hAnsiTheme="minorHAnsi" w:cstheme="minorHAnsi"/>
          <w:sz w:val="24"/>
          <w:szCs w:val="24"/>
          <w:lang w:eastAsia="en-US"/>
        </w:rPr>
        <w:t xml:space="preserve">MF a </w:t>
      </w:r>
      <w:r w:rsidR="00D16E7A" w:rsidRPr="00554CA5">
        <w:rPr>
          <w:rFonts w:asciiTheme="minorHAnsi" w:eastAsiaTheme="minorHAnsi" w:hAnsiTheme="minorHAnsi" w:cstheme="minorHAnsi"/>
          <w:sz w:val="24"/>
          <w:szCs w:val="24"/>
          <w:lang w:eastAsia="en-US"/>
        </w:rPr>
        <w:t>CS ČR tak</w:t>
      </w:r>
      <w:r w:rsidR="00431E67" w:rsidRPr="00554CA5">
        <w:rPr>
          <w:rFonts w:asciiTheme="minorHAnsi" w:eastAsiaTheme="minorHAnsi" w:hAnsiTheme="minorHAnsi" w:cstheme="minorHAnsi"/>
          <w:sz w:val="24"/>
          <w:szCs w:val="24"/>
          <w:lang w:eastAsia="en-US"/>
        </w:rPr>
        <w:t xml:space="preserve"> </w:t>
      </w:r>
      <w:r w:rsidR="001C5E59" w:rsidRPr="00554CA5">
        <w:rPr>
          <w:rFonts w:asciiTheme="minorHAnsi" w:eastAsiaTheme="minorHAnsi" w:hAnsiTheme="minorHAnsi" w:cstheme="minorHAnsi"/>
          <w:sz w:val="24"/>
          <w:szCs w:val="24"/>
          <w:lang w:eastAsia="en-US"/>
        </w:rPr>
        <w:t>zaměřily pozornost na hazardní hry provozované na internetu pouze ve 14 % z celkového počtu provedených kontrol.</w:t>
      </w:r>
      <w:r w:rsidR="00431E67" w:rsidRPr="00554CA5">
        <w:rPr>
          <w:rFonts w:asciiTheme="minorHAnsi" w:eastAsiaTheme="minorHAnsi" w:hAnsiTheme="minorHAnsi" w:cstheme="minorHAnsi"/>
          <w:sz w:val="24"/>
          <w:szCs w:val="24"/>
          <w:lang w:eastAsia="en-US"/>
        </w:rPr>
        <w:t xml:space="preserve"> </w:t>
      </w:r>
      <w:r w:rsidR="001C5E59" w:rsidRPr="00554CA5">
        <w:rPr>
          <w:rFonts w:asciiTheme="minorHAnsi" w:eastAsiaTheme="minorHAnsi" w:hAnsiTheme="minorHAnsi" w:cstheme="minorHAnsi"/>
          <w:sz w:val="24"/>
          <w:szCs w:val="24"/>
          <w:lang w:eastAsia="en-US"/>
        </w:rPr>
        <w:t>Tyto orgány</w:t>
      </w:r>
      <w:r w:rsidR="00431E67" w:rsidRPr="00554CA5">
        <w:rPr>
          <w:rFonts w:asciiTheme="minorHAnsi" w:eastAsiaTheme="minorHAnsi" w:hAnsiTheme="minorHAnsi" w:cstheme="minorHAnsi"/>
          <w:sz w:val="24"/>
          <w:szCs w:val="24"/>
          <w:lang w:eastAsia="en-US"/>
        </w:rPr>
        <w:t xml:space="preserve"> </w:t>
      </w:r>
      <w:r w:rsidR="00947454" w:rsidRPr="00554CA5">
        <w:rPr>
          <w:rFonts w:asciiTheme="minorHAnsi" w:eastAsiaTheme="minorHAnsi" w:hAnsiTheme="minorHAnsi" w:cstheme="minorHAnsi"/>
          <w:sz w:val="24"/>
          <w:szCs w:val="24"/>
          <w:lang w:eastAsia="en-US"/>
        </w:rPr>
        <w:t xml:space="preserve">tak </w:t>
      </w:r>
      <w:r w:rsidR="00375110">
        <w:rPr>
          <w:rFonts w:asciiTheme="minorHAnsi" w:eastAsiaTheme="minorHAnsi" w:hAnsiTheme="minorHAnsi" w:cstheme="minorHAnsi"/>
          <w:sz w:val="24"/>
          <w:szCs w:val="24"/>
          <w:lang w:eastAsia="en-US"/>
        </w:rPr>
        <w:t xml:space="preserve">podle NKÚ </w:t>
      </w:r>
      <w:r w:rsidR="00431E67" w:rsidRPr="00554CA5">
        <w:rPr>
          <w:rFonts w:asciiTheme="minorHAnsi" w:eastAsiaTheme="minorHAnsi" w:hAnsiTheme="minorHAnsi" w:cstheme="minorHAnsi"/>
          <w:sz w:val="24"/>
          <w:szCs w:val="24"/>
          <w:lang w:eastAsia="en-US"/>
        </w:rPr>
        <w:t>nedostatečně reagovaly na přesun hazardních her z land</w:t>
      </w:r>
      <w:r w:rsidR="00431E67" w:rsidRPr="00554CA5">
        <w:rPr>
          <w:rFonts w:asciiTheme="minorHAnsi" w:eastAsiaTheme="minorHAnsi" w:hAnsiTheme="minorHAnsi" w:cstheme="minorHAnsi"/>
          <w:sz w:val="24"/>
          <w:szCs w:val="24"/>
          <w:lang w:eastAsia="en-US"/>
        </w:rPr>
        <w:noBreakHyphen/>
        <w:t xml:space="preserve">based prostředí na internet (viz odst. </w:t>
      </w:r>
      <w:r w:rsidR="00924617" w:rsidRPr="00554CA5">
        <w:rPr>
          <w:rFonts w:asciiTheme="minorHAnsi" w:eastAsiaTheme="minorHAnsi" w:hAnsiTheme="minorHAnsi" w:cstheme="minorHAnsi"/>
          <w:sz w:val="24"/>
          <w:szCs w:val="24"/>
          <w:lang w:eastAsia="en-US"/>
        </w:rPr>
        <w:t>4.</w:t>
      </w:r>
      <w:r w:rsidR="00C9340D" w:rsidRPr="00554CA5">
        <w:rPr>
          <w:rFonts w:asciiTheme="minorHAnsi" w:eastAsiaTheme="minorHAnsi" w:hAnsiTheme="minorHAnsi" w:cstheme="minorHAnsi"/>
          <w:sz w:val="24"/>
          <w:szCs w:val="24"/>
          <w:lang w:eastAsia="en-US"/>
        </w:rPr>
        <w:t>4</w:t>
      </w:r>
      <w:r w:rsidR="00C9340D">
        <w:rPr>
          <w:rFonts w:asciiTheme="minorHAnsi" w:eastAsiaTheme="minorHAnsi" w:hAnsiTheme="minorHAnsi" w:cstheme="minorHAnsi"/>
          <w:sz w:val="24"/>
          <w:szCs w:val="24"/>
          <w:lang w:eastAsia="en-US"/>
        </w:rPr>
        <w:t>1</w:t>
      </w:r>
      <w:r w:rsidR="00C9340D" w:rsidRPr="00554CA5">
        <w:rPr>
          <w:rFonts w:asciiTheme="minorHAnsi" w:eastAsiaTheme="minorHAnsi" w:hAnsiTheme="minorHAnsi" w:cstheme="minorHAnsi"/>
          <w:sz w:val="24"/>
          <w:szCs w:val="24"/>
          <w:lang w:eastAsia="en-US"/>
        </w:rPr>
        <w:t xml:space="preserve"> </w:t>
      </w:r>
      <w:r w:rsidR="00924617" w:rsidRPr="00554CA5">
        <w:rPr>
          <w:rFonts w:asciiTheme="minorHAnsi" w:eastAsiaTheme="minorHAnsi" w:hAnsiTheme="minorHAnsi" w:cstheme="minorHAnsi"/>
          <w:sz w:val="24"/>
          <w:szCs w:val="24"/>
          <w:lang w:eastAsia="en-US"/>
        </w:rPr>
        <w:t>až 4.</w:t>
      </w:r>
      <w:r w:rsidR="00C9340D" w:rsidRPr="00554CA5">
        <w:rPr>
          <w:rFonts w:asciiTheme="minorHAnsi" w:eastAsiaTheme="minorHAnsi" w:hAnsiTheme="minorHAnsi" w:cstheme="minorHAnsi"/>
          <w:sz w:val="24"/>
          <w:szCs w:val="24"/>
          <w:lang w:eastAsia="en-US"/>
        </w:rPr>
        <w:t>4</w:t>
      </w:r>
      <w:r w:rsidR="00C9340D">
        <w:rPr>
          <w:rFonts w:asciiTheme="minorHAnsi" w:eastAsiaTheme="minorHAnsi" w:hAnsiTheme="minorHAnsi" w:cstheme="minorHAnsi"/>
          <w:sz w:val="24"/>
          <w:szCs w:val="24"/>
          <w:lang w:eastAsia="en-US"/>
        </w:rPr>
        <w:t>3</w:t>
      </w:r>
      <w:r w:rsidR="00431E67" w:rsidRPr="00554CA5">
        <w:rPr>
          <w:rFonts w:asciiTheme="minorHAnsi" w:eastAsiaTheme="minorHAnsi" w:hAnsiTheme="minorHAnsi" w:cstheme="minorHAnsi"/>
          <w:sz w:val="24"/>
          <w:szCs w:val="24"/>
          <w:lang w:eastAsia="en-US"/>
        </w:rPr>
        <w:t>)</w:t>
      </w:r>
      <w:r w:rsidR="005A061F" w:rsidRPr="00554CA5">
        <w:rPr>
          <w:rFonts w:asciiTheme="minorHAnsi" w:eastAsiaTheme="minorHAnsi" w:hAnsiTheme="minorHAnsi" w:cstheme="minorHAnsi"/>
          <w:sz w:val="24"/>
          <w:szCs w:val="24"/>
          <w:lang w:eastAsia="en-US"/>
        </w:rPr>
        <w:t>.</w:t>
      </w:r>
    </w:p>
    <w:p w14:paraId="3EBF70CA" w14:textId="204491C4" w:rsidR="00431E67" w:rsidRPr="00247CAB" w:rsidRDefault="00431E67" w:rsidP="00CE134E">
      <w:pPr>
        <w:pStyle w:val="Odstavecseseznamem"/>
        <w:numPr>
          <w:ilvl w:val="0"/>
          <w:numId w:val="58"/>
        </w:numPr>
        <w:spacing w:after="480"/>
        <w:ind w:left="714" w:hanging="357"/>
        <w:rPr>
          <w:rFonts w:asciiTheme="minorHAnsi" w:eastAsiaTheme="minorHAnsi" w:hAnsiTheme="minorHAnsi" w:cstheme="minorHAnsi"/>
          <w:sz w:val="24"/>
          <w:szCs w:val="24"/>
          <w:lang w:eastAsia="en-US"/>
        </w:rPr>
      </w:pPr>
      <w:r w:rsidRPr="00554CA5">
        <w:rPr>
          <w:rFonts w:asciiTheme="minorHAnsi" w:eastAsiaTheme="minorHAnsi" w:hAnsiTheme="minorHAnsi" w:cstheme="minorHAnsi"/>
          <w:sz w:val="24"/>
          <w:szCs w:val="24"/>
          <w:lang w:eastAsia="en-US"/>
        </w:rPr>
        <w:t xml:space="preserve">NKÚ u náhodně vybraného vzorku internetových stránek ověřil, že doba </w:t>
      </w:r>
      <w:r w:rsidR="000F5E9F" w:rsidRPr="00554CA5">
        <w:rPr>
          <w:rFonts w:asciiTheme="minorHAnsi" w:eastAsiaTheme="minorHAnsi" w:hAnsiTheme="minorHAnsi" w:cstheme="minorHAnsi"/>
          <w:sz w:val="24"/>
          <w:szCs w:val="24"/>
          <w:lang w:eastAsia="en-US"/>
        </w:rPr>
        <w:t xml:space="preserve">od přijetí podnětu do </w:t>
      </w:r>
      <w:r w:rsidRPr="00554CA5">
        <w:rPr>
          <w:rFonts w:asciiTheme="minorHAnsi" w:eastAsiaTheme="minorHAnsi" w:hAnsiTheme="minorHAnsi" w:cstheme="minorHAnsi"/>
          <w:sz w:val="24"/>
          <w:szCs w:val="24"/>
          <w:lang w:eastAsia="en-US"/>
        </w:rPr>
        <w:t>uveřejnění hazardní hry na seznam</w:t>
      </w:r>
      <w:r w:rsidR="00307E56">
        <w:rPr>
          <w:rFonts w:asciiTheme="minorHAnsi" w:eastAsiaTheme="minorHAnsi" w:hAnsiTheme="minorHAnsi" w:cstheme="minorHAnsi"/>
          <w:sz w:val="24"/>
          <w:szCs w:val="24"/>
          <w:lang w:eastAsia="en-US"/>
        </w:rPr>
        <w:t>u</w:t>
      </w:r>
      <w:r w:rsidRPr="00554CA5">
        <w:rPr>
          <w:rFonts w:asciiTheme="minorHAnsi" w:eastAsiaTheme="minorHAnsi" w:hAnsiTheme="minorHAnsi" w:cstheme="minorHAnsi"/>
          <w:sz w:val="24"/>
          <w:szCs w:val="24"/>
          <w:lang w:eastAsia="en-US"/>
        </w:rPr>
        <w:t xml:space="preserve"> nepovolených internetových her činila od 119 do 368 dnů. Po tuto dobu </w:t>
      </w:r>
      <w:r w:rsidR="00987685" w:rsidRPr="00554CA5">
        <w:rPr>
          <w:rFonts w:asciiTheme="minorHAnsi" w:eastAsiaTheme="minorHAnsi" w:hAnsiTheme="minorHAnsi" w:cstheme="minorHAnsi"/>
          <w:sz w:val="24"/>
          <w:szCs w:val="24"/>
          <w:lang w:eastAsia="en-US"/>
        </w:rPr>
        <w:t>je</w:t>
      </w:r>
      <w:r w:rsidRPr="00554CA5">
        <w:rPr>
          <w:rFonts w:asciiTheme="minorHAnsi" w:eastAsiaTheme="minorHAnsi" w:hAnsiTheme="minorHAnsi" w:cstheme="minorHAnsi"/>
          <w:sz w:val="24"/>
          <w:szCs w:val="24"/>
          <w:lang w:eastAsia="en-US"/>
        </w:rPr>
        <w:t xml:space="preserve"> umožněno nepovolené hazardní hry na území ČR nadále provozovat a uživatel</w:t>
      </w:r>
      <w:r w:rsidR="00307E56">
        <w:rPr>
          <w:rFonts w:asciiTheme="minorHAnsi" w:eastAsiaTheme="minorHAnsi" w:hAnsiTheme="minorHAnsi" w:cstheme="minorHAnsi"/>
          <w:sz w:val="24"/>
          <w:szCs w:val="24"/>
          <w:lang w:eastAsia="en-US"/>
        </w:rPr>
        <w:t>é</w:t>
      </w:r>
      <w:r w:rsidRPr="00554CA5">
        <w:rPr>
          <w:rFonts w:asciiTheme="minorHAnsi" w:eastAsiaTheme="minorHAnsi" w:hAnsiTheme="minorHAnsi" w:cstheme="minorHAnsi"/>
          <w:sz w:val="24"/>
          <w:szCs w:val="24"/>
          <w:lang w:eastAsia="en-US"/>
        </w:rPr>
        <w:t xml:space="preserve"> se </w:t>
      </w:r>
      <w:r w:rsidR="00307E56">
        <w:rPr>
          <w:rFonts w:asciiTheme="minorHAnsi" w:eastAsiaTheme="minorHAnsi" w:hAnsiTheme="minorHAnsi" w:cstheme="minorHAnsi"/>
          <w:sz w:val="24"/>
          <w:szCs w:val="24"/>
          <w:lang w:eastAsia="en-US"/>
        </w:rPr>
        <w:t>jich</w:t>
      </w:r>
      <w:r w:rsidRPr="00554CA5">
        <w:rPr>
          <w:rFonts w:asciiTheme="minorHAnsi" w:eastAsiaTheme="minorHAnsi" w:hAnsiTheme="minorHAnsi" w:cstheme="minorHAnsi"/>
          <w:sz w:val="24"/>
          <w:szCs w:val="24"/>
          <w:lang w:eastAsia="en-US"/>
        </w:rPr>
        <w:t xml:space="preserve"> </w:t>
      </w:r>
      <w:r w:rsidR="00307E56">
        <w:rPr>
          <w:rFonts w:asciiTheme="minorHAnsi" w:eastAsiaTheme="minorHAnsi" w:hAnsiTheme="minorHAnsi" w:cstheme="minorHAnsi"/>
          <w:sz w:val="24"/>
          <w:szCs w:val="24"/>
          <w:lang w:eastAsia="en-US"/>
        </w:rPr>
        <w:t xml:space="preserve">mohou </w:t>
      </w:r>
      <w:r w:rsidRPr="00554CA5">
        <w:rPr>
          <w:rFonts w:asciiTheme="minorHAnsi" w:eastAsiaTheme="minorHAnsi" w:hAnsiTheme="minorHAnsi" w:cstheme="minorHAnsi"/>
          <w:sz w:val="24"/>
          <w:szCs w:val="24"/>
          <w:lang w:eastAsia="en-US"/>
        </w:rPr>
        <w:t xml:space="preserve">účastnit, </w:t>
      </w:r>
      <w:r w:rsidR="00307E56">
        <w:rPr>
          <w:rFonts w:asciiTheme="minorHAnsi" w:eastAsiaTheme="minorHAnsi" w:hAnsiTheme="minorHAnsi" w:cstheme="minorHAnsi"/>
          <w:sz w:val="24"/>
          <w:szCs w:val="24"/>
          <w:lang w:eastAsia="en-US"/>
        </w:rPr>
        <w:t xml:space="preserve">a to </w:t>
      </w:r>
      <w:r w:rsidRPr="00554CA5">
        <w:rPr>
          <w:rFonts w:asciiTheme="minorHAnsi" w:eastAsiaTheme="minorHAnsi" w:hAnsiTheme="minorHAnsi" w:cstheme="minorHAnsi"/>
          <w:sz w:val="24"/>
          <w:szCs w:val="24"/>
          <w:lang w:eastAsia="en-US"/>
        </w:rPr>
        <w:t xml:space="preserve">včetně osob vyloučených </w:t>
      </w:r>
      <w:r w:rsidR="008C7CA7">
        <w:rPr>
          <w:rFonts w:asciiTheme="minorHAnsi" w:eastAsiaTheme="minorHAnsi" w:hAnsiTheme="minorHAnsi" w:cstheme="minorHAnsi"/>
          <w:sz w:val="24"/>
          <w:szCs w:val="24"/>
          <w:lang w:eastAsia="en-US"/>
        </w:rPr>
        <w:br/>
      </w:r>
      <w:r w:rsidRPr="00554CA5">
        <w:rPr>
          <w:rFonts w:asciiTheme="minorHAnsi" w:eastAsiaTheme="minorHAnsi" w:hAnsiTheme="minorHAnsi" w:cstheme="minorHAnsi"/>
          <w:sz w:val="24"/>
          <w:szCs w:val="24"/>
          <w:lang w:eastAsia="en-US"/>
        </w:rPr>
        <w:t>z</w:t>
      </w:r>
      <w:r w:rsidR="008C7CA7">
        <w:rPr>
          <w:rFonts w:asciiTheme="minorHAnsi" w:eastAsiaTheme="minorHAnsi" w:hAnsiTheme="minorHAnsi" w:cstheme="minorHAnsi"/>
          <w:sz w:val="24"/>
          <w:szCs w:val="24"/>
          <w:lang w:eastAsia="en-US"/>
        </w:rPr>
        <w:t xml:space="preserve"> </w:t>
      </w:r>
      <w:r w:rsidRPr="00554CA5">
        <w:rPr>
          <w:rFonts w:asciiTheme="minorHAnsi" w:eastAsiaTheme="minorHAnsi" w:hAnsiTheme="minorHAnsi" w:cstheme="minorHAnsi"/>
          <w:sz w:val="24"/>
          <w:szCs w:val="24"/>
          <w:lang w:eastAsia="en-US"/>
        </w:rPr>
        <w:t>účasti na hazardních hrách podle ZHH</w:t>
      </w:r>
      <w:r w:rsidR="00401C2D" w:rsidRPr="00554CA5">
        <w:rPr>
          <w:rFonts w:asciiTheme="minorHAnsi" w:eastAsiaTheme="minorHAnsi" w:hAnsiTheme="minorHAnsi" w:cstheme="minorHAnsi"/>
          <w:sz w:val="24"/>
          <w:szCs w:val="24"/>
          <w:lang w:eastAsia="en-US"/>
        </w:rPr>
        <w:t>.</w:t>
      </w:r>
      <w:r w:rsidR="00F8620C" w:rsidRPr="00554CA5">
        <w:rPr>
          <w:rFonts w:asciiTheme="minorHAnsi" w:eastAsiaTheme="minorHAnsi" w:hAnsiTheme="minorHAnsi" w:cstheme="minorHAnsi"/>
          <w:sz w:val="24"/>
          <w:szCs w:val="24"/>
          <w:lang w:eastAsia="en-US"/>
        </w:rPr>
        <w:t xml:space="preserve"> Do konce roku 2022 bylo postupně zablokováno více než 550 internetových stránek nabízejících nepovolené internetové hry </w:t>
      </w:r>
      <w:bookmarkStart w:id="8" w:name="_Hlk132971263"/>
      <w:r w:rsidR="00401C2D" w:rsidRPr="00554CA5">
        <w:rPr>
          <w:rFonts w:asciiTheme="minorHAnsi" w:eastAsiaTheme="minorHAnsi" w:hAnsiTheme="minorHAnsi" w:cstheme="minorHAnsi"/>
          <w:sz w:val="24"/>
          <w:szCs w:val="24"/>
          <w:lang w:eastAsia="en-US"/>
        </w:rPr>
        <w:t>(viz odst. 4.</w:t>
      </w:r>
      <w:r w:rsidR="00C9340D" w:rsidRPr="00554CA5">
        <w:rPr>
          <w:rFonts w:asciiTheme="minorHAnsi" w:eastAsiaTheme="minorHAnsi" w:hAnsiTheme="minorHAnsi" w:cstheme="minorHAnsi"/>
          <w:sz w:val="24"/>
          <w:szCs w:val="24"/>
          <w:lang w:eastAsia="en-US"/>
        </w:rPr>
        <w:t>4</w:t>
      </w:r>
      <w:r w:rsidR="00C9340D">
        <w:rPr>
          <w:rFonts w:asciiTheme="minorHAnsi" w:eastAsiaTheme="minorHAnsi" w:hAnsiTheme="minorHAnsi" w:cstheme="minorHAnsi"/>
          <w:sz w:val="24"/>
          <w:szCs w:val="24"/>
          <w:lang w:eastAsia="en-US"/>
        </w:rPr>
        <w:t>4</w:t>
      </w:r>
      <w:r w:rsidR="00292D83">
        <w:rPr>
          <w:rFonts w:asciiTheme="minorHAnsi" w:eastAsiaTheme="minorHAnsi" w:hAnsiTheme="minorHAnsi" w:cstheme="minorHAnsi"/>
          <w:sz w:val="24"/>
          <w:szCs w:val="24"/>
          <w:lang w:eastAsia="en-US"/>
        </w:rPr>
        <w:t>,</w:t>
      </w:r>
      <w:r w:rsidR="00401C2D" w:rsidRPr="00554CA5">
        <w:rPr>
          <w:rFonts w:asciiTheme="minorHAnsi" w:eastAsiaTheme="minorHAnsi" w:hAnsiTheme="minorHAnsi" w:cstheme="minorHAnsi"/>
          <w:sz w:val="24"/>
          <w:szCs w:val="24"/>
          <w:lang w:eastAsia="en-US"/>
        </w:rPr>
        <w:t xml:space="preserve"> 4.</w:t>
      </w:r>
      <w:r w:rsidR="00C9340D" w:rsidRPr="00554CA5">
        <w:rPr>
          <w:rFonts w:asciiTheme="minorHAnsi" w:eastAsiaTheme="minorHAnsi" w:hAnsiTheme="minorHAnsi" w:cstheme="minorHAnsi"/>
          <w:sz w:val="24"/>
          <w:szCs w:val="24"/>
          <w:lang w:eastAsia="en-US"/>
        </w:rPr>
        <w:t>4</w:t>
      </w:r>
      <w:r w:rsidR="00C9340D">
        <w:rPr>
          <w:rFonts w:asciiTheme="minorHAnsi" w:eastAsiaTheme="minorHAnsi" w:hAnsiTheme="minorHAnsi" w:cstheme="minorHAnsi"/>
          <w:sz w:val="24"/>
          <w:szCs w:val="24"/>
          <w:lang w:eastAsia="en-US"/>
        </w:rPr>
        <w:t>6</w:t>
      </w:r>
      <w:r w:rsidR="00401C2D" w:rsidRPr="00554CA5">
        <w:rPr>
          <w:rFonts w:asciiTheme="minorHAnsi" w:eastAsiaTheme="minorHAnsi" w:hAnsiTheme="minorHAnsi" w:cstheme="minorHAnsi"/>
          <w:sz w:val="24"/>
          <w:szCs w:val="24"/>
          <w:lang w:eastAsia="en-US"/>
        </w:rPr>
        <w:t>)</w:t>
      </w:r>
      <w:r w:rsidR="00C9340D">
        <w:rPr>
          <w:rFonts w:asciiTheme="minorHAnsi" w:eastAsiaTheme="minorHAnsi" w:hAnsiTheme="minorHAnsi" w:cstheme="minorHAnsi"/>
          <w:sz w:val="24"/>
          <w:szCs w:val="24"/>
          <w:lang w:eastAsia="en-US"/>
        </w:rPr>
        <w:t>.</w:t>
      </w:r>
    </w:p>
    <w:tbl>
      <w:tblPr>
        <w:tblStyle w:val="Mkatabulky"/>
        <w:tblW w:w="0" w:type="auto"/>
        <w:shd w:val="clear" w:color="auto" w:fill="F2C6C9"/>
        <w:tblLook w:val="04A0" w:firstRow="1" w:lastRow="0" w:firstColumn="1" w:lastColumn="0" w:noHBand="0" w:noVBand="1"/>
      </w:tblPr>
      <w:tblGrid>
        <w:gridCol w:w="9062"/>
      </w:tblGrid>
      <w:tr w:rsidR="0039594B" w14:paraId="17B4EE00" w14:textId="77777777" w:rsidTr="002B591A">
        <w:tc>
          <w:tcPr>
            <w:tcW w:w="9062" w:type="dxa"/>
            <w:shd w:val="clear" w:color="auto" w:fill="E5F1FF" w:themeFill="accent1"/>
          </w:tcPr>
          <w:p w14:paraId="453B86F3" w14:textId="46251644" w:rsidR="0039594B" w:rsidRPr="00D04E0F" w:rsidRDefault="0039594B" w:rsidP="00BA1024">
            <w:pPr>
              <w:spacing w:before="120" w:after="120"/>
              <w:rPr>
                <w:rFonts w:asciiTheme="minorHAnsi" w:hAnsiTheme="minorHAnsi"/>
              </w:rPr>
            </w:pPr>
            <w:bookmarkStart w:id="9" w:name="_Hlk131875076"/>
            <w:bookmarkEnd w:id="8"/>
            <w:r w:rsidRPr="00D04E0F">
              <w:rPr>
                <w:rFonts w:asciiTheme="minorHAnsi" w:hAnsiTheme="minorHAnsi"/>
                <w:b/>
              </w:rPr>
              <w:t>NKÚ na základě svých zjištění</w:t>
            </w:r>
            <w:r w:rsidRPr="00D04E0F">
              <w:rPr>
                <w:rFonts w:asciiTheme="minorHAnsi" w:hAnsiTheme="minorHAnsi"/>
              </w:rPr>
              <w:t xml:space="preserve"> doporučuje</w:t>
            </w:r>
            <w:r w:rsidR="006964AC" w:rsidRPr="00D04E0F">
              <w:rPr>
                <w:rFonts w:asciiTheme="minorHAnsi" w:hAnsiTheme="minorHAnsi"/>
              </w:rPr>
              <w:t xml:space="preserve"> </w:t>
            </w:r>
            <w:r w:rsidR="00982252" w:rsidRPr="00D04E0F">
              <w:rPr>
                <w:rFonts w:asciiTheme="minorHAnsi" w:hAnsiTheme="minorHAnsi"/>
              </w:rPr>
              <w:t>změn</w:t>
            </w:r>
            <w:r w:rsidR="00E30B10" w:rsidRPr="00D04E0F">
              <w:rPr>
                <w:rFonts w:asciiTheme="minorHAnsi" w:hAnsiTheme="minorHAnsi"/>
              </w:rPr>
              <w:t>ou</w:t>
            </w:r>
            <w:r w:rsidR="00982252" w:rsidRPr="00D04E0F">
              <w:rPr>
                <w:rFonts w:asciiTheme="minorHAnsi" w:hAnsiTheme="minorHAnsi"/>
              </w:rPr>
              <w:t xml:space="preserve"> </w:t>
            </w:r>
            <w:r w:rsidRPr="00D04E0F">
              <w:rPr>
                <w:rFonts w:asciiTheme="minorHAnsi" w:hAnsiTheme="minorHAnsi"/>
              </w:rPr>
              <w:t>právní úprav</w:t>
            </w:r>
            <w:r w:rsidR="00E30B10" w:rsidRPr="00D04E0F">
              <w:rPr>
                <w:rFonts w:asciiTheme="minorHAnsi" w:hAnsiTheme="minorHAnsi"/>
              </w:rPr>
              <w:t xml:space="preserve">y </w:t>
            </w:r>
            <w:r w:rsidRPr="00D04E0F">
              <w:rPr>
                <w:rFonts w:asciiTheme="minorHAnsi" w:hAnsiTheme="minorHAnsi"/>
              </w:rPr>
              <w:t>zpřesn</w:t>
            </w:r>
            <w:r w:rsidR="00E30B10" w:rsidRPr="00D04E0F">
              <w:rPr>
                <w:rFonts w:asciiTheme="minorHAnsi" w:hAnsiTheme="minorHAnsi"/>
              </w:rPr>
              <w:t>it</w:t>
            </w:r>
            <w:r w:rsidRPr="00D04E0F">
              <w:rPr>
                <w:rFonts w:asciiTheme="minorHAnsi" w:hAnsiTheme="minorHAnsi"/>
              </w:rPr>
              <w:t xml:space="preserve"> kritéria pro posuzování nepovolených internetových hazardních her a zefektivn</w:t>
            </w:r>
            <w:r w:rsidR="00E30B10" w:rsidRPr="00D04E0F">
              <w:rPr>
                <w:rFonts w:asciiTheme="minorHAnsi" w:hAnsiTheme="minorHAnsi"/>
              </w:rPr>
              <w:t>it</w:t>
            </w:r>
            <w:r w:rsidRPr="00D04E0F">
              <w:rPr>
                <w:rFonts w:asciiTheme="minorHAnsi" w:hAnsiTheme="minorHAnsi"/>
              </w:rPr>
              <w:t xml:space="preserve"> proces blokace příslušných internetových stránek</w:t>
            </w:r>
            <w:r w:rsidR="0070100B" w:rsidRPr="00D04E0F">
              <w:rPr>
                <w:rFonts w:asciiTheme="minorHAnsi" w:hAnsiTheme="minorHAnsi"/>
              </w:rPr>
              <w:t xml:space="preserve"> (viz odst. </w:t>
            </w:r>
            <w:r w:rsidR="0056319E" w:rsidRPr="00D04E0F">
              <w:rPr>
                <w:rFonts w:asciiTheme="minorHAnsi" w:hAnsiTheme="minorHAnsi"/>
              </w:rPr>
              <w:t xml:space="preserve">4.44 </w:t>
            </w:r>
            <w:r w:rsidR="002B3BC8" w:rsidRPr="00D04E0F">
              <w:rPr>
                <w:rFonts w:asciiTheme="minorHAnsi" w:hAnsiTheme="minorHAnsi"/>
              </w:rPr>
              <w:t>až</w:t>
            </w:r>
            <w:r w:rsidR="0056319E" w:rsidRPr="00D04E0F">
              <w:rPr>
                <w:rFonts w:asciiTheme="minorHAnsi" w:hAnsiTheme="minorHAnsi"/>
              </w:rPr>
              <w:t xml:space="preserve"> </w:t>
            </w:r>
            <w:r w:rsidR="0070100B" w:rsidRPr="00D04E0F">
              <w:rPr>
                <w:rFonts w:asciiTheme="minorHAnsi" w:hAnsiTheme="minorHAnsi"/>
              </w:rPr>
              <w:t>4.</w:t>
            </w:r>
            <w:r w:rsidR="00EC3645" w:rsidRPr="00D04E0F">
              <w:rPr>
                <w:rFonts w:asciiTheme="minorHAnsi" w:hAnsiTheme="minorHAnsi"/>
              </w:rPr>
              <w:t>5</w:t>
            </w:r>
            <w:r w:rsidR="0056319E" w:rsidRPr="00D04E0F">
              <w:rPr>
                <w:rFonts w:asciiTheme="minorHAnsi" w:hAnsiTheme="minorHAnsi"/>
              </w:rPr>
              <w:t xml:space="preserve">2, </w:t>
            </w:r>
            <w:r w:rsidR="00C543D7">
              <w:rPr>
                <w:rFonts w:asciiTheme="minorHAnsi" w:hAnsiTheme="minorHAnsi"/>
              </w:rPr>
              <w:t>p</w:t>
            </w:r>
            <w:r w:rsidR="0056319E" w:rsidRPr="00D04E0F">
              <w:rPr>
                <w:rFonts w:asciiTheme="minorHAnsi" w:hAnsiTheme="minorHAnsi"/>
              </w:rPr>
              <w:t>říklad č. 4</w:t>
            </w:r>
            <w:r w:rsidR="0070100B" w:rsidRPr="00D04E0F">
              <w:rPr>
                <w:rFonts w:asciiTheme="minorHAnsi" w:hAnsiTheme="minorHAnsi"/>
              </w:rPr>
              <w:t>).</w:t>
            </w:r>
          </w:p>
        </w:tc>
      </w:tr>
      <w:bookmarkEnd w:id="9"/>
    </w:tbl>
    <w:p w14:paraId="52C36748" w14:textId="612C28A1" w:rsidR="00C543D7" w:rsidRDefault="00C543D7" w:rsidP="00C543D7">
      <w:pPr>
        <w:pStyle w:val="Nadpis1"/>
        <w:numPr>
          <w:ilvl w:val="0"/>
          <w:numId w:val="0"/>
        </w:numPr>
        <w:spacing w:line="240" w:lineRule="auto"/>
        <w:ind w:left="714"/>
        <w:jc w:val="both"/>
        <w:rPr>
          <w:rFonts w:asciiTheme="minorHAnsi" w:eastAsia="Times New Roman" w:hAnsiTheme="minorHAnsi"/>
          <w:b w:val="0"/>
          <w:color w:val="000000"/>
          <w:lang w:eastAsia="cs-CZ"/>
        </w:rPr>
      </w:pPr>
    </w:p>
    <w:p w14:paraId="761F9CA0" w14:textId="77777777" w:rsidR="00C543D7" w:rsidRDefault="00C543D7">
      <w:pPr>
        <w:jc w:val="left"/>
        <w:rPr>
          <w:rFonts w:asciiTheme="minorHAnsi" w:eastAsia="Times New Roman" w:hAnsiTheme="minorHAnsi"/>
          <w:color w:val="000000"/>
          <w:lang w:eastAsia="cs-CZ"/>
        </w:rPr>
      </w:pPr>
      <w:r>
        <w:rPr>
          <w:rFonts w:asciiTheme="minorHAnsi" w:eastAsia="Times New Roman" w:hAnsiTheme="minorHAnsi"/>
          <w:b/>
          <w:color w:val="000000"/>
          <w:lang w:eastAsia="cs-CZ"/>
        </w:rPr>
        <w:br w:type="page"/>
      </w:r>
    </w:p>
    <w:p w14:paraId="075A72AF" w14:textId="57B70AD2" w:rsidR="00C90D00" w:rsidRPr="00247CAB" w:rsidRDefault="00366984" w:rsidP="00247CAB">
      <w:pPr>
        <w:pStyle w:val="Nadpis1"/>
        <w:spacing w:line="240" w:lineRule="auto"/>
        <w:ind w:left="714" w:hanging="357"/>
        <w:rPr>
          <w:rFonts w:asciiTheme="minorHAnsi" w:eastAsia="Times New Roman" w:hAnsiTheme="minorHAnsi"/>
          <w:b w:val="0"/>
          <w:color w:val="000000"/>
          <w:lang w:eastAsia="cs-CZ"/>
        </w:rPr>
      </w:pPr>
      <w:r w:rsidRPr="00247CAB">
        <w:rPr>
          <w:rFonts w:asciiTheme="minorHAnsi" w:hAnsiTheme="minorHAnsi"/>
          <w:sz w:val="28"/>
          <w:szCs w:val="28"/>
        </w:rPr>
        <w:lastRenderedPageBreak/>
        <w:t>Informace o kontrolované oblasti</w:t>
      </w:r>
      <w:r>
        <w:rPr>
          <w:rFonts w:asciiTheme="minorHAnsi" w:hAnsiTheme="minorHAnsi"/>
          <w:sz w:val="28"/>
          <w:szCs w:val="28"/>
        </w:rPr>
        <w:t xml:space="preserve"> </w:t>
      </w:r>
    </w:p>
    <w:p w14:paraId="26A5C44D" w14:textId="7222708A" w:rsidR="00B30E18" w:rsidRPr="008142C5" w:rsidRDefault="00B30E18" w:rsidP="001E51C9">
      <w:pPr>
        <w:pStyle w:val="Odstavecseseznamem"/>
        <w:numPr>
          <w:ilvl w:val="1"/>
          <w:numId w:val="17"/>
        </w:numPr>
        <w:spacing w:after="120"/>
        <w:ind w:left="0" w:firstLine="0"/>
        <w:contextualSpacing w:val="0"/>
        <w:rPr>
          <w:rFonts w:asciiTheme="minorHAnsi" w:hAnsiTheme="minorHAnsi" w:cstheme="minorHAnsi"/>
          <w:color w:val="000000"/>
        </w:rPr>
      </w:pPr>
      <w:r w:rsidRPr="008142C5">
        <w:rPr>
          <w:rFonts w:asciiTheme="minorHAnsi" w:hAnsiTheme="minorHAnsi" w:cstheme="minorHAnsi"/>
          <w:color w:val="000000"/>
          <w:sz w:val="24"/>
          <w:szCs w:val="24"/>
        </w:rPr>
        <w:t>Oblast</w:t>
      </w:r>
      <w:r w:rsidR="00654521">
        <w:rPr>
          <w:rFonts w:asciiTheme="minorHAnsi" w:hAnsiTheme="minorHAnsi" w:cstheme="minorHAnsi"/>
          <w:color w:val="000000"/>
          <w:sz w:val="24"/>
          <w:szCs w:val="24"/>
        </w:rPr>
        <w:t>i</w:t>
      </w:r>
      <w:r w:rsidRPr="008142C5">
        <w:rPr>
          <w:rFonts w:asciiTheme="minorHAnsi" w:hAnsiTheme="minorHAnsi" w:cstheme="minorHAnsi"/>
          <w:color w:val="000000"/>
          <w:sz w:val="24"/>
          <w:szCs w:val="24"/>
        </w:rPr>
        <w:t xml:space="preserve"> hazardních her a daně z</w:t>
      </w:r>
      <w:r w:rsidR="00204A5F">
        <w:rPr>
          <w:rFonts w:asciiTheme="minorHAnsi" w:hAnsiTheme="minorHAnsi" w:cstheme="minorHAnsi"/>
          <w:color w:val="000000"/>
          <w:sz w:val="24"/>
          <w:szCs w:val="24"/>
        </w:rPr>
        <w:t xml:space="preserve"> </w:t>
      </w:r>
      <w:r w:rsidRPr="008142C5">
        <w:rPr>
          <w:rFonts w:asciiTheme="minorHAnsi" w:hAnsiTheme="minorHAnsi" w:cstheme="minorHAnsi"/>
          <w:color w:val="000000"/>
          <w:sz w:val="24"/>
          <w:szCs w:val="24"/>
        </w:rPr>
        <w:t>hazardních her jsou od 1.</w:t>
      </w:r>
      <w:r w:rsidR="00782B56" w:rsidRPr="008142C5">
        <w:rPr>
          <w:rFonts w:asciiTheme="minorHAnsi" w:hAnsiTheme="minorHAnsi" w:cstheme="minorHAnsi"/>
          <w:color w:val="000000"/>
          <w:sz w:val="24"/>
          <w:szCs w:val="24"/>
        </w:rPr>
        <w:t xml:space="preserve"> </w:t>
      </w:r>
      <w:r w:rsidR="00307E56">
        <w:rPr>
          <w:rFonts w:asciiTheme="minorHAnsi" w:hAnsiTheme="minorHAnsi" w:cstheme="minorHAnsi"/>
          <w:color w:val="000000"/>
          <w:sz w:val="24"/>
          <w:szCs w:val="24"/>
        </w:rPr>
        <w:t>ledna</w:t>
      </w:r>
      <w:r w:rsidR="00782B56" w:rsidRPr="008142C5">
        <w:rPr>
          <w:rFonts w:asciiTheme="minorHAnsi" w:hAnsiTheme="minorHAnsi" w:cstheme="minorHAnsi"/>
          <w:color w:val="000000"/>
          <w:sz w:val="24"/>
          <w:szCs w:val="24"/>
        </w:rPr>
        <w:t xml:space="preserve"> </w:t>
      </w:r>
      <w:r w:rsidRPr="008142C5">
        <w:rPr>
          <w:rFonts w:asciiTheme="minorHAnsi" w:hAnsiTheme="minorHAnsi" w:cstheme="minorHAnsi"/>
          <w:color w:val="000000"/>
          <w:sz w:val="24"/>
          <w:szCs w:val="24"/>
        </w:rPr>
        <w:t xml:space="preserve">2017 regulovány </w:t>
      </w:r>
      <w:r w:rsidR="00307E56">
        <w:rPr>
          <w:rFonts w:asciiTheme="minorHAnsi" w:hAnsiTheme="minorHAnsi" w:cstheme="minorHAnsi"/>
          <w:color w:val="000000"/>
          <w:sz w:val="24"/>
          <w:szCs w:val="24"/>
        </w:rPr>
        <w:br/>
      </w:r>
      <w:r w:rsidRPr="008142C5">
        <w:rPr>
          <w:rFonts w:asciiTheme="minorHAnsi" w:hAnsiTheme="minorHAnsi" w:cstheme="minorHAnsi"/>
          <w:color w:val="000000"/>
          <w:sz w:val="24"/>
          <w:szCs w:val="24"/>
        </w:rPr>
        <w:t>novou právní úpravou, a to zákonem č. 186/2016 Sb., o hazardních hrách, a zákonem č.</w:t>
      </w:r>
      <w:r w:rsidR="00DF2F32" w:rsidRPr="008142C5">
        <w:rPr>
          <w:rFonts w:asciiTheme="minorHAnsi" w:hAnsiTheme="minorHAnsi" w:cstheme="minorHAnsi"/>
          <w:color w:val="000000"/>
          <w:sz w:val="24"/>
          <w:szCs w:val="24"/>
        </w:rPr>
        <w:t> </w:t>
      </w:r>
      <w:r w:rsidRPr="008142C5">
        <w:rPr>
          <w:rFonts w:asciiTheme="minorHAnsi" w:hAnsiTheme="minorHAnsi" w:cstheme="minorHAnsi"/>
          <w:color w:val="000000"/>
          <w:sz w:val="24"/>
          <w:szCs w:val="24"/>
        </w:rPr>
        <w:t>187/2016 Sb., o dani z</w:t>
      </w:r>
      <w:r w:rsidR="00204A5F">
        <w:rPr>
          <w:rFonts w:asciiTheme="minorHAnsi" w:hAnsiTheme="minorHAnsi" w:cstheme="minorHAnsi"/>
          <w:color w:val="000000"/>
          <w:sz w:val="24"/>
          <w:szCs w:val="24"/>
        </w:rPr>
        <w:t xml:space="preserve"> </w:t>
      </w:r>
      <w:r w:rsidRPr="008142C5">
        <w:rPr>
          <w:rFonts w:asciiTheme="minorHAnsi" w:hAnsiTheme="minorHAnsi" w:cstheme="minorHAnsi"/>
          <w:color w:val="000000"/>
          <w:sz w:val="24"/>
          <w:szCs w:val="24"/>
        </w:rPr>
        <w:t xml:space="preserve">hazardních her. Hlavní </w:t>
      </w:r>
      <w:r w:rsidR="00307E56">
        <w:rPr>
          <w:rFonts w:asciiTheme="minorHAnsi" w:hAnsiTheme="minorHAnsi" w:cstheme="minorHAnsi"/>
          <w:color w:val="000000"/>
          <w:sz w:val="24"/>
          <w:szCs w:val="24"/>
        </w:rPr>
        <w:t>motivací</w:t>
      </w:r>
      <w:r w:rsidRPr="008142C5">
        <w:rPr>
          <w:rFonts w:asciiTheme="minorHAnsi" w:hAnsiTheme="minorHAnsi" w:cstheme="minorHAnsi"/>
          <w:color w:val="000000"/>
          <w:sz w:val="24"/>
          <w:szCs w:val="24"/>
        </w:rPr>
        <w:t xml:space="preserve"> nového přístupu k</w:t>
      </w:r>
      <w:r w:rsidR="00204A5F">
        <w:rPr>
          <w:rFonts w:asciiTheme="minorHAnsi" w:hAnsiTheme="minorHAnsi" w:cstheme="minorHAnsi"/>
          <w:color w:val="000000"/>
          <w:sz w:val="24"/>
          <w:szCs w:val="24"/>
        </w:rPr>
        <w:t xml:space="preserve"> </w:t>
      </w:r>
      <w:r w:rsidRPr="008142C5">
        <w:rPr>
          <w:rFonts w:asciiTheme="minorHAnsi" w:hAnsiTheme="minorHAnsi" w:cstheme="minorHAnsi"/>
          <w:color w:val="000000"/>
          <w:sz w:val="24"/>
          <w:szCs w:val="24"/>
        </w:rPr>
        <w:t xml:space="preserve">regulaci byly vysoké společenské náklady hazardního hraní v České republice (jejich odhad se pohyboval ve výši 14,2 až 16,1 mld. Kč) a </w:t>
      </w:r>
      <w:r w:rsidR="005C58DB" w:rsidRPr="008142C5">
        <w:rPr>
          <w:rFonts w:asciiTheme="minorHAnsi" w:hAnsiTheme="minorHAnsi" w:cstheme="minorHAnsi"/>
          <w:color w:val="000000"/>
          <w:sz w:val="24"/>
          <w:szCs w:val="24"/>
        </w:rPr>
        <w:t>„</w:t>
      </w:r>
      <w:r w:rsidRPr="008142C5">
        <w:rPr>
          <w:rFonts w:asciiTheme="minorHAnsi" w:hAnsiTheme="minorHAnsi" w:cstheme="minorHAnsi"/>
          <w:i/>
          <w:color w:val="000000"/>
          <w:sz w:val="24"/>
          <w:szCs w:val="24"/>
        </w:rPr>
        <w:t>rozvoj a využití moderních, zejména informačních, technologií a</w:t>
      </w:r>
      <w:r w:rsidR="00307E56">
        <w:rPr>
          <w:rFonts w:asciiTheme="minorHAnsi" w:hAnsiTheme="minorHAnsi" w:cstheme="minorHAnsi"/>
          <w:i/>
          <w:color w:val="000000"/>
          <w:sz w:val="24"/>
          <w:szCs w:val="24"/>
        </w:rPr>
        <w:t> </w:t>
      </w:r>
      <w:r w:rsidRPr="008142C5">
        <w:rPr>
          <w:rFonts w:asciiTheme="minorHAnsi" w:hAnsiTheme="minorHAnsi" w:cstheme="minorHAnsi"/>
          <w:i/>
          <w:color w:val="000000"/>
          <w:sz w:val="24"/>
          <w:szCs w:val="24"/>
        </w:rPr>
        <w:t>z něj</w:t>
      </w:r>
      <w:r w:rsidRPr="008142C5">
        <w:rPr>
          <w:rFonts w:asciiTheme="minorHAnsi" w:hAnsiTheme="minorHAnsi" w:cstheme="minorHAnsi"/>
          <w:color w:val="000000"/>
          <w:sz w:val="24"/>
          <w:szCs w:val="24"/>
        </w:rPr>
        <w:t xml:space="preserve"> </w:t>
      </w:r>
      <w:r w:rsidRPr="008142C5">
        <w:rPr>
          <w:rFonts w:asciiTheme="minorHAnsi" w:hAnsiTheme="minorHAnsi" w:cstheme="minorHAnsi"/>
          <w:i/>
          <w:color w:val="000000"/>
          <w:sz w:val="24"/>
          <w:szCs w:val="24"/>
        </w:rPr>
        <w:t>vyplývající potřeba modernizace i samotné regulace</w:t>
      </w:r>
      <w:r w:rsidR="00A35BD7">
        <w:rPr>
          <w:rFonts w:asciiTheme="minorHAnsi" w:hAnsiTheme="minorHAnsi" w:cstheme="minorHAnsi"/>
          <w:color w:val="000000"/>
          <w:sz w:val="24"/>
          <w:szCs w:val="24"/>
        </w:rPr>
        <w:t>“</w:t>
      </w:r>
      <w:r w:rsidRPr="00A35BD7">
        <w:rPr>
          <w:rStyle w:val="Znakapoznpodarou"/>
          <w:rFonts w:asciiTheme="minorHAnsi" w:hAnsiTheme="minorHAnsi" w:cstheme="minorHAnsi"/>
          <w:color w:val="000000"/>
          <w:sz w:val="24"/>
          <w:szCs w:val="24"/>
        </w:rPr>
        <w:footnoteReference w:id="13"/>
      </w:r>
      <w:r w:rsidR="005C58DB" w:rsidRPr="00247CAB">
        <w:rPr>
          <w:rFonts w:asciiTheme="minorHAnsi" w:hAnsiTheme="minorHAnsi" w:cstheme="minorHAnsi"/>
          <w:color w:val="000000"/>
          <w:sz w:val="24"/>
          <w:szCs w:val="24"/>
        </w:rPr>
        <w:t>.</w:t>
      </w:r>
    </w:p>
    <w:p w14:paraId="27D170D7" w14:textId="2657080C" w:rsidR="00AF31A2" w:rsidRPr="008142C5" w:rsidRDefault="00AF31A2" w:rsidP="001E51C9">
      <w:pPr>
        <w:pStyle w:val="Odstavecseseznamem"/>
        <w:numPr>
          <w:ilvl w:val="1"/>
          <w:numId w:val="17"/>
        </w:numPr>
        <w:spacing w:after="120"/>
        <w:ind w:left="0" w:firstLine="0"/>
        <w:contextualSpacing w:val="0"/>
        <w:rPr>
          <w:rFonts w:asciiTheme="minorHAnsi" w:hAnsiTheme="minorHAnsi" w:cstheme="minorHAnsi"/>
          <w:sz w:val="24"/>
          <w:szCs w:val="24"/>
        </w:rPr>
      </w:pPr>
      <w:r w:rsidRPr="008142C5">
        <w:rPr>
          <w:rFonts w:asciiTheme="minorHAnsi" w:hAnsiTheme="minorHAnsi" w:cstheme="minorHAnsi"/>
          <w:sz w:val="24"/>
          <w:szCs w:val="24"/>
        </w:rPr>
        <w:t xml:space="preserve">Základem daně je dle ustanovení § 3 ZDHH součet dílčích základů daně, které tvoří částka, o kterou úhrn přijatých vkladů převyšuje součet úhrnu vyplacených výher a úhrnu vrácených vkladů. Daňové sazby pro jednotlivé </w:t>
      </w:r>
      <w:r w:rsidR="00E25011">
        <w:rPr>
          <w:rFonts w:asciiTheme="minorHAnsi" w:hAnsiTheme="minorHAnsi" w:cstheme="minorHAnsi"/>
          <w:sz w:val="24"/>
          <w:szCs w:val="24"/>
        </w:rPr>
        <w:t>druhy</w:t>
      </w:r>
      <w:r w:rsidR="00E25011" w:rsidRPr="008142C5">
        <w:rPr>
          <w:rFonts w:asciiTheme="minorHAnsi" w:hAnsiTheme="minorHAnsi" w:cstheme="minorHAnsi"/>
          <w:sz w:val="24"/>
          <w:szCs w:val="24"/>
        </w:rPr>
        <w:t xml:space="preserve"> </w:t>
      </w:r>
      <w:r w:rsidR="002E43AE">
        <w:rPr>
          <w:rFonts w:asciiTheme="minorHAnsi" w:hAnsiTheme="minorHAnsi" w:cstheme="minorHAnsi"/>
          <w:sz w:val="24"/>
          <w:szCs w:val="24"/>
        </w:rPr>
        <w:t>hazardních her</w:t>
      </w:r>
      <w:r w:rsidRPr="008142C5">
        <w:rPr>
          <w:rFonts w:asciiTheme="minorHAnsi" w:hAnsiTheme="minorHAnsi" w:cstheme="minorHAnsi"/>
          <w:sz w:val="24"/>
          <w:szCs w:val="24"/>
        </w:rPr>
        <w:t xml:space="preserve"> upravuje</w:t>
      </w:r>
      <w:r w:rsidRPr="008142C5">
        <w:rPr>
          <w:rFonts w:asciiTheme="minorHAnsi" w:hAnsiTheme="minorHAnsi" w:cstheme="minorHAnsi"/>
          <w:color w:val="000000"/>
          <w:sz w:val="24"/>
          <w:szCs w:val="24"/>
        </w:rPr>
        <w:t xml:space="preserve"> ustanovení</w:t>
      </w:r>
      <w:r w:rsidRPr="008142C5">
        <w:rPr>
          <w:rFonts w:asciiTheme="minorHAnsi" w:hAnsiTheme="minorHAnsi" w:cstheme="minorHAnsi"/>
          <w:sz w:val="24"/>
          <w:szCs w:val="24"/>
        </w:rPr>
        <w:t xml:space="preserve"> §</w:t>
      </w:r>
      <w:r w:rsidR="00307E56">
        <w:rPr>
          <w:rFonts w:asciiTheme="minorHAnsi" w:hAnsiTheme="minorHAnsi" w:cstheme="minorHAnsi"/>
          <w:sz w:val="24"/>
          <w:szCs w:val="24"/>
        </w:rPr>
        <w:t> </w:t>
      </w:r>
      <w:r w:rsidRPr="008142C5">
        <w:rPr>
          <w:rFonts w:asciiTheme="minorHAnsi" w:hAnsiTheme="minorHAnsi" w:cstheme="minorHAnsi"/>
          <w:sz w:val="24"/>
          <w:szCs w:val="24"/>
        </w:rPr>
        <w:t>4</w:t>
      </w:r>
      <w:r w:rsidR="00307E56">
        <w:rPr>
          <w:rFonts w:asciiTheme="minorHAnsi" w:hAnsiTheme="minorHAnsi" w:cstheme="minorHAnsi"/>
          <w:sz w:val="24"/>
          <w:szCs w:val="24"/>
        </w:rPr>
        <w:t> </w:t>
      </w:r>
      <w:r w:rsidRPr="008142C5">
        <w:rPr>
          <w:rFonts w:asciiTheme="minorHAnsi" w:hAnsiTheme="minorHAnsi" w:cstheme="minorHAnsi"/>
          <w:sz w:val="24"/>
          <w:szCs w:val="24"/>
        </w:rPr>
        <w:t xml:space="preserve">ZDHH. </w:t>
      </w:r>
    </w:p>
    <w:p w14:paraId="28E2A819" w14:textId="3C11B898" w:rsidR="00AF31A2" w:rsidRPr="00247CAB" w:rsidRDefault="00AF31A2" w:rsidP="00247CAB">
      <w:pPr>
        <w:pStyle w:val="Zkladn"/>
        <w:keepNext/>
        <w:spacing w:before="240" w:after="40" w:line="240" w:lineRule="auto"/>
        <w:rPr>
          <w:rFonts w:asciiTheme="minorHAnsi" w:hAnsiTheme="minorHAnsi"/>
          <w:b/>
        </w:rPr>
      </w:pPr>
      <w:r w:rsidRPr="00247CAB">
        <w:rPr>
          <w:rFonts w:asciiTheme="minorHAnsi" w:hAnsiTheme="minorHAnsi"/>
          <w:b/>
        </w:rPr>
        <w:t xml:space="preserve">Tabulka č. </w:t>
      </w:r>
      <w:r w:rsidRPr="00247CAB">
        <w:rPr>
          <w:rFonts w:asciiTheme="minorHAnsi" w:hAnsiTheme="minorHAnsi"/>
          <w:b/>
        </w:rPr>
        <w:fldChar w:fldCharType="begin"/>
      </w:r>
      <w:r w:rsidRPr="00247CAB">
        <w:rPr>
          <w:rFonts w:asciiTheme="minorHAnsi" w:hAnsiTheme="minorHAnsi"/>
          <w:b/>
        </w:rPr>
        <w:instrText xml:space="preserve"> SEQ Tabulka_č. \* ARABIC </w:instrText>
      </w:r>
      <w:r w:rsidRPr="00247CAB">
        <w:rPr>
          <w:rFonts w:asciiTheme="minorHAnsi" w:hAnsiTheme="minorHAnsi"/>
          <w:b/>
        </w:rPr>
        <w:fldChar w:fldCharType="separate"/>
      </w:r>
      <w:r w:rsidR="00962F75">
        <w:rPr>
          <w:rFonts w:asciiTheme="minorHAnsi" w:hAnsiTheme="minorHAnsi"/>
          <w:b/>
          <w:noProof/>
        </w:rPr>
        <w:t>1</w:t>
      </w:r>
      <w:r w:rsidRPr="00247CAB">
        <w:rPr>
          <w:rFonts w:asciiTheme="minorHAnsi" w:hAnsiTheme="minorHAnsi"/>
          <w:b/>
        </w:rPr>
        <w:fldChar w:fldCharType="end"/>
      </w:r>
      <w:r w:rsidR="00574887" w:rsidRPr="00247CAB">
        <w:rPr>
          <w:rFonts w:asciiTheme="minorHAnsi" w:hAnsiTheme="minorHAnsi"/>
          <w:b/>
        </w:rPr>
        <w:t>:</w:t>
      </w:r>
      <w:r w:rsidRPr="00247CAB">
        <w:rPr>
          <w:rFonts w:asciiTheme="minorHAnsi" w:hAnsiTheme="minorHAnsi"/>
          <w:b/>
        </w:rPr>
        <w:t xml:space="preserve"> Sazba daně z hazardních her podle </w:t>
      </w:r>
      <w:r w:rsidR="00E25011" w:rsidRPr="00247CAB">
        <w:rPr>
          <w:rFonts w:asciiTheme="minorHAnsi" w:hAnsiTheme="minorHAnsi"/>
          <w:b/>
        </w:rPr>
        <w:t xml:space="preserve">druhu </w:t>
      </w:r>
      <w:r w:rsidRPr="00247CAB">
        <w:rPr>
          <w:rFonts w:asciiTheme="minorHAnsi" w:hAnsiTheme="minorHAnsi"/>
          <w:b/>
        </w:rPr>
        <w:t>hazardní hry</w:t>
      </w:r>
    </w:p>
    <w:tbl>
      <w:tblPr>
        <w:tblStyle w:val="Mkatabulky"/>
        <w:tblW w:w="0" w:type="auto"/>
        <w:tblLayout w:type="fixed"/>
        <w:tblLook w:val="04A0" w:firstRow="1" w:lastRow="0" w:firstColumn="1" w:lastColumn="0" w:noHBand="0" w:noVBand="1"/>
      </w:tblPr>
      <w:tblGrid>
        <w:gridCol w:w="1129"/>
        <w:gridCol w:w="851"/>
        <w:gridCol w:w="992"/>
        <w:gridCol w:w="1418"/>
        <w:gridCol w:w="789"/>
        <w:gridCol w:w="1042"/>
        <w:gridCol w:w="886"/>
        <w:gridCol w:w="987"/>
        <w:gridCol w:w="968"/>
      </w:tblGrid>
      <w:tr w:rsidR="00AF31A2" w:rsidRPr="00BB6595" w14:paraId="313A99FA" w14:textId="77777777" w:rsidTr="00AF31A2">
        <w:tc>
          <w:tcPr>
            <w:tcW w:w="1129" w:type="dxa"/>
            <w:shd w:val="clear" w:color="auto" w:fill="E5F1FF"/>
          </w:tcPr>
          <w:p w14:paraId="1A577F35" w14:textId="251D0D5E" w:rsidR="00AF31A2" w:rsidRPr="008142C5" w:rsidRDefault="00AF31A2" w:rsidP="00A4279F">
            <w:pPr>
              <w:keepNext/>
              <w:jc w:val="left"/>
              <w:textAlignment w:val="baseline"/>
              <w:rPr>
                <w:rFonts w:asciiTheme="minorHAnsi" w:eastAsia="Times New Roman" w:hAnsiTheme="minorHAnsi"/>
                <w:b/>
                <w:sz w:val="20"/>
                <w:szCs w:val="20"/>
                <w:lang w:eastAsia="cs-CZ"/>
              </w:rPr>
            </w:pPr>
          </w:p>
        </w:tc>
        <w:tc>
          <w:tcPr>
            <w:tcW w:w="851" w:type="dxa"/>
            <w:shd w:val="clear" w:color="auto" w:fill="E5F1FF"/>
          </w:tcPr>
          <w:p w14:paraId="29B7C99B" w14:textId="77777777" w:rsidR="00AF31A2" w:rsidRPr="008142C5" w:rsidRDefault="00AF31A2" w:rsidP="009D5F5F">
            <w:pPr>
              <w:keepNext/>
              <w:jc w:val="left"/>
              <w:textAlignment w:val="baseline"/>
              <w:rPr>
                <w:rFonts w:asciiTheme="minorHAnsi" w:eastAsia="Times New Roman" w:hAnsiTheme="minorHAnsi"/>
                <w:b/>
                <w:sz w:val="20"/>
                <w:szCs w:val="20"/>
                <w:lang w:eastAsia="cs-CZ"/>
              </w:rPr>
            </w:pPr>
            <w:r w:rsidRPr="008142C5">
              <w:rPr>
                <w:rFonts w:asciiTheme="minorHAnsi" w:eastAsia="Times New Roman" w:hAnsiTheme="minorHAnsi"/>
                <w:b/>
                <w:sz w:val="20"/>
                <w:szCs w:val="20"/>
                <w:lang w:eastAsia="cs-CZ"/>
              </w:rPr>
              <w:t>Loterie</w:t>
            </w:r>
          </w:p>
        </w:tc>
        <w:tc>
          <w:tcPr>
            <w:tcW w:w="992" w:type="dxa"/>
            <w:shd w:val="clear" w:color="auto" w:fill="E5F1FF"/>
          </w:tcPr>
          <w:p w14:paraId="0ABDFF60" w14:textId="77777777" w:rsidR="00AF31A2" w:rsidRPr="008142C5" w:rsidRDefault="00AF31A2" w:rsidP="009D5F5F">
            <w:pPr>
              <w:keepNext/>
              <w:jc w:val="left"/>
              <w:textAlignment w:val="baseline"/>
              <w:rPr>
                <w:rFonts w:asciiTheme="minorHAnsi" w:eastAsia="Times New Roman" w:hAnsiTheme="minorHAnsi"/>
                <w:b/>
                <w:sz w:val="20"/>
                <w:szCs w:val="20"/>
                <w:lang w:eastAsia="cs-CZ"/>
              </w:rPr>
            </w:pPr>
            <w:r w:rsidRPr="008142C5">
              <w:rPr>
                <w:rFonts w:asciiTheme="minorHAnsi" w:eastAsia="Times New Roman" w:hAnsiTheme="minorHAnsi"/>
                <w:b/>
                <w:sz w:val="20"/>
                <w:szCs w:val="20"/>
                <w:lang w:eastAsia="cs-CZ"/>
              </w:rPr>
              <w:t>Kursová sázka</w:t>
            </w:r>
          </w:p>
        </w:tc>
        <w:tc>
          <w:tcPr>
            <w:tcW w:w="1418" w:type="dxa"/>
            <w:shd w:val="clear" w:color="auto" w:fill="E5F1FF"/>
          </w:tcPr>
          <w:p w14:paraId="35FAC4F7" w14:textId="77777777" w:rsidR="00AF31A2" w:rsidRPr="008142C5" w:rsidRDefault="00AF31A2" w:rsidP="009D5F5F">
            <w:pPr>
              <w:keepNext/>
              <w:jc w:val="left"/>
              <w:textAlignment w:val="baseline"/>
              <w:rPr>
                <w:rFonts w:asciiTheme="minorHAnsi" w:eastAsia="Times New Roman" w:hAnsiTheme="minorHAnsi"/>
                <w:b/>
                <w:sz w:val="20"/>
                <w:szCs w:val="20"/>
                <w:lang w:eastAsia="cs-CZ"/>
              </w:rPr>
            </w:pPr>
            <w:r w:rsidRPr="008142C5">
              <w:rPr>
                <w:rFonts w:asciiTheme="minorHAnsi" w:eastAsia="Times New Roman" w:hAnsiTheme="minorHAnsi"/>
                <w:b/>
                <w:sz w:val="20"/>
                <w:szCs w:val="20"/>
                <w:lang w:eastAsia="cs-CZ"/>
              </w:rPr>
              <w:t>Totalizátorová hra</w:t>
            </w:r>
          </w:p>
        </w:tc>
        <w:tc>
          <w:tcPr>
            <w:tcW w:w="789" w:type="dxa"/>
            <w:shd w:val="clear" w:color="auto" w:fill="E5F1FF"/>
          </w:tcPr>
          <w:p w14:paraId="70630F52" w14:textId="77777777" w:rsidR="00AF31A2" w:rsidRPr="008142C5" w:rsidRDefault="00AF31A2" w:rsidP="009D5F5F">
            <w:pPr>
              <w:keepNext/>
              <w:jc w:val="left"/>
              <w:textAlignment w:val="baseline"/>
              <w:rPr>
                <w:rFonts w:asciiTheme="minorHAnsi" w:eastAsia="Times New Roman" w:hAnsiTheme="minorHAnsi"/>
                <w:b/>
                <w:sz w:val="20"/>
                <w:szCs w:val="20"/>
                <w:lang w:eastAsia="cs-CZ"/>
              </w:rPr>
            </w:pPr>
            <w:r w:rsidRPr="008142C5">
              <w:rPr>
                <w:rFonts w:asciiTheme="minorHAnsi" w:eastAsia="Times New Roman" w:hAnsiTheme="minorHAnsi"/>
                <w:b/>
                <w:sz w:val="20"/>
                <w:szCs w:val="20"/>
                <w:lang w:eastAsia="cs-CZ"/>
              </w:rPr>
              <w:t>Bingo</w:t>
            </w:r>
          </w:p>
        </w:tc>
        <w:tc>
          <w:tcPr>
            <w:tcW w:w="1042" w:type="dxa"/>
            <w:shd w:val="clear" w:color="auto" w:fill="E5F1FF"/>
          </w:tcPr>
          <w:p w14:paraId="234FA398" w14:textId="77777777" w:rsidR="00AF31A2" w:rsidRPr="008142C5" w:rsidRDefault="00AF31A2" w:rsidP="009D5F5F">
            <w:pPr>
              <w:keepNext/>
              <w:jc w:val="left"/>
              <w:textAlignment w:val="baseline"/>
              <w:rPr>
                <w:rFonts w:asciiTheme="minorHAnsi" w:eastAsia="Times New Roman" w:hAnsiTheme="minorHAnsi"/>
                <w:b/>
                <w:sz w:val="20"/>
                <w:szCs w:val="20"/>
                <w:lang w:eastAsia="cs-CZ"/>
              </w:rPr>
            </w:pPr>
            <w:r w:rsidRPr="008142C5">
              <w:rPr>
                <w:rFonts w:asciiTheme="minorHAnsi" w:eastAsia="Times New Roman" w:hAnsiTheme="minorHAnsi"/>
                <w:b/>
                <w:sz w:val="20"/>
                <w:szCs w:val="20"/>
                <w:lang w:eastAsia="cs-CZ"/>
              </w:rPr>
              <w:t>Technická hra</w:t>
            </w:r>
          </w:p>
        </w:tc>
        <w:tc>
          <w:tcPr>
            <w:tcW w:w="886" w:type="dxa"/>
            <w:shd w:val="clear" w:color="auto" w:fill="E5F1FF"/>
          </w:tcPr>
          <w:p w14:paraId="4143B9C9" w14:textId="77777777" w:rsidR="00AF31A2" w:rsidRPr="008142C5" w:rsidRDefault="00AF31A2" w:rsidP="009D5F5F">
            <w:pPr>
              <w:keepNext/>
              <w:jc w:val="left"/>
              <w:textAlignment w:val="baseline"/>
              <w:rPr>
                <w:rFonts w:asciiTheme="minorHAnsi" w:eastAsia="Times New Roman" w:hAnsiTheme="minorHAnsi"/>
                <w:b/>
                <w:sz w:val="20"/>
                <w:szCs w:val="20"/>
                <w:lang w:eastAsia="cs-CZ"/>
              </w:rPr>
            </w:pPr>
            <w:r w:rsidRPr="008142C5">
              <w:rPr>
                <w:rFonts w:asciiTheme="minorHAnsi" w:eastAsia="Times New Roman" w:hAnsiTheme="minorHAnsi"/>
                <w:b/>
                <w:sz w:val="20"/>
                <w:szCs w:val="20"/>
                <w:lang w:eastAsia="cs-CZ"/>
              </w:rPr>
              <w:t>Živá hra</w:t>
            </w:r>
          </w:p>
        </w:tc>
        <w:tc>
          <w:tcPr>
            <w:tcW w:w="987" w:type="dxa"/>
            <w:shd w:val="clear" w:color="auto" w:fill="E5F1FF"/>
          </w:tcPr>
          <w:p w14:paraId="5E3B3D5E" w14:textId="77777777" w:rsidR="00AF31A2" w:rsidRPr="008142C5" w:rsidRDefault="00AF31A2" w:rsidP="009D5F5F">
            <w:pPr>
              <w:keepNext/>
              <w:jc w:val="left"/>
              <w:textAlignment w:val="baseline"/>
              <w:rPr>
                <w:rFonts w:asciiTheme="minorHAnsi" w:eastAsia="Times New Roman" w:hAnsiTheme="minorHAnsi"/>
                <w:b/>
                <w:sz w:val="20"/>
                <w:szCs w:val="20"/>
                <w:lang w:eastAsia="cs-CZ"/>
              </w:rPr>
            </w:pPr>
            <w:r w:rsidRPr="008142C5">
              <w:rPr>
                <w:rFonts w:asciiTheme="minorHAnsi" w:eastAsia="Times New Roman" w:hAnsiTheme="minorHAnsi"/>
                <w:b/>
                <w:sz w:val="20"/>
                <w:szCs w:val="20"/>
                <w:lang w:eastAsia="cs-CZ"/>
              </w:rPr>
              <w:t>Tombola</w:t>
            </w:r>
          </w:p>
        </w:tc>
        <w:tc>
          <w:tcPr>
            <w:tcW w:w="968" w:type="dxa"/>
            <w:shd w:val="clear" w:color="auto" w:fill="E5F1FF"/>
          </w:tcPr>
          <w:p w14:paraId="21AE27D3" w14:textId="77777777" w:rsidR="00AF31A2" w:rsidRPr="008142C5" w:rsidRDefault="00AF31A2" w:rsidP="009D5F5F">
            <w:pPr>
              <w:keepNext/>
              <w:jc w:val="left"/>
              <w:textAlignment w:val="baseline"/>
              <w:rPr>
                <w:rFonts w:asciiTheme="minorHAnsi" w:eastAsia="Times New Roman" w:hAnsiTheme="minorHAnsi"/>
                <w:b/>
                <w:sz w:val="20"/>
                <w:szCs w:val="20"/>
                <w:lang w:eastAsia="cs-CZ"/>
              </w:rPr>
            </w:pPr>
            <w:r w:rsidRPr="008142C5">
              <w:rPr>
                <w:rFonts w:asciiTheme="minorHAnsi" w:eastAsia="Times New Roman" w:hAnsiTheme="minorHAnsi"/>
                <w:b/>
                <w:sz w:val="20"/>
                <w:szCs w:val="20"/>
                <w:lang w:eastAsia="cs-CZ"/>
              </w:rPr>
              <w:t>Turnaj malého rozsahu</w:t>
            </w:r>
          </w:p>
        </w:tc>
      </w:tr>
      <w:tr w:rsidR="00AF31A2" w14:paraId="6937CBBC" w14:textId="77777777" w:rsidTr="00A4279F">
        <w:trPr>
          <w:trHeight w:val="392"/>
        </w:trPr>
        <w:tc>
          <w:tcPr>
            <w:tcW w:w="1129" w:type="dxa"/>
            <w:vAlign w:val="center"/>
          </w:tcPr>
          <w:p w14:paraId="3031DADF" w14:textId="77777777" w:rsidR="00AF31A2" w:rsidRPr="008142C5" w:rsidRDefault="00AF31A2" w:rsidP="00A4279F">
            <w:pPr>
              <w:keepNext/>
              <w:rPr>
                <w:rFonts w:asciiTheme="minorHAnsi" w:hAnsiTheme="minorHAnsi"/>
                <w:sz w:val="20"/>
                <w:szCs w:val="20"/>
              </w:rPr>
            </w:pPr>
            <w:r w:rsidRPr="008142C5">
              <w:rPr>
                <w:rFonts w:asciiTheme="minorHAnsi" w:hAnsiTheme="minorHAnsi"/>
                <w:sz w:val="20"/>
                <w:szCs w:val="20"/>
              </w:rPr>
              <w:t xml:space="preserve">Sazba daně </w:t>
            </w:r>
          </w:p>
        </w:tc>
        <w:tc>
          <w:tcPr>
            <w:tcW w:w="851" w:type="dxa"/>
            <w:vAlign w:val="center"/>
          </w:tcPr>
          <w:p w14:paraId="03A668B1" w14:textId="77777777" w:rsidR="00AF31A2" w:rsidRPr="008142C5" w:rsidRDefault="00AF31A2" w:rsidP="00A4279F">
            <w:pPr>
              <w:keepNext/>
              <w:jc w:val="center"/>
              <w:textAlignment w:val="baseline"/>
              <w:rPr>
                <w:rFonts w:asciiTheme="minorHAnsi" w:hAnsiTheme="minorHAnsi"/>
                <w:sz w:val="20"/>
                <w:szCs w:val="20"/>
              </w:rPr>
            </w:pPr>
            <w:r w:rsidRPr="008142C5">
              <w:rPr>
                <w:rFonts w:asciiTheme="minorHAnsi" w:hAnsiTheme="minorHAnsi"/>
                <w:sz w:val="20"/>
                <w:szCs w:val="20"/>
              </w:rPr>
              <w:t>35 % *</w:t>
            </w:r>
          </w:p>
        </w:tc>
        <w:tc>
          <w:tcPr>
            <w:tcW w:w="992" w:type="dxa"/>
            <w:vAlign w:val="center"/>
          </w:tcPr>
          <w:p w14:paraId="220B1350" w14:textId="77777777" w:rsidR="00AF31A2" w:rsidRPr="008142C5" w:rsidRDefault="00AF31A2" w:rsidP="00A4279F">
            <w:pPr>
              <w:keepNext/>
              <w:jc w:val="center"/>
              <w:textAlignment w:val="baseline"/>
              <w:rPr>
                <w:rFonts w:asciiTheme="minorHAnsi" w:hAnsiTheme="minorHAnsi"/>
                <w:sz w:val="20"/>
                <w:szCs w:val="20"/>
              </w:rPr>
            </w:pPr>
            <w:r w:rsidRPr="008142C5">
              <w:rPr>
                <w:rFonts w:asciiTheme="minorHAnsi" w:hAnsiTheme="minorHAnsi"/>
                <w:sz w:val="20"/>
                <w:szCs w:val="20"/>
              </w:rPr>
              <w:t>23 %</w:t>
            </w:r>
          </w:p>
        </w:tc>
        <w:tc>
          <w:tcPr>
            <w:tcW w:w="1418" w:type="dxa"/>
            <w:vAlign w:val="center"/>
          </w:tcPr>
          <w:p w14:paraId="1DF0A2B4" w14:textId="77777777" w:rsidR="00AF31A2" w:rsidRPr="008142C5" w:rsidRDefault="00AF31A2" w:rsidP="00A4279F">
            <w:pPr>
              <w:keepNext/>
              <w:jc w:val="center"/>
              <w:rPr>
                <w:rFonts w:asciiTheme="minorHAnsi" w:hAnsiTheme="minorHAnsi"/>
                <w:sz w:val="20"/>
                <w:szCs w:val="20"/>
              </w:rPr>
            </w:pPr>
            <w:r w:rsidRPr="008142C5">
              <w:rPr>
                <w:rFonts w:asciiTheme="minorHAnsi" w:hAnsiTheme="minorHAnsi"/>
                <w:sz w:val="20"/>
                <w:szCs w:val="20"/>
              </w:rPr>
              <w:t>23 %</w:t>
            </w:r>
          </w:p>
        </w:tc>
        <w:tc>
          <w:tcPr>
            <w:tcW w:w="789" w:type="dxa"/>
            <w:vAlign w:val="center"/>
          </w:tcPr>
          <w:p w14:paraId="339EA789" w14:textId="77777777" w:rsidR="00AF31A2" w:rsidRPr="008142C5" w:rsidRDefault="00AF31A2" w:rsidP="00A4279F">
            <w:pPr>
              <w:keepNext/>
              <w:jc w:val="center"/>
              <w:rPr>
                <w:rFonts w:asciiTheme="minorHAnsi" w:hAnsiTheme="minorHAnsi"/>
                <w:sz w:val="20"/>
                <w:szCs w:val="20"/>
              </w:rPr>
            </w:pPr>
            <w:r w:rsidRPr="008142C5">
              <w:rPr>
                <w:rFonts w:asciiTheme="minorHAnsi" w:hAnsiTheme="minorHAnsi"/>
                <w:sz w:val="20"/>
                <w:szCs w:val="20"/>
              </w:rPr>
              <w:t>23 %</w:t>
            </w:r>
          </w:p>
        </w:tc>
        <w:tc>
          <w:tcPr>
            <w:tcW w:w="1042" w:type="dxa"/>
            <w:vAlign w:val="center"/>
          </w:tcPr>
          <w:p w14:paraId="688E0BEF" w14:textId="77777777" w:rsidR="00AF31A2" w:rsidRPr="008142C5" w:rsidRDefault="00AF31A2" w:rsidP="00A4279F">
            <w:pPr>
              <w:keepNext/>
              <w:jc w:val="center"/>
              <w:rPr>
                <w:rFonts w:asciiTheme="minorHAnsi" w:hAnsiTheme="minorHAnsi"/>
                <w:sz w:val="20"/>
                <w:szCs w:val="20"/>
              </w:rPr>
            </w:pPr>
            <w:r w:rsidRPr="008142C5">
              <w:rPr>
                <w:rFonts w:asciiTheme="minorHAnsi" w:hAnsiTheme="minorHAnsi"/>
                <w:sz w:val="20"/>
                <w:szCs w:val="20"/>
              </w:rPr>
              <w:t>35 %</w:t>
            </w:r>
          </w:p>
        </w:tc>
        <w:tc>
          <w:tcPr>
            <w:tcW w:w="886" w:type="dxa"/>
            <w:vAlign w:val="center"/>
          </w:tcPr>
          <w:p w14:paraId="2C6CAF82" w14:textId="77777777" w:rsidR="00AF31A2" w:rsidRPr="008142C5" w:rsidRDefault="00AF31A2" w:rsidP="00A4279F">
            <w:pPr>
              <w:keepNext/>
              <w:jc w:val="center"/>
              <w:rPr>
                <w:rFonts w:asciiTheme="minorHAnsi" w:hAnsiTheme="minorHAnsi"/>
                <w:sz w:val="20"/>
                <w:szCs w:val="20"/>
              </w:rPr>
            </w:pPr>
            <w:r w:rsidRPr="008142C5">
              <w:rPr>
                <w:rFonts w:asciiTheme="minorHAnsi" w:hAnsiTheme="minorHAnsi"/>
                <w:sz w:val="20"/>
                <w:szCs w:val="20"/>
              </w:rPr>
              <w:t>23 %</w:t>
            </w:r>
          </w:p>
        </w:tc>
        <w:tc>
          <w:tcPr>
            <w:tcW w:w="987" w:type="dxa"/>
            <w:vAlign w:val="center"/>
          </w:tcPr>
          <w:p w14:paraId="6095E657" w14:textId="77777777" w:rsidR="00AF31A2" w:rsidRPr="008142C5" w:rsidRDefault="00AF31A2" w:rsidP="00A4279F">
            <w:pPr>
              <w:keepNext/>
              <w:jc w:val="center"/>
              <w:rPr>
                <w:rFonts w:asciiTheme="minorHAnsi" w:hAnsiTheme="minorHAnsi"/>
                <w:sz w:val="20"/>
                <w:szCs w:val="20"/>
              </w:rPr>
            </w:pPr>
            <w:r w:rsidRPr="008142C5">
              <w:rPr>
                <w:rFonts w:asciiTheme="minorHAnsi" w:hAnsiTheme="minorHAnsi"/>
                <w:sz w:val="20"/>
                <w:szCs w:val="20"/>
              </w:rPr>
              <w:t>23 %</w:t>
            </w:r>
          </w:p>
        </w:tc>
        <w:tc>
          <w:tcPr>
            <w:tcW w:w="968" w:type="dxa"/>
            <w:vAlign w:val="center"/>
          </w:tcPr>
          <w:p w14:paraId="71B288D2" w14:textId="77777777" w:rsidR="00AF31A2" w:rsidRPr="008142C5" w:rsidRDefault="00AF31A2" w:rsidP="00A4279F">
            <w:pPr>
              <w:keepNext/>
              <w:jc w:val="center"/>
              <w:rPr>
                <w:rFonts w:asciiTheme="minorHAnsi" w:hAnsiTheme="minorHAnsi"/>
                <w:sz w:val="20"/>
                <w:szCs w:val="20"/>
              </w:rPr>
            </w:pPr>
            <w:r w:rsidRPr="008142C5">
              <w:rPr>
                <w:rFonts w:asciiTheme="minorHAnsi" w:hAnsiTheme="minorHAnsi"/>
                <w:sz w:val="20"/>
                <w:szCs w:val="20"/>
              </w:rPr>
              <w:t>23 %</w:t>
            </w:r>
          </w:p>
        </w:tc>
      </w:tr>
    </w:tbl>
    <w:p w14:paraId="5C4D1943" w14:textId="4F767E18" w:rsidR="0058671C" w:rsidRPr="00247CAB" w:rsidRDefault="0058671C" w:rsidP="00247CAB">
      <w:pPr>
        <w:spacing w:after="0" w:line="240" w:lineRule="auto"/>
        <w:rPr>
          <w:rFonts w:asciiTheme="minorHAnsi" w:hAnsiTheme="minorHAnsi"/>
          <w:sz w:val="20"/>
          <w:szCs w:val="20"/>
        </w:rPr>
      </w:pPr>
      <w:r w:rsidRPr="00247CAB">
        <w:rPr>
          <w:rFonts w:asciiTheme="minorHAnsi" w:hAnsiTheme="minorHAnsi"/>
          <w:b/>
          <w:sz w:val="20"/>
          <w:szCs w:val="20"/>
        </w:rPr>
        <w:t>Zdroj:</w:t>
      </w:r>
      <w:r w:rsidRPr="00247CAB">
        <w:rPr>
          <w:rFonts w:asciiTheme="minorHAnsi" w:hAnsiTheme="minorHAnsi"/>
          <w:sz w:val="20"/>
          <w:szCs w:val="20"/>
        </w:rPr>
        <w:t xml:space="preserve"> </w:t>
      </w:r>
      <w:r w:rsidR="00C543D7">
        <w:rPr>
          <w:rFonts w:asciiTheme="minorHAnsi" w:hAnsiTheme="minorHAnsi"/>
          <w:sz w:val="20"/>
          <w:szCs w:val="20"/>
        </w:rPr>
        <w:t>z</w:t>
      </w:r>
      <w:r w:rsidR="00C543D7" w:rsidRPr="00247CAB">
        <w:rPr>
          <w:rFonts w:asciiTheme="minorHAnsi" w:hAnsiTheme="minorHAnsi"/>
          <w:sz w:val="20"/>
          <w:szCs w:val="20"/>
          <w:lang w:eastAsia="cs-CZ"/>
        </w:rPr>
        <w:t>ákon č. 187/2016 Sb., o dani z hazardních her</w:t>
      </w:r>
      <w:r w:rsidR="00C543D7">
        <w:rPr>
          <w:rFonts w:asciiTheme="minorHAnsi" w:hAnsiTheme="minorHAnsi"/>
          <w:sz w:val="20"/>
          <w:szCs w:val="20"/>
          <w:lang w:eastAsia="cs-CZ"/>
        </w:rPr>
        <w:t>;</w:t>
      </w:r>
      <w:r w:rsidR="00C543D7" w:rsidRPr="00247CAB">
        <w:rPr>
          <w:rFonts w:asciiTheme="minorHAnsi" w:hAnsiTheme="minorHAnsi"/>
          <w:sz w:val="20"/>
          <w:szCs w:val="20"/>
          <w:lang w:eastAsia="cs-CZ"/>
        </w:rPr>
        <w:t xml:space="preserve"> </w:t>
      </w:r>
      <w:r w:rsidR="00C543D7">
        <w:rPr>
          <w:rFonts w:asciiTheme="minorHAnsi" w:hAnsiTheme="minorHAnsi"/>
          <w:sz w:val="20"/>
          <w:szCs w:val="20"/>
          <w:lang w:eastAsia="cs-CZ"/>
        </w:rPr>
        <w:t>v</w:t>
      </w:r>
      <w:r w:rsidRPr="00247CAB">
        <w:rPr>
          <w:rFonts w:asciiTheme="minorHAnsi" w:hAnsiTheme="minorHAnsi"/>
          <w:sz w:val="20"/>
          <w:szCs w:val="20"/>
        </w:rPr>
        <w:t>lastní zpracování NKÚ</w:t>
      </w:r>
      <w:r w:rsidR="00C543D7">
        <w:rPr>
          <w:rFonts w:asciiTheme="minorHAnsi" w:hAnsiTheme="minorHAnsi"/>
          <w:sz w:val="20"/>
          <w:szCs w:val="20"/>
        </w:rPr>
        <w:t>.</w:t>
      </w:r>
    </w:p>
    <w:p w14:paraId="1C8FD76C" w14:textId="66968A1D" w:rsidR="00C543D7" w:rsidRDefault="00AF31A2" w:rsidP="00247CAB">
      <w:pPr>
        <w:spacing w:after="0" w:line="240" w:lineRule="auto"/>
        <w:ind w:left="284" w:hanging="284"/>
        <w:rPr>
          <w:rFonts w:asciiTheme="minorHAnsi" w:hAnsiTheme="minorHAnsi"/>
          <w:sz w:val="20"/>
          <w:szCs w:val="20"/>
        </w:rPr>
      </w:pPr>
      <w:r w:rsidRPr="00C543D7">
        <w:rPr>
          <w:rFonts w:asciiTheme="minorHAnsi" w:hAnsiTheme="minorHAnsi"/>
          <w:sz w:val="20"/>
          <w:szCs w:val="20"/>
        </w:rPr>
        <w:t xml:space="preserve">* </w:t>
      </w:r>
      <w:r w:rsidR="00C543D7" w:rsidRPr="00C543D7">
        <w:rPr>
          <w:rFonts w:asciiTheme="minorHAnsi" w:hAnsiTheme="minorHAnsi"/>
          <w:sz w:val="20"/>
          <w:szCs w:val="20"/>
        </w:rPr>
        <w:tab/>
      </w:r>
      <w:r w:rsidR="00C543D7" w:rsidRPr="00247CAB">
        <w:rPr>
          <w:rFonts w:asciiTheme="minorHAnsi" w:hAnsiTheme="minorHAnsi"/>
          <w:sz w:val="20"/>
          <w:szCs w:val="20"/>
        </w:rPr>
        <w:t>O</w:t>
      </w:r>
      <w:r w:rsidRPr="00247CAB">
        <w:rPr>
          <w:rFonts w:asciiTheme="minorHAnsi" w:hAnsiTheme="minorHAnsi"/>
          <w:sz w:val="20"/>
          <w:szCs w:val="20"/>
        </w:rPr>
        <w:t>d 1. 1. 2020, do té doby 23 %</w:t>
      </w:r>
      <w:r w:rsidR="00C543D7" w:rsidRPr="00247CAB">
        <w:rPr>
          <w:rFonts w:asciiTheme="minorHAnsi" w:hAnsiTheme="minorHAnsi"/>
          <w:sz w:val="20"/>
          <w:szCs w:val="20"/>
        </w:rPr>
        <w:t>.</w:t>
      </w:r>
    </w:p>
    <w:p w14:paraId="7669428E" w14:textId="77777777" w:rsidR="00AF31A2" w:rsidRPr="00247CAB" w:rsidRDefault="00AF31A2" w:rsidP="00247CAB">
      <w:pPr>
        <w:spacing w:after="0" w:line="240" w:lineRule="auto"/>
        <w:ind w:left="284" w:hanging="284"/>
        <w:rPr>
          <w:rFonts w:asciiTheme="minorHAnsi" w:hAnsiTheme="minorHAnsi"/>
          <w:sz w:val="20"/>
          <w:szCs w:val="20"/>
        </w:rPr>
      </w:pPr>
    </w:p>
    <w:p w14:paraId="467B19AD" w14:textId="58681B0B" w:rsidR="00AF31A2" w:rsidRPr="008142C5" w:rsidRDefault="00AF31A2" w:rsidP="001E51C9">
      <w:pPr>
        <w:pStyle w:val="Odstavecseseznamem"/>
        <w:spacing w:after="120"/>
        <w:ind w:left="0"/>
        <w:contextualSpacing w:val="0"/>
        <w:rPr>
          <w:rFonts w:asciiTheme="minorHAnsi" w:hAnsiTheme="minorHAnsi" w:cstheme="minorHAnsi"/>
          <w:sz w:val="24"/>
          <w:szCs w:val="24"/>
        </w:rPr>
      </w:pPr>
      <w:r w:rsidRPr="008142C5">
        <w:rPr>
          <w:rFonts w:asciiTheme="minorHAnsi" w:hAnsiTheme="minorHAnsi" w:cstheme="minorHAnsi"/>
          <w:sz w:val="24"/>
          <w:szCs w:val="24"/>
        </w:rPr>
        <w:t>Celostátní hrubý výnos daně z</w:t>
      </w:r>
      <w:r w:rsidR="00DB1F43">
        <w:rPr>
          <w:rFonts w:asciiTheme="minorHAnsi" w:hAnsiTheme="minorHAnsi" w:cstheme="minorHAnsi"/>
          <w:sz w:val="24"/>
          <w:szCs w:val="24"/>
        </w:rPr>
        <w:t xml:space="preserve"> </w:t>
      </w:r>
      <w:r w:rsidRPr="008142C5">
        <w:rPr>
          <w:rFonts w:asciiTheme="minorHAnsi" w:hAnsiTheme="minorHAnsi" w:cstheme="minorHAnsi"/>
          <w:sz w:val="24"/>
          <w:szCs w:val="24"/>
        </w:rPr>
        <w:t>technických hazardních her je v</w:t>
      </w:r>
      <w:r w:rsidR="00DB1F43">
        <w:rPr>
          <w:rFonts w:asciiTheme="minorHAnsi" w:hAnsiTheme="minorHAnsi" w:cstheme="minorHAnsi"/>
          <w:sz w:val="24"/>
          <w:szCs w:val="24"/>
        </w:rPr>
        <w:t xml:space="preserve"> </w:t>
      </w:r>
      <w:r w:rsidRPr="008142C5">
        <w:rPr>
          <w:rFonts w:asciiTheme="minorHAnsi" w:hAnsiTheme="minorHAnsi" w:cstheme="minorHAnsi"/>
          <w:sz w:val="24"/>
          <w:szCs w:val="24"/>
        </w:rPr>
        <w:t>souladu s</w:t>
      </w:r>
      <w:r w:rsidR="00DB1F43">
        <w:rPr>
          <w:rFonts w:asciiTheme="minorHAnsi" w:hAnsiTheme="minorHAnsi" w:cstheme="minorHAnsi"/>
          <w:sz w:val="24"/>
          <w:szCs w:val="24"/>
        </w:rPr>
        <w:t xml:space="preserve"> </w:t>
      </w:r>
      <w:r w:rsidRPr="008142C5">
        <w:rPr>
          <w:rFonts w:asciiTheme="minorHAnsi" w:hAnsiTheme="minorHAnsi" w:cstheme="minorHAnsi"/>
          <w:sz w:val="24"/>
          <w:szCs w:val="24"/>
        </w:rPr>
        <w:t>ustanovením § 7 ZDHH z 35 % příjmem státního rozpočtu a z</w:t>
      </w:r>
      <w:r w:rsidR="00DB1F43">
        <w:rPr>
          <w:rFonts w:asciiTheme="minorHAnsi" w:hAnsiTheme="minorHAnsi" w:cstheme="minorHAnsi"/>
          <w:sz w:val="24"/>
          <w:szCs w:val="24"/>
        </w:rPr>
        <w:t xml:space="preserve"> </w:t>
      </w:r>
      <w:r w:rsidRPr="008142C5">
        <w:rPr>
          <w:rFonts w:asciiTheme="minorHAnsi" w:hAnsiTheme="minorHAnsi" w:cstheme="minorHAnsi"/>
          <w:sz w:val="24"/>
          <w:szCs w:val="24"/>
        </w:rPr>
        <w:t xml:space="preserve">65 % příjmem rozpočtů obcí. Celostátní hrubý výnos daně z ostatních </w:t>
      </w:r>
      <w:r w:rsidR="00A06B42">
        <w:rPr>
          <w:rFonts w:asciiTheme="minorHAnsi" w:hAnsiTheme="minorHAnsi" w:cstheme="minorHAnsi"/>
          <w:sz w:val="24"/>
          <w:szCs w:val="24"/>
        </w:rPr>
        <w:t xml:space="preserve">druhů </w:t>
      </w:r>
      <w:r w:rsidRPr="008142C5">
        <w:rPr>
          <w:rFonts w:asciiTheme="minorHAnsi" w:hAnsiTheme="minorHAnsi" w:cstheme="minorHAnsi"/>
          <w:sz w:val="24"/>
          <w:szCs w:val="24"/>
        </w:rPr>
        <w:t>hazardních her je ze 70 % příjmem státního rozpočtu a z 30</w:t>
      </w:r>
      <w:r w:rsidR="00A06B42">
        <w:rPr>
          <w:rFonts w:asciiTheme="minorHAnsi" w:hAnsiTheme="minorHAnsi" w:cstheme="minorHAnsi"/>
          <w:sz w:val="24"/>
          <w:szCs w:val="24"/>
        </w:rPr>
        <w:t> </w:t>
      </w:r>
      <w:r w:rsidRPr="008142C5">
        <w:rPr>
          <w:rFonts w:asciiTheme="minorHAnsi" w:hAnsiTheme="minorHAnsi" w:cstheme="minorHAnsi"/>
          <w:sz w:val="24"/>
          <w:szCs w:val="24"/>
        </w:rPr>
        <w:t>% příjmem rozpočtů obcí.</w:t>
      </w:r>
    </w:p>
    <w:p w14:paraId="1724B5A9" w14:textId="59E6FC6A" w:rsidR="00BF3C01" w:rsidRPr="008142C5" w:rsidRDefault="00E11A9E" w:rsidP="001E51C9">
      <w:pPr>
        <w:pStyle w:val="Odstavecseseznamem"/>
        <w:numPr>
          <w:ilvl w:val="1"/>
          <w:numId w:val="17"/>
        </w:numPr>
        <w:spacing w:after="120"/>
        <w:ind w:left="0" w:firstLine="0"/>
        <w:contextualSpacing w:val="0"/>
        <w:rPr>
          <w:rFonts w:asciiTheme="minorHAnsi" w:hAnsiTheme="minorHAnsi" w:cstheme="minorHAnsi"/>
          <w:sz w:val="24"/>
          <w:szCs w:val="24"/>
        </w:rPr>
      </w:pPr>
      <w:r>
        <w:rPr>
          <w:rFonts w:asciiTheme="minorHAnsi" w:hAnsiTheme="minorHAnsi" w:cstheme="minorHAnsi"/>
          <w:sz w:val="24"/>
          <w:szCs w:val="24"/>
        </w:rPr>
        <w:t>I</w:t>
      </w:r>
      <w:r w:rsidR="00BF3C01" w:rsidRPr="008142C5">
        <w:rPr>
          <w:rFonts w:asciiTheme="minorHAnsi" w:hAnsiTheme="minorHAnsi" w:cstheme="minorHAnsi"/>
          <w:sz w:val="24"/>
          <w:szCs w:val="24"/>
        </w:rPr>
        <w:t>nkaso daně z hazardních her činilo za roky 2017–2021 celkem 50,5 mld. Kč</w:t>
      </w:r>
      <w:r>
        <w:rPr>
          <w:rFonts w:asciiTheme="minorHAnsi" w:hAnsiTheme="minorHAnsi" w:cstheme="minorHAnsi"/>
          <w:sz w:val="24"/>
          <w:szCs w:val="24"/>
        </w:rPr>
        <w:t xml:space="preserve"> </w:t>
      </w:r>
      <w:r w:rsidR="00BF3C01" w:rsidRPr="008142C5">
        <w:rPr>
          <w:rFonts w:asciiTheme="minorHAnsi" w:hAnsiTheme="minorHAnsi" w:cstheme="minorHAnsi"/>
          <w:sz w:val="24"/>
          <w:szCs w:val="24"/>
        </w:rPr>
        <w:t xml:space="preserve">a mezi roky 2017 a 2021 vzrostlo o 2,1 mld. Kč. Naproti tomu přijaté vklady do </w:t>
      </w:r>
      <w:r w:rsidR="002E43AE">
        <w:rPr>
          <w:rFonts w:asciiTheme="minorHAnsi" w:hAnsiTheme="minorHAnsi" w:cstheme="minorHAnsi"/>
          <w:sz w:val="24"/>
          <w:szCs w:val="24"/>
        </w:rPr>
        <w:t>hazardních her</w:t>
      </w:r>
      <w:r w:rsidR="00BF3C01" w:rsidRPr="008142C5">
        <w:rPr>
          <w:rFonts w:asciiTheme="minorHAnsi" w:hAnsiTheme="minorHAnsi" w:cstheme="minorHAnsi"/>
          <w:sz w:val="24"/>
          <w:szCs w:val="24"/>
        </w:rPr>
        <w:t xml:space="preserve"> v tomto období vzrostly o 286,7 mld. Kč, vyplacené výhry vzrostly o 287,</w:t>
      </w:r>
      <w:r w:rsidR="004762F5">
        <w:rPr>
          <w:rFonts w:asciiTheme="minorHAnsi" w:hAnsiTheme="minorHAnsi" w:cstheme="minorHAnsi"/>
          <w:sz w:val="24"/>
          <w:szCs w:val="24"/>
        </w:rPr>
        <w:t>7</w:t>
      </w:r>
      <w:r w:rsidR="00BF3C01" w:rsidRPr="008142C5">
        <w:rPr>
          <w:rFonts w:asciiTheme="minorHAnsi" w:hAnsiTheme="minorHAnsi" w:cstheme="minorHAnsi"/>
          <w:sz w:val="24"/>
          <w:szCs w:val="24"/>
        </w:rPr>
        <w:t xml:space="preserve"> mld. Kč a rozdíl, který tvoří hlavní část dílčího základu daně z</w:t>
      </w:r>
      <w:r w:rsidR="002E43AE">
        <w:rPr>
          <w:rFonts w:asciiTheme="minorHAnsi" w:hAnsiTheme="minorHAnsi" w:cstheme="minorHAnsi"/>
          <w:sz w:val="24"/>
          <w:szCs w:val="24"/>
        </w:rPr>
        <w:t> hazardních her</w:t>
      </w:r>
      <w:r>
        <w:rPr>
          <w:rFonts w:asciiTheme="minorHAnsi" w:hAnsiTheme="minorHAnsi" w:cstheme="minorHAnsi"/>
          <w:sz w:val="24"/>
          <w:szCs w:val="24"/>
        </w:rPr>
        <w:t>,</w:t>
      </w:r>
      <w:r w:rsidR="00BF3C01" w:rsidRPr="008142C5">
        <w:rPr>
          <w:rFonts w:asciiTheme="minorHAnsi" w:hAnsiTheme="minorHAnsi" w:cstheme="minorHAnsi"/>
          <w:sz w:val="24"/>
          <w:szCs w:val="24"/>
        </w:rPr>
        <w:t xml:space="preserve"> </w:t>
      </w:r>
      <w:r w:rsidRPr="008142C5">
        <w:rPr>
          <w:rFonts w:asciiTheme="minorHAnsi" w:hAnsiTheme="minorHAnsi" w:cstheme="minorHAnsi"/>
          <w:sz w:val="24"/>
          <w:szCs w:val="24"/>
        </w:rPr>
        <w:t>poklesl</w:t>
      </w:r>
      <w:r>
        <w:rPr>
          <w:rFonts w:asciiTheme="minorHAnsi" w:hAnsiTheme="minorHAnsi" w:cstheme="minorHAnsi"/>
          <w:sz w:val="24"/>
          <w:szCs w:val="24"/>
        </w:rPr>
        <w:t xml:space="preserve"> </w:t>
      </w:r>
      <w:r w:rsidR="00BF3C01" w:rsidRPr="008142C5">
        <w:rPr>
          <w:rFonts w:asciiTheme="minorHAnsi" w:hAnsiTheme="minorHAnsi" w:cstheme="minorHAnsi"/>
          <w:sz w:val="24"/>
          <w:szCs w:val="24"/>
        </w:rPr>
        <w:t>mezi roky 2017 a 2021 o 1,0 mld. Kč.</w:t>
      </w:r>
      <w:r w:rsidR="0046574F">
        <w:rPr>
          <w:rFonts w:asciiTheme="minorHAnsi" w:hAnsiTheme="minorHAnsi" w:cstheme="minorHAnsi"/>
          <w:sz w:val="24"/>
          <w:szCs w:val="24"/>
        </w:rPr>
        <w:t xml:space="preserve"> Výši vyplacených výher ovlivňuje </w:t>
      </w:r>
      <w:r w:rsidR="00612F89">
        <w:rPr>
          <w:rFonts w:asciiTheme="minorHAnsi" w:hAnsiTheme="minorHAnsi" w:cstheme="minorHAnsi"/>
          <w:sz w:val="24"/>
          <w:szCs w:val="24"/>
        </w:rPr>
        <w:t xml:space="preserve">mj. </w:t>
      </w:r>
      <w:r w:rsidR="0046574F">
        <w:rPr>
          <w:rFonts w:asciiTheme="minorHAnsi" w:hAnsiTheme="minorHAnsi" w:cstheme="minorHAnsi"/>
          <w:sz w:val="24"/>
          <w:szCs w:val="24"/>
        </w:rPr>
        <w:t xml:space="preserve">nastavení </w:t>
      </w:r>
      <w:r w:rsidR="00612F89">
        <w:rPr>
          <w:rFonts w:asciiTheme="minorHAnsi" w:hAnsiTheme="minorHAnsi" w:cstheme="minorHAnsi"/>
          <w:sz w:val="24"/>
          <w:szCs w:val="24"/>
        </w:rPr>
        <w:t>výherní</w:t>
      </w:r>
      <w:r w:rsidR="009A4C15">
        <w:rPr>
          <w:rFonts w:asciiTheme="minorHAnsi" w:hAnsiTheme="minorHAnsi" w:cstheme="minorHAnsi"/>
          <w:sz w:val="24"/>
          <w:szCs w:val="24"/>
        </w:rPr>
        <w:t>ch</w:t>
      </w:r>
      <w:r w:rsidR="00612F89">
        <w:rPr>
          <w:rFonts w:asciiTheme="minorHAnsi" w:hAnsiTheme="minorHAnsi" w:cstheme="minorHAnsi"/>
          <w:sz w:val="24"/>
          <w:szCs w:val="24"/>
        </w:rPr>
        <w:t xml:space="preserve"> podíl</w:t>
      </w:r>
      <w:r w:rsidR="009A4C15">
        <w:rPr>
          <w:rFonts w:asciiTheme="minorHAnsi" w:hAnsiTheme="minorHAnsi" w:cstheme="minorHAnsi"/>
          <w:sz w:val="24"/>
          <w:szCs w:val="24"/>
        </w:rPr>
        <w:t>ů</w:t>
      </w:r>
      <w:r w:rsidR="00612F89">
        <w:rPr>
          <w:rFonts w:asciiTheme="minorHAnsi" w:hAnsiTheme="minorHAnsi" w:cstheme="minorHAnsi"/>
          <w:sz w:val="24"/>
          <w:szCs w:val="24"/>
        </w:rPr>
        <w:t xml:space="preserve"> u technických her.</w:t>
      </w:r>
      <w:r w:rsidR="0046574F">
        <w:rPr>
          <w:rFonts w:asciiTheme="minorHAnsi" w:hAnsiTheme="minorHAnsi" w:cstheme="minorHAnsi"/>
          <w:sz w:val="24"/>
          <w:szCs w:val="24"/>
        </w:rPr>
        <w:t xml:space="preserve"> </w:t>
      </w:r>
      <w:r w:rsidR="00DF3D9C">
        <w:rPr>
          <w:rFonts w:asciiTheme="minorHAnsi" w:hAnsiTheme="minorHAnsi" w:cstheme="minorHAnsi"/>
          <w:sz w:val="24"/>
          <w:szCs w:val="24"/>
        </w:rPr>
        <w:t xml:space="preserve">ZHH </w:t>
      </w:r>
      <w:r w:rsidR="006802F9">
        <w:rPr>
          <w:rFonts w:asciiTheme="minorHAnsi" w:hAnsiTheme="minorHAnsi" w:cstheme="minorHAnsi"/>
          <w:sz w:val="24"/>
          <w:szCs w:val="24"/>
        </w:rPr>
        <w:t>stanoví podmínku</w:t>
      </w:r>
      <w:r w:rsidR="00DF3D9C">
        <w:rPr>
          <w:rFonts w:asciiTheme="minorHAnsi" w:hAnsiTheme="minorHAnsi" w:cstheme="minorHAnsi"/>
          <w:sz w:val="24"/>
          <w:szCs w:val="24"/>
        </w:rPr>
        <w:t xml:space="preserve">, že výherní podíl </w:t>
      </w:r>
      <w:r w:rsidR="009A4C15">
        <w:rPr>
          <w:rFonts w:asciiTheme="minorHAnsi" w:hAnsiTheme="minorHAnsi" w:cstheme="minorHAnsi"/>
          <w:sz w:val="24"/>
          <w:szCs w:val="24"/>
        </w:rPr>
        <w:t xml:space="preserve">u technických her </w:t>
      </w:r>
      <w:r w:rsidR="006802F9">
        <w:rPr>
          <w:rFonts w:asciiTheme="minorHAnsi" w:hAnsiTheme="minorHAnsi" w:cstheme="minorHAnsi"/>
          <w:sz w:val="24"/>
          <w:szCs w:val="24"/>
        </w:rPr>
        <w:t>nesmí být nižší než 75 % a vyšší než 100</w:t>
      </w:r>
      <w:r>
        <w:rPr>
          <w:rFonts w:asciiTheme="minorHAnsi" w:hAnsiTheme="minorHAnsi" w:cstheme="minorHAnsi"/>
          <w:sz w:val="24"/>
          <w:szCs w:val="24"/>
        </w:rPr>
        <w:t> </w:t>
      </w:r>
      <w:r w:rsidR="006802F9">
        <w:rPr>
          <w:rFonts w:asciiTheme="minorHAnsi" w:hAnsiTheme="minorHAnsi" w:cstheme="minorHAnsi"/>
          <w:sz w:val="24"/>
          <w:szCs w:val="24"/>
        </w:rPr>
        <w:t>%</w:t>
      </w:r>
      <w:r>
        <w:rPr>
          <w:rFonts w:asciiTheme="minorHAnsi" w:hAnsiTheme="minorHAnsi" w:cstheme="minorHAnsi"/>
          <w:sz w:val="24"/>
          <w:szCs w:val="24"/>
        </w:rPr>
        <w:t>.</w:t>
      </w:r>
      <w:r w:rsidR="006802F9">
        <w:rPr>
          <w:rStyle w:val="Znakapoznpodarou"/>
          <w:rFonts w:asciiTheme="minorHAnsi" w:hAnsiTheme="minorHAnsi" w:cstheme="minorHAnsi"/>
          <w:sz w:val="24"/>
          <w:szCs w:val="24"/>
        </w:rPr>
        <w:footnoteReference w:id="14"/>
      </w:r>
    </w:p>
    <w:p w14:paraId="7659C445" w14:textId="0D6E62F3" w:rsidR="00BF3C01" w:rsidRPr="008142C5" w:rsidRDefault="00B37C87" w:rsidP="00BF3C01">
      <w:pPr>
        <w:pStyle w:val="Odstavecseseznamem"/>
        <w:numPr>
          <w:ilvl w:val="1"/>
          <w:numId w:val="17"/>
        </w:numPr>
        <w:spacing w:after="120"/>
        <w:ind w:left="0" w:firstLine="0"/>
        <w:contextualSpacing w:val="0"/>
        <w:rPr>
          <w:rFonts w:asciiTheme="minorHAnsi" w:hAnsiTheme="minorHAnsi" w:cstheme="minorHAnsi"/>
          <w:sz w:val="24"/>
          <w:szCs w:val="24"/>
        </w:rPr>
      </w:pPr>
      <w:r w:rsidRPr="00F90F20">
        <w:rPr>
          <w:rFonts w:asciiTheme="minorHAnsi" w:hAnsiTheme="minorHAnsi" w:cstheme="minorHAnsi"/>
          <w:sz w:val="24"/>
          <w:szCs w:val="24"/>
        </w:rPr>
        <w:t>Oblasti</w:t>
      </w:r>
      <w:r w:rsidRPr="008142C5">
        <w:rPr>
          <w:rFonts w:asciiTheme="minorHAnsi" w:hAnsiTheme="minorHAnsi" w:cstheme="minorHAnsi"/>
          <w:sz w:val="24"/>
          <w:szCs w:val="24"/>
        </w:rPr>
        <w:t xml:space="preserve"> </w:t>
      </w:r>
      <w:r w:rsidR="00BF3C01" w:rsidRPr="008142C5">
        <w:rPr>
          <w:rFonts w:asciiTheme="minorHAnsi" w:hAnsiTheme="minorHAnsi" w:cstheme="minorHAnsi"/>
          <w:sz w:val="24"/>
          <w:szCs w:val="24"/>
        </w:rPr>
        <w:t xml:space="preserve">hazardních her dlouhodobě dominují čtyři </w:t>
      </w:r>
      <w:r w:rsidR="00BF3C01">
        <w:rPr>
          <w:rFonts w:asciiTheme="minorHAnsi" w:hAnsiTheme="minorHAnsi" w:cstheme="minorHAnsi"/>
          <w:sz w:val="24"/>
          <w:szCs w:val="24"/>
        </w:rPr>
        <w:t xml:space="preserve">druhy </w:t>
      </w:r>
      <w:r w:rsidR="00BF3C01" w:rsidRPr="008142C5">
        <w:rPr>
          <w:rFonts w:asciiTheme="minorHAnsi" w:hAnsiTheme="minorHAnsi" w:cstheme="minorHAnsi"/>
          <w:sz w:val="24"/>
          <w:szCs w:val="24"/>
        </w:rPr>
        <w:t>her: technické hry</w:t>
      </w:r>
      <w:r w:rsidR="00BF3C01" w:rsidRPr="008142C5">
        <w:rPr>
          <w:rStyle w:val="Znakapoznpodarou"/>
          <w:rFonts w:asciiTheme="minorHAnsi" w:hAnsiTheme="minorHAnsi" w:cstheme="minorHAnsi"/>
          <w:sz w:val="24"/>
          <w:szCs w:val="24"/>
        </w:rPr>
        <w:footnoteReference w:id="15"/>
      </w:r>
      <w:r w:rsidR="00BF3C01" w:rsidRPr="008142C5">
        <w:rPr>
          <w:rFonts w:asciiTheme="minorHAnsi" w:hAnsiTheme="minorHAnsi" w:cstheme="minorHAnsi"/>
          <w:sz w:val="24"/>
          <w:szCs w:val="24"/>
        </w:rPr>
        <w:t>, kursové sázky, živá hra a loterie, které v letech 2017–2021 tvořily</w:t>
      </w:r>
      <w:r w:rsidR="00C00B65">
        <w:rPr>
          <w:rFonts w:asciiTheme="minorHAnsi" w:hAnsiTheme="minorHAnsi" w:cstheme="minorHAnsi"/>
          <w:sz w:val="24"/>
          <w:szCs w:val="24"/>
        </w:rPr>
        <w:t xml:space="preserve"> </w:t>
      </w:r>
      <w:r w:rsidR="00BF3C01">
        <w:rPr>
          <w:rFonts w:asciiTheme="minorHAnsi" w:hAnsiTheme="minorHAnsi" w:cstheme="minorHAnsi"/>
          <w:sz w:val="24"/>
          <w:szCs w:val="24"/>
        </w:rPr>
        <w:t>téměř 100</w:t>
      </w:r>
      <w:r w:rsidR="00BF3C01" w:rsidRPr="008142C5">
        <w:rPr>
          <w:rFonts w:asciiTheme="minorHAnsi" w:hAnsiTheme="minorHAnsi" w:cstheme="minorHAnsi"/>
          <w:sz w:val="24"/>
          <w:szCs w:val="24"/>
        </w:rPr>
        <w:t xml:space="preserve"> % celkových přijatých vkladů do </w:t>
      </w:r>
      <w:r w:rsidR="002E43AE">
        <w:rPr>
          <w:rFonts w:asciiTheme="minorHAnsi" w:hAnsiTheme="minorHAnsi" w:cstheme="minorHAnsi"/>
          <w:sz w:val="24"/>
          <w:szCs w:val="24"/>
        </w:rPr>
        <w:t>hazardních her</w:t>
      </w:r>
      <w:r w:rsidR="00BF3C01" w:rsidRPr="008142C5">
        <w:rPr>
          <w:rFonts w:asciiTheme="minorHAnsi" w:hAnsiTheme="minorHAnsi" w:cstheme="minorHAnsi"/>
          <w:sz w:val="24"/>
          <w:szCs w:val="24"/>
        </w:rPr>
        <w:t xml:space="preserve">. Podíly jednotlivých </w:t>
      </w:r>
      <w:r w:rsidR="00BF3C01">
        <w:rPr>
          <w:rFonts w:asciiTheme="minorHAnsi" w:hAnsiTheme="minorHAnsi" w:cstheme="minorHAnsi"/>
          <w:sz w:val="24"/>
          <w:szCs w:val="24"/>
        </w:rPr>
        <w:t>druhů</w:t>
      </w:r>
      <w:r w:rsidR="00BF3C01" w:rsidRPr="008142C5">
        <w:rPr>
          <w:rFonts w:asciiTheme="minorHAnsi" w:hAnsiTheme="minorHAnsi" w:cstheme="minorHAnsi"/>
          <w:sz w:val="24"/>
          <w:szCs w:val="24"/>
        </w:rPr>
        <w:t xml:space="preserve"> hazardních her </w:t>
      </w:r>
      <w:r w:rsidR="00AD28E8">
        <w:rPr>
          <w:rFonts w:asciiTheme="minorHAnsi" w:hAnsiTheme="minorHAnsi" w:cstheme="minorHAnsi"/>
          <w:sz w:val="24"/>
          <w:szCs w:val="24"/>
        </w:rPr>
        <w:t xml:space="preserve">na vkladech a předpisu daně z hazardních her </w:t>
      </w:r>
      <w:r w:rsidR="00BF3C01" w:rsidRPr="008142C5">
        <w:rPr>
          <w:rFonts w:asciiTheme="minorHAnsi" w:hAnsiTheme="minorHAnsi" w:cstheme="minorHAnsi"/>
          <w:sz w:val="24"/>
          <w:szCs w:val="24"/>
        </w:rPr>
        <w:t xml:space="preserve">zobrazuje </w:t>
      </w:r>
      <w:r w:rsidR="00D030CE">
        <w:rPr>
          <w:rFonts w:asciiTheme="minorHAnsi" w:hAnsiTheme="minorHAnsi" w:cstheme="minorHAnsi"/>
          <w:sz w:val="24"/>
          <w:szCs w:val="24"/>
        </w:rPr>
        <w:t>g</w:t>
      </w:r>
      <w:r w:rsidR="00BF3C01" w:rsidRPr="008142C5">
        <w:rPr>
          <w:rFonts w:asciiTheme="minorHAnsi" w:hAnsiTheme="minorHAnsi" w:cstheme="minorHAnsi"/>
          <w:sz w:val="24"/>
          <w:szCs w:val="24"/>
        </w:rPr>
        <w:t xml:space="preserve">raf č. 1. </w:t>
      </w:r>
    </w:p>
    <w:p w14:paraId="1CBD676C" w14:textId="77777777" w:rsidR="00FF1AD0" w:rsidRDefault="00FF1AD0">
      <w:pPr>
        <w:jc w:val="left"/>
        <w:rPr>
          <w:rFonts w:asciiTheme="minorHAnsi" w:eastAsia="Times New Roman" w:hAnsiTheme="minorHAnsi"/>
          <w:b/>
          <w:lang w:eastAsia="cs-CZ"/>
        </w:rPr>
      </w:pPr>
      <w:r>
        <w:rPr>
          <w:rFonts w:asciiTheme="minorHAnsi" w:hAnsiTheme="minorHAnsi"/>
          <w:b/>
        </w:rPr>
        <w:br w:type="page"/>
      </w:r>
    </w:p>
    <w:p w14:paraId="6CCB8DE4" w14:textId="29355A60" w:rsidR="00BF3C01" w:rsidRPr="00247CAB" w:rsidRDefault="00BF3C01" w:rsidP="00247CAB">
      <w:pPr>
        <w:pStyle w:val="Odstavecseseznamem"/>
        <w:keepNext/>
        <w:spacing w:before="240" w:after="120"/>
        <w:ind w:left="993" w:hanging="993"/>
        <w:contextualSpacing w:val="0"/>
        <w:jc w:val="left"/>
        <w:rPr>
          <w:rFonts w:asciiTheme="minorHAnsi" w:hAnsiTheme="minorHAnsi" w:cstheme="minorHAnsi"/>
          <w:b/>
          <w:sz w:val="24"/>
          <w:szCs w:val="24"/>
        </w:rPr>
      </w:pPr>
      <w:r w:rsidRPr="00247CAB">
        <w:rPr>
          <w:rFonts w:asciiTheme="minorHAnsi" w:hAnsiTheme="minorHAnsi" w:cstheme="minorHAnsi"/>
          <w:b/>
          <w:sz w:val="24"/>
          <w:szCs w:val="24"/>
        </w:rPr>
        <w:lastRenderedPageBreak/>
        <w:t>Graf č. 1</w:t>
      </w:r>
      <w:r w:rsidR="00574887" w:rsidRPr="00247CAB">
        <w:rPr>
          <w:rFonts w:asciiTheme="minorHAnsi" w:hAnsiTheme="minorHAnsi" w:cstheme="minorHAnsi"/>
          <w:b/>
          <w:sz w:val="24"/>
          <w:szCs w:val="24"/>
        </w:rPr>
        <w:t>:</w:t>
      </w:r>
      <w:r w:rsidRPr="00247CAB">
        <w:rPr>
          <w:rFonts w:asciiTheme="minorHAnsi" w:hAnsiTheme="minorHAnsi" w:cstheme="minorHAnsi"/>
          <w:b/>
          <w:sz w:val="24"/>
          <w:szCs w:val="24"/>
        </w:rPr>
        <w:t xml:space="preserve"> </w:t>
      </w:r>
      <w:r w:rsidR="00C543D7">
        <w:rPr>
          <w:rFonts w:asciiTheme="minorHAnsi" w:hAnsiTheme="minorHAnsi" w:cstheme="minorHAnsi"/>
          <w:b/>
          <w:sz w:val="24"/>
          <w:szCs w:val="24"/>
        </w:rPr>
        <w:tab/>
      </w:r>
      <w:r w:rsidRPr="00247CAB">
        <w:rPr>
          <w:rFonts w:asciiTheme="minorHAnsi" w:hAnsiTheme="minorHAnsi" w:cstheme="minorHAnsi"/>
          <w:b/>
          <w:sz w:val="24"/>
          <w:szCs w:val="24"/>
        </w:rPr>
        <w:t>Podíl</w:t>
      </w:r>
      <w:r w:rsidR="006E622B">
        <w:rPr>
          <w:rFonts w:asciiTheme="minorHAnsi" w:hAnsiTheme="minorHAnsi" w:cstheme="minorHAnsi"/>
          <w:b/>
          <w:sz w:val="24"/>
          <w:szCs w:val="24"/>
        </w:rPr>
        <w:t>y</w:t>
      </w:r>
      <w:r w:rsidRPr="00247CAB">
        <w:rPr>
          <w:rFonts w:asciiTheme="minorHAnsi" w:hAnsiTheme="minorHAnsi" w:cstheme="minorHAnsi"/>
          <w:b/>
          <w:sz w:val="24"/>
          <w:szCs w:val="24"/>
        </w:rPr>
        <w:t xml:space="preserve"> jednotlivých druhů hazardních her na vkladech a </w:t>
      </w:r>
      <w:r w:rsidR="006E622B">
        <w:rPr>
          <w:rFonts w:asciiTheme="minorHAnsi" w:hAnsiTheme="minorHAnsi" w:cstheme="minorHAnsi"/>
          <w:b/>
          <w:sz w:val="24"/>
          <w:szCs w:val="24"/>
        </w:rPr>
        <w:t xml:space="preserve">na </w:t>
      </w:r>
      <w:r w:rsidRPr="00247CAB">
        <w:rPr>
          <w:rFonts w:asciiTheme="minorHAnsi" w:hAnsiTheme="minorHAnsi" w:cstheme="minorHAnsi"/>
          <w:b/>
          <w:sz w:val="24"/>
          <w:szCs w:val="24"/>
        </w:rPr>
        <w:t>předpisu dan</w:t>
      </w:r>
      <w:r w:rsidR="00AD28E8" w:rsidRPr="00247CAB">
        <w:rPr>
          <w:rFonts w:asciiTheme="minorHAnsi" w:hAnsiTheme="minorHAnsi" w:cstheme="minorHAnsi"/>
          <w:b/>
          <w:sz w:val="24"/>
          <w:szCs w:val="24"/>
        </w:rPr>
        <w:t>ě</w:t>
      </w:r>
      <w:r w:rsidRPr="00247CAB">
        <w:rPr>
          <w:rFonts w:asciiTheme="minorHAnsi" w:hAnsiTheme="minorHAnsi" w:cstheme="minorHAnsi"/>
          <w:b/>
          <w:sz w:val="24"/>
          <w:szCs w:val="24"/>
        </w:rPr>
        <w:t xml:space="preserve"> </w:t>
      </w:r>
      <w:r w:rsidR="00C543D7">
        <w:rPr>
          <w:rFonts w:asciiTheme="minorHAnsi" w:hAnsiTheme="minorHAnsi" w:cstheme="minorHAnsi"/>
          <w:b/>
          <w:sz w:val="24"/>
          <w:szCs w:val="24"/>
        </w:rPr>
        <w:br/>
      </w:r>
      <w:r w:rsidRPr="00247CAB">
        <w:rPr>
          <w:rFonts w:asciiTheme="minorHAnsi" w:hAnsiTheme="minorHAnsi" w:cstheme="minorHAnsi"/>
          <w:b/>
          <w:sz w:val="24"/>
          <w:szCs w:val="24"/>
        </w:rPr>
        <w:t>v letech 2017–2021</w:t>
      </w:r>
    </w:p>
    <w:p w14:paraId="332D65AA" w14:textId="77777777" w:rsidR="00105888" w:rsidRDefault="00FF1AD0" w:rsidP="00391AFD">
      <w:pPr>
        <w:spacing w:before="160" w:after="0" w:line="240" w:lineRule="auto"/>
        <w:rPr>
          <w:rFonts w:asciiTheme="minorHAnsi" w:hAnsiTheme="minorHAnsi"/>
          <w:b/>
          <w:sz w:val="20"/>
          <w:szCs w:val="20"/>
        </w:rPr>
      </w:pPr>
      <w:r w:rsidRPr="00105888">
        <w:rPr>
          <w:noProof/>
          <w:sz w:val="20"/>
        </w:rPr>
        <w:drawing>
          <wp:inline distT="0" distB="0" distL="0" distR="0" wp14:anchorId="6C402E6D" wp14:editId="2CA6D702">
            <wp:extent cx="5760720" cy="4562475"/>
            <wp:effectExtent l="0" t="0" r="0" b="12700"/>
            <wp:docPr id="8" name="Graf 8">
              <a:extLst xmlns:a="http://schemas.openxmlformats.org/drawingml/2006/main">
                <a:ext uri="{FF2B5EF4-FFF2-40B4-BE49-F238E27FC236}">
                  <a16:creationId xmlns:a16="http://schemas.microsoft.com/office/drawing/2014/main" id="{5142A394-ABEC-4D22-8B96-D4338A0EAE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2E9513C" w14:textId="2FD5ABD2" w:rsidR="00D030CE" w:rsidRPr="0058671C" w:rsidRDefault="00D030CE" w:rsidP="00391AFD">
      <w:pPr>
        <w:spacing w:before="160" w:after="0" w:line="240" w:lineRule="auto"/>
        <w:rPr>
          <w:rFonts w:asciiTheme="minorHAnsi" w:hAnsiTheme="minorHAnsi"/>
          <w:sz w:val="20"/>
          <w:szCs w:val="20"/>
        </w:rPr>
      </w:pPr>
      <w:r w:rsidRPr="0058671C">
        <w:rPr>
          <w:rFonts w:asciiTheme="minorHAnsi" w:hAnsiTheme="minorHAnsi"/>
          <w:b/>
          <w:sz w:val="20"/>
          <w:szCs w:val="20"/>
        </w:rPr>
        <w:t>Zdroj:</w:t>
      </w:r>
      <w:r w:rsidRPr="0058671C">
        <w:rPr>
          <w:rFonts w:asciiTheme="minorHAnsi" w:hAnsiTheme="minorHAnsi"/>
          <w:sz w:val="20"/>
          <w:szCs w:val="20"/>
        </w:rPr>
        <w:t xml:space="preserve"> </w:t>
      </w:r>
      <w:r w:rsidR="006E622B" w:rsidRPr="0058671C">
        <w:rPr>
          <w:rFonts w:asciiTheme="minorHAnsi" w:hAnsiTheme="minorHAnsi"/>
          <w:sz w:val="20"/>
          <w:szCs w:val="20"/>
        </w:rPr>
        <w:t>dat</w:t>
      </w:r>
      <w:r w:rsidR="006E622B">
        <w:rPr>
          <w:rFonts w:asciiTheme="minorHAnsi" w:hAnsiTheme="minorHAnsi"/>
          <w:sz w:val="20"/>
          <w:szCs w:val="20"/>
        </w:rPr>
        <w:t>a</w:t>
      </w:r>
      <w:r w:rsidR="006E622B" w:rsidRPr="0058671C">
        <w:rPr>
          <w:rFonts w:asciiTheme="minorHAnsi" w:hAnsiTheme="minorHAnsi"/>
          <w:sz w:val="20"/>
          <w:szCs w:val="20"/>
        </w:rPr>
        <w:t xml:space="preserve"> SFÚ</w:t>
      </w:r>
      <w:r w:rsidR="006E622B">
        <w:rPr>
          <w:rFonts w:asciiTheme="minorHAnsi" w:hAnsiTheme="minorHAnsi"/>
          <w:sz w:val="20"/>
          <w:szCs w:val="20"/>
        </w:rPr>
        <w:t>;</w:t>
      </w:r>
      <w:r w:rsidR="006E622B" w:rsidRPr="0058671C">
        <w:rPr>
          <w:rFonts w:asciiTheme="minorHAnsi" w:hAnsiTheme="minorHAnsi"/>
          <w:sz w:val="20"/>
          <w:szCs w:val="20"/>
        </w:rPr>
        <w:t xml:space="preserve"> </w:t>
      </w:r>
      <w:r w:rsidRPr="0058671C">
        <w:rPr>
          <w:rFonts w:asciiTheme="minorHAnsi" w:hAnsiTheme="minorHAnsi"/>
          <w:sz w:val="20"/>
          <w:szCs w:val="20"/>
        </w:rPr>
        <w:t>vlastní zpracování NKÚ.</w:t>
      </w:r>
    </w:p>
    <w:p w14:paraId="79773368" w14:textId="77777777" w:rsidR="00D030CE" w:rsidRPr="00247CAB" w:rsidRDefault="00D030CE" w:rsidP="00247CAB">
      <w:pPr>
        <w:spacing w:after="0" w:line="240" w:lineRule="auto"/>
        <w:rPr>
          <w:rFonts w:asciiTheme="minorHAnsi" w:hAnsiTheme="minorHAnsi"/>
          <w:b/>
          <w:sz w:val="20"/>
          <w:szCs w:val="20"/>
        </w:rPr>
      </w:pPr>
      <w:r w:rsidRPr="00247CAB">
        <w:rPr>
          <w:rFonts w:asciiTheme="minorHAnsi" w:hAnsiTheme="minorHAnsi"/>
          <w:b/>
          <w:sz w:val="20"/>
          <w:szCs w:val="20"/>
        </w:rPr>
        <w:t>Pozn.:</w:t>
      </w:r>
    </w:p>
    <w:p w14:paraId="5C98110A" w14:textId="34AA49A9" w:rsidR="00BF3C01" w:rsidRDefault="00BF3C01">
      <w:pPr>
        <w:spacing w:after="0" w:line="240" w:lineRule="auto"/>
        <w:rPr>
          <w:rFonts w:asciiTheme="minorHAnsi" w:hAnsiTheme="minorHAnsi"/>
          <w:sz w:val="20"/>
          <w:szCs w:val="20"/>
        </w:rPr>
      </w:pPr>
      <w:r w:rsidRPr="0058671C">
        <w:rPr>
          <w:rFonts w:asciiTheme="minorHAnsi" w:hAnsiTheme="minorHAnsi"/>
          <w:sz w:val="20"/>
          <w:szCs w:val="20"/>
        </w:rPr>
        <w:t xml:space="preserve">Na vodorovné ose grafu je znázorněn podíl druhu hry na celkovém objemu všech vkladů, na svislé ose je vyznačen podíl předpisu daně z daného druhu hry vůči celkovému předpisu daně z hazardních her. Celková výše vkladů do druhu hry v mld. Kč je vyznačena v kruhu. Plocha kruhu odpovídá velikosti předpisu daně z daného druhu hazardní hry. Vklady </w:t>
      </w:r>
      <w:r w:rsidR="00A060BE">
        <w:rPr>
          <w:rFonts w:asciiTheme="minorHAnsi" w:hAnsiTheme="minorHAnsi"/>
          <w:sz w:val="20"/>
          <w:szCs w:val="20"/>
        </w:rPr>
        <w:t xml:space="preserve">do </w:t>
      </w:r>
      <w:r w:rsidRPr="0058671C">
        <w:rPr>
          <w:rFonts w:asciiTheme="minorHAnsi" w:hAnsiTheme="minorHAnsi"/>
          <w:sz w:val="20"/>
          <w:szCs w:val="20"/>
        </w:rPr>
        <w:t>ostatních čtyř dru</w:t>
      </w:r>
      <w:r w:rsidR="00A060BE">
        <w:rPr>
          <w:rFonts w:asciiTheme="minorHAnsi" w:hAnsiTheme="minorHAnsi"/>
          <w:sz w:val="20"/>
          <w:szCs w:val="20"/>
        </w:rPr>
        <w:t>hů</w:t>
      </w:r>
      <w:r w:rsidRPr="0058671C">
        <w:rPr>
          <w:rFonts w:asciiTheme="minorHAnsi" w:hAnsiTheme="minorHAnsi"/>
          <w:sz w:val="20"/>
          <w:szCs w:val="20"/>
        </w:rPr>
        <w:t xml:space="preserve"> her (totalizátorová hra, tombola, turnaj malého rozsahu a bingo) </w:t>
      </w:r>
      <w:r w:rsidR="00BE10CC" w:rsidRPr="0058671C">
        <w:rPr>
          <w:rFonts w:asciiTheme="minorHAnsi" w:hAnsiTheme="minorHAnsi"/>
          <w:sz w:val="20"/>
          <w:szCs w:val="20"/>
        </w:rPr>
        <w:t xml:space="preserve">dosáhly </w:t>
      </w:r>
      <w:r w:rsidRPr="0058671C">
        <w:rPr>
          <w:rFonts w:asciiTheme="minorHAnsi" w:hAnsiTheme="minorHAnsi"/>
          <w:sz w:val="20"/>
          <w:szCs w:val="20"/>
        </w:rPr>
        <w:t>celkově za dané období 1</w:t>
      </w:r>
      <w:r w:rsidR="00030829">
        <w:rPr>
          <w:rFonts w:asciiTheme="minorHAnsi" w:hAnsiTheme="minorHAnsi"/>
          <w:sz w:val="20"/>
          <w:szCs w:val="20"/>
        </w:rPr>
        <w:t>38</w:t>
      </w:r>
      <w:r w:rsidRPr="0058671C">
        <w:rPr>
          <w:rFonts w:asciiTheme="minorHAnsi" w:hAnsiTheme="minorHAnsi"/>
          <w:sz w:val="20"/>
          <w:szCs w:val="20"/>
        </w:rPr>
        <w:t xml:space="preserve"> mil. Kč, což je </w:t>
      </w:r>
      <w:r w:rsidR="00030829">
        <w:rPr>
          <w:rFonts w:asciiTheme="minorHAnsi" w:hAnsiTheme="minorHAnsi"/>
          <w:sz w:val="20"/>
          <w:szCs w:val="20"/>
        </w:rPr>
        <w:t xml:space="preserve">0,0076 % </w:t>
      </w:r>
      <w:r w:rsidRPr="0058671C">
        <w:rPr>
          <w:rFonts w:asciiTheme="minorHAnsi" w:hAnsiTheme="minorHAnsi"/>
          <w:sz w:val="20"/>
          <w:szCs w:val="20"/>
        </w:rPr>
        <w:t>celkových vkladů.</w:t>
      </w:r>
    </w:p>
    <w:p w14:paraId="4066724F" w14:textId="77777777" w:rsidR="00C543D7" w:rsidRPr="0058671C" w:rsidRDefault="00C543D7" w:rsidP="00247CAB">
      <w:pPr>
        <w:spacing w:after="0" w:line="240" w:lineRule="auto"/>
        <w:rPr>
          <w:rFonts w:asciiTheme="minorHAnsi" w:hAnsiTheme="minorHAnsi"/>
          <w:sz w:val="20"/>
          <w:szCs w:val="20"/>
        </w:rPr>
      </w:pPr>
    </w:p>
    <w:p w14:paraId="4A7A5D39" w14:textId="0372D041" w:rsidR="00BF3C01" w:rsidRPr="00BF3C01" w:rsidRDefault="00BF3C01" w:rsidP="00247CAB">
      <w:pPr>
        <w:pStyle w:val="Odstavecseseznamem"/>
        <w:numPr>
          <w:ilvl w:val="1"/>
          <w:numId w:val="17"/>
        </w:numPr>
        <w:spacing w:after="120"/>
        <w:ind w:left="0" w:firstLine="0"/>
        <w:contextualSpacing w:val="0"/>
        <w:rPr>
          <w:rFonts w:asciiTheme="minorHAnsi" w:hAnsiTheme="minorHAnsi" w:cstheme="minorHAnsi"/>
          <w:sz w:val="24"/>
          <w:szCs w:val="24"/>
        </w:rPr>
      </w:pPr>
      <w:r w:rsidRPr="00425A31">
        <w:rPr>
          <w:rFonts w:asciiTheme="minorHAnsi" w:hAnsiTheme="minorHAnsi" w:cstheme="minorHAnsi"/>
          <w:sz w:val="24"/>
          <w:szCs w:val="24"/>
        </w:rPr>
        <w:t xml:space="preserve">V letech 2017–2021 byl celkový objem </w:t>
      </w:r>
      <w:r w:rsidR="008771C9">
        <w:rPr>
          <w:rFonts w:asciiTheme="minorHAnsi" w:hAnsiTheme="minorHAnsi" w:cstheme="minorHAnsi"/>
          <w:sz w:val="24"/>
          <w:szCs w:val="24"/>
        </w:rPr>
        <w:t xml:space="preserve">přijatých </w:t>
      </w:r>
      <w:r w:rsidRPr="00425A31">
        <w:rPr>
          <w:rFonts w:asciiTheme="minorHAnsi" w:hAnsiTheme="minorHAnsi" w:cstheme="minorHAnsi"/>
          <w:sz w:val="24"/>
          <w:szCs w:val="24"/>
        </w:rPr>
        <w:t>vkladů u technických her 1,2 bil. Kč, v roce 2021 byl oproti roku 2017 vyšší o téměř 240 mld. Kč. Inkaso daně z technických her</w:t>
      </w:r>
      <w:r w:rsidR="00247CAB">
        <w:rPr>
          <w:rFonts w:asciiTheme="minorHAnsi" w:hAnsiTheme="minorHAnsi" w:cstheme="minorHAnsi"/>
          <w:sz w:val="24"/>
          <w:szCs w:val="24"/>
        </w:rPr>
        <w:t xml:space="preserve"> </w:t>
      </w:r>
      <w:r w:rsidR="00DB1F43">
        <w:rPr>
          <w:rFonts w:asciiTheme="minorHAnsi" w:hAnsiTheme="minorHAnsi" w:cstheme="minorHAnsi"/>
          <w:sz w:val="24"/>
          <w:szCs w:val="24"/>
        </w:rPr>
        <w:br/>
      </w:r>
      <w:r w:rsidRPr="00425A31">
        <w:rPr>
          <w:rFonts w:asciiTheme="minorHAnsi" w:hAnsiTheme="minorHAnsi" w:cstheme="minorHAnsi"/>
          <w:sz w:val="24"/>
          <w:szCs w:val="24"/>
        </w:rPr>
        <w:t>v</w:t>
      </w:r>
      <w:r w:rsidR="00DB1F43">
        <w:rPr>
          <w:rFonts w:asciiTheme="minorHAnsi" w:hAnsiTheme="minorHAnsi" w:cstheme="minorHAnsi"/>
          <w:sz w:val="24"/>
          <w:szCs w:val="24"/>
        </w:rPr>
        <w:t xml:space="preserve"> </w:t>
      </w:r>
      <w:r w:rsidRPr="00425A31">
        <w:rPr>
          <w:rFonts w:asciiTheme="minorHAnsi" w:hAnsiTheme="minorHAnsi" w:cstheme="minorHAnsi"/>
          <w:sz w:val="24"/>
          <w:szCs w:val="24"/>
        </w:rPr>
        <w:t>letech 2017–2021 činilo celkem 29,7 mld. Kč, v</w:t>
      </w:r>
      <w:r w:rsidR="00152777">
        <w:rPr>
          <w:rFonts w:asciiTheme="minorHAnsi" w:hAnsiTheme="minorHAnsi" w:cstheme="minorHAnsi"/>
          <w:sz w:val="24"/>
          <w:szCs w:val="24"/>
        </w:rPr>
        <w:t xml:space="preserve"> </w:t>
      </w:r>
      <w:r w:rsidRPr="00425A31">
        <w:rPr>
          <w:rFonts w:asciiTheme="minorHAnsi" w:hAnsiTheme="minorHAnsi" w:cstheme="minorHAnsi"/>
          <w:sz w:val="24"/>
          <w:szCs w:val="24"/>
        </w:rPr>
        <w:t>roce 2021 pokleslo oproti roku 2017 o</w:t>
      </w:r>
      <w:r w:rsidR="00247CAB">
        <w:rPr>
          <w:rFonts w:asciiTheme="minorHAnsi" w:hAnsiTheme="minorHAnsi" w:cstheme="minorHAnsi"/>
          <w:sz w:val="24"/>
          <w:szCs w:val="24"/>
        </w:rPr>
        <w:t> </w:t>
      </w:r>
      <w:r w:rsidRPr="00425A31">
        <w:rPr>
          <w:rFonts w:asciiTheme="minorHAnsi" w:hAnsiTheme="minorHAnsi" w:cstheme="minorHAnsi"/>
          <w:sz w:val="24"/>
          <w:szCs w:val="24"/>
        </w:rPr>
        <w:t>820</w:t>
      </w:r>
      <w:r w:rsidR="00247CAB">
        <w:rPr>
          <w:rFonts w:asciiTheme="minorHAnsi" w:hAnsiTheme="minorHAnsi" w:cstheme="minorHAnsi"/>
          <w:sz w:val="24"/>
          <w:szCs w:val="24"/>
        </w:rPr>
        <w:t> </w:t>
      </w:r>
      <w:r w:rsidRPr="00425A31">
        <w:rPr>
          <w:rFonts w:asciiTheme="minorHAnsi" w:hAnsiTheme="minorHAnsi" w:cstheme="minorHAnsi"/>
          <w:sz w:val="24"/>
          <w:szCs w:val="24"/>
        </w:rPr>
        <w:t>mil. Kč.</w:t>
      </w:r>
    </w:p>
    <w:p w14:paraId="506C5868" w14:textId="556348C8" w:rsidR="001C6F61" w:rsidRPr="00247CAB" w:rsidRDefault="00BF3C01" w:rsidP="00247CAB">
      <w:pPr>
        <w:pStyle w:val="Odstavecseseznamem"/>
        <w:numPr>
          <w:ilvl w:val="1"/>
          <w:numId w:val="17"/>
        </w:numPr>
        <w:spacing w:after="240"/>
        <w:ind w:left="0" w:firstLine="0"/>
        <w:contextualSpacing w:val="0"/>
        <w:rPr>
          <w:rFonts w:asciiTheme="minorHAnsi" w:hAnsiTheme="minorHAnsi"/>
        </w:rPr>
      </w:pPr>
      <w:r w:rsidRPr="00247CAB">
        <w:rPr>
          <w:rFonts w:asciiTheme="minorHAnsi" w:hAnsiTheme="minorHAnsi" w:cstheme="minorHAnsi"/>
          <w:sz w:val="24"/>
          <w:szCs w:val="24"/>
        </w:rPr>
        <w:t>V kontrolovaném období zaznamenaly rychlý rozvoj internetové hry. Rozdíl mezi vsazenými a vyplacenými prostředky, který tvoří hlavní část základu daně z hazardních her,</w:t>
      </w:r>
      <w:r w:rsidR="00247CAB">
        <w:rPr>
          <w:rFonts w:asciiTheme="minorHAnsi" w:hAnsiTheme="minorHAnsi" w:cstheme="minorHAnsi"/>
          <w:sz w:val="24"/>
          <w:szCs w:val="24"/>
        </w:rPr>
        <w:t xml:space="preserve"> </w:t>
      </w:r>
      <w:r w:rsidR="00247CAB">
        <w:rPr>
          <w:rFonts w:asciiTheme="minorHAnsi" w:hAnsiTheme="minorHAnsi" w:cstheme="minorHAnsi"/>
          <w:sz w:val="24"/>
          <w:szCs w:val="24"/>
        </w:rPr>
        <w:br/>
      </w:r>
      <w:r w:rsidRPr="00247CAB">
        <w:rPr>
          <w:rFonts w:asciiTheme="minorHAnsi" w:hAnsiTheme="minorHAnsi" w:cstheme="minorHAnsi"/>
          <w:sz w:val="24"/>
          <w:szCs w:val="24"/>
        </w:rPr>
        <w:t>se</w:t>
      </w:r>
      <w:r w:rsidR="00247CAB">
        <w:rPr>
          <w:rFonts w:asciiTheme="minorHAnsi" w:hAnsiTheme="minorHAnsi" w:cstheme="minorHAnsi"/>
          <w:sz w:val="24"/>
          <w:szCs w:val="24"/>
        </w:rPr>
        <w:t xml:space="preserve"> </w:t>
      </w:r>
      <w:r w:rsidRPr="00247CAB">
        <w:rPr>
          <w:rFonts w:asciiTheme="minorHAnsi" w:hAnsiTheme="minorHAnsi" w:cstheme="minorHAnsi"/>
          <w:sz w:val="24"/>
          <w:szCs w:val="24"/>
        </w:rPr>
        <w:t>v</w:t>
      </w:r>
      <w:r w:rsidR="00247CAB">
        <w:rPr>
          <w:rFonts w:asciiTheme="minorHAnsi" w:hAnsiTheme="minorHAnsi" w:cstheme="minorHAnsi"/>
          <w:sz w:val="24"/>
          <w:szCs w:val="24"/>
        </w:rPr>
        <w:t xml:space="preserve"> </w:t>
      </w:r>
      <w:r w:rsidRPr="00247CAB">
        <w:rPr>
          <w:rFonts w:asciiTheme="minorHAnsi" w:hAnsiTheme="minorHAnsi" w:cstheme="minorHAnsi"/>
          <w:sz w:val="24"/>
          <w:szCs w:val="24"/>
        </w:rPr>
        <w:t>případě internetových her postupně zvyšoval z necelých 9 mld. Kč v roce 2017 na cca 23 mld. Kč v roce 2021. Opačný vývoj zaznamenal rozdíl mezi vsazenými a vyplacenými prostředky v land</w:t>
      </w:r>
      <w:r w:rsidRPr="00247CAB">
        <w:rPr>
          <w:rFonts w:asciiTheme="minorHAnsi" w:hAnsiTheme="minorHAnsi" w:cstheme="minorHAnsi"/>
          <w:sz w:val="24"/>
          <w:szCs w:val="24"/>
        </w:rPr>
        <w:noBreakHyphen/>
        <w:t xml:space="preserve">based hazardních hrách, </w:t>
      </w:r>
      <w:r w:rsidR="00152777" w:rsidRPr="00247CAB">
        <w:rPr>
          <w:rFonts w:asciiTheme="minorHAnsi" w:hAnsiTheme="minorHAnsi" w:cstheme="minorHAnsi"/>
          <w:sz w:val="24"/>
          <w:szCs w:val="24"/>
        </w:rPr>
        <w:t>zde došlo ke</w:t>
      </w:r>
      <w:r w:rsidRPr="00247CAB">
        <w:rPr>
          <w:rFonts w:asciiTheme="minorHAnsi" w:hAnsiTheme="minorHAnsi" w:cstheme="minorHAnsi"/>
          <w:sz w:val="24"/>
          <w:szCs w:val="24"/>
        </w:rPr>
        <w:t xml:space="preserve"> snížení z 33 mld. Kč v roce 2017 na 17</w:t>
      </w:r>
      <w:r w:rsidR="00152777" w:rsidRPr="00247CAB">
        <w:rPr>
          <w:rFonts w:asciiTheme="minorHAnsi" w:hAnsiTheme="minorHAnsi" w:cstheme="minorHAnsi"/>
          <w:sz w:val="24"/>
          <w:szCs w:val="24"/>
        </w:rPr>
        <w:t> </w:t>
      </w:r>
      <w:r w:rsidRPr="00247CAB">
        <w:rPr>
          <w:rFonts w:asciiTheme="minorHAnsi" w:hAnsiTheme="minorHAnsi" w:cstheme="minorHAnsi"/>
          <w:sz w:val="24"/>
          <w:szCs w:val="24"/>
        </w:rPr>
        <w:t>mld. Kč</w:t>
      </w:r>
      <w:r w:rsidRPr="00247CAB" w:rsidDel="00747EE4">
        <w:rPr>
          <w:rFonts w:asciiTheme="minorHAnsi" w:hAnsiTheme="minorHAnsi" w:cstheme="minorHAnsi"/>
          <w:sz w:val="24"/>
          <w:szCs w:val="24"/>
        </w:rPr>
        <w:t xml:space="preserve"> </w:t>
      </w:r>
      <w:r w:rsidRPr="00247CAB">
        <w:rPr>
          <w:rFonts w:asciiTheme="minorHAnsi" w:hAnsiTheme="minorHAnsi" w:cstheme="minorHAnsi"/>
          <w:sz w:val="24"/>
          <w:szCs w:val="24"/>
        </w:rPr>
        <w:t>v roce 2021</w:t>
      </w:r>
      <w:r w:rsidRPr="00247CAB">
        <w:rPr>
          <w:rFonts w:asciiTheme="minorHAnsi" w:hAnsiTheme="minorHAnsi" w:cstheme="minorHAnsi"/>
          <w:szCs w:val="24"/>
        </w:rPr>
        <w:t>.</w:t>
      </w:r>
      <w:r w:rsidR="001C6F61" w:rsidRPr="00247CAB">
        <w:rPr>
          <w:rFonts w:asciiTheme="minorHAnsi" w:hAnsiTheme="minorHAnsi"/>
        </w:rPr>
        <w:br w:type="page"/>
      </w:r>
    </w:p>
    <w:p w14:paraId="46563372" w14:textId="77777777" w:rsidR="00F12430" w:rsidRPr="008142C5" w:rsidRDefault="00C90D00" w:rsidP="001B0897">
      <w:pPr>
        <w:pStyle w:val="Nadpis2"/>
        <w:spacing w:before="120"/>
        <w:rPr>
          <w:rFonts w:asciiTheme="minorHAnsi" w:hAnsiTheme="minorHAnsi"/>
        </w:rPr>
      </w:pPr>
      <w:r w:rsidRPr="008142C5">
        <w:rPr>
          <w:rFonts w:asciiTheme="minorHAnsi" w:hAnsiTheme="minorHAnsi"/>
        </w:rPr>
        <w:lastRenderedPageBreak/>
        <w:t xml:space="preserve">Ministerstvo financí </w:t>
      </w:r>
    </w:p>
    <w:p w14:paraId="58DF0748" w14:textId="5CEBF3D3" w:rsidR="00C90D00" w:rsidRPr="008142C5" w:rsidRDefault="00F12430" w:rsidP="001E51C9">
      <w:pPr>
        <w:pStyle w:val="Odstavecseseznamem"/>
        <w:numPr>
          <w:ilvl w:val="1"/>
          <w:numId w:val="17"/>
        </w:numPr>
        <w:spacing w:after="240"/>
        <w:ind w:left="0" w:firstLine="0"/>
        <w:contextualSpacing w:val="0"/>
        <w:rPr>
          <w:rFonts w:asciiTheme="minorHAnsi" w:hAnsiTheme="minorHAnsi" w:cstheme="minorHAnsi"/>
          <w:sz w:val="24"/>
          <w:szCs w:val="24"/>
        </w:rPr>
      </w:pPr>
      <w:r w:rsidRPr="008142C5">
        <w:rPr>
          <w:rFonts w:asciiTheme="minorHAnsi" w:hAnsiTheme="minorHAnsi" w:cstheme="minorHAnsi"/>
          <w:color w:val="000000"/>
          <w:sz w:val="24"/>
          <w:szCs w:val="24"/>
        </w:rPr>
        <w:t>MF</w:t>
      </w:r>
      <w:r w:rsidR="00C90D00" w:rsidRPr="008142C5">
        <w:rPr>
          <w:rFonts w:asciiTheme="minorHAnsi" w:hAnsiTheme="minorHAnsi" w:cstheme="minorHAnsi"/>
          <w:color w:val="000000"/>
          <w:sz w:val="24"/>
          <w:szCs w:val="24"/>
        </w:rPr>
        <w:t xml:space="preserve"> je podle </w:t>
      </w:r>
      <w:r w:rsidR="00B9655B" w:rsidRPr="008142C5">
        <w:rPr>
          <w:rFonts w:asciiTheme="minorHAnsi" w:hAnsiTheme="minorHAnsi" w:cstheme="minorHAnsi"/>
          <w:color w:val="000000"/>
          <w:sz w:val="24"/>
          <w:szCs w:val="24"/>
        </w:rPr>
        <w:t xml:space="preserve">ustanovení </w:t>
      </w:r>
      <w:r w:rsidR="00C90D00" w:rsidRPr="008142C5">
        <w:rPr>
          <w:rFonts w:asciiTheme="minorHAnsi" w:hAnsiTheme="minorHAnsi" w:cstheme="minorHAnsi"/>
          <w:color w:val="000000"/>
          <w:sz w:val="24"/>
          <w:szCs w:val="24"/>
        </w:rPr>
        <w:t xml:space="preserve">§ 4 </w:t>
      </w:r>
      <w:r w:rsidR="007F615F" w:rsidRPr="008142C5">
        <w:rPr>
          <w:rFonts w:asciiTheme="minorHAnsi" w:hAnsiTheme="minorHAnsi" w:cstheme="minorHAnsi"/>
          <w:color w:val="000000"/>
          <w:sz w:val="24"/>
          <w:szCs w:val="24"/>
        </w:rPr>
        <w:t>odst. 1</w:t>
      </w:r>
      <w:r w:rsidR="00C90D00" w:rsidRPr="008142C5">
        <w:rPr>
          <w:rFonts w:asciiTheme="minorHAnsi" w:hAnsiTheme="minorHAnsi" w:cstheme="minorHAnsi"/>
          <w:color w:val="000000"/>
          <w:sz w:val="24"/>
          <w:szCs w:val="24"/>
        </w:rPr>
        <w:t xml:space="preserve"> zákona</w:t>
      </w:r>
      <w:r w:rsidR="006420E9" w:rsidRPr="008142C5">
        <w:rPr>
          <w:rFonts w:asciiTheme="minorHAnsi" w:hAnsiTheme="minorHAnsi" w:cstheme="minorHAnsi"/>
          <w:color w:val="000000"/>
          <w:sz w:val="24"/>
          <w:szCs w:val="24"/>
        </w:rPr>
        <w:t xml:space="preserve"> České národní rady</w:t>
      </w:r>
      <w:r w:rsidR="00C90D00" w:rsidRPr="008142C5">
        <w:rPr>
          <w:rFonts w:asciiTheme="minorHAnsi" w:hAnsiTheme="minorHAnsi" w:cstheme="minorHAnsi"/>
          <w:color w:val="000000"/>
          <w:sz w:val="24"/>
          <w:szCs w:val="24"/>
        </w:rPr>
        <w:t xml:space="preserve"> č. 2/1969 </w:t>
      </w:r>
      <w:r w:rsidR="007F615F" w:rsidRPr="008142C5">
        <w:rPr>
          <w:rFonts w:asciiTheme="minorHAnsi" w:hAnsiTheme="minorHAnsi" w:cstheme="minorHAnsi"/>
          <w:color w:val="000000"/>
          <w:sz w:val="24"/>
          <w:szCs w:val="24"/>
        </w:rPr>
        <w:t>Sb.,</w:t>
      </w:r>
      <w:r w:rsidR="00C90D00" w:rsidRPr="008142C5">
        <w:rPr>
          <w:rFonts w:asciiTheme="minorHAnsi" w:hAnsiTheme="minorHAnsi" w:cstheme="minorHAnsi"/>
          <w:color w:val="000000"/>
          <w:sz w:val="24"/>
          <w:szCs w:val="24"/>
        </w:rPr>
        <w:t xml:space="preserve"> o zřízení ministerstev a jiných ústředních orgánů státní správy České republiky</w:t>
      </w:r>
      <w:r w:rsidR="005705B7">
        <w:rPr>
          <w:rFonts w:asciiTheme="minorHAnsi" w:hAnsiTheme="minorHAnsi" w:cstheme="minorHAnsi"/>
          <w:color w:val="000000"/>
          <w:sz w:val="24"/>
          <w:szCs w:val="24"/>
        </w:rPr>
        <w:t>,</w:t>
      </w:r>
      <w:r w:rsidR="00C90D00" w:rsidRPr="008142C5">
        <w:rPr>
          <w:rFonts w:asciiTheme="minorHAnsi" w:hAnsiTheme="minorHAnsi" w:cstheme="minorHAnsi"/>
          <w:color w:val="000000"/>
          <w:sz w:val="24"/>
          <w:szCs w:val="24"/>
        </w:rPr>
        <w:t xml:space="preserve"> ústředním orgánem státní správy mj. pro daně, poplatky a </w:t>
      </w:r>
      <w:r w:rsidR="002E43AE">
        <w:rPr>
          <w:rFonts w:asciiTheme="minorHAnsi" w:hAnsiTheme="minorHAnsi" w:cstheme="minorHAnsi"/>
          <w:color w:val="000000"/>
          <w:sz w:val="24"/>
          <w:szCs w:val="24"/>
        </w:rPr>
        <w:t>hazardní hry</w:t>
      </w:r>
      <w:r w:rsidR="00C90D00" w:rsidRPr="008142C5">
        <w:rPr>
          <w:rFonts w:asciiTheme="minorHAnsi" w:hAnsiTheme="minorHAnsi" w:cstheme="minorHAnsi"/>
          <w:color w:val="000000"/>
          <w:sz w:val="24"/>
          <w:szCs w:val="24"/>
        </w:rPr>
        <w:t xml:space="preserve">. </w:t>
      </w:r>
      <w:r w:rsidR="005D6106">
        <w:rPr>
          <w:rFonts w:asciiTheme="minorHAnsi" w:hAnsiTheme="minorHAnsi" w:cstheme="minorHAnsi"/>
          <w:color w:val="000000"/>
          <w:sz w:val="24"/>
          <w:szCs w:val="24"/>
        </w:rPr>
        <w:t xml:space="preserve">MF je </w:t>
      </w:r>
      <w:r w:rsidR="00041D1C">
        <w:rPr>
          <w:rFonts w:asciiTheme="minorHAnsi" w:hAnsiTheme="minorHAnsi" w:cstheme="minorHAnsi"/>
          <w:color w:val="000000"/>
          <w:sz w:val="24"/>
          <w:szCs w:val="24"/>
        </w:rPr>
        <w:t>gestorem</w:t>
      </w:r>
      <w:r w:rsidR="00C90D00" w:rsidRPr="008142C5">
        <w:rPr>
          <w:rFonts w:asciiTheme="minorHAnsi" w:hAnsiTheme="minorHAnsi" w:cstheme="minorHAnsi"/>
          <w:color w:val="000000"/>
          <w:sz w:val="24"/>
          <w:szCs w:val="24"/>
        </w:rPr>
        <w:t xml:space="preserve"> </w:t>
      </w:r>
      <w:r w:rsidR="00471C58" w:rsidRPr="008142C5">
        <w:rPr>
          <w:rFonts w:asciiTheme="minorHAnsi" w:hAnsiTheme="minorHAnsi" w:cstheme="minorHAnsi"/>
          <w:color w:val="000000"/>
          <w:sz w:val="24"/>
          <w:szCs w:val="24"/>
        </w:rPr>
        <w:t>ZHH</w:t>
      </w:r>
      <w:r w:rsidR="00C90D00" w:rsidRPr="008142C5">
        <w:rPr>
          <w:rFonts w:asciiTheme="minorHAnsi" w:hAnsiTheme="minorHAnsi" w:cstheme="minorHAnsi"/>
          <w:color w:val="000000"/>
          <w:sz w:val="24"/>
          <w:szCs w:val="24"/>
        </w:rPr>
        <w:t xml:space="preserve"> a </w:t>
      </w:r>
      <w:r w:rsidR="00C86F9E" w:rsidRPr="008142C5">
        <w:rPr>
          <w:rFonts w:asciiTheme="minorHAnsi" w:hAnsiTheme="minorHAnsi" w:cstheme="minorHAnsi"/>
          <w:color w:val="000000"/>
          <w:sz w:val="24"/>
          <w:szCs w:val="24"/>
        </w:rPr>
        <w:t>ZDHH</w:t>
      </w:r>
      <w:r w:rsidR="005D6106">
        <w:rPr>
          <w:rFonts w:asciiTheme="minorHAnsi" w:hAnsiTheme="minorHAnsi" w:cstheme="minorHAnsi"/>
          <w:color w:val="000000"/>
          <w:sz w:val="24"/>
          <w:szCs w:val="24"/>
        </w:rPr>
        <w:t>,</w:t>
      </w:r>
      <w:r w:rsidR="00C90D00" w:rsidRPr="008142C5">
        <w:rPr>
          <w:rFonts w:asciiTheme="minorHAnsi" w:hAnsiTheme="minorHAnsi" w:cstheme="minorHAnsi"/>
          <w:color w:val="000000"/>
          <w:sz w:val="24"/>
          <w:szCs w:val="24"/>
        </w:rPr>
        <w:t xml:space="preserve"> na základě </w:t>
      </w:r>
      <w:r w:rsidR="00471C58" w:rsidRPr="008142C5">
        <w:rPr>
          <w:rFonts w:asciiTheme="minorHAnsi" w:hAnsiTheme="minorHAnsi" w:cstheme="minorHAnsi"/>
          <w:color w:val="000000"/>
          <w:sz w:val="24"/>
          <w:szCs w:val="24"/>
        </w:rPr>
        <w:t xml:space="preserve">ZHH </w:t>
      </w:r>
      <w:r w:rsidR="00C90D00" w:rsidRPr="008142C5">
        <w:rPr>
          <w:rFonts w:asciiTheme="minorHAnsi" w:hAnsiTheme="minorHAnsi" w:cstheme="minorHAnsi"/>
          <w:color w:val="000000"/>
          <w:sz w:val="24"/>
          <w:szCs w:val="24"/>
        </w:rPr>
        <w:t xml:space="preserve">vykonává dozor nad dodržováním tohoto zákona, rozhoduje o vydání, změně nebo zrušení základního povolení k provozování </w:t>
      </w:r>
      <w:r w:rsidR="002E43AE">
        <w:rPr>
          <w:rFonts w:asciiTheme="minorHAnsi" w:hAnsiTheme="minorHAnsi" w:cstheme="minorHAnsi"/>
          <w:color w:val="000000"/>
          <w:sz w:val="24"/>
          <w:szCs w:val="24"/>
        </w:rPr>
        <w:t>hazardních her</w:t>
      </w:r>
      <w:r w:rsidR="00C90D00" w:rsidRPr="008142C5">
        <w:rPr>
          <w:rFonts w:asciiTheme="minorHAnsi" w:hAnsiTheme="minorHAnsi" w:cstheme="minorHAnsi"/>
          <w:color w:val="000000"/>
          <w:sz w:val="24"/>
          <w:szCs w:val="24"/>
        </w:rPr>
        <w:t>, vykonává dozor nad dodržováním podmínek stanovených v základním povolení a povolení k umístění herního prostoru</w:t>
      </w:r>
      <w:r w:rsidR="00247CAB">
        <w:rPr>
          <w:rFonts w:asciiTheme="minorHAnsi" w:hAnsiTheme="minorHAnsi" w:cstheme="minorHAnsi"/>
          <w:color w:val="000000"/>
          <w:sz w:val="24"/>
          <w:szCs w:val="24"/>
        </w:rPr>
        <w:t xml:space="preserve"> </w:t>
      </w:r>
      <w:r w:rsidR="00767620">
        <w:rPr>
          <w:rFonts w:asciiTheme="minorHAnsi" w:hAnsiTheme="minorHAnsi" w:cstheme="minorHAnsi"/>
          <w:color w:val="000000"/>
          <w:sz w:val="24"/>
          <w:szCs w:val="24"/>
        </w:rPr>
        <w:br/>
      </w:r>
      <w:r w:rsidR="00C90D00" w:rsidRPr="008142C5">
        <w:rPr>
          <w:rFonts w:asciiTheme="minorHAnsi" w:hAnsiTheme="minorHAnsi" w:cstheme="minorHAnsi"/>
          <w:color w:val="000000"/>
          <w:sz w:val="24"/>
          <w:szCs w:val="24"/>
        </w:rPr>
        <w:t xml:space="preserve">a náležitostí uvedených v ohlášení, projednává přestupky pověřených osob, poskytovatelů připojení k internetu na území ČR a poskytovatelů platebních služeb, zpracovává informace z výkaznictví pro analytické účely a pro účely dozoru nad dodržováním povinností stanovených </w:t>
      </w:r>
      <w:r w:rsidR="00AE7539" w:rsidRPr="008142C5">
        <w:rPr>
          <w:rFonts w:asciiTheme="minorHAnsi" w:hAnsiTheme="minorHAnsi" w:cstheme="minorHAnsi"/>
          <w:color w:val="000000"/>
          <w:sz w:val="24"/>
          <w:szCs w:val="24"/>
        </w:rPr>
        <w:t>ZHH</w:t>
      </w:r>
      <w:r w:rsidR="00C90D00" w:rsidRPr="008142C5">
        <w:rPr>
          <w:rFonts w:asciiTheme="minorHAnsi" w:hAnsiTheme="minorHAnsi" w:cstheme="minorHAnsi"/>
          <w:color w:val="000000"/>
          <w:sz w:val="24"/>
          <w:szCs w:val="24"/>
        </w:rPr>
        <w:t>, rozhoduje o vydání pověření k</w:t>
      </w:r>
      <w:r w:rsidR="004F24FB" w:rsidRPr="008142C5">
        <w:rPr>
          <w:rFonts w:asciiTheme="minorHAnsi" w:hAnsiTheme="minorHAnsi" w:cstheme="minorHAnsi"/>
          <w:color w:val="000000"/>
          <w:sz w:val="24"/>
          <w:szCs w:val="24"/>
        </w:rPr>
        <w:t> </w:t>
      </w:r>
      <w:r w:rsidR="00C90D00" w:rsidRPr="008142C5">
        <w:rPr>
          <w:rFonts w:asciiTheme="minorHAnsi" w:hAnsiTheme="minorHAnsi" w:cstheme="minorHAnsi"/>
          <w:color w:val="000000"/>
          <w:sz w:val="24"/>
          <w:szCs w:val="24"/>
        </w:rPr>
        <w:t xml:space="preserve">odbornému posuzování a osvědčování, vykonává dozor nad plněním povinností pověřené osoby, spravuje kauce, je správcem </w:t>
      </w:r>
      <w:r w:rsidR="005705B7">
        <w:rPr>
          <w:rFonts w:asciiTheme="minorHAnsi" w:hAnsiTheme="minorHAnsi" w:cstheme="minorHAnsi"/>
          <w:sz w:val="24"/>
          <w:szCs w:val="24"/>
        </w:rPr>
        <w:t>r</w:t>
      </w:r>
      <w:r w:rsidR="00C90D00" w:rsidRPr="008142C5">
        <w:rPr>
          <w:rFonts w:asciiTheme="minorHAnsi" w:hAnsiTheme="minorHAnsi" w:cstheme="minorHAnsi"/>
          <w:sz w:val="24"/>
          <w:szCs w:val="24"/>
        </w:rPr>
        <w:t>ejstříku fyzických osob vyloučených z účasti na hazardních hrách</w:t>
      </w:r>
      <w:r w:rsidR="00E970E7">
        <w:rPr>
          <w:rFonts w:asciiTheme="minorHAnsi" w:hAnsiTheme="minorHAnsi" w:cstheme="minorHAnsi"/>
          <w:sz w:val="24"/>
          <w:szCs w:val="24"/>
        </w:rPr>
        <w:t xml:space="preserve"> (dále také „RVO“)</w:t>
      </w:r>
      <w:r w:rsidR="00C90D00" w:rsidRPr="008142C5">
        <w:rPr>
          <w:rFonts w:asciiTheme="minorHAnsi" w:hAnsiTheme="minorHAnsi" w:cstheme="minorHAnsi"/>
          <w:color w:val="000000"/>
          <w:sz w:val="24"/>
          <w:szCs w:val="24"/>
        </w:rPr>
        <w:t xml:space="preserve">, vede </w:t>
      </w:r>
      <w:r w:rsidR="005705B7">
        <w:rPr>
          <w:rFonts w:asciiTheme="minorHAnsi" w:hAnsiTheme="minorHAnsi" w:cstheme="minorHAnsi"/>
          <w:color w:val="000000"/>
          <w:sz w:val="24"/>
          <w:szCs w:val="24"/>
        </w:rPr>
        <w:t>s</w:t>
      </w:r>
      <w:r w:rsidR="00C90D00" w:rsidRPr="008142C5">
        <w:rPr>
          <w:rFonts w:asciiTheme="minorHAnsi" w:hAnsiTheme="minorHAnsi" w:cstheme="minorHAnsi"/>
          <w:color w:val="000000"/>
          <w:sz w:val="24"/>
          <w:szCs w:val="24"/>
        </w:rPr>
        <w:t>eznam nepovolených internetových her, je správcem informační</w:t>
      </w:r>
      <w:r w:rsidR="00013B29" w:rsidRPr="008142C5">
        <w:rPr>
          <w:rFonts w:asciiTheme="minorHAnsi" w:hAnsiTheme="minorHAnsi" w:cstheme="minorHAnsi"/>
          <w:color w:val="000000"/>
          <w:sz w:val="24"/>
          <w:szCs w:val="24"/>
        </w:rPr>
        <w:t>ch</w:t>
      </w:r>
      <w:r w:rsidR="00C90D00" w:rsidRPr="008142C5">
        <w:rPr>
          <w:rFonts w:asciiTheme="minorHAnsi" w:hAnsiTheme="minorHAnsi" w:cstheme="minorHAnsi"/>
          <w:color w:val="000000"/>
          <w:sz w:val="24"/>
          <w:szCs w:val="24"/>
        </w:rPr>
        <w:t xml:space="preserve"> systém</w:t>
      </w:r>
      <w:r w:rsidR="00013B29" w:rsidRPr="008142C5">
        <w:rPr>
          <w:rFonts w:asciiTheme="minorHAnsi" w:hAnsiTheme="minorHAnsi" w:cstheme="minorHAnsi"/>
          <w:color w:val="000000"/>
          <w:sz w:val="24"/>
          <w:szCs w:val="24"/>
        </w:rPr>
        <w:t>ů SDSL a AISG.</w:t>
      </w:r>
      <w:r w:rsidR="00C90D00" w:rsidRPr="008142C5">
        <w:rPr>
          <w:rFonts w:asciiTheme="minorHAnsi" w:hAnsiTheme="minorHAnsi" w:cstheme="minorHAnsi"/>
          <w:color w:val="000000"/>
          <w:sz w:val="24"/>
          <w:szCs w:val="24"/>
        </w:rPr>
        <w:t xml:space="preserve"> </w:t>
      </w:r>
    </w:p>
    <w:p w14:paraId="58FEA556" w14:textId="77777777" w:rsidR="00F12430" w:rsidRPr="008142C5" w:rsidRDefault="00C90D00" w:rsidP="001B0897">
      <w:pPr>
        <w:pStyle w:val="Nadpis2"/>
        <w:spacing w:before="120"/>
        <w:rPr>
          <w:rFonts w:asciiTheme="minorHAnsi" w:hAnsiTheme="minorHAnsi"/>
        </w:rPr>
      </w:pPr>
      <w:r w:rsidRPr="008142C5">
        <w:rPr>
          <w:rFonts w:asciiTheme="minorHAnsi" w:hAnsiTheme="minorHAnsi"/>
        </w:rPr>
        <w:t>Specializovaný finanční úřad</w:t>
      </w:r>
    </w:p>
    <w:p w14:paraId="205EFA7D" w14:textId="0735F953" w:rsidR="00C90D00" w:rsidRPr="008142C5" w:rsidRDefault="00F12430" w:rsidP="001E51C9">
      <w:pPr>
        <w:pStyle w:val="Odstavecseseznamem"/>
        <w:numPr>
          <w:ilvl w:val="1"/>
          <w:numId w:val="17"/>
        </w:numPr>
        <w:spacing w:after="240"/>
        <w:ind w:left="0" w:firstLine="0"/>
        <w:contextualSpacing w:val="0"/>
        <w:rPr>
          <w:rFonts w:asciiTheme="minorHAnsi" w:hAnsiTheme="minorHAnsi" w:cstheme="minorHAnsi"/>
          <w:sz w:val="24"/>
          <w:szCs w:val="24"/>
        </w:rPr>
      </w:pPr>
      <w:r w:rsidRPr="008142C5">
        <w:rPr>
          <w:rFonts w:asciiTheme="minorHAnsi" w:hAnsiTheme="minorHAnsi" w:cstheme="minorHAnsi"/>
          <w:sz w:val="24"/>
          <w:szCs w:val="24"/>
        </w:rPr>
        <w:t>SFÚ</w:t>
      </w:r>
      <w:r w:rsidR="00C90D00" w:rsidRPr="008142C5">
        <w:rPr>
          <w:rFonts w:asciiTheme="minorHAnsi" w:hAnsiTheme="minorHAnsi" w:cstheme="minorHAnsi"/>
          <w:sz w:val="24"/>
          <w:szCs w:val="24"/>
        </w:rPr>
        <w:t xml:space="preserve"> </w:t>
      </w:r>
      <w:r w:rsidR="00EA2B5E">
        <w:rPr>
          <w:rFonts w:asciiTheme="minorHAnsi" w:hAnsiTheme="minorHAnsi" w:cstheme="minorHAnsi"/>
          <w:sz w:val="24"/>
          <w:szCs w:val="24"/>
        </w:rPr>
        <w:t>byl</w:t>
      </w:r>
      <w:r w:rsidR="00C90D00" w:rsidRPr="008142C5">
        <w:rPr>
          <w:rFonts w:asciiTheme="minorHAnsi" w:hAnsiTheme="minorHAnsi" w:cstheme="minorHAnsi"/>
          <w:sz w:val="24"/>
          <w:szCs w:val="24"/>
        </w:rPr>
        <w:t xml:space="preserve"> zřízen zákonem č. 456/2011 Sb., o Finanční správě České republiky</w:t>
      </w:r>
      <w:r w:rsidR="003463F3" w:rsidRPr="008142C5">
        <w:rPr>
          <w:rFonts w:asciiTheme="minorHAnsi" w:hAnsiTheme="minorHAnsi" w:cstheme="minorHAnsi"/>
          <w:sz w:val="24"/>
          <w:szCs w:val="24"/>
        </w:rPr>
        <w:t xml:space="preserve">. </w:t>
      </w:r>
      <w:r w:rsidR="00C90D00" w:rsidRPr="008142C5">
        <w:rPr>
          <w:rFonts w:asciiTheme="minorHAnsi" w:hAnsiTheme="minorHAnsi" w:cstheme="minorHAnsi"/>
          <w:sz w:val="24"/>
          <w:szCs w:val="24"/>
        </w:rPr>
        <w:t xml:space="preserve">SFÚ vykonává působnost na celém území České republiky a od 1. 4. 2019 je výhradním správcem daně z hazardních her </w:t>
      </w:r>
      <w:bookmarkStart w:id="10" w:name="_Hlk99437415"/>
      <w:r w:rsidR="00C90D00" w:rsidRPr="008142C5">
        <w:rPr>
          <w:rFonts w:asciiTheme="minorHAnsi" w:hAnsiTheme="minorHAnsi" w:cstheme="minorHAnsi"/>
          <w:sz w:val="24"/>
          <w:szCs w:val="24"/>
        </w:rPr>
        <w:t>(do 31. 3. 2019</w:t>
      </w:r>
      <w:bookmarkEnd w:id="10"/>
      <w:r w:rsidR="00C90D00" w:rsidRPr="008142C5">
        <w:rPr>
          <w:rFonts w:asciiTheme="minorHAnsi" w:hAnsiTheme="minorHAnsi" w:cstheme="minorHAnsi"/>
          <w:sz w:val="24"/>
          <w:szCs w:val="24"/>
        </w:rPr>
        <w:t xml:space="preserve"> byl správcem daně z hazardních her pouze pro vybrané subjekty, kterými byly právnické osoby založené za </w:t>
      </w:r>
      <w:r w:rsidR="00C90D00" w:rsidRPr="008142C5">
        <w:rPr>
          <w:rFonts w:asciiTheme="minorHAnsi" w:hAnsiTheme="minorHAnsi" w:cstheme="minorHAnsi"/>
          <w:color w:val="000000"/>
          <w:sz w:val="24"/>
          <w:szCs w:val="24"/>
        </w:rPr>
        <w:t>účelem podnikání s obratem vyšším než</w:t>
      </w:r>
      <w:r w:rsidR="008C7CA7">
        <w:rPr>
          <w:rFonts w:asciiTheme="minorHAnsi" w:hAnsiTheme="minorHAnsi" w:cstheme="minorHAnsi"/>
          <w:color w:val="000000"/>
          <w:sz w:val="24"/>
          <w:szCs w:val="24"/>
        </w:rPr>
        <w:t xml:space="preserve"> </w:t>
      </w:r>
      <w:r w:rsidR="00C90D00" w:rsidRPr="008142C5">
        <w:rPr>
          <w:rFonts w:asciiTheme="minorHAnsi" w:hAnsiTheme="minorHAnsi" w:cstheme="minorHAnsi"/>
          <w:color w:val="000000"/>
          <w:sz w:val="24"/>
          <w:szCs w:val="24"/>
        </w:rPr>
        <w:t>2 mld.</w:t>
      </w:r>
      <w:r w:rsidR="008C7CA7">
        <w:rPr>
          <w:rFonts w:asciiTheme="minorHAnsi" w:hAnsiTheme="minorHAnsi" w:cstheme="minorHAnsi"/>
          <w:color w:val="000000"/>
          <w:sz w:val="24"/>
          <w:szCs w:val="24"/>
        </w:rPr>
        <w:t> </w:t>
      </w:r>
      <w:r w:rsidR="00C90D00" w:rsidRPr="008142C5">
        <w:rPr>
          <w:rFonts w:asciiTheme="minorHAnsi" w:hAnsiTheme="minorHAnsi" w:cstheme="minorHAnsi"/>
          <w:color w:val="000000"/>
          <w:sz w:val="24"/>
          <w:szCs w:val="24"/>
        </w:rPr>
        <w:t xml:space="preserve">Kč a provozovaly </w:t>
      </w:r>
      <w:r w:rsidR="002E43AE">
        <w:rPr>
          <w:rFonts w:asciiTheme="minorHAnsi" w:hAnsiTheme="minorHAnsi" w:cstheme="minorHAnsi"/>
          <w:color w:val="000000"/>
          <w:sz w:val="24"/>
          <w:szCs w:val="24"/>
        </w:rPr>
        <w:t>hazardní hry</w:t>
      </w:r>
      <w:r w:rsidR="00405064" w:rsidRPr="008142C5">
        <w:rPr>
          <w:rFonts w:asciiTheme="minorHAnsi" w:hAnsiTheme="minorHAnsi" w:cstheme="minorHAnsi"/>
          <w:color w:val="000000"/>
          <w:sz w:val="24"/>
          <w:szCs w:val="24"/>
        </w:rPr>
        <w:t>)</w:t>
      </w:r>
      <w:r w:rsidR="00C90D00" w:rsidRPr="008142C5">
        <w:rPr>
          <w:rFonts w:asciiTheme="minorHAnsi" w:hAnsiTheme="minorHAnsi" w:cstheme="minorHAnsi"/>
          <w:color w:val="000000"/>
          <w:sz w:val="24"/>
          <w:szCs w:val="24"/>
        </w:rPr>
        <w:t xml:space="preserve">. SFÚ od 1. 1. 2017 nevykonává dozor nad loteriemi </w:t>
      </w:r>
      <w:r w:rsidR="008C7CA7">
        <w:rPr>
          <w:rFonts w:asciiTheme="minorHAnsi" w:hAnsiTheme="minorHAnsi" w:cstheme="minorHAnsi"/>
          <w:color w:val="000000"/>
          <w:sz w:val="24"/>
          <w:szCs w:val="24"/>
        </w:rPr>
        <w:br/>
      </w:r>
      <w:r w:rsidR="00C90D00" w:rsidRPr="008142C5">
        <w:rPr>
          <w:rFonts w:asciiTheme="minorHAnsi" w:hAnsiTheme="minorHAnsi" w:cstheme="minorHAnsi"/>
          <w:color w:val="000000"/>
          <w:sz w:val="24"/>
          <w:szCs w:val="24"/>
        </w:rPr>
        <w:t>a jinými podobnými hrami, tato působnost byla novou právní úpravou přenesena na CS ČR.</w:t>
      </w:r>
    </w:p>
    <w:p w14:paraId="72E5674F" w14:textId="2E816DD9" w:rsidR="00F12430" w:rsidRPr="008142C5" w:rsidRDefault="00C90D00" w:rsidP="001B0897">
      <w:pPr>
        <w:pStyle w:val="Nadpis2"/>
        <w:spacing w:before="120"/>
        <w:rPr>
          <w:rFonts w:asciiTheme="minorHAnsi" w:hAnsiTheme="minorHAnsi"/>
        </w:rPr>
      </w:pPr>
      <w:r w:rsidRPr="008142C5">
        <w:rPr>
          <w:rFonts w:asciiTheme="minorHAnsi" w:hAnsiTheme="minorHAnsi"/>
        </w:rPr>
        <w:t>Generální ředitelství cel</w:t>
      </w:r>
    </w:p>
    <w:p w14:paraId="7CD5E686" w14:textId="1D6452FB" w:rsidR="00C90D00" w:rsidRPr="00776236" w:rsidRDefault="00F12430" w:rsidP="00776236">
      <w:pPr>
        <w:pStyle w:val="Odstavecseseznamem"/>
        <w:numPr>
          <w:ilvl w:val="1"/>
          <w:numId w:val="17"/>
        </w:numPr>
        <w:spacing w:after="240"/>
        <w:ind w:left="0" w:firstLine="0"/>
        <w:contextualSpacing w:val="0"/>
        <w:rPr>
          <w:rFonts w:asciiTheme="minorHAnsi" w:hAnsiTheme="minorHAnsi" w:cstheme="minorHAnsi"/>
          <w:color w:val="000000"/>
          <w:sz w:val="24"/>
          <w:szCs w:val="24"/>
        </w:rPr>
      </w:pPr>
      <w:r w:rsidRPr="008B274E">
        <w:rPr>
          <w:rFonts w:asciiTheme="minorHAnsi" w:hAnsiTheme="minorHAnsi" w:cstheme="minorHAnsi"/>
          <w:color w:val="000000"/>
          <w:sz w:val="24"/>
          <w:szCs w:val="24"/>
        </w:rPr>
        <w:t>GŘC</w:t>
      </w:r>
      <w:r w:rsidR="00C90D00" w:rsidRPr="008B274E">
        <w:rPr>
          <w:rFonts w:asciiTheme="minorHAnsi" w:hAnsiTheme="minorHAnsi" w:cstheme="minorHAnsi"/>
          <w:color w:val="000000"/>
          <w:sz w:val="24"/>
          <w:szCs w:val="24"/>
        </w:rPr>
        <w:t xml:space="preserve"> </w:t>
      </w:r>
      <w:r w:rsidR="00864CCD">
        <w:rPr>
          <w:rFonts w:asciiTheme="minorHAnsi" w:hAnsiTheme="minorHAnsi" w:cstheme="minorHAnsi"/>
          <w:color w:val="000000"/>
          <w:sz w:val="24"/>
          <w:szCs w:val="24"/>
        </w:rPr>
        <w:t>bylo</w:t>
      </w:r>
      <w:r w:rsidR="00C90D00" w:rsidRPr="008B274E">
        <w:rPr>
          <w:rFonts w:asciiTheme="minorHAnsi" w:hAnsiTheme="minorHAnsi" w:cstheme="minorHAnsi"/>
          <w:color w:val="000000"/>
          <w:sz w:val="24"/>
          <w:szCs w:val="24"/>
        </w:rPr>
        <w:t xml:space="preserve"> zřízeno</w:t>
      </w:r>
      <w:r w:rsidR="00F32618" w:rsidRPr="008B274E">
        <w:rPr>
          <w:rFonts w:asciiTheme="minorHAnsi" w:hAnsiTheme="minorHAnsi" w:cstheme="minorHAnsi"/>
          <w:color w:val="000000"/>
          <w:sz w:val="24"/>
          <w:szCs w:val="24"/>
        </w:rPr>
        <w:t xml:space="preserve"> zákonem</w:t>
      </w:r>
      <w:r w:rsidR="00C90D00" w:rsidRPr="008B274E">
        <w:rPr>
          <w:rFonts w:asciiTheme="minorHAnsi" w:hAnsiTheme="minorHAnsi" w:cstheme="minorHAnsi"/>
          <w:color w:val="000000"/>
          <w:sz w:val="24"/>
          <w:szCs w:val="24"/>
        </w:rPr>
        <w:t xml:space="preserve"> č. 17/2012 Sb., o Celní správě České republiky</w:t>
      </w:r>
      <w:r w:rsidR="00C17B4D" w:rsidRPr="008B274E">
        <w:rPr>
          <w:rFonts w:asciiTheme="minorHAnsi" w:hAnsiTheme="minorHAnsi" w:cstheme="minorHAnsi"/>
          <w:color w:val="000000"/>
          <w:sz w:val="24"/>
          <w:szCs w:val="24"/>
        </w:rPr>
        <w:t xml:space="preserve">. </w:t>
      </w:r>
      <w:r w:rsidR="00C90D00" w:rsidRPr="008B274E">
        <w:rPr>
          <w:rFonts w:asciiTheme="minorHAnsi" w:hAnsiTheme="minorHAnsi" w:cstheme="minorHAnsi"/>
          <w:color w:val="000000"/>
          <w:sz w:val="24"/>
          <w:szCs w:val="24"/>
        </w:rPr>
        <w:t xml:space="preserve">GŘC </w:t>
      </w:r>
      <w:r w:rsidR="006C28A3">
        <w:rPr>
          <w:rFonts w:asciiTheme="minorHAnsi" w:hAnsiTheme="minorHAnsi" w:cstheme="minorHAnsi"/>
          <w:color w:val="000000"/>
          <w:sz w:val="24"/>
          <w:szCs w:val="24"/>
        </w:rPr>
        <w:t>v rámci soustavy orgánů CS ČR</w:t>
      </w:r>
      <w:r w:rsidR="00C90D00" w:rsidRPr="008B274E">
        <w:rPr>
          <w:rFonts w:asciiTheme="minorHAnsi" w:hAnsiTheme="minorHAnsi" w:cstheme="minorHAnsi"/>
          <w:color w:val="000000"/>
          <w:sz w:val="24"/>
          <w:szCs w:val="24"/>
        </w:rPr>
        <w:t xml:space="preserve"> vykonává působnost správního orgánu nejblíže nadřízeného celním úřadům, které vykonávají působnost v oblasti správy cel a správy některých daní, dle příslušných právních předpisů. Dle </w:t>
      </w:r>
      <w:r w:rsidR="007F615F" w:rsidRPr="00C0660B">
        <w:rPr>
          <w:rFonts w:asciiTheme="minorHAnsi" w:hAnsiTheme="minorHAnsi" w:cstheme="minorHAnsi"/>
          <w:color w:val="000000"/>
          <w:sz w:val="24"/>
          <w:szCs w:val="24"/>
        </w:rPr>
        <w:t>ZHH</w:t>
      </w:r>
      <w:r w:rsidR="00C90D00" w:rsidRPr="00C0660B">
        <w:rPr>
          <w:rFonts w:asciiTheme="minorHAnsi" w:hAnsiTheme="minorHAnsi" w:cstheme="minorHAnsi"/>
          <w:color w:val="000000"/>
          <w:sz w:val="24"/>
          <w:szCs w:val="24"/>
        </w:rPr>
        <w:t xml:space="preserve"> </w:t>
      </w:r>
      <w:r w:rsidR="001623FF">
        <w:rPr>
          <w:rFonts w:asciiTheme="minorHAnsi" w:hAnsiTheme="minorHAnsi" w:cstheme="minorHAnsi"/>
          <w:color w:val="000000"/>
          <w:sz w:val="24"/>
          <w:szCs w:val="24"/>
        </w:rPr>
        <w:t>orgány CS ČR</w:t>
      </w:r>
      <w:r w:rsidR="00C90D00" w:rsidRPr="00C0660B">
        <w:rPr>
          <w:rFonts w:asciiTheme="minorHAnsi" w:hAnsiTheme="minorHAnsi" w:cstheme="minorHAnsi"/>
          <w:color w:val="000000"/>
          <w:sz w:val="24"/>
          <w:szCs w:val="24"/>
        </w:rPr>
        <w:t xml:space="preserve"> mj.</w:t>
      </w:r>
      <w:r w:rsidR="00C90D00" w:rsidRPr="003D32D5">
        <w:rPr>
          <w:rFonts w:asciiTheme="minorHAnsi" w:hAnsiTheme="minorHAnsi" w:cstheme="minorHAnsi"/>
          <w:color w:val="000000"/>
          <w:sz w:val="24"/>
          <w:szCs w:val="24"/>
        </w:rPr>
        <w:t xml:space="preserve"> provád</w:t>
      </w:r>
      <w:r w:rsidR="00864CCD">
        <w:rPr>
          <w:rFonts w:asciiTheme="minorHAnsi" w:hAnsiTheme="minorHAnsi" w:cstheme="minorHAnsi"/>
          <w:color w:val="000000"/>
          <w:sz w:val="24"/>
          <w:szCs w:val="24"/>
        </w:rPr>
        <w:t>ěj</w:t>
      </w:r>
      <w:r w:rsidR="00C90D00" w:rsidRPr="003D32D5">
        <w:rPr>
          <w:rFonts w:asciiTheme="minorHAnsi" w:hAnsiTheme="minorHAnsi" w:cstheme="minorHAnsi"/>
          <w:color w:val="000000"/>
          <w:sz w:val="24"/>
          <w:szCs w:val="24"/>
        </w:rPr>
        <w:t xml:space="preserve">í dozor nad dodržováním </w:t>
      </w:r>
      <w:r w:rsidR="00F32618" w:rsidRPr="003D32D5">
        <w:rPr>
          <w:rFonts w:asciiTheme="minorHAnsi" w:hAnsiTheme="minorHAnsi" w:cstheme="minorHAnsi"/>
          <w:color w:val="000000"/>
          <w:sz w:val="24"/>
          <w:szCs w:val="24"/>
        </w:rPr>
        <w:t>ZHH</w:t>
      </w:r>
      <w:r w:rsidR="00C90D00" w:rsidRPr="003D32D5">
        <w:rPr>
          <w:rFonts w:asciiTheme="minorHAnsi" w:hAnsiTheme="minorHAnsi" w:cstheme="minorHAnsi"/>
          <w:color w:val="000000"/>
          <w:sz w:val="24"/>
          <w:szCs w:val="24"/>
        </w:rPr>
        <w:t xml:space="preserve"> a zpracovávají informace z</w:t>
      </w:r>
      <w:r w:rsidR="00400D3B">
        <w:rPr>
          <w:rFonts w:asciiTheme="minorHAnsi" w:hAnsiTheme="minorHAnsi" w:cstheme="minorHAnsi"/>
          <w:color w:val="000000"/>
          <w:sz w:val="24"/>
          <w:szCs w:val="24"/>
        </w:rPr>
        <w:t> </w:t>
      </w:r>
      <w:r w:rsidR="00C90D00" w:rsidRPr="003D32D5">
        <w:rPr>
          <w:rFonts w:asciiTheme="minorHAnsi" w:hAnsiTheme="minorHAnsi" w:cstheme="minorHAnsi"/>
          <w:color w:val="000000"/>
          <w:sz w:val="24"/>
          <w:szCs w:val="24"/>
        </w:rPr>
        <w:t>výkaznictví</w:t>
      </w:r>
      <w:r w:rsidR="009154E8">
        <w:rPr>
          <w:rFonts w:asciiTheme="minorHAnsi" w:hAnsiTheme="minorHAnsi" w:cstheme="minorHAnsi"/>
          <w:color w:val="000000"/>
          <w:sz w:val="24"/>
          <w:szCs w:val="24"/>
        </w:rPr>
        <w:t>. D</w:t>
      </w:r>
      <w:r w:rsidR="00C90D00" w:rsidRPr="003D32D5">
        <w:rPr>
          <w:rFonts w:asciiTheme="minorHAnsi" w:hAnsiTheme="minorHAnsi" w:cstheme="minorHAnsi"/>
          <w:color w:val="000000"/>
          <w:sz w:val="24"/>
          <w:szCs w:val="24"/>
        </w:rPr>
        <w:t>ále také vyhledávají nelegální provozovatele.</w:t>
      </w:r>
      <w:r w:rsidR="007967A3" w:rsidRPr="00A95F0E">
        <w:rPr>
          <w:rFonts w:asciiTheme="minorHAnsi" w:hAnsiTheme="minorHAnsi" w:cstheme="minorHAnsi"/>
          <w:color w:val="000000"/>
          <w:sz w:val="24"/>
          <w:szCs w:val="24"/>
        </w:rPr>
        <w:t xml:space="preserve"> </w:t>
      </w:r>
      <w:r w:rsidR="008B274E">
        <w:rPr>
          <w:rFonts w:asciiTheme="minorHAnsi" w:hAnsiTheme="minorHAnsi" w:cstheme="minorHAnsi"/>
          <w:color w:val="000000"/>
          <w:sz w:val="24"/>
          <w:szCs w:val="24"/>
        </w:rPr>
        <w:t>CS</w:t>
      </w:r>
      <w:r w:rsidR="00864CCD">
        <w:rPr>
          <w:rFonts w:asciiTheme="minorHAnsi" w:hAnsiTheme="minorHAnsi" w:cstheme="minorHAnsi"/>
          <w:color w:val="000000"/>
          <w:sz w:val="24"/>
          <w:szCs w:val="24"/>
        </w:rPr>
        <w:t> </w:t>
      </w:r>
      <w:r w:rsidR="008B274E">
        <w:rPr>
          <w:rFonts w:asciiTheme="minorHAnsi" w:hAnsiTheme="minorHAnsi" w:cstheme="minorHAnsi"/>
          <w:color w:val="000000"/>
          <w:sz w:val="24"/>
          <w:szCs w:val="24"/>
        </w:rPr>
        <w:t>ČR</w:t>
      </w:r>
      <w:r w:rsidR="007967A3" w:rsidRPr="008B274E">
        <w:rPr>
          <w:rFonts w:asciiTheme="minorHAnsi" w:hAnsiTheme="minorHAnsi" w:cstheme="minorHAnsi"/>
          <w:color w:val="000000"/>
          <w:sz w:val="24"/>
          <w:szCs w:val="24"/>
        </w:rPr>
        <w:t xml:space="preserve"> od začátku účinnosti zákona o hazardních hrách vykonává dozor nad provozováním hazardních her v land-based prostředí</w:t>
      </w:r>
      <w:r w:rsidR="00F90F20">
        <w:rPr>
          <w:rFonts w:asciiTheme="minorHAnsi" w:hAnsiTheme="minorHAnsi" w:cstheme="minorHAnsi"/>
          <w:color w:val="000000"/>
          <w:sz w:val="24"/>
          <w:szCs w:val="24"/>
        </w:rPr>
        <w:t>,</w:t>
      </w:r>
      <w:r w:rsidR="00F32618" w:rsidRPr="008B274E">
        <w:rPr>
          <w:rFonts w:asciiTheme="minorHAnsi" w:hAnsiTheme="minorHAnsi" w:cstheme="minorHAnsi"/>
          <w:color w:val="000000"/>
          <w:sz w:val="24"/>
          <w:szCs w:val="24"/>
        </w:rPr>
        <w:t xml:space="preserve"> </w:t>
      </w:r>
      <w:r w:rsidR="00F90F20">
        <w:rPr>
          <w:rFonts w:asciiTheme="minorHAnsi" w:hAnsiTheme="minorHAnsi" w:cstheme="minorHAnsi"/>
          <w:color w:val="000000"/>
          <w:sz w:val="24"/>
          <w:szCs w:val="24"/>
        </w:rPr>
        <w:t>o</w:t>
      </w:r>
      <w:r w:rsidR="00F90F20" w:rsidRPr="008B274E">
        <w:rPr>
          <w:rFonts w:asciiTheme="minorHAnsi" w:hAnsiTheme="minorHAnsi" w:cstheme="minorHAnsi"/>
          <w:color w:val="000000"/>
          <w:sz w:val="24"/>
          <w:szCs w:val="24"/>
        </w:rPr>
        <w:t xml:space="preserve">d </w:t>
      </w:r>
      <w:r w:rsidR="00F90F20">
        <w:rPr>
          <w:rFonts w:asciiTheme="minorHAnsi" w:hAnsiTheme="minorHAnsi" w:cstheme="minorHAnsi"/>
          <w:color w:val="000000"/>
          <w:sz w:val="24"/>
          <w:szCs w:val="24"/>
        </w:rPr>
        <w:t>října</w:t>
      </w:r>
      <w:r w:rsidR="00864CCD">
        <w:rPr>
          <w:rFonts w:asciiTheme="minorHAnsi" w:hAnsiTheme="minorHAnsi" w:cstheme="minorHAnsi"/>
          <w:color w:val="000000"/>
          <w:sz w:val="24"/>
          <w:szCs w:val="24"/>
        </w:rPr>
        <w:t xml:space="preserve"> </w:t>
      </w:r>
      <w:r w:rsidR="00C90D00" w:rsidRPr="008B274E">
        <w:rPr>
          <w:rFonts w:asciiTheme="minorHAnsi" w:hAnsiTheme="minorHAnsi" w:cstheme="minorHAnsi"/>
          <w:color w:val="000000"/>
          <w:sz w:val="24"/>
          <w:szCs w:val="24"/>
        </w:rPr>
        <w:t>2019 vykonává také dozor nad</w:t>
      </w:r>
      <w:r w:rsidR="00864CCD">
        <w:rPr>
          <w:rFonts w:asciiTheme="minorHAnsi" w:hAnsiTheme="minorHAnsi" w:cstheme="minorHAnsi"/>
          <w:color w:val="000000"/>
          <w:sz w:val="24"/>
          <w:szCs w:val="24"/>
        </w:rPr>
        <w:t xml:space="preserve"> </w:t>
      </w:r>
      <w:r w:rsidR="00F32618" w:rsidRPr="008B274E">
        <w:rPr>
          <w:rFonts w:asciiTheme="minorHAnsi" w:hAnsiTheme="minorHAnsi" w:cstheme="minorHAnsi"/>
          <w:color w:val="000000"/>
          <w:sz w:val="24"/>
          <w:szCs w:val="24"/>
        </w:rPr>
        <w:t>internetovými</w:t>
      </w:r>
      <w:r w:rsidR="00C90D00" w:rsidRPr="008B274E">
        <w:rPr>
          <w:rFonts w:asciiTheme="minorHAnsi" w:hAnsiTheme="minorHAnsi" w:cstheme="minorHAnsi"/>
          <w:color w:val="000000"/>
          <w:sz w:val="24"/>
          <w:szCs w:val="24"/>
        </w:rPr>
        <w:t xml:space="preserve"> hazardními hrami (</w:t>
      </w:r>
      <w:r w:rsidR="00864CCD">
        <w:rPr>
          <w:rFonts w:asciiTheme="minorHAnsi" w:hAnsiTheme="minorHAnsi" w:cstheme="minorHAnsi"/>
          <w:color w:val="000000"/>
          <w:sz w:val="24"/>
          <w:szCs w:val="24"/>
        </w:rPr>
        <w:t>předtím</w:t>
      </w:r>
      <w:r w:rsidR="00C90D00" w:rsidRPr="008B274E">
        <w:rPr>
          <w:rFonts w:asciiTheme="minorHAnsi" w:hAnsiTheme="minorHAnsi" w:cstheme="minorHAnsi"/>
          <w:color w:val="000000"/>
          <w:sz w:val="24"/>
          <w:szCs w:val="24"/>
        </w:rPr>
        <w:t xml:space="preserve"> mělo tuto pravomoc MF</w:t>
      </w:r>
      <w:r w:rsidR="00C90D00" w:rsidRPr="00F90F20">
        <w:rPr>
          <w:rFonts w:asciiTheme="minorHAnsi" w:hAnsiTheme="minorHAnsi" w:cstheme="minorHAnsi"/>
          <w:color w:val="000000"/>
          <w:sz w:val="24"/>
          <w:szCs w:val="24"/>
        </w:rPr>
        <w:t>)</w:t>
      </w:r>
      <w:r w:rsidR="00F90F20" w:rsidRPr="00F90F20">
        <w:rPr>
          <w:rFonts w:asciiTheme="minorHAnsi" w:hAnsiTheme="minorHAnsi" w:cstheme="minorHAnsi"/>
          <w:color w:val="000000"/>
          <w:sz w:val="24"/>
          <w:szCs w:val="24"/>
        </w:rPr>
        <w:t>.</w:t>
      </w:r>
      <w:r w:rsidR="00F90F20">
        <w:rPr>
          <w:rFonts w:asciiTheme="minorHAnsi" w:hAnsiTheme="minorHAnsi" w:cstheme="minorHAnsi"/>
          <w:color w:val="000000"/>
          <w:sz w:val="24"/>
          <w:szCs w:val="24"/>
        </w:rPr>
        <w:t xml:space="preserve"> Od ledna</w:t>
      </w:r>
      <w:r w:rsidR="00C90D00" w:rsidRPr="008B274E">
        <w:rPr>
          <w:rFonts w:asciiTheme="minorHAnsi" w:hAnsiTheme="minorHAnsi" w:cstheme="minorHAnsi"/>
          <w:color w:val="000000"/>
          <w:sz w:val="24"/>
          <w:szCs w:val="24"/>
        </w:rPr>
        <w:t xml:space="preserve"> 2021 projednává v této oblasti rovněž přestupky (do 31.</w:t>
      </w:r>
      <w:r w:rsidR="005430D2">
        <w:rPr>
          <w:rFonts w:asciiTheme="minorHAnsi" w:hAnsiTheme="minorHAnsi" w:cstheme="minorHAnsi"/>
          <w:color w:val="000000"/>
          <w:sz w:val="24"/>
          <w:szCs w:val="24"/>
        </w:rPr>
        <w:t> </w:t>
      </w:r>
      <w:r w:rsidR="00C90D00" w:rsidRPr="008B274E">
        <w:rPr>
          <w:rFonts w:asciiTheme="minorHAnsi" w:hAnsiTheme="minorHAnsi" w:cstheme="minorHAnsi"/>
          <w:color w:val="000000"/>
          <w:sz w:val="24"/>
          <w:szCs w:val="24"/>
        </w:rPr>
        <w:t>12.</w:t>
      </w:r>
      <w:r w:rsidR="005430D2">
        <w:rPr>
          <w:rFonts w:asciiTheme="minorHAnsi" w:hAnsiTheme="minorHAnsi" w:cstheme="minorHAnsi"/>
          <w:color w:val="000000"/>
          <w:sz w:val="24"/>
          <w:szCs w:val="24"/>
        </w:rPr>
        <w:t> </w:t>
      </w:r>
      <w:r w:rsidR="00C90D00" w:rsidRPr="008B274E">
        <w:rPr>
          <w:rFonts w:asciiTheme="minorHAnsi" w:hAnsiTheme="minorHAnsi" w:cstheme="minorHAnsi"/>
          <w:color w:val="000000"/>
          <w:sz w:val="24"/>
          <w:szCs w:val="24"/>
        </w:rPr>
        <w:t>2020 byly v gesci MF).</w:t>
      </w:r>
    </w:p>
    <w:p w14:paraId="27EA9282" w14:textId="77777777" w:rsidR="00F12430" w:rsidRPr="008142C5" w:rsidRDefault="00C90D00" w:rsidP="001B0897">
      <w:pPr>
        <w:pStyle w:val="Nadpis2"/>
        <w:spacing w:before="120"/>
        <w:rPr>
          <w:rFonts w:asciiTheme="minorHAnsi" w:hAnsiTheme="minorHAnsi"/>
        </w:rPr>
      </w:pPr>
      <w:r w:rsidRPr="008142C5">
        <w:rPr>
          <w:rFonts w:asciiTheme="minorHAnsi" w:hAnsiTheme="minorHAnsi"/>
        </w:rPr>
        <w:t>Státní pokladna Centrum sdílených služeb, s. p.</w:t>
      </w:r>
    </w:p>
    <w:p w14:paraId="6570301B" w14:textId="7FFCA185" w:rsidR="00C90D00" w:rsidRDefault="00F12430" w:rsidP="00776236">
      <w:pPr>
        <w:pStyle w:val="Odstavecseseznamem"/>
        <w:numPr>
          <w:ilvl w:val="1"/>
          <w:numId w:val="17"/>
        </w:numPr>
        <w:spacing w:after="240"/>
        <w:ind w:left="0" w:firstLine="0"/>
        <w:contextualSpacing w:val="0"/>
        <w:rPr>
          <w:rFonts w:asciiTheme="minorHAnsi" w:hAnsiTheme="minorHAnsi" w:cstheme="minorHAnsi"/>
          <w:sz w:val="24"/>
          <w:szCs w:val="24"/>
        </w:rPr>
      </w:pPr>
      <w:r w:rsidRPr="008142C5">
        <w:rPr>
          <w:rFonts w:asciiTheme="minorHAnsi" w:hAnsiTheme="minorHAnsi" w:cstheme="minorHAnsi"/>
          <w:color w:val="000000"/>
          <w:sz w:val="24"/>
          <w:szCs w:val="24"/>
        </w:rPr>
        <w:t>SPCSS</w:t>
      </w:r>
      <w:r w:rsidR="00C90D00" w:rsidRPr="008142C5">
        <w:rPr>
          <w:rFonts w:asciiTheme="minorHAnsi" w:hAnsiTheme="minorHAnsi" w:cstheme="minorHAnsi"/>
          <w:color w:val="000000"/>
          <w:sz w:val="24"/>
          <w:szCs w:val="24"/>
        </w:rPr>
        <w:t xml:space="preserve"> je státním podnikem založeným MF jako právnická osoba provozující podnikatelskou činnost s majetkem státu vlastním jménem a na vlastní odpovědnost</w:t>
      </w:r>
      <w:r w:rsidR="00C90D00" w:rsidRPr="008142C5">
        <w:rPr>
          <w:rFonts w:asciiTheme="minorHAnsi" w:hAnsiTheme="minorHAnsi" w:cstheme="minorHAnsi"/>
          <w:sz w:val="24"/>
          <w:szCs w:val="24"/>
        </w:rPr>
        <w:t>. V roce 2019</w:t>
      </w:r>
      <w:r w:rsidR="00864CCD">
        <w:rPr>
          <w:rFonts w:asciiTheme="minorHAnsi" w:hAnsiTheme="minorHAnsi" w:cstheme="minorHAnsi"/>
          <w:sz w:val="24"/>
          <w:szCs w:val="24"/>
        </w:rPr>
        <w:t xml:space="preserve"> podnik</w:t>
      </w:r>
      <w:r w:rsidR="00C90D00" w:rsidRPr="008142C5">
        <w:rPr>
          <w:rFonts w:asciiTheme="minorHAnsi" w:hAnsiTheme="minorHAnsi" w:cstheme="minorHAnsi"/>
          <w:sz w:val="24"/>
          <w:szCs w:val="24"/>
        </w:rPr>
        <w:t xml:space="preserve"> SPCSS zahájil služby poskytování sdílené infrastruktury pro MF pro potřeby jeho aplikací v rámci projektu informačního sy</w:t>
      </w:r>
      <w:r w:rsidR="00647AA9">
        <w:rPr>
          <w:rFonts w:asciiTheme="minorHAnsi" w:hAnsiTheme="minorHAnsi" w:cstheme="minorHAnsi"/>
          <w:sz w:val="24"/>
          <w:szCs w:val="24"/>
        </w:rPr>
        <w:t>s</w:t>
      </w:r>
      <w:r w:rsidR="00C90D00" w:rsidRPr="008142C5">
        <w:rPr>
          <w:rFonts w:asciiTheme="minorHAnsi" w:hAnsiTheme="minorHAnsi" w:cstheme="minorHAnsi"/>
          <w:sz w:val="24"/>
          <w:szCs w:val="24"/>
        </w:rPr>
        <w:t xml:space="preserve">tému pro </w:t>
      </w:r>
      <w:r w:rsidR="00E86576">
        <w:rPr>
          <w:rFonts w:asciiTheme="minorHAnsi" w:hAnsiTheme="minorHAnsi" w:cstheme="minorHAnsi"/>
          <w:sz w:val="24"/>
          <w:szCs w:val="24"/>
        </w:rPr>
        <w:t>dozor</w:t>
      </w:r>
      <w:r w:rsidR="00E86576" w:rsidRPr="008142C5">
        <w:rPr>
          <w:rFonts w:asciiTheme="minorHAnsi" w:hAnsiTheme="minorHAnsi" w:cstheme="minorHAnsi"/>
          <w:sz w:val="24"/>
          <w:szCs w:val="24"/>
        </w:rPr>
        <w:t xml:space="preserve"> </w:t>
      </w:r>
      <w:r w:rsidR="00C90D00" w:rsidRPr="008142C5">
        <w:rPr>
          <w:rFonts w:asciiTheme="minorHAnsi" w:hAnsiTheme="minorHAnsi" w:cstheme="minorHAnsi"/>
          <w:sz w:val="24"/>
          <w:szCs w:val="24"/>
        </w:rPr>
        <w:t>nad trhem s hazardními hrami.</w:t>
      </w:r>
    </w:p>
    <w:p w14:paraId="45A98D89" w14:textId="77777777" w:rsidR="00F12430" w:rsidRPr="008142C5" w:rsidRDefault="00C90D00" w:rsidP="001B0897">
      <w:pPr>
        <w:pStyle w:val="Nadpis2"/>
        <w:spacing w:before="120"/>
        <w:rPr>
          <w:rFonts w:asciiTheme="minorHAnsi" w:hAnsiTheme="minorHAnsi"/>
        </w:rPr>
      </w:pPr>
      <w:r w:rsidRPr="008142C5">
        <w:rPr>
          <w:rFonts w:asciiTheme="minorHAnsi" w:hAnsiTheme="minorHAnsi"/>
        </w:rPr>
        <w:t xml:space="preserve">Generální finanční ředitelství </w:t>
      </w:r>
    </w:p>
    <w:p w14:paraId="3D1CB856" w14:textId="47CF293A" w:rsidR="00C90D00" w:rsidRPr="008142C5" w:rsidRDefault="00F12430" w:rsidP="001E51C9">
      <w:pPr>
        <w:pStyle w:val="Odstavecseseznamem"/>
        <w:numPr>
          <w:ilvl w:val="1"/>
          <w:numId w:val="17"/>
        </w:numPr>
        <w:spacing w:after="360"/>
        <w:ind w:left="0" w:firstLine="0"/>
        <w:contextualSpacing w:val="0"/>
        <w:rPr>
          <w:rFonts w:asciiTheme="minorHAnsi" w:hAnsiTheme="minorHAnsi" w:cstheme="minorHAnsi"/>
          <w:sz w:val="24"/>
          <w:szCs w:val="24"/>
        </w:rPr>
      </w:pPr>
      <w:r w:rsidRPr="008142C5">
        <w:rPr>
          <w:rFonts w:asciiTheme="minorHAnsi" w:hAnsiTheme="minorHAnsi" w:cstheme="minorHAnsi"/>
          <w:sz w:val="24"/>
          <w:szCs w:val="24"/>
        </w:rPr>
        <w:t xml:space="preserve">GFŘ </w:t>
      </w:r>
      <w:r w:rsidR="00864CCD">
        <w:rPr>
          <w:rFonts w:asciiTheme="minorHAnsi" w:hAnsiTheme="minorHAnsi" w:cstheme="minorHAnsi"/>
          <w:sz w:val="24"/>
          <w:szCs w:val="24"/>
        </w:rPr>
        <w:t>bylo</w:t>
      </w:r>
      <w:r w:rsidR="00C90D00" w:rsidRPr="008142C5">
        <w:rPr>
          <w:rFonts w:asciiTheme="minorHAnsi" w:hAnsiTheme="minorHAnsi" w:cstheme="minorHAnsi"/>
          <w:sz w:val="24"/>
          <w:szCs w:val="24"/>
        </w:rPr>
        <w:t xml:space="preserve"> zřízeno zákonem č. 456/2011 Sb., o Finanční správě České republiky</w:t>
      </w:r>
      <w:r w:rsidR="00864CCD">
        <w:rPr>
          <w:rFonts w:asciiTheme="minorHAnsi" w:hAnsiTheme="minorHAnsi" w:cstheme="minorHAnsi"/>
          <w:sz w:val="24"/>
          <w:szCs w:val="24"/>
        </w:rPr>
        <w:t>,</w:t>
      </w:r>
      <w:r w:rsidR="00C90D00" w:rsidRPr="008142C5">
        <w:rPr>
          <w:rFonts w:asciiTheme="minorHAnsi" w:hAnsiTheme="minorHAnsi" w:cstheme="minorHAnsi"/>
          <w:sz w:val="24"/>
          <w:szCs w:val="24"/>
        </w:rPr>
        <w:t xml:space="preserve"> a je podřízeno </w:t>
      </w:r>
      <w:r w:rsidR="00864CCD">
        <w:rPr>
          <w:rFonts w:asciiTheme="minorHAnsi" w:hAnsiTheme="minorHAnsi" w:cstheme="minorHAnsi"/>
          <w:sz w:val="24"/>
          <w:szCs w:val="24"/>
        </w:rPr>
        <w:t>Ministerstvu financí</w:t>
      </w:r>
      <w:r w:rsidR="00C90D00" w:rsidRPr="008142C5">
        <w:rPr>
          <w:rFonts w:asciiTheme="minorHAnsi" w:hAnsiTheme="minorHAnsi" w:cstheme="minorHAnsi"/>
          <w:sz w:val="24"/>
          <w:szCs w:val="24"/>
        </w:rPr>
        <w:t xml:space="preserve">. </w:t>
      </w:r>
      <w:r w:rsidR="00D16D04" w:rsidRPr="008142C5">
        <w:rPr>
          <w:rFonts w:asciiTheme="minorHAnsi" w:hAnsiTheme="minorHAnsi" w:cstheme="minorHAnsi"/>
          <w:sz w:val="24"/>
          <w:szCs w:val="24"/>
        </w:rPr>
        <w:t>GFŘ je organizační složkou státu s celostátní působností pro výkon správy daní včetně daně z</w:t>
      </w:r>
      <w:r w:rsidR="002E43AE">
        <w:rPr>
          <w:rFonts w:asciiTheme="minorHAnsi" w:hAnsiTheme="minorHAnsi" w:cstheme="minorHAnsi"/>
          <w:sz w:val="24"/>
          <w:szCs w:val="24"/>
        </w:rPr>
        <w:t> hazardních her</w:t>
      </w:r>
      <w:r w:rsidR="00D16D04" w:rsidRPr="008142C5">
        <w:rPr>
          <w:rFonts w:asciiTheme="minorHAnsi" w:hAnsiTheme="minorHAnsi" w:cstheme="minorHAnsi"/>
          <w:sz w:val="24"/>
          <w:szCs w:val="24"/>
        </w:rPr>
        <w:t>. Podílí se na přípravě návrhů právních předpisů a zabezpečování analytických a koncepčních úkolů v této oblasti.</w:t>
      </w:r>
    </w:p>
    <w:p w14:paraId="078BDE40" w14:textId="716D82DD" w:rsidR="00C90D00" w:rsidRPr="00247CAB" w:rsidRDefault="00366984" w:rsidP="001E51C9">
      <w:pPr>
        <w:pStyle w:val="Nadpis1"/>
        <w:spacing w:before="480" w:line="240" w:lineRule="auto"/>
        <w:ind w:left="714" w:hanging="357"/>
        <w:rPr>
          <w:rFonts w:asciiTheme="minorHAnsi" w:hAnsiTheme="minorHAnsi"/>
          <w:sz w:val="28"/>
          <w:szCs w:val="28"/>
        </w:rPr>
      </w:pPr>
      <w:r w:rsidRPr="00247CAB">
        <w:rPr>
          <w:rFonts w:asciiTheme="minorHAnsi" w:hAnsiTheme="minorHAnsi"/>
          <w:sz w:val="28"/>
          <w:szCs w:val="28"/>
        </w:rPr>
        <w:lastRenderedPageBreak/>
        <w:t>Rozsah kontroly</w:t>
      </w:r>
    </w:p>
    <w:p w14:paraId="6B4AFDB9" w14:textId="2A55A47B" w:rsidR="006446B7" w:rsidRPr="008142C5" w:rsidRDefault="00C90D00" w:rsidP="00775484">
      <w:pPr>
        <w:pStyle w:val="Odstavecseseznamem"/>
        <w:numPr>
          <w:ilvl w:val="1"/>
          <w:numId w:val="17"/>
        </w:numPr>
        <w:spacing w:after="120"/>
        <w:ind w:left="0" w:firstLine="0"/>
        <w:contextualSpacing w:val="0"/>
        <w:rPr>
          <w:rFonts w:asciiTheme="minorHAnsi" w:hAnsiTheme="minorHAnsi" w:cstheme="minorHAnsi"/>
          <w:sz w:val="24"/>
          <w:szCs w:val="24"/>
        </w:rPr>
      </w:pPr>
      <w:r w:rsidRPr="008142C5">
        <w:rPr>
          <w:rFonts w:asciiTheme="minorHAnsi" w:hAnsiTheme="minorHAnsi" w:cstheme="minorHAnsi"/>
          <w:sz w:val="24"/>
          <w:szCs w:val="24"/>
        </w:rPr>
        <w:t>NKÚ v</w:t>
      </w:r>
      <w:r w:rsidR="008C7CA7">
        <w:rPr>
          <w:rFonts w:asciiTheme="minorHAnsi" w:hAnsiTheme="minorHAnsi" w:cstheme="minorHAnsi"/>
          <w:sz w:val="24"/>
          <w:szCs w:val="24"/>
        </w:rPr>
        <w:t xml:space="preserve"> </w:t>
      </w:r>
      <w:r w:rsidRPr="008142C5">
        <w:rPr>
          <w:rFonts w:asciiTheme="minorHAnsi" w:hAnsiTheme="minorHAnsi" w:cstheme="minorHAnsi"/>
          <w:sz w:val="24"/>
          <w:szCs w:val="24"/>
        </w:rPr>
        <w:t xml:space="preserve">kontrole prověřil hospodárnost, efektivnost a účelnost </w:t>
      </w:r>
      <w:r w:rsidR="00750974" w:rsidRPr="008142C5">
        <w:rPr>
          <w:rFonts w:asciiTheme="minorHAnsi" w:hAnsiTheme="minorHAnsi" w:cstheme="minorHAnsi"/>
          <w:sz w:val="24"/>
          <w:szCs w:val="24"/>
        </w:rPr>
        <w:t xml:space="preserve">vynakládaných </w:t>
      </w:r>
      <w:r w:rsidRPr="008142C5">
        <w:rPr>
          <w:rFonts w:asciiTheme="minorHAnsi" w:hAnsiTheme="minorHAnsi" w:cstheme="minorHAnsi"/>
          <w:sz w:val="24"/>
          <w:szCs w:val="24"/>
        </w:rPr>
        <w:t>peněžních prostředků státu související</w:t>
      </w:r>
      <w:r w:rsidR="00750974" w:rsidRPr="008142C5">
        <w:rPr>
          <w:rFonts w:asciiTheme="minorHAnsi" w:hAnsiTheme="minorHAnsi" w:cstheme="minorHAnsi"/>
          <w:sz w:val="24"/>
          <w:szCs w:val="24"/>
        </w:rPr>
        <w:t>ch</w:t>
      </w:r>
      <w:r w:rsidRPr="008142C5">
        <w:rPr>
          <w:rFonts w:asciiTheme="minorHAnsi" w:hAnsiTheme="minorHAnsi" w:cstheme="minorHAnsi"/>
          <w:sz w:val="24"/>
          <w:szCs w:val="24"/>
        </w:rPr>
        <w:t xml:space="preserve"> s</w:t>
      </w:r>
      <w:r w:rsidR="008C7CA7">
        <w:rPr>
          <w:rFonts w:asciiTheme="minorHAnsi" w:hAnsiTheme="minorHAnsi" w:cstheme="minorHAnsi"/>
          <w:sz w:val="24"/>
          <w:szCs w:val="24"/>
        </w:rPr>
        <w:t xml:space="preserve"> </w:t>
      </w:r>
      <w:r w:rsidRPr="008142C5">
        <w:rPr>
          <w:rFonts w:asciiTheme="minorHAnsi" w:hAnsiTheme="minorHAnsi" w:cstheme="minorHAnsi"/>
          <w:sz w:val="24"/>
          <w:szCs w:val="24"/>
        </w:rPr>
        <w:t>působností orgánů státní správy v</w:t>
      </w:r>
      <w:r w:rsidR="008C7CA7">
        <w:rPr>
          <w:rFonts w:asciiTheme="minorHAnsi" w:hAnsiTheme="minorHAnsi" w:cstheme="minorHAnsi"/>
          <w:sz w:val="24"/>
          <w:szCs w:val="24"/>
        </w:rPr>
        <w:t xml:space="preserve"> </w:t>
      </w:r>
      <w:r w:rsidRPr="008142C5">
        <w:rPr>
          <w:rFonts w:asciiTheme="minorHAnsi" w:hAnsiTheme="minorHAnsi" w:cstheme="minorHAnsi"/>
          <w:sz w:val="24"/>
          <w:szCs w:val="24"/>
        </w:rPr>
        <w:t xml:space="preserve">oblasti hazardních her a efektivnost </w:t>
      </w:r>
      <w:r w:rsidR="00750974" w:rsidRPr="008142C5">
        <w:rPr>
          <w:rFonts w:asciiTheme="minorHAnsi" w:hAnsiTheme="minorHAnsi" w:cstheme="minorHAnsi"/>
          <w:sz w:val="24"/>
          <w:szCs w:val="24"/>
        </w:rPr>
        <w:t xml:space="preserve">plnění </w:t>
      </w:r>
      <w:r w:rsidRPr="008142C5">
        <w:rPr>
          <w:rFonts w:asciiTheme="minorHAnsi" w:hAnsiTheme="minorHAnsi" w:cstheme="minorHAnsi"/>
          <w:sz w:val="24"/>
          <w:szCs w:val="24"/>
        </w:rPr>
        <w:t>cílů v oblasti správy daně z hazardních her. Kontrolováno bylo období od roku 2014 do roku 202</w:t>
      </w:r>
      <w:r w:rsidR="00EA4965" w:rsidRPr="008142C5">
        <w:rPr>
          <w:rFonts w:asciiTheme="minorHAnsi" w:hAnsiTheme="minorHAnsi" w:cstheme="minorHAnsi"/>
          <w:sz w:val="24"/>
          <w:szCs w:val="24"/>
        </w:rPr>
        <w:t>2</w:t>
      </w:r>
      <w:r w:rsidRPr="008142C5">
        <w:rPr>
          <w:rFonts w:asciiTheme="minorHAnsi" w:hAnsiTheme="minorHAnsi" w:cstheme="minorHAnsi"/>
          <w:sz w:val="24"/>
          <w:szCs w:val="24"/>
        </w:rPr>
        <w:t>, v případě věcných souvislostí i období předcházející.</w:t>
      </w:r>
      <w:r w:rsidR="006446B7" w:rsidRPr="006446B7">
        <w:rPr>
          <w:rFonts w:asciiTheme="minorHAnsi" w:hAnsiTheme="minorHAnsi" w:cstheme="minorHAnsi"/>
          <w:sz w:val="24"/>
          <w:szCs w:val="24"/>
        </w:rPr>
        <w:t xml:space="preserve"> </w:t>
      </w:r>
    </w:p>
    <w:p w14:paraId="4C63FCC8" w14:textId="078EAD2C" w:rsidR="00195B93" w:rsidRPr="003803F1" w:rsidRDefault="00195B93" w:rsidP="00775484">
      <w:pPr>
        <w:pStyle w:val="Odstavecseseznamem"/>
        <w:numPr>
          <w:ilvl w:val="1"/>
          <w:numId w:val="17"/>
        </w:numPr>
        <w:spacing w:after="120"/>
        <w:ind w:left="0" w:firstLine="0"/>
        <w:contextualSpacing w:val="0"/>
        <w:rPr>
          <w:rFonts w:asciiTheme="minorHAnsi" w:hAnsiTheme="minorHAnsi" w:cstheme="minorHAnsi"/>
          <w:sz w:val="24"/>
          <w:szCs w:val="24"/>
        </w:rPr>
      </w:pPr>
      <w:r w:rsidRPr="008142C5">
        <w:rPr>
          <w:rFonts w:asciiTheme="minorHAnsi" w:hAnsiTheme="minorHAnsi" w:cstheme="minorHAnsi"/>
          <w:sz w:val="24"/>
          <w:szCs w:val="24"/>
        </w:rPr>
        <w:t>Hospodárností se rozumí takové použití veřejných prostředků, které zajistí plnění stanovených úkolů s co nejnižším vynaložením těchto prostředků</w:t>
      </w:r>
      <w:r w:rsidR="00A60FC4">
        <w:rPr>
          <w:rFonts w:asciiTheme="minorHAnsi" w:hAnsiTheme="minorHAnsi" w:cstheme="minorHAnsi"/>
          <w:sz w:val="24"/>
          <w:szCs w:val="24"/>
        </w:rPr>
        <w:t>, a to</w:t>
      </w:r>
      <w:r w:rsidRPr="008142C5">
        <w:rPr>
          <w:rFonts w:asciiTheme="minorHAnsi" w:hAnsiTheme="minorHAnsi" w:cstheme="minorHAnsi"/>
          <w:sz w:val="24"/>
          <w:szCs w:val="24"/>
        </w:rPr>
        <w:t xml:space="preserve"> při </w:t>
      </w:r>
      <w:r w:rsidR="00A60FC4">
        <w:rPr>
          <w:rFonts w:asciiTheme="minorHAnsi" w:hAnsiTheme="minorHAnsi" w:cstheme="minorHAnsi"/>
          <w:sz w:val="24"/>
          <w:szCs w:val="24"/>
        </w:rPr>
        <w:t>dodržení</w:t>
      </w:r>
      <w:r w:rsidRPr="008142C5">
        <w:rPr>
          <w:rFonts w:asciiTheme="minorHAnsi" w:hAnsiTheme="minorHAnsi" w:cstheme="minorHAnsi"/>
          <w:sz w:val="24"/>
          <w:szCs w:val="24"/>
        </w:rPr>
        <w:t xml:space="preserve"> odpovídající kvality plněn</w:t>
      </w:r>
      <w:r w:rsidR="00A60FC4">
        <w:rPr>
          <w:rFonts w:asciiTheme="minorHAnsi" w:hAnsiTheme="minorHAnsi" w:cstheme="minorHAnsi"/>
          <w:sz w:val="24"/>
          <w:szCs w:val="24"/>
        </w:rPr>
        <w:t>ých</w:t>
      </w:r>
      <w:r w:rsidRPr="008142C5">
        <w:rPr>
          <w:rFonts w:asciiTheme="minorHAnsi" w:hAnsiTheme="minorHAnsi" w:cstheme="minorHAnsi"/>
          <w:sz w:val="24"/>
          <w:szCs w:val="24"/>
        </w:rPr>
        <w:t xml:space="preserve"> úkolů</w:t>
      </w:r>
      <w:r w:rsidRPr="005430D2">
        <w:rPr>
          <w:sz w:val="24"/>
          <w:vertAlign w:val="superscript"/>
        </w:rPr>
        <w:footnoteReference w:id="16"/>
      </w:r>
      <w:r w:rsidRPr="008142C5">
        <w:rPr>
          <w:rFonts w:asciiTheme="minorHAnsi" w:hAnsiTheme="minorHAnsi" w:cstheme="minorHAnsi"/>
          <w:sz w:val="24"/>
          <w:szCs w:val="24"/>
        </w:rPr>
        <w:t>.</w:t>
      </w:r>
      <w:r w:rsidR="00533C79">
        <w:rPr>
          <w:rFonts w:asciiTheme="minorHAnsi" w:hAnsiTheme="minorHAnsi" w:cstheme="minorHAnsi"/>
          <w:sz w:val="24"/>
          <w:szCs w:val="24"/>
        </w:rPr>
        <w:t xml:space="preserve"> </w:t>
      </w:r>
      <w:r w:rsidR="00533C79" w:rsidRPr="003803F1">
        <w:rPr>
          <w:rFonts w:asciiTheme="minorHAnsi" w:hAnsiTheme="minorHAnsi" w:cstheme="minorHAnsi"/>
          <w:sz w:val="24"/>
          <w:szCs w:val="24"/>
        </w:rPr>
        <w:t xml:space="preserve">Hospodárnost </w:t>
      </w:r>
      <w:r w:rsidR="00775484">
        <w:rPr>
          <w:rFonts w:asciiTheme="minorHAnsi" w:hAnsiTheme="minorHAnsi" w:cstheme="minorHAnsi"/>
          <w:sz w:val="24"/>
          <w:szCs w:val="24"/>
        </w:rPr>
        <w:t>byla posuzována také ve vztahu k </w:t>
      </w:r>
      <w:r w:rsidR="00845773">
        <w:rPr>
          <w:rFonts w:asciiTheme="minorHAnsi" w:hAnsiTheme="minorHAnsi" w:cstheme="minorHAnsi"/>
          <w:sz w:val="24"/>
          <w:szCs w:val="24"/>
        </w:rPr>
        <w:t>majetku využívané</w:t>
      </w:r>
      <w:r w:rsidR="00864CCD">
        <w:rPr>
          <w:rFonts w:asciiTheme="minorHAnsi" w:hAnsiTheme="minorHAnsi" w:cstheme="minorHAnsi"/>
          <w:sz w:val="24"/>
          <w:szCs w:val="24"/>
        </w:rPr>
        <w:t>mu</w:t>
      </w:r>
      <w:r w:rsidR="00845773">
        <w:rPr>
          <w:rFonts w:asciiTheme="minorHAnsi" w:hAnsiTheme="minorHAnsi" w:cstheme="minorHAnsi"/>
          <w:sz w:val="24"/>
          <w:szCs w:val="24"/>
        </w:rPr>
        <w:t xml:space="preserve"> k </w:t>
      </w:r>
      <w:r w:rsidR="00775484">
        <w:rPr>
          <w:rFonts w:asciiTheme="minorHAnsi" w:hAnsiTheme="minorHAnsi" w:cstheme="minorHAnsi"/>
          <w:sz w:val="24"/>
          <w:szCs w:val="24"/>
        </w:rPr>
        <w:t>plnění funkcí státu a k</w:t>
      </w:r>
      <w:r w:rsidR="00BA3DE4">
        <w:rPr>
          <w:rFonts w:asciiTheme="minorHAnsi" w:hAnsiTheme="minorHAnsi" w:cstheme="minorHAnsi"/>
          <w:sz w:val="24"/>
          <w:szCs w:val="24"/>
        </w:rPr>
        <w:t> výkonu stanovených činností</w:t>
      </w:r>
      <w:r w:rsidR="00775484">
        <w:rPr>
          <w:rStyle w:val="Znakapoznpodarou"/>
          <w:rFonts w:asciiTheme="minorHAnsi" w:hAnsiTheme="minorHAnsi" w:cstheme="minorHAnsi"/>
          <w:sz w:val="24"/>
          <w:szCs w:val="24"/>
        </w:rPr>
        <w:footnoteReference w:id="17"/>
      </w:r>
      <w:r w:rsidR="004275F7">
        <w:rPr>
          <w:rFonts w:asciiTheme="minorHAnsi" w:hAnsiTheme="minorHAnsi" w:cstheme="minorHAnsi"/>
          <w:sz w:val="24"/>
          <w:szCs w:val="24"/>
        </w:rPr>
        <w:t>.</w:t>
      </w:r>
    </w:p>
    <w:p w14:paraId="4C6EF848" w14:textId="6D82B238" w:rsidR="00CB012F" w:rsidRPr="008142C5" w:rsidRDefault="00CB012F" w:rsidP="00A36482">
      <w:pPr>
        <w:pStyle w:val="Odstavecseseznamem"/>
        <w:numPr>
          <w:ilvl w:val="1"/>
          <w:numId w:val="17"/>
        </w:numPr>
        <w:spacing w:after="120"/>
        <w:ind w:left="0" w:firstLine="0"/>
        <w:contextualSpacing w:val="0"/>
        <w:rPr>
          <w:rFonts w:asciiTheme="minorHAnsi" w:hAnsiTheme="minorHAnsi" w:cstheme="minorHAnsi"/>
          <w:sz w:val="24"/>
          <w:szCs w:val="24"/>
        </w:rPr>
      </w:pPr>
      <w:r w:rsidRPr="008142C5">
        <w:rPr>
          <w:rFonts w:asciiTheme="minorHAnsi" w:hAnsiTheme="minorHAnsi" w:cstheme="minorHAnsi"/>
          <w:sz w:val="24"/>
          <w:szCs w:val="24"/>
        </w:rPr>
        <w:t>Za efektivní se považuje takové použití veřejných prostředků, kterým se dosáhne nejvýše možného rozsahu, kvality a přínosu plněných úkolů ve srovnání s objemem prostředků vynaložených na jejich plnění</w:t>
      </w:r>
      <w:r w:rsidRPr="008142C5">
        <w:rPr>
          <w:rStyle w:val="Znakapoznpodarou"/>
          <w:rFonts w:asciiTheme="minorHAnsi" w:hAnsiTheme="minorHAnsi" w:cstheme="minorHAnsi"/>
          <w:sz w:val="24"/>
          <w:szCs w:val="24"/>
        </w:rPr>
        <w:footnoteReference w:id="18"/>
      </w:r>
      <w:r w:rsidRPr="008142C5">
        <w:rPr>
          <w:rFonts w:asciiTheme="minorHAnsi" w:hAnsiTheme="minorHAnsi" w:cstheme="minorHAnsi"/>
          <w:sz w:val="24"/>
          <w:szCs w:val="24"/>
        </w:rPr>
        <w:t>. Efektivnost tedy vyjadřuje vztah mezi vloženými zdroji</w:t>
      </w:r>
      <w:r w:rsidR="008C7CA7">
        <w:rPr>
          <w:rFonts w:asciiTheme="minorHAnsi" w:hAnsiTheme="minorHAnsi" w:cstheme="minorHAnsi"/>
          <w:sz w:val="24"/>
          <w:szCs w:val="24"/>
        </w:rPr>
        <w:t xml:space="preserve"> </w:t>
      </w:r>
      <w:r w:rsidR="00767620">
        <w:rPr>
          <w:rFonts w:asciiTheme="minorHAnsi" w:hAnsiTheme="minorHAnsi" w:cstheme="minorHAnsi"/>
          <w:sz w:val="24"/>
          <w:szCs w:val="24"/>
        </w:rPr>
        <w:br/>
      </w:r>
      <w:r w:rsidRPr="008142C5">
        <w:rPr>
          <w:rFonts w:asciiTheme="minorHAnsi" w:hAnsiTheme="minorHAnsi" w:cstheme="minorHAnsi"/>
          <w:sz w:val="24"/>
          <w:szCs w:val="24"/>
        </w:rPr>
        <w:t xml:space="preserve">a získanými výstupy z hlediska kvantity, kvality a času. </w:t>
      </w:r>
      <w:bookmarkStart w:id="11" w:name="_Hlk135561457"/>
      <w:r w:rsidRPr="00F3491E">
        <w:rPr>
          <w:rFonts w:asciiTheme="minorHAnsi" w:hAnsiTheme="minorHAnsi" w:cstheme="minorHAnsi"/>
          <w:sz w:val="24"/>
          <w:szCs w:val="24"/>
        </w:rPr>
        <w:t>Efektivní správou daně z hazardních her se pro účely kontroly správy této daně rozumí takov</w:t>
      </w:r>
      <w:r w:rsidR="00740648">
        <w:rPr>
          <w:rFonts w:asciiTheme="minorHAnsi" w:hAnsiTheme="minorHAnsi" w:cstheme="minorHAnsi"/>
          <w:sz w:val="24"/>
          <w:szCs w:val="24"/>
        </w:rPr>
        <w:t>á kvalita výkonu činností správce</w:t>
      </w:r>
      <w:r w:rsidRPr="00F3491E">
        <w:rPr>
          <w:rFonts w:asciiTheme="minorHAnsi" w:hAnsiTheme="minorHAnsi" w:cstheme="minorHAnsi"/>
          <w:sz w:val="24"/>
          <w:szCs w:val="24"/>
        </w:rPr>
        <w:t>, kter</w:t>
      </w:r>
      <w:r w:rsidR="00033738">
        <w:rPr>
          <w:rFonts w:asciiTheme="minorHAnsi" w:hAnsiTheme="minorHAnsi" w:cstheme="minorHAnsi"/>
          <w:sz w:val="24"/>
          <w:szCs w:val="24"/>
        </w:rPr>
        <w:t>ou</w:t>
      </w:r>
      <w:r w:rsidRPr="00F3491E">
        <w:rPr>
          <w:rFonts w:asciiTheme="minorHAnsi" w:hAnsiTheme="minorHAnsi" w:cstheme="minorHAnsi"/>
          <w:sz w:val="24"/>
          <w:szCs w:val="24"/>
        </w:rPr>
        <w:t xml:space="preserve"> se dosáhne nejvýše možného rozsahu</w:t>
      </w:r>
      <w:r w:rsidRPr="00F3491E" w:rsidDel="009A72E5">
        <w:rPr>
          <w:rFonts w:asciiTheme="minorHAnsi" w:hAnsiTheme="minorHAnsi" w:cstheme="minorHAnsi"/>
          <w:sz w:val="24"/>
          <w:szCs w:val="24"/>
        </w:rPr>
        <w:t xml:space="preserve"> </w:t>
      </w:r>
      <w:r w:rsidRPr="00F3491E">
        <w:rPr>
          <w:rFonts w:asciiTheme="minorHAnsi" w:hAnsiTheme="minorHAnsi" w:cstheme="minorHAnsi"/>
          <w:sz w:val="24"/>
          <w:szCs w:val="24"/>
        </w:rPr>
        <w:t>plněných úkolů při správě daně, tj. správné zjištění</w:t>
      </w:r>
      <w:r w:rsidR="008C7CA7">
        <w:rPr>
          <w:rFonts w:asciiTheme="minorHAnsi" w:hAnsiTheme="minorHAnsi" w:cstheme="minorHAnsi"/>
          <w:sz w:val="24"/>
          <w:szCs w:val="24"/>
        </w:rPr>
        <w:t xml:space="preserve"> </w:t>
      </w:r>
      <w:r w:rsidR="00767620">
        <w:rPr>
          <w:rFonts w:asciiTheme="minorHAnsi" w:hAnsiTheme="minorHAnsi" w:cstheme="minorHAnsi"/>
          <w:sz w:val="24"/>
          <w:szCs w:val="24"/>
        </w:rPr>
        <w:br/>
      </w:r>
      <w:r w:rsidR="004762F5">
        <w:rPr>
          <w:rFonts w:asciiTheme="minorHAnsi" w:hAnsiTheme="minorHAnsi" w:cstheme="minorHAnsi"/>
          <w:sz w:val="24"/>
          <w:szCs w:val="24"/>
        </w:rPr>
        <w:t>a</w:t>
      </w:r>
      <w:r w:rsidRPr="00F3491E">
        <w:rPr>
          <w:rFonts w:asciiTheme="minorHAnsi" w:hAnsiTheme="minorHAnsi" w:cstheme="minorHAnsi"/>
          <w:sz w:val="24"/>
          <w:szCs w:val="24"/>
        </w:rPr>
        <w:t xml:space="preserve"> stanovení daní a zabezpečení jejich úhrady</w:t>
      </w:r>
      <w:bookmarkEnd w:id="11"/>
      <w:r>
        <w:rPr>
          <w:rStyle w:val="Znakapoznpodarou"/>
          <w:rFonts w:asciiTheme="minorHAnsi" w:hAnsiTheme="minorHAnsi" w:cstheme="minorHAnsi"/>
          <w:sz w:val="24"/>
          <w:szCs w:val="24"/>
        </w:rPr>
        <w:footnoteReference w:id="19"/>
      </w:r>
      <w:r w:rsidRPr="00F3491E">
        <w:rPr>
          <w:rFonts w:asciiTheme="minorHAnsi" w:hAnsiTheme="minorHAnsi" w:cstheme="minorHAnsi"/>
          <w:sz w:val="24"/>
          <w:szCs w:val="24"/>
        </w:rPr>
        <w:t xml:space="preserve">. </w:t>
      </w:r>
    </w:p>
    <w:p w14:paraId="34184409" w14:textId="49FC09FA" w:rsidR="00CB012F" w:rsidRDefault="00CB012F" w:rsidP="00A36482">
      <w:pPr>
        <w:pStyle w:val="Odstavecseseznamem"/>
        <w:numPr>
          <w:ilvl w:val="1"/>
          <w:numId w:val="17"/>
        </w:numPr>
        <w:spacing w:after="120"/>
        <w:ind w:left="0" w:firstLine="0"/>
        <w:contextualSpacing w:val="0"/>
        <w:rPr>
          <w:rFonts w:asciiTheme="minorHAnsi" w:hAnsiTheme="minorHAnsi" w:cstheme="minorHAnsi"/>
          <w:sz w:val="24"/>
          <w:szCs w:val="24"/>
        </w:rPr>
      </w:pPr>
      <w:r w:rsidRPr="008142C5">
        <w:rPr>
          <w:rFonts w:asciiTheme="minorHAnsi" w:hAnsiTheme="minorHAnsi" w:cstheme="minorHAnsi"/>
          <w:sz w:val="24"/>
          <w:szCs w:val="24"/>
        </w:rPr>
        <w:t>Za účelné se považuje takové použití veřejných prostředků, které zajistí optimální míru dosažení cílů při plnění stanovených úkolů</w:t>
      </w:r>
      <w:r w:rsidRPr="008142C5">
        <w:rPr>
          <w:rStyle w:val="Znakapoznpodarou"/>
          <w:rFonts w:asciiTheme="minorHAnsi" w:hAnsiTheme="minorHAnsi" w:cstheme="minorHAnsi"/>
          <w:sz w:val="24"/>
          <w:szCs w:val="24"/>
        </w:rPr>
        <w:footnoteReference w:id="20"/>
      </w:r>
      <w:r w:rsidRPr="008142C5">
        <w:rPr>
          <w:rFonts w:asciiTheme="minorHAnsi" w:hAnsiTheme="minorHAnsi" w:cstheme="minorHAnsi"/>
          <w:sz w:val="24"/>
          <w:szCs w:val="24"/>
        </w:rPr>
        <w:t>. Účelnost tedy vyjadřuje vztah mezi dosaženým</w:t>
      </w:r>
      <w:r w:rsidR="008C7CA7">
        <w:rPr>
          <w:rFonts w:asciiTheme="minorHAnsi" w:hAnsiTheme="minorHAnsi" w:cstheme="minorHAnsi"/>
          <w:sz w:val="24"/>
          <w:szCs w:val="24"/>
        </w:rPr>
        <w:t xml:space="preserve"> </w:t>
      </w:r>
      <w:r w:rsidR="00767620">
        <w:rPr>
          <w:rFonts w:asciiTheme="minorHAnsi" w:hAnsiTheme="minorHAnsi" w:cstheme="minorHAnsi"/>
          <w:sz w:val="24"/>
          <w:szCs w:val="24"/>
        </w:rPr>
        <w:br/>
      </w:r>
      <w:r w:rsidRPr="008142C5">
        <w:rPr>
          <w:rFonts w:asciiTheme="minorHAnsi" w:hAnsiTheme="minorHAnsi" w:cstheme="minorHAnsi"/>
          <w:sz w:val="24"/>
          <w:szCs w:val="24"/>
        </w:rPr>
        <w:t>a plánovaným výsledkem. Pro účely kontroly NKÚ byl</w:t>
      </w:r>
      <w:r w:rsidR="00612524">
        <w:rPr>
          <w:rFonts w:asciiTheme="minorHAnsi" w:hAnsiTheme="minorHAnsi" w:cstheme="minorHAnsi"/>
          <w:sz w:val="24"/>
          <w:szCs w:val="24"/>
        </w:rPr>
        <w:t>y</w:t>
      </w:r>
      <w:r w:rsidRPr="008142C5">
        <w:rPr>
          <w:rFonts w:asciiTheme="minorHAnsi" w:hAnsiTheme="minorHAnsi" w:cstheme="minorHAnsi"/>
          <w:sz w:val="24"/>
          <w:szCs w:val="24"/>
        </w:rPr>
        <w:t xml:space="preserve"> účeln</w:t>
      </w:r>
      <w:r w:rsidR="00612524">
        <w:rPr>
          <w:rFonts w:asciiTheme="minorHAnsi" w:hAnsiTheme="minorHAnsi" w:cstheme="minorHAnsi"/>
          <w:sz w:val="24"/>
          <w:szCs w:val="24"/>
        </w:rPr>
        <w:t>ě</w:t>
      </w:r>
      <w:r w:rsidRPr="008142C5">
        <w:rPr>
          <w:rFonts w:asciiTheme="minorHAnsi" w:hAnsiTheme="minorHAnsi" w:cstheme="minorHAnsi"/>
          <w:sz w:val="24"/>
          <w:szCs w:val="24"/>
        </w:rPr>
        <w:t xml:space="preserve"> vynaložen</w:t>
      </w:r>
      <w:r w:rsidR="00612524">
        <w:rPr>
          <w:rFonts w:asciiTheme="minorHAnsi" w:hAnsiTheme="minorHAnsi" w:cstheme="minorHAnsi"/>
          <w:sz w:val="24"/>
          <w:szCs w:val="24"/>
        </w:rPr>
        <w:t>é</w:t>
      </w:r>
      <w:r w:rsidRPr="008142C5">
        <w:rPr>
          <w:rFonts w:asciiTheme="minorHAnsi" w:hAnsiTheme="minorHAnsi" w:cstheme="minorHAnsi"/>
          <w:sz w:val="24"/>
          <w:szCs w:val="24"/>
        </w:rPr>
        <w:t xml:space="preserve"> peněžní prostředk</w:t>
      </w:r>
      <w:r w:rsidR="00612524">
        <w:rPr>
          <w:rFonts w:asciiTheme="minorHAnsi" w:hAnsiTheme="minorHAnsi" w:cstheme="minorHAnsi"/>
          <w:sz w:val="24"/>
          <w:szCs w:val="24"/>
        </w:rPr>
        <w:t>y takové</w:t>
      </w:r>
      <w:r w:rsidRPr="008142C5">
        <w:rPr>
          <w:rFonts w:asciiTheme="minorHAnsi" w:hAnsiTheme="minorHAnsi" w:cstheme="minorHAnsi"/>
          <w:sz w:val="24"/>
          <w:szCs w:val="24"/>
        </w:rPr>
        <w:t>, které byly vynaloženy v souladu s cíli v oblasti hazardního hraní</w:t>
      </w:r>
      <w:r w:rsidR="00F77E38">
        <w:rPr>
          <w:rFonts w:asciiTheme="minorHAnsi" w:hAnsiTheme="minorHAnsi" w:cstheme="minorHAnsi"/>
          <w:sz w:val="24"/>
          <w:szCs w:val="24"/>
        </w:rPr>
        <w:t>.</w:t>
      </w:r>
      <w:r w:rsidR="003E5D29" w:rsidRPr="003E5D29">
        <w:rPr>
          <w:rFonts w:asciiTheme="minorHAnsi" w:hAnsiTheme="minorHAnsi" w:cstheme="minorHAnsi"/>
          <w:sz w:val="24"/>
          <w:szCs w:val="24"/>
        </w:rPr>
        <w:t xml:space="preserve"> </w:t>
      </w:r>
      <w:r w:rsidR="003E5D29">
        <w:rPr>
          <w:rFonts w:asciiTheme="minorHAnsi" w:hAnsiTheme="minorHAnsi" w:cstheme="minorHAnsi"/>
          <w:sz w:val="24"/>
          <w:szCs w:val="24"/>
        </w:rPr>
        <w:t>Účelnost</w:t>
      </w:r>
      <w:r w:rsidR="003E5D29" w:rsidRPr="003803F1">
        <w:rPr>
          <w:rFonts w:asciiTheme="minorHAnsi" w:hAnsiTheme="minorHAnsi" w:cstheme="minorHAnsi"/>
          <w:sz w:val="24"/>
          <w:szCs w:val="24"/>
        </w:rPr>
        <w:t xml:space="preserve"> </w:t>
      </w:r>
      <w:r w:rsidR="003E5D29">
        <w:rPr>
          <w:rFonts w:asciiTheme="minorHAnsi" w:hAnsiTheme="minorHAnsi" w:cstheme="minorHAnsi"/>
          <w:sz w:val="24"/>
          <w:szCs w:val="24"/>
        </w:rPr>
        <w:t>byla posuzována také ve vztahu k</w:t>
      </w:r>
      <w:r w:rsidR="00DB1F43">
        <w:rPr>
          <w:rFonts w:asciiTheme="minorHAnsi" w:hAnsiTheme="minorHAnsi" w:cstheme="minorHAnsi"/>
          <w:sz w:val="24"/>
          <w:szCs w:val="24"/>
        </w:rPr>
        <w:t xml:space="preserve"> </w:t>
      </w:r>
      <w:r w:rsidR="00845773">
        <w:rPr>
          <w:rFonts w:asciiTheme="minorHAnsi" w:hAnsiTheme="minorHAnsi" w:cstheme="minorHAnsi"/>
          <w:sz w:val="24"/>
          <w:szCs w:val="24"/>
        </w:rPr>
        <w:t>majetku využívané</w:t>
      </w:r>
      <w:r w:rsidR="00864CCD">
        <w:rPr>
          <w:rFonts w:asciiTheme="minorHAnsi" w:hAnsiTheme="minorHAnsi" w:cstheme="minorHAnsi"/>
          <w:sz w:val="24"/>
          <w:szCs w:val="24"/>
        </w:rPr>
        <w:t>mu</w:t>
      </w:r>
      <w:r w:rsidR="00845773">
        <w:rPr>
          <w:rFonts w:asciiTheme="minorHAnsi" w:hAnsiTheme="minorHAnsi" w:cstheme="minorHAnsi"/>
          <w:sz w:val="24"/>
          <w:szCs w:val="24"/>
        </w:rPr>
        <w:t xml:space="preserve"> k</w:t>
      </w:r>
      <w:r w:rsidR="00DB1F43">
        <w:rPr>
          <w:rFonts w:asciiTheme="minorHAnsi" w:hAnsiTheme="minorHAnsi" w:cstheme="minorHAnsi"/>
          <w:sz w:val="24"/>
          <w:szCs w:val="24"/>
        </w:rPr>
        <w:t xml:space="preserve"> </w:t>
      </w:r>
      <w:r w:rsidR="003E5D29">
        <w:rPr>
          <w:rFonts w:asciiTheme="minorHAnsi" w:hAnsiTheme="minorHAnsi" w:cstheme="minorHAnsi"/>
          <w:sz w:val="24"/>
          <w:szCs w:val="24"/>
        </w:rPr>
        <w:t>plnění funkcí státu a k</w:t>
      </w:r>
      <w:r w:rsidR="00DB1F43">
        <w:rPr>
          <w:rFonts w:asciiTheme="minorHAnsi" w:hAnsiTheme="minorHAnsi" w:cstheme="minorHAnsi"/>
          <w:sz w:val="24"/>
          <w:szCs w:val="24"/>
        </w:rPr>
        <w:t xml:space="preserve"> </w:t>
      </w:r>
      <w:r w:rsidR="003E5D29">
        <w:rPr>
          <w:rFonts w:asciiTheme="minorHAnsi" w:hAnsiTheme="minorHAnsi" w:cstheme="minorHAnsi"/>
          <w:sz w:val="24"/>
          <w:szCs w:val="24"/>
        </w:rPr>
        <w:t>výkonu stanovených činností</w:t>
      </w:r>
      <w:r w:rsidR="00971F9D">
        <w:rPr>
          <w:rFonts w:asciiTheme="minorHAnsi" w:hAnsiTheme="minorHAnsi" w:cstheme="minorHAnsi"/>
          <w:sz w:val="24"/>
          <w:szCs w:val="24"/>
          <w:vertAlign w:val="superscript"/>
        </w:rPr>
        <w:t>16</w:t>
      </w:r>
      <w:r w:rsidR="00962FD4">
        <w:rPr>
          <w:rFonts w:asciiTheme="minorHAnsi" w:hAnsiTheme="minorHAnsi" w:cstheme="minorHAnsi"/>
          <w:sz w:val="24"/>
          <w:szCs w:val="24"/>
        </w:rPr>
        <w:t>.</w:t>
      </w:r>
    </w:p>
    <w:p w14:paraId="7AD820E1" w14:textId="1ABBD1E5" w:rsidR="00BA3DE4" w:rsidRPr="00BA3DE4" w:rsidRDefault="00BA3DE4" w:rsidP="00BA3DE4">
      <w:pPr>
        <w:pStyle w:val="Odstavecseseznamem"/>
        <w:numPr>
          <w:ilvl w:val="1"/>
          <w:numId w:val="17"/>
        </w:numPr>
        <w:spacing w:after="120"/>
        <w:ind w:left="0" w:firstLine="0"/>
        <w:contextualSpacing w:val="0"/>
        <w:rPr>
          <w:rFonts w:asciiTheme="minorHAnsi" w:hAnsiTheme="minorHAnsi" w:cstheme="minorHAnsi"/>
          <w:sz w:val="24"/>
          <w:szCs w:val="24"/>
        </w:rPr>
      </w:pPr>
      <w:r w:rsidRPr="008142C5">
        <w:rPr>
          <w:rFonts w:asciiTheme="minorHAnsi" w:hAnsiTheme="minorHAnsi" w:cstheme="minorHAnsi"/>
          <w:sz w:val="24"/>
          <w:szCs w:val="24"/>
        </w:rPr>
        <w:t xml:space="preserve">NKÚ u MF prověřil peněžní prostředky </w:t>
      </w:r>
      <w:r>
        <w:rPr>
          <w:rFonts w:asciiTheme="minorHAnsi" w:hAnsiTheme="minorHAnsi" w:cstheme="minorHAnsi"/>
          <w:sz w:val="24"/>
          <w:szCs w:val="24"/>
        </w:rPr>
        <w:t xml:space="preserve">státu </w:t>
      </w:r>
      <w:r w:rsidRPr="008142C5">
        <w:rPr>
          <w:rFonts w:asciiTheme="minorHAnsi" w:hAnsiTheme="minorHAnsi" w:cstheme="minorHAnsi"/>
          <w:sz w:val="24"/>
          <w:szCs w:val="24"/>
        </w:rPr>
        <w:t>vynaložené na informační podporu činností orgánů státní správy v</w:t>
      </w:r>
      <w:r w:rsidR="008C7CA7">
        <w:rPr>
          <w:rFonts w:asciiTheme="minorHAnsi" w:hAnsiTheme="minorHAnsi" w:cstheme="minorHAnsi"/>
          <w:sz w:val="24"/>
          <w:szCs w:val="24"/>
        </w:rPr>
        <w:t xml:space="preserve"> </w:t>
      </w:r>
      <w:r w:rsidRPr="008142C5">
        <w:rPr>
          <w:rFonts w:asciiTheme="minorHAnsi" w:hAnsiTheme="minorHAnsi" w:cstheme="minorHAnsi"/>
          <w:sz w:val="24"/>
          <w:szCs w:val="24"/>
        </w:rPr>
        <w:t xml:space="preserve">oblasti hazardních her a </w:t>
      </w:r>
      <w:r w:rsidR="00864CCD">
        <w:rPr>
          <w:rFonts w:asciiTheme="minorHAnsi" w:hAnsiTheme="minorHAnsi" w:cstheme="minorHAnsi"/>
          <w:sz w:val="24"/>
          <w:szCs w:val="24"/>
        </w:rPr>
        <w:t xml:space="preserve">v </w:t>
      </w:r>
      <w:r w:rsidRPr="008142C5">
        <w:rPr>
          <w:rFonts w:asciiTheme="minorHAnsi" w:hAnsiTheme="minorHAnsi" w:cstheme="minorHAnsi"/>
          <w:sz w:val="24"/>
          <w:szCs w:val="24"/>
        </w:rPr>
        <w:t>oblasti dozoru nad provozem hazardních her a jejich povolování, správ</w:t>
      </w:r>
      <w:r w:rsidR="00864CCD">
        <w:rPr>
          <w:rFonts w:asciiTheme="minorHAnsi" w:hAnsiTheme="minorHAnsi" w:cstheme="minorHAnsi"/>
          <w:sz w:val="24"/>
          <w:szCs w:val="24"/>
        </w:rPr>
        <w:t>u</w:t>
      </w:r>
      <w:r w:rsidRPr="008142C5">
        <w:rPr>
          <w:rFonts w:asciiTheme="minorHAnsi" w:hAnsiTheme="minorHAnsi" w:cstheme="minorHAnsi"/>
          <w:sz w:val="24"/>
          <w:szCs w:val="24"/>
        </w:rPr>
        <w:t xml:space="preserve"> jistot a kaucí a činnosti v</w:t>
      </w:r>
      <w:r w:rsidR="008C7CA7">
        <w:rPr>
          <w:rFonts w:asciiTheme="minorHAnsi" w:hAnsiTheme="minorHAnsi" w:cstheme="minorHAnsi"/>
          <w:sz w:val="24"/>
          <w:szCs w:val="24"/>
        </w:rPr>
        <w:t xml:space="preserve"> </w:t>
      </w:r>
      <w:r w:rsidRPr="008142C5">
        <w:rPr>
          <w:rFonts w:asciiTheme="minorHAnsi" w:hAnsiTheme="minorHAnsi" w:cstheme="minorHAnsi"/>
          <w:sz w:val="24"/>
          <w:szCs w:val="24"/>
        </w:rPr>
        <w:t>oblasti nelegálního provozování hazardních her.</w:t>
      </w:r>
    </w:p>
    <w:p w14:paraId="02C82080" w14:textId="6BACEA04" w:rsidR="00CB012F" w:rsidRPr="008142C5" w:rsidRDefault="00CB012F" w:rsidP="00A36482">
      <w:pPr>
        <w:pStyle w:val="Odstavecseseznamem"/>
        <w:numPr>
          <w:ilvl w:val="1"/>
          <w:numId w:val="17"/>
        </w:numPr>
        <w:spacing w:after="120"/>
        <w:ind w:left="0" w:firstLine="0"/>
        <w:contextualSpacing w:val="0"/>
        <w:rPr>
          <w:rFonts w:asciiTheme="minorHAnsi" w:hAnsiTheme="minorHAnsi" w:cstheme="minorHAnsi"/>
          <w:sz w:val="24"/>
          <w:szCs w:val="24"/>
        </w:rPr>
      </w:pPr>
      <w:r w:rsidRPr="008142C5">
        <w:rPr>
          <w:rFonts w:asciiTheme="minorHAnsi" w:hAnsiTheme="minorHAnsi" w:cstheme="minorHAnsi"/>
          <w:sz w:val="24"/>
          <w:szCs w:val="24"/>
        </w:rPr>
        <w:t>NKÚ u SFÚ prověřil zejména využívání informačních systémů (IS SDSL a AISG) pro účely správy daně z</w:t>
      </w:r>
      <w:r w:rsidR="009379A1">
        <w:rPr>
          <w:rFonts w:asciiTheme="minorHAnsi" w:hAnsiTheme="minorHAnsi" w:cstheme="minorHAnsi"/>
          <w:sz w:val="24"/>
          <w:szCs w:val="24"/>
        </w:rPr>
        <w:t xml:space="preserve"> </w:t>
      </w:r>
      <w:r w:rsidRPr="008142C5">
        <w:rPr>
          <w:rFonts w:asciiTheme="minorHAnsi" w:hAnsiTheme="minorHAnsi" w:cstheme="minorHAnsi"/>
          <w:sz w:val="24"/>
          <w:szCs w:val="24"/>
        </w:rPr>
        <w:t>hazardních her a kontrolní a vymáhací činnost SFÚ v oblasti správy daně z</w:t>
      </w:r>
      <w:r w:rsidR="005430D2">
        <w:rPr>
          <w:rFonts w:asciiTheme="minorHAnsi" w:hAnsiTheme="minorHAnsi" w:cstheme="minorHAnsi"/>
          <w:sz w:val="24"/>
          <w:szCs w:val="24"/>
        </w:rPr>
        <w:t> </w:t>
      </w:r>
      <w:r w:rsidRPr="008142C5">
        <w:rPr>
          <w:rFonts w:asciiTheme="minorHAnsi" w:hAnsiTheme="minorHAnsi" w:cstheme="minorHAnsi"/>
          <w:sz w:val="24"/>
          <w:szCs w:val="24"/>
        </w:rPr>
        <w:t xml:space="preserve">hazardních her. </w:t>
      </w:r>
      <w:r w:rsidR="009379A1">
        <w:rPr>
          <w:rFonts w:asciiTheme="minorHAnsi" w:hAnsiTheme="minorHAnsi" w:cstheme="minorHAnsi"/>
          <w:sz w:val="24"/>
          <w:szCs w:val="24"/>
        </w:rPr>
        <w:t>U</w:t>
      </w:r>
      <w:r w:rsidR="009379A1" w:rsidRPr="008142C5">
        <w:rPr>
          <w:rFonts w:asciiTheme="minorHAnsi" w:hAnsiTheme="minorHAnsi" w:cstheme="minorHAnsi"/>
          <w:sz w:val="24"/>
          <w:szCs w:val="24"/>
        </w:rPr>
        <w:t xml:space="preserve"> GŘC </w:t>
      </w:r>
      <w:r w:rsidR="009379A1">
        <w:rPr>
          <w:rFonts w:asciiTheme="minorHAnsi" w:hAnsiTheme="minorHAnsi" w:cstheme="minorHAnsi"/>
          <w:sz w:val="24"/>
          <w:szCs w:val="24"/>
        </w:rPr>
        <w:t xml:space="preserve">se </w:t>
      </w:r>
      <w:r w:rsidRPr="008142C5">
        <w:rPr>
          <w:rFonts w:asciiTheme="minorHAnsi" w:hAnsiTheme="minorHAnsi" w:cstheme="minorHAnsi"/>
          <w:sz w:val="24"/>
          <w:szCs w:val="24"/>
        </w:rPr>
        <w:t xml:space="preserve">NKÚ </w:t>
      </w:r>
      <w:r w:rsidR="00EF77AC">
        <w:rPr>
          <w:rFonts w:asciiTheme="minorHAnsi" w:hAnsiTheme="minorHAnsi" w:cstheme="minorHAnsi"/>
          <w:sz w:val="24"/>
          <w:szCs w:val="24"/>
        </w:rPr>
        <w:t xml:space="preserve">zaměřil </w:t>
      </w:r>
      <w:r w:rsidR="009379A1">
        <w:rPr>
          <w:rFonts w:asciiTheme="minorHAnsi" w:hAnsiTheme="minorHAnsi" w:cstheme="minorHAnsi"/>
          <w:sz w:val="24"/>
          <w:szCs w:val="24"/>
        </w:rPr>
        <w:t xml:space="preserve">na prověření, zda jsou činnosti </w:t>
      </w:r>
      <w:r w:rsidR="00864CCD">
        <w:rPr>
          <w:rFonts w:asciiTheme="minorHAnsi" w:hAnsiTheme="minorHAnsi" w:cstheme="minorHAnsi"/>
          <w:sz w:val="24"/>
          <w:szCs w:val="24"/>
        </w:rPr>
        <w:t>vykonávané GŘC v souladu se</w:t>
      </w:r>
      <w:r w:rsidRPr="008142C5">
        <w:rPr>
          <w:rFonts w:asciiTheme="minorHAnsi" w:hAnsiTheme="minorHAnsi" w:cstheme="minorHAnsi"/>
          <w:sz w:val="24"/>
          <w:szCs w:val="24"/>
        </w:rPr>
        <w:t xml:space="preserve"> zákon</w:t>
      </w:r>
      <w:r w:rsidR="00864CCD">
        <w:rPr>
          <w:rFonts w:asciiTheme="minorHAnsi" w:hAnsiTheme="minorHAnsi" w:cstheme="minorHAnsi"/>
          <w:sz w:val="24"/>
          <w:szCs w:val="24"/>
        </w:rPr>
        <w:t xml:space="preserve">em </w:t>
      </w:r>
      <w:r w:rsidRPr="008142C5">
        <w:rPr>
          <w:rFonts w:asciiTheme="minorHAnsi" w:hAnsiTheme="minorHAnsi" w:cstheme="minorHAnsi"/>
          <w:sz w:val="24"/>
          <w:szCs w:val="24"/>
        </w:rPr>
        <w:t xml:space="preserve">o hazardních hrách, a </w:t>
      </w:r>
      <w:r w:rsidR="00393F6E">
        <w:rPr>
          <w:rFonts w:asciiTheme="minorHAnsi" w:hAnsiTheme="minorHAnsi" w:cstheme="minorHAnsi"/>
          <w:sz w:val="24"/>
          <w:szCs w:val="24"/>
        </w:rPr>
        <w:t>to</w:t>
      </w:r>
      <w:r w:rsidRPr="008142C5">
        <w:rPr>
          <w:rFonts w:asciiTheme="minorHAnsi" w:hAnsiTheme="minorHAnsi" w:cstheme="minorHAnsi"/>
          <w:sz w:val="24"/>
          <w:szCs w:val="24"/>
        </w:rPr>
        <w:t xml:space="preserve"> především </w:t>
      </w:r>
      <w:r w:rsidR="002E57EC">
        <w:rPr>
          <w:rFonts w:asciiTheme="minorHAnsi" w:hAnsiTheme="minorHAnsi" w:cstheme="minorHAnsi"/>
          <w:sz w:val="24"/>
          <w:szCs w:val="24"/>
        </w:rPr>
        <w:t xml:space="preserve">po </w:t>
      </w:r>
      <w:r w:rsidR="009379A1">
        <w:rPr>
          <w:rFonts w:asciiTheme="minorHAnsi" w:hAnsiTheme="minorHAnsi" w:cstheme="minorHAnsi"/>
          <w:sz w:val="24"/>
          <w:szCs w:val="24"/>
        </w:rPr>
        <w:t xml:space="preserve">změně výkonu dozoru </w:t>
      </w:r>
      <w:r w:rsidRPr="008142C5">
        <w:rPr>
          <w:rFonts w:asciiTheme="minorHAnsi" w:hAnsiTheme="minorHAnsi" w:cstheme="minorHAnsi"/>
          <w:sz w:val="24"/>
          <w:szCs w:val="24"/>
        </w:rPr>
        <w:t>za účinnosti nové právní úpravy a převodu pravomoc</w:t>
      </w:r>
      <w:r w:rsidR="009379A1">
        <w:rPr>
          <w:rFonts w:asciiTheme="minorHAnsi" w:hAnsiTheme="minorHAnsi" w:cstheme="minorHAnsi"/>
          <w:sz w:val="24"/>
          <w:szCs w:val="24"/>
        </w:rPr>
        <w:t>í</w:t>
      </w:r>
      <w:r w:rsidRPr="008142C5">
        <w:rPr>
          <w:rFonts w:asciiTheme="minorHAnsi" w:hAnsiTheme="minorHAnsi" w:cstheme="minorHAnsi"/>
          <w:sz w:val="24"/>
          <w:szCs w:val="24"/>
        </w:rPr>
        <w:t xml:space="preserve"> na orgány CS ČR z MF. U GFŘ </w:t>
      </w:r>
      <w:r w:rsidR="00864CCD">
        <w:rPr>
          <w:rFonts w:asciiTheme="minorHAnsi" w:hAnsiTheme="minorHAnsi" w:cstheme="minorHAnsi"/>
          <w:sz w:val="24"/>
          <w:szCs w:val="24"/>
        </w:rPr>
        <w:t>kontrola</w:t>
      </w:r>
      <w:r w:rsidRPr="008142C5">
        <w:rPr>
          <w:rFonts w:asciiTheme="minorHAnsi" w:hAnsiTheme="minorHAnsi" w:cstheme="minorHAnsi"/>
          <w:sz w:val="24"/>
          <w:szCs w:val="24"/>
        </w:rPr>
        <w:t xml:space="preserve"> </w:t>
      </w:r>
      <w:r w:rsidR="004275F7">
        <w:rPr>
          <w:rFonts w:asciiTheme="minorHAnsi" w:hAnsiTheme="minorHAnsi" w:cstheme="minorHAnsi"/>
          <w:sz w:val="24"/>
          <w:szCs w:val="24"/>
        </w:rPr>
        <w:t>ověř</w:t>
      </w:r>
      <w:r w:rsidR="00864CCD">
        <w:rPr>
          <w:rFonts w:asciiTheme="minorHAnsi" w:hAnsiTheme="minorHAnsi" w:cstheme="minorHAnsi"/>
          <w:sz w:val="24"/>
          <w:szCs w:val="24"/>
        </w:rPr>
        <w:t>ila</w:t>
      </w:r>
      <w:r w:rsidRPr="008142C5">
        <w:rPr>
          <w:rFonts w:asciiTheme="minorHAnsi" w:hAnsiTheme="minorHAnsi" w:cstheme="minorHAnsi"/>
          <w:sz w:val="24"/>
          <w:szCs w:val="24"/>
        </w:rPr>
        <w:t xml:space="preserve"> agregované údaje týkající se správy daně z hazardních her.</w:t>
      </w:r>
    </w:p>
    <w:p w14:paraId="00266ED0" w14:textId="20E6C04C" w:rsidR="00CB012F" w:rsidRPr="008142C5" w:rsidRDefault="00CB012F" w:rsidP="00A36482">
      <w:pPr>
        <w:pStyle w:val="Odstavecseseznamem"/>
        <w:numPr>
          <w:ilvl w:val="1"/>
          <w:numId w:val="17"/>
        </w:numPr>
        <w:spacing w:after="120"/>
        <w:ind w:left="0" w:firstLine="0"/>
        <w:contextualSpacing w:val="0"/>
        <w:rPr>
          <w:rFonts w:asciiTheme="minorHAnsi" w:hAnsiTheme="minorHAnsi" w:cstheme="minorHAnsi"/>
          <w:sz w:val="24"/>
          <w:szCs w:val="24"/>
        </w:rPr>
      </w:pPr>
      <w:r w:rsidRPr="008142C5">
        <w:rPr>
          <w:rFonts w:asciiTheme="minorHAnsi" w:hAnsiTheme="minorHAnsi" w:cstheme="minorHAnsi"/>
          <w:sz w:val="24"/>
          <w:szCs w:val="24"/>
        </w:rPr>
        <w:t xml:space="preserve">NKÚ </w:t>
      </w:r>
      <w:r w:rsidR="009601E8">
        <w:rPr>
          <w:rFonts w:asciiTheme="minorHAnsi" w:hAnsiTheme="minorHAnsi" w:cstheme="minorHAnsi"/>
          <w:sz w:val="24"/>
          <w:szCs w:val="24"/>
        </w:rPr>
        <w:t>dále prověřoval</w:t>
      </w:r>
      <w:r w:rsidR="006E67A8" w:rsidRPr="008142C5">
        <w:rPr>
          <w:rFonts w:asciiTheme="minorHAnsi" w:hAnsiTheme="minorHAnsi" w:cstheme="minorHAnsi"/>
          <w:sz w:val="24"/>
          <w:szCs w:val="24"/>
        </w:rPr>
        <w:t>, zda</w:t>
      </w:r>
      <w:r w:rsidRPr="008142C5">
        <w:rPr>
          <w:rFonts w:asciiTheme="minorHAnsi" w:hAnsiTheme="minorHAnsi" w:cstheme="minorHAnsi"/>
          <w:sz w:val="24"/>
          <w:szCs w:val="24"/>
        </w:rPr>
        <w:t xml:space="preserve"> </w:t>
      </w:r>
      <w:r w:rsidR="00D50579" w:rsidRPr="008142C5">
        <w:rPr>
          <w:rFonts w:asciiTheme="minorHAnsi" w:hAnsiTheme="minorHAnsi" w:cstheme="minorHAnsi"/>
          <w:sz w:val="24"/>
          <w:szCs w:val="24"/>
        </w:rPr>
        <w:t>státní podni</w:t>
      </w:r>
      <w:r w:rsidR="003F2208" w:rsidRPr="008142C5">
        <w:rPr>
          <w:rFonts w:asciiTheme="minorHAnsi" w:hAnsiTheme="minorHAnsi" w:cstheme="minorHAnsi"/>
          <w:sz w:val="24"/>
          <w:szCs w:val="24"/>
        </w:rPr>
        <w:t>k</w:t>
      </w:r>
      <w:r w:rsidR="00D50579" w:rsidRPr="008142C5">
        <w:rPr>
          <w:rFonts w:asciiTheme="minorHAnsi" w:hAnsiTheme="minorHAnsi" w:cstheme="minorHAnsi"/>
          <w:sz w:val="24"/>
          <w:szCs w:val="24"/>
        </w:rPr>
        <w:t xml:space="preserve"> SPCSS postupoval</w:t>
      </w:r>
      <w:r w:rsidRPr="008142C5">
        <w:rPr>
          <w:rFonts w:asciiTheme="minorHAnsi" w:hAnsiTheme="minorHAnsi" w:cstheme="minorHAnsi"/>
          <w:sz w:val="24"/>
          <w:szCs w:val="24"/>
        </w:rPr>
        <w:t xml:space="preserve"> </w:t>
      </w:r>
      <w:r w:rsidR="00D50579" w:rsidRPr="008142C5">
        <w:rPr>
          <w:rFonts w:asciiTheme="minorHAnsi" w:hAnsiTheme="minorHAnsi" w:cstheme="minorHAnsi"/>
          <w:sz w:val="24"/>
          <w:szCs w:val="24"/>
        </w:rPr>
        <w:t xml:space="preserve">při </w:t>
      </w:r>
      <w:r w:rsidR="00F10455">
        <w:rPr>
          <w:rFonts w:asciiTheme="minorHAnsi" w:hAnsiTheme="minorHAnsi" w:cstheme="minorHAnsi"/>
          <w:sz w:val="24"/>
          <w:szCs w:val="24"/>
        </w:rPr>
        <w:t xml:space="preserve">zadávání </w:t>
      </w:r>
      <w:r w:rsidRPr="008142C5">
        <w:rPr>
          <w:rFonts w:asciiTheme="minorHAnsi" w:hAnsiTheme="minorHAnsi" w:cstheme="minorHAnsi"/>
          <w:sz w:val="24"/>
          <w:szCs w:val="24"/>
        </w:rPr>
        <w:t xml:space="preserve">veřejných zakázek </w:t>
      </w:r>
      <w:r w:rsidR="006E67A8" w:rsidRPr="008142C5">
        <w:rPr>
          <w:rFonts w:asciiTheme="minorHAnsi" w:hAnsiTheme="minorHAnsi" w:cstheme="minorHAnsi"/>
          <w:sz w:val="24"/>
          <w:szCs w:val="24"/>
        </w:rPr>
        <w:t xml:space="preserve">v souladu s právními předpisy. </w:t>
      </w:r>
      <w:r w:rsidRPr="008142C5">
        <w:rPr>
          <w:rFonts w:asciiTheme="minorHAnsi" w:hAnsiTheme="minorHAnsi" w:cstheme="minorHAnsi"/>
          <w:sz w:val="24"/>
          <w:szCs w:val="24"/>
        </w:rPr>
        <w:t xml:space="preserve">Celkem bylo zkontrolováno sedm VZ malého rozsahu na služby, dvě podlimitní VZ na služby zadávané ve zjednodušeném podlimitním řízení dle ustanovení § 53 ZZVZ a jedna nadlimitní </w:t>
      </w:r>
      <w:r w:rsidR="002C7974">
        <w:rPr>
          <w:rFonts w:asciiTheme="minorHAnsi" w:hAnsiTheme="minorHAnsi" w:cstheme="minorHAnsi"/>
          <w:sz w:val="24"/>
          <w:szCs w:val="24"/>
        </w:rPr>
        <w:t>veřejná zakázka</w:t>
      </w:r>
      <w:r w:rsidRPr="008142C5">
        <w:rPr>
          <w:rFonts w:asciiTheme="minorHAnsi" w:hAnsiTheme="minorHAnsi" w:cstheme="minorHAnsi"/>
          <w:sz w:val="24"/>
          <w:szCs w:val="24"/>
        </w:rPr>
        <w:t xml:space="preserve"> na služby zad</w:t>
      </w:r>
      <w:r w:rsidR="002C7974">
        <w:rPr>
          <w:rFonts w:asciiTheme="minorHAnsi" w:hAnsiTheme="minorHAnsi" w:cstheme="minorHAnsi"/>
          <w:sz w:val="24"/>
          <w:szCs w:val="24"/>
        </w:rPr>
        <w:t>aná</w:t>
      </w:r>
      <w:r w:rsidRPr="008142C5">
        <w:rPr>
          <w:rFonts w:asciiTheme="minorHAnsi" w:hAnsiTheme="minorHAnsi" w:cstheme="minorHAnsi"/>
          <w:sz w:val="24"/>
          <w:szCs w:val="24"/>
        </w:rPr>
        <w:t xml:space="preserve"> v otevřeném řízení dle ustanovení § 56 ZZVZ. </w:t>
      </w:r>
    </w:p>
    <w:p w14:paraId="162C63BD" w14:textId="7DE7DA37" w:rsidR="00CB012F" w:rsidRDefault="00BC147E" w:rsidP="00A36482">
      <w:pPr>
        <w:pStyle w:val="Odstavecseseznamem"/>
        <w:numPr>
          <w:ilvl w:val="1"/>
          <w:numId w:val="17"/>
        </w:numPr>
        <w:spacing w:after="120"/>
        <w:ind w:left="0" w:firstLine="0"/>
        <w:contextualSpacing w:val="0"/>
        <w:rPr>
          <w:rFonts w:asciiTheme="minorHAnsi" w:hAnsiTheme="minorHAnsi" w:cstheme="minorHAnsi"/>
          <w:sz w:val="24"/>
          <w:szCs w:val="24"/>
        </w:rPr>
      </w:pPr>
      <w:r w:rsidRPr="00BC147E">
        <w:rPr>
          <w:rFonts w:asciiTheme="minorHAnsi" w:hAnsiTheme="minorHAnsi" w:cstheme="minorHAnsi"/>
          <w:sz w:val="24"/>
          <w:szCs w:val="24"/>
        </w:rPr>
        <w:lastRenderedPageBreak/>
        <w:t>Celkov</w:t>
      </w:r>
      <w:r>
        <w:rPr>
          <w:rFonts w:asciiTheme="minorHAnsi" w:hAnsiTheme="minorHAnsi" w:cstheme="minorHAnsi"/>
          <w:sz w:val="24"/>
          <w:szCs w:val="24"/>
        </w:rPr>
        <w:t>ý kontrolovaný objem</w:t>
      </w:r>
      <w:r w:rsidRPr="00BC147E">
        <w:rPr>
          <w:rFonts w:asciiTheme="minorHAnsi" w:hAnsiTheme="minorHAnsi" w:cstheme="minorHAnsi"/>
          <w:sz w:val="24"/>
          <w:szCs w:val="24"/>
        </w:rPr>
        <w:t xml:space="preserve"> výdaj</w:t>
      </w:r>
      <w:r w:rsidR="004E0BF0">
        <w:rPr>
          <w:rFonts w:asciiTheme="minorHAnsi" w:hAnsiTheme="minorHAnsi" w:cstheme="minorHAnsi"/>
          <w:sz w:val="24"/>
          <w:szCs w:val="24"/>
        </w:rPr>
        <w:t>ů</w:t>
      </w:r>
      <w:r w:rsidRPr="00BC147E">
        <w:rPr>
          <w:rFonts w:asciiTheme="minorHAnsi" w:hAnsiTheme="minorHAnsi" w:cstheme="minorHAnsi"/>
          <w:sz w:val="24"/>
          <w:szCs w:val="24"/>
        </w:rPr>
        <w:t xml:space="preserve"> </w:t>
      </w:r>
      <w:r>
        <w:rPr>
          <w:rFonts w:asciiTheme="minorHAnsi" w:hAnsiTheme="minorHAnsi" w:cstheme="minorHAnsi"/>
          <w:sz w:val="24"/>
          <w:szCs w:val="24"/>
        </w:rPr>
        <w:t xml:space="preserve">resortu </w:t>
      </w:r>
      <w:r w:rsidRPr="00BC147E">
        <w:rPr>
          <w:rFonts w:asciiTheme="minorHAnsi" w:hAnsiTheme="minorHAnsi" w:cstheme="minorHAnsi"/>
          <w:sz w:val="24"/>
          <w:szCs w:val="24"/>
        </w:rPr>
        <w:t>MF související</w:t>
      </w:r>
      <w:r w:rsidR="002C7974">
        <w:rPr>
          <w:rFonts w:asciiTheme="minorHAnsi" w:hAnsiTheme="minorHAnsi" w:cstheme="minorHAnsi"/>
          <w:sz w:val="24"/>
          <w:szCs w:val="24"/>
        </w:rPr>
        <w:t>ch</w:t>
      </w:r>
      <w:r w:rsidRPr="00BC147E">
        <w:rPr>
          <w:rFonts w:asciiTheme="minorHAnsi" w:hAnsiTheme="minorHAnsi" w:cstheme="minorHAnsi"/>
          <w:sz w:val="24"/>
          <w:szCs w:val="24"/>
        </w:rPr>
        <w:t xml:space="preserve"> s</w:t>
      </w:r>
      <w:r>
        <w:rPr>
          <w:rFonts w:asciiTheme="minorHAnsi" w:hAnsiTheme="minorHAnsi" w:cstheme="minorHAnsi"/>
          <w:sz w:val="24"/>
          <w:szCs w:val="24"/>
        </w:rPr>
        <w:t xml:space="preserve"> informační podporou v oblasti hazardních her </w:t>
      </w:r>
      <w:r w:rsidRPr="00BC147E">
        <w:rPr>
          <w:rFonts w:asciiTheme="minorHAnsi" w:hAnsiTheme="minorHAnsi" w:cstheme="minorHAnsi"/>
          <w:sz w:val="24"/>
          <w:szCs w:val="24"/>
        </w:rPr>
        <w:t>za roky 2017–2021</w:t>
      </w:r>
      <w:r>
        <w:rPr>
          <w:rFonts w:asciiTheme="minorHAnsi" w:hAnsiTheme="minorHAnsi" w:cstheme="minorHAnsi"/>
          <w:sz w:val="24"/>
          <w:szCs w:val="24"/>
        </w:rPr>
        <w:t xml:space="preserve"> </w:t>
      </w:r>
      <w:r w:rsidR="004E0BF0">
        <w:rPr>
          <w:rFonts w:asciiTheme="minorHAnsi" w:hAnsiTheme="minorHAnsi" w:cstheme="minorHAnsi"/>
          <w:sz w:val="24"/>
          <w:szCs w:val="24"/>
        </w:rPr>
        <w:t xml:space="preserve">činil </w:t>
      </w:r>
      <w:r>
        <w:rPr>
          <w:rFonts w:asciiTheme="minorHAnsi" w:hAnsiTheme="minorHAnsi" w:cstheme="minorHAnsi"/>
          <w:sz w:val="24"/>
          <w:szCs w:val="24"/>
        </w:rPr>
        <w:t>174 mil. Kč</w:t>
      </w:r>
      <w:r w:rsidR="002C7974">
        <w:rPr>
          <w:rFonts w:asciiTheme="minorHAnsi" w:hAnsiTheme="minorHAnsi" w:cstheme="minorHAnsi"/>
          <w:sz w:val="24"/>
          <w:szCs w:val="24"/>
        </w:rPr>
        <w:t>;</w:t>
      </w:r>
      <w:r>
        <w:rPr>
          <w:rFonts w:asciiTheme="minorHAnsi" w:hAnsiTheme="minorHAnsi" w:cstheme="minorHAnsi"/>
          <w:sz w:val="24"/>
          <w:szCs w:val="24"/>
        </w:rPr>
        <w:t xml:space="preserve"> </w:t>
      </w:r>
      <w:r w:rsidR="00170501">
        <w:rPr>
          <w:rFonts w:asciiTheme="minorHAnsi" w:hAnsiTheme="minorHAnsi" w:cstheme="minorHAnsi"/>
          <w:sz w:val="24"/>
          <w:szCs w:val="24"/>
        </w:rPr>
        <w:t>k</w:t>
      </w:r>
      <w:r w:rsidR="00CB012F" w:rsidRPr="008142C5">
        <w:rPr>
          <w:rFonts w:asciiTheme="minorHAnsi" w:hAnsiTheme="minorHAnsi" w:cstheme="minorHAnsi"/>
          <w:sz w:val="24"/>
          <w:szCs w:val="24"/>
        </w:rPr>
        <w:t>ontrolovaný objem finančních prostředků</w:t>
      </w:r>
      <w:r w:rsidR="00613F31" w:rsidRPr="008142C5">
        <w:rPr>
          <w:rFonts w:asciiTheme="minorHAnsi" w:hAnsiTheme="minorHAnsi" w:cstheme="minorHAnsi"/>
          <w:sz w:val="24"/>
          <w:szCs w:val="24"/>
        </w:rPr>
        <w:t xml:space="preserve"> na </w:t>
      </w:r>
      <w:r w:rsidR="00170501">
        <w:rPr>
          <w:rFonts w:asciiTheme="minorHAnsi" w:hAnsiTheme="minorHAnsi" w:cstheme="minorHAnsi"/>
          <w:sz w:val="24"/>
          <w:szCs w:val="24"/>
        </w:rPr>
        <w:t>úrovni systému</w:t>
      </w:r>
      <w:r w:rsidR="00613F31" w:rsidRPr="008142C5">
        <w:rPr>
          <w:rFonts w:asciiTheme="minorHAnsi" w:hAnsiTheme="minorHAnsi" w:cstheme="minorHAnsi"/>
          <w:sz w:val="24"/>
          <w:szCs w:val="24"/>
        </w:rPr>
        <w:t xml:space="preserve"> výkon</w:t>
      </w:r>
      <w:r w:rsidR="000C7BA3">
        <w:rPr>
          <w:rFonts w:asciiTheme="minorHAnsi" w:hAnsiTheme="minorHAnsi" w:cstheme="minorHAnsi"/>
          <w:sz w:val="24"/>
          <w:szCs w:val="24"/>
        </w:rPr>
        <w:t>u</w:t>
      </w:r>
      <w:r w:rsidR="00613F31" w:rsidRPr="008142C5">
        <w:rPr>
          <w:rFonts w:asciiTheme="minorHAnsi" w:hAnsiTheme="minorHAnsi" w:cstheme="minorHAnsi"/>
          <w:sz w:val="24"/>
          <w:szCs w:val="24"/>
        </w:rPr>
        <w:t xml:space="preserve"> činností v</w:t>
      </w:r>
      <w:r w:rsidR="00DB1F43">
        <w:rPr>
          <w:rFonts w:asciiTheme="minorHAnsi" w:hAnsiTheme="minorHAnsi" w:cstheme="minorHAnsi"/>
          <w:sz w:val="24"/>
          <w:szCs w:val="24"/>
        </w:rPr>
        <w:t xml:space="preserve"> </w:t>
      </w:r>
      <w:r w:rsidR="00613F31" w:rsidRPr="008142C5">
        <w:rPr>
          <w:rFonts w:asciiTheme="minorHAnsi" w:hAnsiTheme="minorHAnsi" w:cstheme="minorHAnsi"/>
          <w:sz w:val="24"/>
          <w:szCs w:val="24"/>
        </w:rPr>
        <w:t>oblasti hazardních her a správy daně z hazardních her</w:t>
      </w:r>
      <w:r w:rsidR="002C7974" w:rsidRPr="002C7974">
        <w:rPr>
          <w:rFonts w:asciiTheme="minorHAnsi" w:hAnsiTheme="minorHAnsi" w:cstheme="minorHAnsi"/>
          <w:sz w:val="24"/>
          <w:szCs w:val="24"/>
        </w:rPr>
        <w:t xml:space="preserve"> </w:t>
      </w:r>
      <w:r w:rsidR="002C7974" w:rsidRPr="008142C5">
        <w:rPr>
          <w:rFonts w:asciiTheme="minorHAnsi" w:hAnsiTheme="minorHAnsi" w:cstheme="minorHAnsi"/>
          <w:sz w:val="24"/>
          <w:szCs w:val="24"/>
        </w:rPr>
        <w:t>činil 5,5</w:t>
      </w:r>
      <w:r w:rsidR="002C7974">
        <w:rPr>
          <w:rFonts w:asciiTheme="minorHAnsi" w:hAnsiTheme="minorHAnsi" w:cstheme="minorHAnsi"/>
          <w:sz w:val="24"/>
          <w:szCs w:val="24"/>
        </w:rPr>
        <w:t>3</w:t>
      </w:r>
      <w:r w:rsidR="002C7974" w:rsidRPr="008142C5">
        <w:rPr>
          <w:rFonts w:asciiTheme="minorHAnsi" w:hAnsiTheme="minorHAnsi" w:cstheme="minorHAnsi"/>
          <w:sz w:val="24"/>
          <w:szCs w:val="24"/>
        </w:rPr>
        <w:t xml:space="preserve"> mld. Kč</w:t>
      </w:r>
      <w:r w:rsidR="000C7BA3">
        <w:rPr>
          <w:rFonts w:asciiTheme="minorHAnsi" w:hAnsiTheme="minorHAnsi" w:cstheme="minorHAnsi"/>
          <w:sz w:val="24"/>
          <w:szCs w:val="24"/>
        </w:rPr>
        <w:t xml:space="preserve"> </w:t>
      </w:r>
      <w:r w:rsidR="002C7974">
        <w:rPr>
          <w:rFonts w:asciiTheme="minorHAnsi" w:hAnsiTheme="minorHAnsi" w:cstheme="minorHAnsi"/>
          <w:sz w:val="24"/>
          <w:szCs w:val="24"/>
        </w:rPr>
        <w:t>(tato částka zahrnuje</w:t>
      </w:r>
      <w:r w:rsidR="000C7BA3">
        <w:rPr>
          <w:rFonts w:asciiTheme="minorHAnsi" w:hAnsiTheme="minorHAnsi" w:cstheme="minorHAnsi"/>
          <w:sz w:val="24"/>
          <w:szCs w:val="24"/>
        </w:rPr>
        <w:t xml:space="preserve"> </w:t>
      </w:r>
      <w:r w:rsidR="002256ED">
        <w:rPr>
          <w:rFonts w:asciiTheme="minorHAnsi" w:hAnsiTheme="minorHAnsi" w:cstheme="minorHAnsi"/>
          <w:sz w:val="24"/>
          <w:szCs w:val="24"/>
        </w:rPr>
        <w:t>hodnotu</w:t>
      </w:r>
      <w:r w:rsidR="000C7BA3">
        <w:rPr>
          <w:rFonts w:asciiTheme="minorHAnsi" w:hAnsiTheme="minorHAnsi" w:cstheme="minorHAnsi"/>
          <w:sz w:val="24"/>
          <w:szCs w:val="24"/>
        </w:rPr>
        <w:t xml:space="preserve"> kaucí </w:t>
      </w:r>
      <w:r w:rsidR="002C7974">
        <w:rPr>
          <w:rFonts w:asciiTheme="minorHAnsi" w:hAnsiTheme="minorHAnsi" w:cstheme="minorHAnsi"/>
          <w:sz w:val="24"/>
          <w:szCs w:val="24"/>
        </w:rPr>
        <w:t xml:space="preserve">a </w:t>
      </w:r>
      <w:r w:rsidR="000C7BA3">
        <w:rPr>
          <w:rFonts w:asciiTheme="minorHAnsi" w:hAnsiTheme="minorHAnsi" w:cstheme="minorHAnsi"/>
          <w:sz w:val="24"/>
          <w:szCs w:val="24"/>
        </w:rPr>
        <w:t xml:space="preserve">záručních listin bankovních záruk ke kaucím, </w:t>
      </w:r>
      <w:r w:rsidR="00775484">
        <w:rPr>
          <w:rFonts w:asciiTheme="minorHAnsi" w:hAnsiTheme="minorHAnsi" w:cstheme="minorHAnsi"/>
          <w:sz w:val="24"/>
          <w:szCs w:val="24"/>
        </w:rPr>
        <w:t xml:space="preserve">u vybraných případů </w:t>
      </w:r>
      <w:r w:rsidR="000C7BA3">
        <w:rPr>
          <w:rFonts w:asciiTheme="minorHAnsi" w:hAnsiTheme="minorHAnsi" w:cstheme="minorHAnsi"/>
          <w:sz w:val="24"/>
          <w:szCs w:val="24"/>
        </w:rPr>
        <w:t>hodnotu nedoplatků na dani z hazardních her, hodnotu doměřené daně z hazardních her</w:t>
      </w:r>
      <w:r w:rsidR="00775484">
        <w:rPr>
          <w:rFonts w:asciiTheme="minorHAnsi" w:hAnsiTheme="minorHAnsi" w:cstheme="minorHAnsi"/>
          <w:sz w:val="24"/>
          <w:szCs w:val="24"/>
        </w:rPr>
        <w:t>,</w:t>
      </w:r>
      <w:r w:rsidR="000C7BA3">
        <w:rPr>
          <w:rFonts w:asciiTheme="minorHAnsi" w:hAnsiTheme="minorHAnsi" w:cstheme="minorHAnsi"/>
          <w:sz w:val="24"/>
          <w:szCs w:val="24"/>
        </w:rPr>
        <w:t xml:space="preserve"> hodnotu dílčího základu daně z technické hry a hodnotu pokut uložených CS</w:t>
      </w:r>
      <w:r w:rsidR="005612AA">
        <w:rPr>
          <w:rFonts w:asciiTheme="minorHAnsi" w:hAnsiTheme="minorHAnsi" w:cstheme="minorHAnsi"/>
          <w:sz w:val="24"/>
          <w:szCs w:val="24"/>
        </w:rPr>
        <w:t> </w:t>
      </w:r>
      <w:r w:rsidR="000C7BA3">
        <w:rPr>
          <w:rFonts w:asciiTheme="minorHAnsi" w:hAnsiTheme="minorHAnsi" w:cstheme="minorHAnsi"/>
          <w:sz w:val="24"/>
          <w:szCs w:val="24"/>
        </w:rPr>
        <w:t>ČR</w:t>
      </w:r>
      <w:r w:rsidR="002C7974">
        <w:rPr>
          <w:rFonts w:asciiTheme="minorHAnsi" w:hAnsiTheme="minorHAnsi" w:cstheme="minorHAnsi"/>
          <w:sz w:val="24"/>
          <w:szCs w:val="24"/>
        </w:rPr>
        <w:t>)</w:t>
      </w:r>
      <w:r w:rsidR="00613F31" w:rsidRPr="008142C5">
        <w:rPr>
          <w:rFonts w:asciiTheme="minorHAnsi" w:hAnsiTheme="minorHAnsi" w:cstheme="minorHAnsi"/>
          <w:sz w:val="24"/>
          <w:szCs w:val="24"/>
        </w:rPr>
        <w:t>.</w:t>
      </w:r>
    </w:p>
    <w:p w14:paraId="155BDB3A" w14:textId="7CC9B149" w:rsidR="00C90D00" w:rsidRPr="00247CAB" w:rsidRDefault="00C90D00" w:rsidP="00247CAB">
      <w:pPr>
        <w:spacing w:before="240" w:after="120" w:line="240" w:lineRule="auto"/>
        <w:ind w:left="567" w:hanging="567"/>
        <w:rPr>
          <w:rFonts w:asciiTheme="minorHAnsi" w:hAnsiTheme="minorHAnsi"/>
          <w:sz w:val="20"/>
          <w:szCs w:val="20"/>
        </w:rPr>
      </w:pPr>
      <w:r w:rsidRPr="00247CAB">
        <w:rPr>
          <w:rFonts w:asciiTheme="minorHAnsi" w:hAnsiTheme="minorHAnsi"/>
          <w:b/>
          <w:sz w:val="20"/>
          <w:szCs w:val="20"/>
        </w:rPr>
        <w:t>Pozn.:</w:t>
      </w:r>
      <w:r w:rsidR="00550D44" w:rsidRPr="00247CAB">
        <w:rPr>
          <w:rFonts w:asciiTheme="minorHAnsi" w:hAnsiTheme="minorHAnsi"/>
          <w:b/>
          <w:sz w:val="20"/>
          <w:szCs w:val="20"/>
        </w:rPr>
        <w:t xml:space="preserve"> </w:t>
      </w:r>
      <w:r w:rsidR="003276AF">
        <w:rPr>
          <w:rFonts w:asciiTheme="minorHAnsi" w:hAnsiTheme="minorHAnsi"/>
          <w:b/>
          <w:sz w:val="20"/>
          <w:szCs w:val="20"/>
        </w:rPr>
        <w:tab/>
      </w:r>
      <w:bookmarkStart w:id="12" w:name="_Hlk135726349"/>
      <w:r w:rsidRPr="00247CAB">
        <w:rPr>
          <w:rFonts w:asciiTheme="minorHAnsi" w:hAnsiTheme="minorHAnsi"/>
          <w:sz w:val="20"/>
          <w:szCs w:val="20"/>
        </w:rPr>
        <w:t>Právní předpisy uvedené v tomto kontrolním závěru jsou aplikovány ve znění účinném pro kontrolované období.</w:t>
      </w:r>
      <w:r w:rsidR="00550D44" w:rsidRPr="00247CAB">
        <w:rPr>
          <w:rFonts w:asciiTheme="minorHAnsi" w:hAnsiTheme="minorHAnsi"/>
          <w:sz w:val="20"/>
          <w:szCs w:val="20"/>
        </w:rPr>
        <w:t xml:space="preserve"> </w:t>
      </w:r>
      <w:r w:rsidRPr="00247CAB">
        <w:rPr>
          <w:rFonts w:asciiTheme="minorHAnsi" w:hAnsiTheme="minorHAnsi"/>
          <w:sz w:val="20"/>
          <w:szCs w:val="20"/>
        </w:rPr>
        <w:t>Peněžní prostředky jsou uváděny včetně DPH, není-li uvedeno jinak</w:t>
      </w:r>
      <w:bookmarkEnd w:id="12"/>
      <w:r w:rsidRPr="00247CAB">
        <w:rPr>
          <w:rFonts w:asciiTheme="minorHAnsi" w:hAnsiTheme="minorHAnsi"/>
          <w:sz w:val="20"/>
          <w:szCs w:val="20"/>
        </w:rPr>
        <w:t>.</w:t>
      </w:r>
    </w:p>
    <w:p w14:paraId="14FF1410" w14:textId="3FA6E728" w:rsidR="00C90D00" w:rsidRPr="00247CAB" w:rsidRDefault="00366984" w:rsidP="00776236">
      <w:pPr>
        <w:pStyle w:val="Nadpis1"/>
        <w:spacing w:before="720" w:line="240" w:lineRule="auto"/>
        <w:ind w:left="714" w:hanging="357"/>
        <w:rPr>
          <w:rFonts w:asciiTheme="minorHAnsi" w:eastAsia="Times New Roman" w:hAnsiTheme="minorHAnsi"/>
          <w:lang w:eastAsia="cs-CZ"/>
        </w:rPr>
      </w:pPr>
      <w:r w:rsidRPr="00247CAB">
        <w:rPr>
          <w:rFonts w:asciiTheme="minorHAnsi" w:hAnsiTheme="minorHAnsi"/>
          <w:sz w:val="28"/>
          <w:szCs w:val="28"/>
        </w:rPr>
        <w:t>Podrobné skutečnosti zjištěné kontrolou</w:t>
      </w:r>
    </w:p>
    <w:p w14:paraId="18B1666F" w14:textId="6C21D9DE" w:rsidR="00C90D00" w:rsidRPr="008142C5" w:rsidRDefault="00C90D00" w:rsidP="001E51C9">
      <w:pPr>
        <w:pStyle w:val="Nadpis2"/>
        <w:contextualSpacing w:val="0"/>
        <w:rPr>
          <w:rFonts w:asciiTheme="minorHAnsi" w:hAnsiTheme="minorHAnsi"/>
        </w:rPr>
      </w:pPr>
      <w:bookmarkStart w:id="13" w:name="_Hlk131579146"/>
      <w:r w:rsidRPr="008142C5">
        <w:rPr>
          <w:rFonts w:asciiTheme="minorHAnsi" w:hAnsiTheme="minorHAnsi"/>
        </w:rPr>
        <w:t>M</w:t>
      </w:r>
      <w:r w:rsidR="004428F0" w:rsidRPr="008142C5">
        <w:rPr>
          <w:rFonts w:asciiTheme="minorHAnsi" w:hAnsiTheme="minorHAnsi"/>
        </w:rPr>
        <w:t>inisterstvo financí</w:t>
      </w:r>
      <w:r w:rsidRPr="008142C5">
        <w:rPr>
          <w:rFonts w:asciiTheme="minorHAnsi" w:hAnsiTheme="minorHAnsi"/>
        </w:rPr>
        <w:t xml:space="preserve"> nezajistilo dotčen</w:t>
      </w:r>
      <w:r w:rsidR="000A1EBB" w:rsidRPr="008142C5">
        <w:rPr>
          <w:rFonts w:asciiTheme="minorHAnsi" w:hAnsiTheme="minorHAnsi"/>
        </w:rPr>
        <w:t>ým</w:t>
      </w:r>
      <w:r w:rsidRPr="008142C5">
        <w:rPr>
          <w:rFonts w:asciiTheme="minorHAnsi" w:hAnsiTheme="minorHAnsi"/>
        </w:rPr>
        <w:t xml:space="preserve"> orgán</w:t>
      </w:r>
      <w:r w:rsidR="000A1EBB" w:rsidRPr="008142C5">
        <w:rPr>
          <w:rFonts w:asciiTheme="minorHAnsi" w:hAnsiTheme="minorHAnsi"/>
        </w:rPr>
        <w:t>ům</w:t>
      </w:r>
      <w:r w:rsidRPr="008142C5">
        <w:rPr>
          <w:rFonts w:asciiTheme="minorHAnsi" w:hAnsiTheme="minorHAnsi"/>
        </w:rPr>
        <w:t xml:space="preserve"> veřejné správy v oblasti hazardních her informační </w:t>
      </w:r>
      <w:r w:rsidR="00807D8B" w:rsidRPr="008142C5">
        <w:rPr>
          <w:rFonts w:asciiTheme="minorHAnsi" w:hAnsiTheme="minorHAnsi"/>
        </w:rPr>
        <w:t>podporu</w:t>
      </w:r>
      <w:r w:rsidRPr="008142C5">
        <w:rPr>
          <w:rFonts w:asciiTheme="minorHAnsi" w:hAnsiTheme="minorHAnsi"/>
        </w:rPr>
        <w:t xml:space="preserve"> pro efektivní výkon dozoru a správu daní z hazardních her</w:t>
      </w:r>
    </w:p>
    <w:bookmarkEnd w:id="13"/>
    <w:p w14:paraId="44BAE4A3" w14:textId="77777777" w:rsidR="00C90D00" w:rsidRPr="006D517C" w:rsidRDefault="00C90D00" w:rsidP="001E51C9">
      <w:pPr>
        <w:pStyle w:val="Default"/>
        <w:spacing w:before="240" w:after="120"/>
        <w:rPr>
          <w:rFonts w:asciiTheme="minorHAnsi" w:eastAsia="Times New Roman" w:hAnsiTheme="minorHAnsi" w:cstheme="minorHAnsi"/>
          <w:b/>
          <w:color w:val="auto"/>
          <w:lang w:eastAsia="cs-CZ"/>
        </w:rPr>
      </w:pPr>
      <w:r w:rsidRPr="006D517C">
        <w:rPr>
          <w:rFonts w:asciiTheme="minorHAnsi" w:eastAsia="Times New Roman" w:hAnsiTheme="minorHAnsi" w:cstheme="minorHAnsi"/>
          <w:b/>
          <w:color w:val="auto"/>
          <w:lang w:eastAsia="cs-CZ"/>
        </w:rPr>
        <w:t>Informační systém SDSL:</w:t>
      </w:r>
    </w:p>
    <w:p w14:paraId="50E216C8" w14:textId="3DBC5AB4" w:rsidR="00C90D00" w:rsidRPr="00627344" w:rsidRDefault="00C90D00" w:rsidP="00A36482">
      <w:pPr>
        <w:pStyle w:val="Odstavecseseznamem"/>
        <w:numPr>
          <w:ilvl w:val="1"/>
          <w:numId w:val="17"/>
        </w:numPr>
        <w:spacing w:after="120"/>
        <w:ind w:left="0" w:firstLine="0"/>
        <w:contextualSpacing w:val="0"/>
        <w:rPr>
          <w:rFonts w:asciiTheme="minorHAnsi" w:hAnsiTheme="minorHAnsi" w:cstheme="minorHAnsi"/>
          <w:sz w:val="24"/>
          <w:szCs w:val="24"/>
        </w:rPr>
      </w:pPr>
      <w:r w:rsidRPr="00627344">
        <w:rPr>
          <w:rFonts w:asciiTheme="minorHAnsi" w:hAnsiTheme="minorHAnsi" w:cstheme="minorHAnsi"/>
          <w:sz w:val="24"/>
          <w:szCs w:val="24"/>
        </w:rPr>
        <w:t xml:space="preserve">IS SDSL </w:t>
      </w:r>
      <w:r w:rsidRPr="003C2C4A">
        <w:rPr>
          <w:rFonts w:asciiTheme="minorHAnsi" w:hAnsiTheme="minorHAnsi" w:cstheme="minorHAnsi"/>
          <w:sz w:val="24"/>
          <w:szCs w:val="24"/>
        </w:rPr>
        <w:t xml:space="preserve">naplňuje potřeby </w:t>
      </w:r>
      <w:r w:rsidR="00962FD4" w:rsidRPr="003C2C4A">
        <w:rPr>
          <w:rFonts w:asciiTheme="minorHAnsi" w:hAnsiTheme="minorHAnsi" w:cstheme="minorHAnsi"/>
          <w:sz w:val="24"/>
          <w:szCs w:val="24"/>
        </w:rPr>
        <w:t xml:space="preserve">dotčených orgánů </w:t>
      </w:r>
      <w:r w:rsidRPr="003C2C4A">
        <w:rPr>
          <w:rFonts w:asciiTheme="minorHAnsi" w:hAnsiTheme="minorHAnsi" w:cstheme="minorHAnsi"/>
          <w:sz w:val="24"/>
          <w:szCs w:val="24"/>
        </w:rPr>
        <w:t xml:space="preserve">veřejné správy z cca 20 %. </w:t>
      </w:r>
      <w:r w:rsidR="00755B2F">
        <w:rPr>
          <w:rFonts w:asciiTheme="minorHAnsi" w:hAnsiTheme="minorHAnsi" w:cstheme="minorHAnsi"/>
          <w:sz w:val="24"/>
          <w:szCs w:val="24"/>
        </w:rPr>
        <w:t>V roce 2016 MF předpokládalo jeho souběžný provoz s novým AISG do 31. 12. 2019. Podle smlouvy o dodávce AISG měl</w:t>
      </w:r>
      <w:r w:rsidR="00755B2F" w:rsidRPr="003C2C4A">
        <w:rPr>
          <w:rFonts w:asciiTheme="minorHAnsi" w:hAnsiTheme="minorHAnsi" w:cstheme="minorHAnsi"/>
          <w:sz w:val="24"/>
          <w:szCs w:val="24"/>
        </w:rPr>
        <w:t xml:space="preserve"> </w:t>
      </w:r>
      <w:r w:rsidR="00755B2F">
        <w:rPr>
          <w:rFonts w:asciiTheme="minorHAnsi" w:hAnsiTheme="minorHAnsi" w:cstheme="minorHAnsi"/>
          <w:sz w:val="24"/>
          <w:szCs w:val="24"/>
        </w:rPr>
        <w:t xml:space="preserve">jeho funkce převzít </w:t>
      </w:r>
      <w:r w:rsidR="00C1258F" w:rsidRPr="00C1258F">
        <w:rPr>
          <w:rFonts w:asciiTheme="minorHAnsi" w:hAnsiTheme="minorHAnsi" w:cstheme="minorHAnsi"/>
          <w:sz w:val="24"/>
          <w:szCs w:val="24"/>
        </w:rPr>
        <w:t>správní modul AISG (dále také „SM AISG“)</w:t>
      </w:r>
      <w:r w:rsidR="00021FD9" w:rsidRPr="003C2C4A">
        <w:rPr>
          <w:rFonts w:asciiTheme="minorHAnsi" w:hAnsiTheme="minorHAnsi" w:cstheme="minorHAnsi"/>
          <w:sz w:val="24"/>
          <w:szCs w:val="24"/>
        </w:rPr>
        <w:t xml:space="preserve"> </w:t>
      </w:r>
      <w:r w:rsidR="00755B2F">
        <w:rPr>
          <w:rFonts w:asciiTheme="minorHAnsi" w:hAnsiTheme="minorHAnsi" w:cstheme="minorHAnsi"/>
          <w:sz w:val="24"/>
          <w:szCs w:val="24"/>
        </w:rPr>
        <w:t>do konce roku 2020</w:t>
      </w:r>
      <w:r w:rsidR="00D3248A" w:rsidRPr="00627344">
        <w:rPr>
          <w:rFonts w:asciiTheme="minorHAnsi" w:hAnsiTheme="minorHAnsi" w:cstheme="minorHAnsi"/>
          <w:sz w:val="24"/>
          <w:szCs w:val="24"/>
        </w:rPr>
        <w:t xml:space="preserve">. MF </w:t>
      </w:r>
      <w:r w:rsidR="00C1258F">
        <w:rPr>
          <w:rFonts w:asciiTheme="minorHAnsi" w:hAnsiTheme="minorHAnsi" w:cstheme="minorHAnsi"/>
          <w:sz w:val="24"/>
          <w:szCs w:val="24"/>
        </w:rPr>
        <w:t>však</w:t>
      </w:r>
      <w:r w:rsidR="00D3248A" w:rsidRPr="00627344">
        <w:rPr>
          <w:rFonts w:asciiTheme="minorHAnsi" w:hAnsiTheme="minorHAnsi" w:cstheme="minorHAnsi"/>
          <w:sz w:val="24"/>
          <w:szCs w:val="24"/>
        </w:rPr>
        <w:t xml:space="preserve"> do doby ukončení kontroly celý SM AISG nevybudovalo a neuvedlo do provozu. </w:t>
      </w:r>
      <w:r w:rsidR="00C1258F" w:rsidRPr="00627344">
        <w:rPr>
          <w:rFonts w:asciiTheme="minorHAnsi" w:hAnsiTheme="minorHAnsi" w:cstheme="minorHAnsi"/>
          <w:sz w:val="24"/>
          <w:szCs w:val="24"/>
        </w:rPr>
        <w:t>MF</w:t>
      </w:r>
      <w:r w:rsidR="003276AF">
        <w:rPr>
          <w:rFonts w:asciiTheme="minorHAnsi" w:hAnsiTheme="minorHAnsi" w:cstheme="minorHAnsi"/>
          <w:sz w:val="24"/>
          <w:szCs w:val="24"/>
        </w:rPr>
        <w:t xml:space="preserve"> </w:t>
      </w:r>
      <w:r w:rsidR="00767620">
        <w:rPr>
          <w:rFonts w:asciiTheme="minorHAnsi" w:hAnsiTheme="minorHAnsi" w:cstheme="minorHAnsi"/>
          <w:sz w:val="24"/>
          <w:szCs w:val="24"/>
        </w:rPr>
        <w:br/>
      </w:r>
      <w:r w:rsidR="00C1258F" w:rsidRPr="00627344">
        <w:rPr>
          <w:rFonts w:asciiTheme="minorHAnsi" w:hAnsiTheme="minorHAnsi" w:cstheme="minorHAnsi"/>
          <w:sz w:val="24"/>
          <w:szCs w:val="24"/>
        </w:rPr>
        <w:t xml:space="preserve">a další orgány veřejné moci spolupracující na agendě hazardních her </w:t>
      </w:r>
      <w:r w:rsidR="00C1258F">
        <w:rPr>
          <w:rFonts w:asciiTheme="minorHAnsi" w:hAnsiTheme="minorHAnsi" w:cstheme="minorHAnsi"/>
          <w:sz w:val="24"/>
          <w:szCs w:val="24"/>
        </w:rPr>
        <w:t xml:space="preserve">proto stále </w:t>
      </w:r>
      <w:r w:rsidR="00C1258F" w:rsidRPr="00627344">
        <w:rPr>
          <w:rFonts w:asciiTheme="minorHAnsi" w:hAnsiTheme="minorHAnsi" w:cstheme="minorHAnsi"/>
          <w:sz w:val="24"/>
          <w:szCs w:val="24"/>
        </w:rPr>
        <w:t>využívají IS</w:t>
      </w:r>
      <w:r w:rsidR="00D46021">
        <w:rPr>
          <w:rFonts w:asciiTheme="minorHAnsi" w:hAnsiTheme="minorHAnsi" w:cstheme="minorHAnsi"/>
          <w:sz w:val="24"/>
          <w:szCs w:val="24"/>
        </w:rPr>
        <w:t> </w:t>
      </w:r>
      <w:r w:rsidR="00C1258F" w:rsidRPr="00627344">
        <w:rPr>
          <w:rFonts w:asciiTheme="minorHAnsi" w:hAnsiTheme="minorHAnsi" w:cstheme="minorHAnsi"/>
          <w:sz w:val="24"/>
          <w:szCs w:val="24"/>
        </w:rPr>
        <w:t>SDSL</w:t>
      </w:r>
      <w:r w:rsidR="00D46021">
        <w:rPr>
          <w:rFonts w:asciiTheme="minorHAnsi" w:hAnsiTheme="minorHAnsi" w:cstheme="minorHAnsi"/>
          <w:sz w:val="24"/>
          <w:szCs w:val="24"/>
        </w:rPr>
        <w:t>,</w:t>
      </w:r>
      <w:r w:rsidR="00C1258F" w:rsidRPr="00627344">
        <w:rPr>
          <w:rFonts w:asciiTheme="minorHAnsi" w:hAnsiTheme="minorHAnsi" w:cstheme="minorHAnsi"/>
          <w:sz w:val="24"/>
          <w:szCs w:val="24"/>
        </w:rPr>
        <w:t xml:space="preserve"> např</w:t>
      </w:r>
      <w:r w:rsidR="003C2C4A">
        <w:rPr>
          <w:rFonts w:asciiTheme="minorHAnsi" w:hAnsiTheme="minorHAnsi" w:cstheme="minorHAnsi"/>
          <w:sz w:val="24"/>
          <w:szCs w:val="24"/>
        </w:rPr>
        <w:t>.</w:t>
      </w:r>
      <w:r w:rsidR="00C1258F" w:rsidRPr="00627344">
        <w:rPr>
          <w:rFonts w:asciiTheme="minorHAnsi" w:hAnsiTheme="minorHAnsi" w:cstheme="minorHAnsi"/>
          <w:sz w:val="24"/>
          <w:szCs w:val="24"/>
        </w:rPr>
        <w:t xml:space="preserve"> pro povolovací řízení, povolení k umístění herního prostoru, ohlášení hazardní hry, dozorové činnosti či poskytování informací. </w:t>
      </w:r>
      <w:r w:rsidR="003C2C4A">
        <w:rPr>
          <w:rFonts w:asciiTheme="minorHAnsi" w:hAnsiTheme="minorHAnsi" w:cstheme="minorHAnsi"/>
          <w:sz w:val="24"/>
          <w:szCs w:val="24"/>
        </w:rPr>
        <w:t>Jedná se</w:t>
      </w:r>
      <w:r w:rsidR="00C1258F" w:rsidRPr="00627344">
        <w:rPr>
          <w:rFonts w:asciiTheme="minorHAnsi" w:hAnsiTheme="minorHAnsi" w:cstheme="minorHAnsi"/>
          <w:sz w:val="24"/>
          <w:szCs w:val="24"/>
        </w:rPr>
        <w:t xml:space="preserve"> o více než 1 000 uživatelů. </w:t>
      </w:r>
      <w:r w:rsidR="006A603B" w:rsidRPr="00627344">
        <w:rPr>
          <w:rFonts w:asciiTheme="minorHAnsi" w:hAnsiTheme="minorHAnsi" w:cstheme="minorHAnsi"/>
          <w:sz w:val="24"/>
          <w:szCs w:val="24"/>
        </w:rPr>
        <w:t>Po 31. 12. 2022 přestaly mít činnosti vyplývající z</w:t>
      </w:r>
      <w:r w:rsidR="003C2C4A">
        <w:rPr>
          <w:rFonts w:asciiTheme="minorHAnsi" w:hAnsiTheme="minorHAnsi" w:cstheme="minorHAnsi"/>
          <w:sz w:val="24"/>
          <w:szCs w:val="24"/>
        </w:rPr>
        <w:t> </w:t>
      </w:r>
      <w:r w:rsidR="006A603B" w:rsidRPr="00627344">
        <w:rPr>
          <w:rFonts w:asciiTheme="minorHAnsi" w:hAnsiTheme="minorHAnsi" w:cstheme="minorHAnsi"/>
          <w:sz w:val="24"/>
          <w:szCs w:val="24"/>
        </w:rPr>
        <w:t>původní prá</w:t>
      </w:r>
      <w:r w:rsidR="00382B7F" w:rsidRPr="00627344">
        <w:rPr>
          <w:rFonts w:asciiTheme="minorHAnsi" w:hAnsiTheme="minorHAnsi" w:cstheme="minorHAnsi"/>
          <w:sz w:val="24"/>
          <w:szCs w:val="24"/>
        </w:rPr>
        <w:t>v</w:t>
      </w:r>
      <w:r w:rsidR="006A603B" w:rsidRPr="00627344">
        <w:rPr>
          <w:rFonts w:asciiTheme="minorHAnsi" w:hAnsiTheme="minorHAnsi" w:cstheme="minorHAnsi"/>
          <w:sz w:val="24"/>
          <w:szCs w:val="24"/>
        </w:rPr>
        <w:t>ní úpravy oporu v</w:t>
      </w:r>
      <w:r w:rsidR="003C2C4A">
        <w:rPr>
          <w:rFonts w:asciiTheme="minorHAnsi" w:hAnsiTheme="minorHAnsi" w:cstheme="minorHAnsi"/>
          <w:sz w:val="24"/>
          <w:szCs w:val="24"/>
        </w:rPr>
        <w:t> </w:t>
      </w:r>
      <w:r w:rsidR="006A603B" w:rsidRPr="00627344">
        <w:rPr>
          <w:rFonts w:asciiTheme="minorHAnsi" w:hAnsiTheme="minorHAnsi" w:cstheme="minorHAnsi"/>
          <w:sz w:val="24"/>
          <w:szCs w:val="24"/>
        </w:rPr>
        <w:t>právních předpisech</w:t>
      </w:r>
      <w:r w:rsidR="001623FF" w:rsidRPr="00627344">
        <w:rPr>
          <w:rStyle w:val="Znakapoznpodarou"/>
          <w:rFonts w:asciiTheme="minorHAnsi" w:hAnsiTheme="minorHAnsi" w:cstheme="minorHAnsi"/>
          <w:sz w:val="24"/>
          <w:szCs w:val="24"/>
        </w:rPr>
        <w:footnoteReference w:id="21"/>
      </w:r>
      <w:r w:rsidR="00462236" w:rsidRPr="00627344">
        <w:rPr>
          <w:rFonts w:asciiTheme="minorHAnsi" w:hAnsiTheme="minorHAnsi" w:cstheme="minorHAnsi"/>
          <w:sz w:val="24"/>
          <w:szCs w:val="24"/>
        </w:rPr>
        <w:t>.</w:t>
      </w:r>
      <w:r w:rsidRPr="00627344">
        <w:rPr>
          <w:rFonts w:asciiTheme="minorHAnsi" w:hAnsiTheme="minorHAnsi" w:cstheme="minorHAnsi"/>
          <w:sz w:val="24"/>
          <w:szCs w:val="24"/>
        </w:rPr>
        <w:t xml:space="preserve"> </w:t>
      </w:r>
      <w:r w:rsidR="009E7F15" w:rsidRPr="00627344">
        <w:rPr>
          <w:rFonts w:asciiTheme="minorHAnsi" w:hAnsiTheme="minorHAnsi" w:cstheme="minorHAnsi"/>
          <w:sz w:val="24"/>
          <w:szCs w:val="24"/>
        </w:rPr>
        <w:t>P</w:t>
      </w:r>
      <w:r w:rsidRPr="00627344">
        <w:rPr>
          <w:rFonts w:asciiTheme="minorHAnsi" w:hAnsiTheme="minorHAnsi" w:cstheme="minorHAnsi"/>
          <w:sz w:val="24"/>
          <w:szCs w:val="24"/>
        </w:rPr>
        <w:t xml:space="preserve">rovoz, údržba a rozvoj IS SDSL </w:t>
      </w:r>
      <w:r w:rsidR="009E7F15" w:rsidRPr="00627344">
        <w:rPr>
          <w:rFonts w:asciiTheme="minorHAnsi" w:hAnsiTheme="minorHAnsi" w:cstheme="minorHAnsi"/>
          <w:sz w:val="24"/>
          <w:szCs w:val="24"/>
        </w:rPr>
        <w:t xml:space="preserve">po tomto datu </w:t>
      </w:r>
      <w:r w:rsidRPr="00627344">
        <w:rPr>
          <w:rFonts w:asciiTheme="minorHAnsi" w:hAnsiTheme="minorHAnsi" w:cstheme="minorHAnsi"/>
          <w:sz w:val="24"/>
          <w:szCs w:val="24"/>
        </w:rPr>
        <w:t>v</w:t>
      </w:r>
      <w:r w:rsidR="003C2C4A">
        <w:rPr>
          <w:rFonts w:asciiTheme="minorHAnsi" w:hAnsiTheme="minorHAnsi" w:cstheme="minorHAnsi"/>
          <w:sz w:val="24"/>
          <w:szCs w:val="24"/>
        </w:rPr>
        <w:t> </w:t>
      </w:r>
      <w:r w:rsidRPr="00627344">
        <w:rPr>
          <w:rFonts w:asciiTheme="minorHAnsi" w:hAnsiTheme="minorHAnsi" w:cstheme="minorHAnsi"/>
          <w:sz w:val="24"/>
          <w:szCs w:val="24"/>
        </w:rPr>
        <w:t>souběžném provozu s</w:t>
      </w:r>
      <w:r w:rsidR="003C2C4A">
        <w:rPr>
          <w:rFonts w:asciiTheme="minorHAnsi" w:hAnsiTheme="minorHAnsi" w:cstheme="minorHAnsi"/>
          <w:sz w:val="24"/>
          <w:szCs w:val="24"/>
        </w:rPr>
        <w:t> </w:t>
      </w:r>
      <w:r w:rsidRPr="00627344">
        <w:rPr>
          <w:rFonts w:asciiTheme="minorHAnsi" w:hAnsiTheme="minorHAnsi" w:cstheme="minorHAnsi"/>
          <w:sz w:val="24"/>
          <w:szCs w:val="24"/>
        </w:rPr>
        <w:t xml:space="preserve">AISG </w:t>
      </w:r>
      <w:r w:rsidR="009E7F15" w:rsidRPr="00627344">
        <w:rPr>
          <w:rFonts w:asciiTheme="minorHAnsi" w:hAnsiTheme="minorHAnsi" w:cstheme="minorHAnsi"/>
          <w:sz w:val="24"/>
          <w:szCs w:val="24"/>
        </w:rPr>
        <w:t>představ</w:t>
      </w:r>
      <w:r w:rsidR="00F805B4" w:rsidRPr="00627344">
        <w:rPr>
          <w:rFonts w:asciiTheme="minorHAnsi" w:hAnsiTheme="minorHAnsi" w:cstheme="minorHAnsi"/>
          <w:sz w:val="24"/>
          <w:szCs w:val="24"/>
        </w:rPr>
        <w:t>ovaly v</w:t>
      </w:r>
      <w:r w:rsidR="003C2C4A">
        <w:rPr>
          <w:rFonts w:asciiTheme="minorHAnsi" w:hAnsiTheme="minorHAnsi" w:cstheme="minorHAnsi"/>
          <w:sz w:val="24"/>
          <w:szCs w:val="24"/>
        </w:rPr>
        <w:t> </w:t>
      </w:r>
      <w:r w:rsidR="00F805B4" w:rsidRPr="00627344">
        <w:rPr>
          <w:rFonts w:asciiTheme="minorHAnsi" w:hAnsiTheme="minorHAnsi" w:cstheme="minorHAnsi"/>
          <w:sz w:val="24"/>
          <w:szCs w:val="24"/>
        </w:rPr>
        <w:t>době kont</w:t>
      </w:r>
      <w:r w:rsidR="00444053" w:rsidRPr="00627344">
        <w:rPr>
          <w:rFonts w:asciiTheme="minorHAnsi" w:hAnsiTheme="minorHAnsi" w:cstheme="minorHAnsi"/>
          <w:sz w:val="24"/>
          <w:szCs w:val="24"/>
        </w:rPr>
        <w:t>r</w:t>
      </w:r>
      <w:r w:rsidR="00F805B4" w:rsidRPr="00627344">
        <w:rPr>
          <w:rFonts w:asciiTheme="minorHAnsi" w:hAnsiTheme="minorHAnsi" w:cstheme="minorHAnsi"/>
          <w:sz w:val="24"/>
          <w:szCs w:val="24"/>
        </w:rPr>
        <w:t>oly</w:t>
      </w:r>
      <w:r w:rsidR="009E7F15" w:rsidRPr="00627344">
        <w:rPr>
          <w:rFonts w:asciiTheme="minorHAnsi" w:hAnsiTheme="minorHAnsi" w:cstheme="minorHAnsi"/>
          <w:sz w:val="24"/>
          <w:szCs w:val="24"/>
        </w:rPr>
        <w:t xml:space="preserve"> </w:t>
      </w:r>
      <w:r w:rsidRPr="00627344">
        <w:rPr>
          <w:rFonts w:asciiTheme="minorHAnsi" w:hAnsiTheme="minorHAnsi" w:cstheme="minorHAnsi"/>
          <w:sz w:val="24"/>
          <w:szCs w:val="24"/>
        </w:rPr>
        <w:t>riziko neúčelných a nehospodárných výdajů</w:t>
      </w:r>
      <w:r w:rsidR="003C2C4A">
        <w:rPr>
          <w:rFonts w:asciiTheme="minorHAnsi" w:hAnsiTheme="minorHAnsi" w:cstheme="minorHAnsi"/>
          <w:sz w:val="24"/>
          <w:szCs w:val="24"/>
        </w:rPr>
        <w:t>.</w:t>
      </w:r>
      <w:r w:rsidR="0068036F" w:rsidRPr="00627344">
        <w:rPr>
          <w:rFonts w:asciiTheme="minorHAnsi" w:hAnsiTheme="minorHAnsi" w:cstheme="minorHAnsi"/>
          <w:sz w:val="24"/>
          <w:szCs w:val="24"/>
        </w:rPr>
        <w:t xml:space="preserve"> </w:t>
      </w:r>
    </w:p>
    <w:p w14:paraId="0AA292A7" w14:textId="51FB98A5" w:rsidR="002F446C" w:rsidRPr="002B3731" w:rsidRDefault="00C90D00" w:rsidP="00331CC1">
      <w:pPr>
        <w:pStyle w:val="Odstavecseseznamem"/>
        <w:numPr>
          <w:ilvl w:val="1"/>
          <w:numId w:val="17"/>
        </w:numPr>
        <w:spacing w:after="120"/>
        <w:ind w:left="0" w:firstLine="0"/>
        <w:contextualSpacing w:val="0"/>
      </w:pPr>
      <w:r w:rsidRPr="009626B3">
        <w:rPr>
          <w:rFonts w:asciiTheme="minorHAnsi" w:eastAsiaTheme="minorEastAsia" w:hAnsiTheme="minorHAnsi" w:cstheme="minorHAnsi"/>
          <w:sz w:val="24"/>
          <w:szCs w:val="24"/>
        </w:rPr>
        <w:t>Rozvoj IS SDSL</w:t>
      </w:r>
      <w:r w:rsidRPr="002F446C">
        <w:rPr>
          <w:rFonts w:asciiTheme="minorHAnsi" w:eastAsiaTheme="minorEastAsia" w:hAnsiTheme="minorHAnsi" w:cstheme="minorHAnsi"/>
          <w:sz w:val="24"/>
          <w:szCs w:val="24"/>
        </w:rPr>
        <w:t xml:space="preserve"> byl zajištěn </w:t>
      </w:r>
      <w:r w:rsidRPr="002F446C">
        <w:rPr>
          <w:rFonts w:asciiTheme="minorHAnsi" w:eastAsiaTheme="minorEastAsia" w:hAnsiTheme="minorHAnsi" w:cstheme="minorHAnsi"/>
          <w:i/>
          <w:sz w:val="24"/>
          <w:szCs w:val="24"/>
        </w:rPr>
        <w:t>Smlouvou o metodické a technické podpoře IS SDSL</w:t>
      </w:r>
      <w:r w:rsidRPr="002F446C">
        <w:rPr>
          <w:rFonts w:asciiTheme="minorHAnsi" w:eastAsiaTheme="minorEastAsia" w:hAnsiTheme="minorHAnsi" w:cstheme="minorHAnsi"/>
          <w:sz w:val="24"/>
          <w:szCs w:val="24"/>
        </w:rPr>
        <w:t xml:space="preserve"> ze dne 16. 2. 2009. MF na jejím základě hradilo čtvrtletně 205</w:t>
      </w:r>
      <w:r w:rsidR="00755B2F" w:rsidRPr="002F446C">
        <w:rPr>
          <w:rFonts w:asciiTheme="minorHAnsi" w:eastAsiaTheme="minorEastAsia" w:hAnsiTheme="minorHAnsi" w:cstheme="minorHAnsi"/>
          <w:sz w:val="24"/>
          <w:szCs w:val="24"/>
        </w:rPr>
        <w:t xml:space="preserve">,7 tis. </w:t>
      </w:r>
      <w:r w:rsidR="002D0B0C" w:rsidRPr="002F446C">
        <w:rPr>
          <w:rFonts w:asciiTheme="minorHAnsi" w:eastAsiaTheme="minorEastAsia" w:hAnsiTheme="minorHAnsi" w:cstheme="minorHAnsi"/>
          <w:sz w:val="24"/>
          <w:szCs w:val="24"/>
        </w:rPr>
        <w:t>Kč</w:t>
      </w:r>
      <w:r w:rsidRPr="002F446C">
        <w:rPr>
          <w:rFonts w:asciiTheme="minorHAnsi" w:eastAsiaTheme="minorEastAsia" w:hAnsiTheme="minorHAnsi" w:cstheme="minorHAnsi"/>
          <w:sz w:val="24"/>
          <w:szCs w:val="24"/>
        </w:rPr>
        <w:t xml:space="preserve">. Nad rámec této smlouvy </w:t>
      </w:r>
      <w:r w:rsidR="00567C41" w:rsidRPr="002F446C">
        <w:rPr>
          <w:rFonts w:asciiTheme="minorHAnsi" w:eastAsiaTheme="minorEastAsia" w:hAnsiTheme="minorHAnsi" w:cstheme="minorHAnsi"/>
          <w:sz w:val="24"/>
          <w:szCs w:val="24"/>
        </w:rPr>
        <w:t xml:space="preserve">na rozvoj IS SDSL uhradilo MF </w:t>
      </w:r>
      <w:r w:rsidRPr="002F446C">
        <w:rPr>
          <w:rFonts w:asciiTheme="minorHAnsi" w:eastAsiaTheme="minorEastAsia" w:hAnsiTheme="minorHAnsi" w:cstheme="minorHAnsi"/>
          <w:sz w:val="24"/>
          <w:szCs w:val="24"/>
        </w:rPr>
        <w:t>od roku 2014 celkem 5</w:t>
      </w:r>
      <w:r w:rsidR="002B0461">
        <w:rPr>
          <w:rFonts w:asciiTheme="minorHAnsi" w:eastAsiaTheme="minorEastAsia" w:hAnsiTheme="minorHAnsi" w:cstheme="minorHAnsi"/>
          <w:sz w:val="24"/>
          <w:szCs w:val="24"/>
        </w:rPr>
        <w:t>,</w:t>
      </w:r>
      <w:r w:rsidRPr="002F446C">
        <w:rPr>
          <w:rFonts w:asciiTheme="minorHAnsi" w:eastAsiaTheme="minorEastAsia" w:hAnsiTheme="minorHAnsi" w:cstheme="minorHAnsi"/>
          <w:sz w:val="24"/>
          <w:szCs w:val="24"/>
        </w:rPr>
        <w:t>6</w:t>
      </w:r>
      <w:r w:rsidR="002B0461">
        <w:rPr>
          <w:rFonts w:asciiTheme="minorHAnsi" w:eastAsiaTheme="minorEastAsia" w:hAnsiTheme="minorHAnsi" w:cstheme="minorHAnsi"/>
          <w:sz w:val="24"/>
          <w:szCs w:val="24"/>
        </w:rPr>
        <w:t xml:space="preserve"> mil.</w:t>
      </w:r>
      <w:r w:rsidR="00755B2F" w:rsidRPr="002F446C">
        <w:rPr>
          <w:rFonts w:asciiTheme="minorHAnsi" w:eastAsiaTheme="minorEastAsia" w:hAnsiTheme="minorHAnsi" w:cstheme="minorHAnsi"/>
          <w:sz w:val="24"/>
          <w:szCs w:val="24"/>
        </w:rPr>
        <w:t xml:space="preserve"> </w:t>
      </w:r>
      <w:r w:rsidRPr="002F446C">
        <w:rPr>
          <w:rFonts w:asciiTheme="minorHAnsi" w:eastAsiaTheme="minorEastAsia" w:hAnsiTheme="minorHAnsi" w:cstheme="minorHAnsi"/>
          <w:sz w:val="24"/>
          <w:szCs w:val="24"/>
        </w:rPr>
        <w:t>Kč</w:t>
      </w:r>
      <w:r w:rsidR="009A038D" w:rsidRPr="00247CAB">
        <w:rPr>
          <w:rFonts w:asciiTheme="minorHAnsi" w:eastAsiaTheme="minorEastAsia" w:hAnsiTheme="minorHAnsi" w:cstheme="minorHAnsi"/>
          <w:sz w:val="24"/>
          <w:szCs w:val="24"/>
        </w:rPr>
        <w:t>,</w:t>
      </w:r>
      <w:r w:rsidR="009A038D">
        <w:rPr>
          <w:rFonts w:asciiTheme="minorHAnsi" w:eastAsiaTheme="minorEastAsia" w:hAnsiTheme="minorHAnsi" w:cstheme="minorHAnsi"/>
          <w:i/>
          <w:sz w:val="24"/>
          <w:szCs w:val="24"/>
        </w:rPr>
        <w:t xml:space="preserve"> </w:t>
      </w:r>
      <w:r w:rsidR="009A038D" w:rsidRPr="00DB2C7A">
        <w:rPr>
          <w:rFonts w:asciiTheme="minorHAnsi" w:eastAsiaTheme="minorEastAsia" w:hAnsiTheme="minorHAnsi" w:cstheme="minorHAnsi"/>
          <w:sz w:val="24"/>
          <w:szCs w:val="24"/>
        </w:rPr>
        <w:t xml:space="preserve">čímž </w:t>
      </w:r>
      <w:r w:rsidR="009A038D">
        <w:rPr>
          <w:rFonts w:asciiTheme="minorHAnsi" w:eastAsiaTheme="minorEastAsia" w:hAnsiTheme="minorHAnsi" w:cstheme="minorHAnsi"/>
          <w:sz w:val="24"/>
          <w:szCs w:val="24"/>
        </w:rPr>
        <w:t xml:space="preserve">nesplnilo </w:t>
      </w:r>
      <w:r w:rsidR="005F6458">
        <w:rPr>
          <w:rFonts w:asciiTheme="minorHAnsi" w:eastAsiaTheme="minorEastAsia" w:hAnsiTheme="minorHAnsi" w:cstheme="minorHAnsi"/>
          <w:sz w:val="24"/>
          <w:szCs w:val="24"/>
        </w:rPr>
        <w:t>opatření</w:t>
      </w:r>
      <w:r w:rsidR="009626B3">
        <w:rPr>
          <w:rFonts w:asciiTheme="minorHAnsi" w:eastAsiaTheme="minorEastAsia" w:hAnsiTheme="minorHAnsi" w:cstheme="minorHAnsi"/>
          <w:sz w:val="24"/>
          <w:szCs w:val="24"/>
        </w:rPr>
        <w:t xml:space="preserve"> uložené usnesení</w:t>
      </w:r>
      <w:r w:rsidR="00F81DB9">
        <w:rPr>
          <w:rFonts w:asciiTheme="minorHAnsi" w:eastAsiaTheme="minorEastAsia" w:hAnsiTheme="minorHAnsi" w:cstheme="minorHAnsi"/>
          <w:sz w:val="24"/>
          <w:szCs w:val="24"/>
        </w:rPr>
        <w:t>m</w:t>
      </w:r>
      <w:r w:rsidR="009626B3">
        <w:rPr>
          <w:rFonts w:asciiTheme="minorHAnsi" w:eastAsiaTheme="minorEastAsia" w:hAnsiTheme="minorHAnsi" w:cstheme="minorHAnsi"/>
          <w:sz w:val="24"/>
          <w:szCs w:val="24"/>
        </w:rPr>
        <w:t xml:space="preserve"> vlády </w:t>
      </w:r>
      <w:r w:rsidR="00F81DB9">
        <w:rPr>
          <w:rFonts w:asciiTheme="minorHAnsi" w:eastAsiaTheme="minorEastAsia" w:hAnsiTheme="minorHAnsi" w:cstheme="minorHAnsi"/>
          <w:sz w:val="24"/>
          <w:szCs w:val="24"/>
        </w:rPr>
        <w:t xml:space="preserve">ze dne 8. prosince 2014 </w:t>
      </w:r>
      <w:r w:rsidR="009626B3">
        <w:rPr>
          <w:rFonts w:asciiTheme="minorHAnsi" w:eastAsiaTheme="minorEastAsia" w:hAnsiTheme="minorHAnsi" w:cstheme="minorHAnsi"/>
          <w:sz w:val="24"/>
          <w:szCs w:val="24"/>
        </w:rPr>
        <w:t>č. 1019</w:t>
      </w:r>
      <w:r w:rsidR="00F81DB9">
        <w:rPr>
          <w:rFonts w:asciiTheme="minorHAnsi" w:eastAsiaTheme="minorEastAsia" w:hAnsiTheme="minorHAnsi" w:cstheme="minorHAnsi"/>
          <w:sz w:val="24"/>
          <w:szCs w:val="24"/>
        </w:rPr>
        <w:t xml:space="preserve"> </w:t>
      </w:r>
      <w:r w:rsidR="005F6458">
        <w:rPr>
          <w:rFonts w:asciiTheme="minorHAnsi" w:eastAsiaTheme="minorEastAsia" w:hAnsiTheme="minorHAnsi" w:cstheme="minorHAnsi"/>
          <w:sz w:val="24"/>
          <w:szCs w:val="24"/>
        </w:rPr>
        <w:t>k</w:t>
      </w:r>
      <w:r w:rsidR="009C0CAF">
        <w:rPr>
          <w:rFonts w:asciiTheme="minorHAnsi" w:eastAsiaTheme="minorEastAsia" w:hAnsiTheme="minorHAnsi" w:cstheme="minorHAnsi"/>
          <w:sz w:val="24"/>
          <w:szCs w:val="24"/>
        </w:rPr>
        <w:t xml:space="preserve"> odstranění </w:t>
      </w:r>
      <w:r w:rsidR="00F81DB9">
        <w:rPr>
          <w:rFonts w:asciiTheme="minorHAnsi" w:eastAsiaTheme="minorEastAsia" w:hAnsiTheme="minorHAnsi" w:cstheme="minorHAnsi"/>
          <w:sz w:val="24"/>
          <w:szCs w:val="24"/>
        </w:rPr>
        <w:t xml:space="preserve">nedostatků </w:t>
      </w:r>
      <w:r w:rsidR="009C0CAF">
        <w:rPr>
          <w:rFonts w:asciiTheme="minorHAnsi" w:eastAsiaTheme="minorEastAsia" w:hAnsiTheme="minorHAnsi" w:cstheme="minorHAnsi"/>
          <w:sz w:val="24"/>
          <w:szCs w:val="24"/>
        </w:rPr>
        <w:t>z</w:t>
      </w:r>
      <w:r w:rsidR="005F6458">
        <w:rPr>
          <w:rFonts w:asciiTheme="minorHAnsi" w:eastAsiaTheme="minorEastAsia" w:hAnsiTheme="minorHAnsi" w:cstheme="minorHAnsi"/>
          <w:sz w:val="24"/>
          <w:szCs w:val="24"/>
        </w:rPr>
        <w:t>jištěn</w:t>
      </w:r>
      <w:r w:rsidR="009C0CAF">
        <w:rPr>
          <w:rFonts w:asciiTheme="minorHAnsi" w:eastAsiaTheme="minorEastAsia" w:hAnsiTheme="minorHAnsi" w:cstheme="minorHAnsi"/>
          <w:sz w:val="24"/>
          <w:szCs w:val="24"/>
        </w:rPr>
        <w:t>ých</w:t>
      </w:r>
      <w:r w:rsidR="005F6458">
        <w:rPr>
          <w:rFonts w:asciiTheme="minorHAnsi" w:eastAsiaTheme="minorEastAsia" w:hAnsiTheme="minorHAnsi" w:cstheme="minorHAnsi"/>
          <w:sz w:val="24"/>
          <w:szCs w:val="24"/>
        </w:rPr>
        <w:t xml:space="preserve"> kontrolní akc</w:t>
      </w:r>
      <w:r w:rsidR="00F81DB9">
        <w:rPr>
          <w:rFonts w:asciiTheme="minorHAnsi" w:eastAsiaTheme="minorEastAsia" w:hAnsiTheme="minorHAnsi" w:cstheme="minorHAnsi"/>
          <w:sz w:val="24"/>
          <w:szCs w:val="24"/>
        </w:rPr>
        <w:t>í</w:t>
      </w:r>
      <w:r w:rsidR="005F6458">
        <w:rPr>
          <w:rFonts w:asciiTheme="minorHAnsi" w:eastAsiaTheme="minorEastAsia" w:hAnsiTheme="minorHAnsi" w:cstheme="minorHAnsi"/>
          <w:sz w:val="24"/>
          <w:szCs w:val="24"/>
        </w:rPr>
        <w:t xml:space="preserve"> NKÚ č. 13/35</w:t>
      </w:r>
      <w:r w:rsidR="009A038D">
        <w:rPr>
          <w:rFonts w:asciiTheme="minorHAnsi" w:eastAsiaTheme="minorEastAsia" w:hAnsiTheme="minorHAnsi" w:cstheme="minorHAnsi"/>
          <w:sz w:val="24"/>
          <w:szCs w:val="24"/>
        </w:rPr>
        <w:t xml:space="preserve">, </w:t>
      </w:r>
      <w:r w:rsidR="00F81DB9">
        <w:rPr>
          <w:rFonts w:asciiTheme="minorHAnsi" w:eastAsiaTheme="minorEastAsia" w:hAnsiTheme="minorHAnsi" w:cstheme="minorHAnsi"/>
          <w:sz w:val="24"/>
          <w:szCs w:val="24"/>
        </w:rPr>
        <w:t xml:space="preserve">totiž </w:t>
      </w:r>
      <w:r w:rsidR="00A74CD3">
        <w:rPr>
          <w:rFonts w:asciiTheme="minorHAnsi" w:eastAsiaTheme="minorEastAsia" w:hAnsiTheme="minorHAnsi" w:cstheme="minorHAnsi"/>
          <w:sz w:val="24"/>
          <w:szCs w:val="24"/>
        </w:rPr>
        <w:t>že</w:t>
      </w:r>
      <w:r w:rsidR="009A038D">
        <w:rPr>
          <w:rFonts w:asciiTheme="minorHAnsi" w:eastAsiaTheme="minorEastAsia" w:hAnsiTheme="minorHAnsi" w:cstheme="minorHAnsi"/>
          <w:sz w:val="24"/>
          <w:szCs w:val="24"/>
        </w:rPr>
        <w:t xml:space="preserve"> </w:t>
      </w:r>
      <w:r w:rsidR="005F6458" w:rsidRPr="00247CAB">
        <w:rPr>
          <w:sz w:val="24"/>
          <w:szCs w:val="24"/>
        </w:rPr>
        <w:t>„</w:t>
      </w:r>
      <w:r w:rsidR="009A038D" w:rsidRPr="00DB2C7A">
        <w:rPr>
          <w:rFonts w:asciiTheme="minorHAnsi" w:eastAsiaTheme="minorEastAsia" w:hAnsiTheme="minorHAnsi" w:cstheme="minorHAnsi"/>
          <w:i/>
          <w:sz w:val="24"/>
          <w:szCs w:val="24"/>
        </w:rPr>
        <w:t>používaný systém SDSL bude pouze udržován v provozní fázi bez dalších nákladů do jeho rozvoje a optimalizace</w:t>
      </w:r>
      <w:r w:rsidR="009A038D">
        <w:rPr>
          <w:rFonts w:asciiTheme="minorHAnsi" w:eastAsiaTheme="minorEastAsia" w:hAnsiTheme="minorHAnsi" w:cstheme="minorHAnsi"/>
          <w:sz w:val="24"/>
          <w:szCs w:val="24"/>
        </w:rPr>
        <w:t>.</w:t>
      </w:r>
      <w:r w:rsidR="009A038D" w:rsidRPr="00D46021">
        <w:rPr>
          <w:rFonts w:asciiTheme="minorHAnsi" w:eastAsiaTheme="minorEastAsia" w:hAnsiTheme="minorHAnsi" w:cstheme="minorHAnsi"/>
          <w:sz w:val="24"/>
          <w:szCs w:val="24"/>
        </w:rPr>
        <w:t>“</w:t>
      </w:r>
      <w:r w:rsidRPr="002F446C">
        <w:rPr>
          <w:rFonts w:asciiTheme="minorHAnsi" w:eastAsiaTheme="minorEastAsia" w:hAnsiTheme="minorHAnsi" w:cstheme="minorHAnsi"/>
          <w:sz w:val="24"/>
          <w:szCs w:val="24"/>
        </w:rPr>
        <w:t xml:space="preserve"> </w:t>
      </w:r>
      <w:r w:rsidR="007B42E6" w:rsidRPr="002F446C">
        <w:rPr>
          <w:rFonts w:asciiTheme="minorHAnsi" w:eastAsiaTheme="minorEastAsia" w:hAnsiTheme="minorHAnsi" w:cstheme="minorHAnsi"/>
          <w:sz w:val="24"/>
          <w:szCs w:val="24"/>
        </w:rPr>
        <w:t>Z</w:t>
      </w:r>
      <w:r w:rsidRPr="002F446C">
        <w:rPr>
          <w:rFonts w:asciiTheme="minorHAnsi" w:eastAsiaTheme="minorEastAsia" w:hAnsiTheme="minorHAnsi" w:cstheme="minorHAnsi"/>
          <w:sz w:val="24"/>
          <w:szCs w:val="24"/>
        </w:rPr>
        <w:t xml:space="preserve"> této částky </w:t>
      </w:r>
      <w:r w:rsidR="005E07C5" w:rsidRPr="002F446C">
        <w:rPr>
          <w:rFonts w:asciiTheme="minorHAnsi" w:eastAsiaTheme="minorEastAsia" w:hAnsiTheme="minorHAnsi" w:cstheme="minorHAnsi"/>
          <w:sz w:val="24"/>
          <w:szCs w:val="24"/>
        </w:rPr>
        <w:t xml:space="preserve">vynaložilo </w:t>
      </w:r>
      <w:r w:rsidR="00F81DB9">
        <w:rPr>
          <w:rFonts w:asciiTheme="minorHAnsi" w:eastAsiaTheme="minorEastAsia" w:hAnsiTheme="minorHAnsi" w:cstheme="minorHAnsi"/>
          <w:sz w:val="24"/>
          <w:szCs w:val="24"/>
        </w:rPr>
        <w:t xml:space="preserve">Ministerstvo financí </w:t>
      </w:r>
      <w:r w:rsidR="00C711BB">
        <w:rPr>
          <w:rFonts w:asciiTheme="minorHAnsi" w:eastAsiaTheme="minorEastAsia" w:hAnsiTheme="minorHAnsi" w:cstheme="minorHAnsi"/>
          <w:sz w:val="24"/>
          <w:szCs w:val="24"/>
        </w:rPr>
        <w:t xml:space="preserve">více než </w:t>
      </w:r>
      <w:r w:rsidRPr="002F446C">
        <w:rPr>
          <w:rFonts w:asciiTheme="minorHAnsi" w:eastAsiaTheme="minorEastAsia" w:hAnsiTheme="minorHAnsi" w:cstheme="minorHAnsi"/>
          <w:sz w:val="24"/>
          <w:szCs w:val="24"/>
        </w:rPr>
        <w:t>2</w:t>
      </w:r>
      <w:r w:rsidR="002B0461">
        <w:rPr>
          <w:rFonts w:asciiTheme="minorHAnsi" w:eastAsiaTheme="minorEastAsia" w:hAnsiTheme="minorHAnsi" w:cstheme="minorHAnsi"/>
          <w:sz w:val="24"/>
          <w:szCs w:val="24"/>
        </w:rPr>
        <w:t>,</w:t>
      </w:r>
      <w:r w:rsidR="004000A8">
        <w:rPr>
          <w:rFonts w:asciiTheme="minorHAnsi" w:eastAsiaTheme="minorEastAsia" w:hAnsiTheme="minorHAnsi" w:cstheme="minorHAnsi"/>
          <w:sz w:val="24"/>
          <w:szCs w:val="24"/>
        </w:rPr>
        <w:t>5</w:t>
      </w:r>
      <w:r w:rsidR="002B0461">
        <w:rPr>
          <w:rFonts w:asciiTheme="minorHAnsi" w:eastAsiaTheme="minorEastAsia" w:hAnsiTheme="minorHAnsi" w:cstheme="minorHAnsi"/>
          <w:sz w:val="24"/>
          <w:szCs w:val="24"/>
        </w:rPr>
        <w:t xml:space="preserve"> mil. </w:t>
      </w:r>
      <w:r w:rsidRPr="002F446C">
        <w:rPr>
          <w:rFonts w:asciiTheme="minorHAnsi" w:eastAsiaTheme="minorEastAsia" w:hAnsiTheme="minorHAnsi" w:cstheme="minorHAnsi"/>
          <w:sz w:val="24"/>
          <w:szCs w:val="24"/>
        </w:rPr>
        <w:t xml:space="preserve">Kč </w:t>
      </w:r>
      <w:r w:rsidR="007B42E6" w:rsidRPr="002F446C">
        <w:rPr>
          <w:rFonts w:asciiTheme="minorHAnsi" w:eastAsiaTheme="minorEastAsia" w:hAnsiTheme="minorHAnsi" w:cstheme="minorHAnsi"/>
          <w:sz w:val="24"/>
          <w:szCs w:val="24"/>
        </w:rPr>
        <w:t xml:space="preserve">na činnosti již zajištěné </w:t>
      </w:r>
      <w:r w:rsidR="00567C41" w:rsidRPr="002F446C">
        <w:rPr>
          <w:rFonts w:asciiTheme="minorHAnsi" w:eastAsiaTheme="minorEastAsia" w:hAnsiTheme="minorHAnsi" w:cstheme="minorHAnsi"/>
          <w:sz w:val="24"/>
          <w:szCs w:val="24"/>
        </w:rPr>
        <w:t>výše uvedenou smlouvou</w:t>
      </w:r>
      <w:r w:rsidRPr="002F446C">
        <w:rPr>
          <w:rFonts w:asciiTheme="minorHAnsi" w:eastAsiaTheme="minorEastAsia" w:hAnsiTheme="minorHAnsi" w:cstheme="minorHAnsi"/>
          <w:sz w:val="24"/>
          <w:szCs w:val="24"/>
        </w:rPr>
        <w:t>.</w:t>
      </w:r>
      <w:r w:rsidR="002264EC" w:rsidRPr="002F446C">
        <w:rPr>
          <w:rFonts w:asciiTheme="minorHAnsi" w:eastAsiaTheme="minorEastAsia" w:hAnsiTheme="minorHAnsi" w:cstheme="minorHAnsi"/>
          <w:sz w:val="24"/>
          <w:szCs w:val="24"/>
        </w:rPr>
        <w:t xml:space="preserve"> </w:t>
      </w:r>
      <w:r w:rsidR="00DF2F32" w:rsidRPr="002F446C">
        <w:rPr>
          <w:rFonts w:asciiTheme="minorHAnsi" w:eastAsiaTheme="minorEastAsia" w:hAnsiTheme="minorHAnsi" w:cstheme="minorHAnsi"/>
          <w:sz w:val="24"/>
          <w:szCs w:val="24"/>
        </w:rPr>
        <w:t xml:space="preserve">NKÚ </w:t>
      </w:r>
      <w:r w:rsidR="007B42E6" w:rsidRPr="002F446C">
        <w:rPr>
          <w:rFonts w:asciiTheme="minorHAnsi" w:eastAsiaTheme="minorEastAsia" w:hAnsiTheme="minorHAnsi" w:cstheme="minorHAnsi"/>
          <w:sz w:val="24"/>
          <w:szCs w:val="24"/>
        </w:rPr>
        <w:t xml:space="preserve">vyhodnotil </w:t>
      </w:r>
      <w:r w:rsidR="00A80E50" w:rsidRPr="002F446C">
        <w:rPr>
          <w:rFonts w:asciiTheme="minorHAnsi" w:eastAsiaTheme="minorEastAsia" w:hAnsiTheme="minorHAnsi" w:cstheme="minorHAnsi"/>
          <w:sz w:val="24"/>
          <w:szCs w:val="24"/>
        </w:rPr>
        <w:t>tento postup</w:t>
      </w:r>
      <w:r w:rsidR="004754C1">
        <w:rPr>
          <w:rFonts w:asciiTheme="minorHAnsi" w:eastAsiaTheme="minorEastAsia" w:hAnsiTheme="minorHAnsi" w:cstheme="minorHAnsi"/>
          <w:sz w:val="24"/>
          <w:szCs w:val="24"/>
        </w:rPr>
        <w:t xml:space="preserve">, kdy MF </w:t>
      </w:r>
      <w:r w:rsidR="00206C7B">
        <w:rPr>
          <w:rFonts w:asciiTheme="minorHAnsi" w:eastAsiaTheme="minorEastAsia" w:hAnsiTheme="minorHAnsi" w:cstheme="minorHAnsi"/>
          <w:sz w:val="24"/>
          <w:szCs w:val="24"/>
        </w:rPr>
        <w:t xml:space="preserve">poskytnuté služby uhradilo </w:t>
      </w:r>
      <w:r w:rsidR="004754C1">
        <w:rPr>
          <w:rFonts w:asciiTheme="minorHAnsi" w:eastAsiaTheme="minorEastAsia" w:hAnsiTheme="minorHAnsi" w:cstheme="minorHAnsi"/>
          <w:sz w:val="24"/>
          <w:szCs w:val="24"/>
        </w:rPr>
        <w:t>duplicitně,</w:t>
      </w:r>
      <w:r w:rsidR="007B42E6" w:rsidRPr="002F446C">
        <w:rPr>
          <w:rFonts w:asciiTheme="minorHAnsi" w:eastAsiaTheme="minorEastAsia" w:hAnsiTheme="minorHAnsi" w:cstheme="minorHAnsi"/>
          <w:sz w:val="24"/>
          <w:szCs w:val="24"/>
        </w:rPr>
        <w:t xml:space="preserve"> jako neúčelné a nehospodárné vynaložení peněžních prostředků a </w:t>
      </w:r>
      <w:r w:rsidR="00A80E50" w:rsidRPr="002F446C">
        <w:rPr>
          <w:rFonts w:asciiTheme="minorHAnsi" w:hAnsiTheme="minorHAnsi" w:cstheme="minorHAnsi"/>
          <w:sz w:val="24"/>
          <w:szCs w:val="24"/>
        </w:rPr>
        <w:t>také</w:t>
      </w:r>
      <w:r w:rsidR="008F3454" w:rsidRPr="002F446C">
        <w:rPr>
          <w:rFonts w:asciiTheme="minorHAnsi" w:hAnsiTheme="minorHAnsi" w:cstheme="minorHAnsi"/>
          <w:sz w:val="24"/>
          <w:szCs w:val="24"/>
        </w:rPr>
        <w:t xml:space="preserve"> jako </w:t>
      </w:r>
      <w:r w:rsidR="008F3454" w:rsidRPr="002F446C">
        <w:rPr>
          <w:rFonts w:asciiTheme="minorHAnsi" w:hAnsiTheme="minorHAnsi" w:cstheme="minorHAnsi"/>
          <w:bCs/>
          <w:sz w:val="24"/>
          <w:szCs w:val="24"/>
        </w:rPr>
        <w:t>skutečnost nasvědčující</w:t>
      </w:r>
      <w:r w:rsidR="008F3454" w:rsidRPr="002F446C">
        <w:rPr>
          <w:rFonts w:asciiTheme="minorHAnsi" w:eastAsiaTheme="minorEastAsia" w:hAnsiTheme="minorHAnsi" w:cstheme="minorHAnsi"/>
          <w:bCs/>
          <w:sz w:val="24"/>
          <w:szCs w:val="24"/>
        </w:rPr>
        <w:t xml:space="preserve"> porušení rozpočtové kázně</w:t>
      </w:r>
      <w:r w:rsidR="007E5F75" w:rsidRPr="002F446C">
        <w:rPr>
          <w:rFonts w:asciiTheme="minorHAnsi" w:eastAsiaTheme="minorEastAsia" w:hAnsiTheme="minorHAnsi" w:cstheme="minorHAnsi"/>
          <w:bCs/>
          <w:sz w:val="24"/>
          <w:szCs w:val="24"/>
        </w:rPr>
        <w:t>.</w:t>
      </w:r>
    </w:p>
    <w:p w14:paraId="5A20A395" w14:textId="086894F7" w:rsidR="00BA1024" w:rsidRPr="001E51C9" w:rsidRDefault="00CF1DFA" w:rsidP="001E51C9">
      <w:pPr>
        <w:pStyle w:val="Odstavecseseznamem"/>
        <w:numPr>
          <w:ilvl w:val="1"/>
          <w:numId w:val="17"/>
        </w:numPr>
        <w:spacing w:after="120"/>
        <w:ind w:left="0" w:firstLine="0"/>
        <w:contextualSpacing w:val="0"/>
        <w:rPr>
          <w:rFonts w:asciiTheme="minorHAnsi" w:hAnsiTheme="minorHAnsi" w:cstheme="minorHAnsi"/>
          <w:b/>
          <w:bCs/>
        </w:rPr>
      </w:pPr>
      <w:r w:rsidRPr="001449B9">
        <w:rPr>
          <w:sz w:val="24"/>
          <w:szCs w:val="24"/>
        </w:rPr>
        <w:t xml:space="preserve">IS SDSL slouží rovněž pro evidenci jistot, které provozovatelé hazardních her složili podle </w:t>
      </w:r>
      <w:r w:rsidR="008771C9">
        <w:rPr>
          <w:sz w:val="24"/>
          <w:szCs w:val="24"/>
        </w:rPr>
        <w:t>ZoL</w:t>
      </w:r>
      <w:r w:rsidRPr="001449B9">
        <w:rPr>
          <w:sz w:val="24"/>
          <w:szCs w:val="24"/>
        </w:rPr>
        <w:t xml:space="preserve">, </w:t>
      </w:r>
      <w:r w:rsidR="00C62440">
        <w:rPr>
          <w:sz w:val="24"/>
          <w:szCs w:val="24"/>
        </w:rPr>
        <w:t xml:space="preserve">a kaucí, </w:t>
      </w:r>
      <w:r w:rsidRPr="001449B9">
        <w:rPr>
          <w:sz w:val="24"/>
          <w:szCs w:val="24"/>
        </w:rPr>
        <w:t>které provozovatelé hazardních her složili podle ZHH.</w:t>
      </w:r>
      <w:r w:rsidR="00EA4952" w:rsidRPr="002B3731">
        <w:rPr>
          <w:sz w:val="24"/>
          <w:szCs w:val="24"/>
        </w:rPr>
        <w:t xml:space="preserve"> IS SDSL však poskytuje pro správu kaucí pouze omezenou funkčnost a neobsahuje informace o způsobu složení kauce. MF </w:t>
      </w:r>
      <w:r w:rsidR="0016083C">
        <w:rPr>
          <w:sz w:val="24"/>
          <w:szCs w:val="24"/>
        </w:rPr>
        <w:t xml:space="preserve">tak </w:t>
      </w:r>
      <w:r w:rsidR="00EA4952" w:rsidRPr="002B3731">
        <w:rPr>
          <w:sz w:val="24"/>
          <w:szCs w:val="24"/>
        </w:rPr>
        <w:t>eviduje kauce v pomocných tabulkách v MS Excel a pracovníci MF si udržují pro své potřeby další poznámky</w:t>
      </w:r>
      <w:r w:rsidR="002B3731">
        <w:rPr>
          <w:sz w:val="24"/>
          <w:szCs w:val="24"/>
        </w:rPr>
        <w:t>,</w:t>
      </w:r>
      <w:r w:rsidR="00EA4952" w:rsidRPr="002B3731">
        <w:rPr>
          <w:sz w:val="24"/>
          <w:szCs w:val="24"/>
        </w:rPr>
        <w:t xml:space="preserve"> např. </w:t>
      </w:r>
      <w:r w:rsidR="002B3731">
        <w:rPr>
          <w:sz w:val="24"/>
          <w:szCs w:val="24"/>
        </w:rPr>
        <w:t>v listinné podobě</w:t>
      </w:r>
      <w:r w:rsidR="00EA4952" w:rsidRPr="002B3731">
        <w:rPr>
          <w:sz w:val="24"/>
          <w:szCs w:val="24"/>
        </w:rPr>
        <w:t>.</w:t>
      </w:r>
      <w:bookmarkStart w:id="14" w:name="_Hlk130285154"/>
    </w:p>
    <w:p w14:paraId="60BF1318" w14:textId="52C7E81E" w:rsidR="00C90D00" w:rsidRDefault="00C90D00" w:rsidP="001E51C9">
      <w:pPr>
        <w:pStyle w:val="Default"/>
        <w:spacing w:before="240" w:after="120"/>
        <w:rPr>
          <w:rFonts w:asciiTheme="minorHAnsi" w:eastAsia="Times New Roman" w:hAnsiTheme="minorHAnsi" w:cstheme="minorHAnsi"/>
          <w:b/>
          <w:bCs/>
          <w:lang w:eastAsia="cs-CZ"/>
        </w:rPr>
      </w:pPr>
      <w:r w:rsidRPr="008B3960">
        <w:rPr>
          <w:rFonts w:asciiTheme="minorHAnsi" w:eastAsia="Times New Roman" w:hAnsiTheme="minorHAnsi" w:cstheme="minorHAnsi"/>
          <w:b/>
          <w:bCs/>
          <w:lang w:eastAsia="cs-CZ"/>
        </w:rPr>
        <w:lastRenderedPageBreak/>
        <w:t>Informační systém AISG:</w:t>
      </w:r>
    </w:p>
    <w:p w14:paraId="76409826" w14:textId="75726943" w:rsidR="00D7518A" w:rsidRPr="008142C5" w:rsidRDefault="00D7518A" w:rsidP="00A36482">
      <w:pPr>
        <w:pStyle w:val="Odstavecseseznamem"/>
        <w:numPr>
          <w:ilvl w:val="1"/>
          <w:numId w:val="17"/>
        </w:numPr>
        <w:spacing w:after="120"/>
        <w:ind w:left="0" w:firstLine="0"/>
        <w:contextualSpacing w:val="0"/>
        <w:rPr>
          <w:rFonts w:asciiTheme="minorHAnsi" w:hAnsiTheme="minorHAnsi" w:cstheme="minorHAnsi"/>
          <w:sz w:val="24"/>
          <w:szCs w:val="24"/>
        </w:rPr>
      </w:pPr>
      <w:r w:rsidRPr="008142C5">
        <w:rPr>
          <w:rFonts w:asciiTheme="minorHAnsi" w:hAnsiTheme="minorHAnsi" w:cstheme="minorHAnsi"/>
          <w:sz w:val="24"/>
          <w:szCs w:val="24"/>
        </w:rPr>
        <w:t xml:space="preserve">V souvislosti </w:t>
      </w:r>
      <w:r w:rsidRPr="006C6F11">
        <w:rPr>
          <w:sz w:val="24"/>
          <w:szCs w:val="24"/>
        </w:rPr>
        <w:t>s přípravou zákona</w:t>
      </w:r>
      <w:r w:rsidR="00E71248">
        <w:rPr>
          <w:sz w:val="24"/>
          <w:szCs w:val="24"/>
        </w:rPr>
        <w:t xml:space="preserve"> </w:t>
      </w:r>
      <w:r w:rsidRPr="006C6F11">
        <w:rPr>
          <w:sz w:val="24"/>
          <w:szCs w:val="24"/>
        </w:rPr>
        <w:t>o</w:t>
      </w:r>
      <w:r w:rsidR="00E71248">
        <w:rPr>
          <w:sz w:val="24"/>
          <w:szCs w:val="24"/>
        </w:rPr>
        <w:t xml:space="preserve"> </w:t>
      </w:r>
      <w:r w:rsidRPr="006C6F11">
        <w:rPr>
          <w:sz w:val="24"/>
          <w:szCs w:val="24"/>
        </w:rPr>
        <w:t xml:space="preserve">hazardních hrách </w:t>
      </w:r>
      <w:r w:rsidR="00E71248" w:rsidRPr="006C6F11">
        <w:rPr>
          <w:sz w:val="24"/>
          <w:szCs w:val="24"/>
        </w:rPr>
        <w:t xml:space="preserve">připravovalo </w:t>
      </w:r>
      <w:r w:rsidR="006C6F11" w:rsidRPr="006C6F11">
        <w:rPr>
          <w:sz w:val="24"/>
          <w:szCs w:val="24"/>
        </w:rPr>
        <w:t xml:space="preserve">MF od roku 2014 zcela nový </w:t>
      </w:r>
      <w:r w:rsidR="006C6F11">
        <w:rPr>
          <w:sz w:val="24"/>
          <w:szCs w:val="24"/>
        </w:rPr>
        <w:t xml:space="preserve">informační systém, </w:t>
      </w:r>
      <w:r w:rsidRPr="006C6F11">
        <w:rPr>
          <w:sz w:val="24"/>
          <w:szCs w:val="24"/>
        </w:rPr>
        <w:t xml:space="preserve">který </w:t>
      </w:r>
      <w:r w:rsidR="009B4796" w:rsidRPr="006C6F11">
        <w:rPr>
          <w:sz w:val="24"/>
          <w:szCs w:val="24"/>
        </w:rPr>
        <w:t>měl sestávat</w:t>
      </w:r>
      <w:r w:rsidRPr="006C6F11">
        <w:rPr>
          <w:sz w:val="24"/>
          <w:szCs w:val="24"/>
        </w:rPr>
        <w:t xml:space="preserve"> ze tří modulů.</w:t>
      </w:r>
    </w:p>
    <w:p w14:paraId="2719CFC9" w14:textId="0CD8F050" w:rsidR="00D7518A" w:rsidRPr="00AE630A" w:rsidRDefault="00D7518A" w:rsidP="00A36482">
      <w:pPr>
        <w:pStyle w:val="Default"/>
        <w:numPr>
          <w:ilvl w:val="0"/>
          <w:numId w:val="5"/>
        </w:numPr>
        <w:spacing w:after="120"/>
        <w:jc w:val="both"/>
        <w:rPr>
          <w:rFonts w:asciiTheme="minorHAnsi" w:hAnsiTheme="minorHAnsi" w:cstheme="minorHAnsi"/>
        </w:rPr>
      </w:pPr>
      <w:r w:rsidRPr="00AE630A">
        <w:rPr>
          <w:rFonts w:asciiTheme="minorHAnsi" w:eastAsia="Times New Roman" w:hAnsiTheme="minorHAnsi" w:cstheme="minorHAnsi"/>
          <w:lang w:eastAsia="cs-CZ"/>
        </w:rPr>
        <w:t>Analytick</w:t>
      </w:r>
      <w:r w:rsidR="002C5549">
        <w:rPr>
          <w:rFonts w:asciiTheme="minorHAnsi" w:eastAsia="Times New Roman" w:hAnsiTheme="minorHAnsi" w:cstheme="minorHAnsi"/>
          <w:lang w:eastAsia="cs-CZ"/>
        </w:rPr>
        <w:t>ý</w:t>
      </w:r>
      <w:r w:rsidRPr="00AE630A">
        <w:rPr>
          <w:rFonts w:asciiTheme="minorHAnsi" w:eastAsia="Times New Roman" w:hAnsiTheme="minorHAnsi" w:cstheme="minorHAnsi"/>
          <w:lang w:eastAsia="cs-CZ"/>
        </w:rPr>
        <w:t> modul</w:t>
      </w:r>
      <w:r w:rsidR="008A2DC1" w:rsidRPr="008142C5">
        <w:rPr>
          <w:rFonts w:asciiTheme="minorHAnsi" w:eastAsia="Times New Roman" w:hAnsiTheme="minorHAnsi" w:cstheme="minorHAnsi"/>
          <w:lang w:eastAsia="cs-CZ"/>
        </w:rPr>
        <w:t xml:space="preserve"> (dále také „AM AISG“)</w:t>
      </w:r>
      <w:r w:rsidRPr="008142C5">
        <w:rPr>
          <w:rFonts w:asciiTheme="minorHAnsi" w:eastAsia="Times New Roman" w:hAnsiTheme="minorHAnsi" w:cstheme="minorHAnsi"/>
          <w:lang w:eastAsia="cs-CZ"/>
        </w:rPr>
        <w:t>,</w:t>
      </w:r>
      <w:r w:rsidR="00E71248">
        <w:rPr>
          <w:rFonts w:asciiTheme="minorHAnsi" w:eastAsia="Times New Roman" w:hAnsiTheme="minorHAnsi" w:cstheme="minorHAnsi"/>
          <w:lang w:eastAsia="cs-CZ"/>
        </w:rPr>
        <w:t xml:space="preserve"> </w:t>
      </w:r>
      <w:r w:rsidRPr="00AE630A">
        <w:rPr>
          <w:rFonts w:asciiTheme="minorHAnsi" w:eastAsia="Times New Roman" w:hAnsiTheme="minorHAnsi" w:cstheme="minorHAnsi"/>
          <w:lang w:eastAsia="cs-CZ"/>
        </w:rPr>
        <w:t>umožňující</w:t>
      </w:r>
      <w:r w:rsidR="00E71248">
        <w:rPr>
          <w:rFonts w:asciiTheme="minorHAnsi" w:eastAsia="Times New Roman" w:hAnsiTheme="minorHAnsi" w:cstheme="minorHAnsi"/>
          <w:lang w:eastAsia="cs-CZ"/>
        </w:rPr>
        <w:t xml:space="preserve"> </w:t>
      </w:r>
      <w:r w:rsidRPr="00AE630A">
        <w:rPr>
          <w:rFonts w:asciiTheme="minorHAnsi" w:eastAsia="Times New Roman" w:hAnsiTheme="minorHAnsi" w:cstheme="minorHAnsi"/>
          <w:lang w:eastAsia="cs-CZ"/>
        </w:rPr>
        <w:t>sběr, kontrolu a ukládání herních a dalších</w:t>
      </w:r>
      <w:r w:rsidR="00E71248">
        <w:rPr>
          <w:rFonts w:asciiTheme="minorHAnsi" w:eastAsia="Times New Roman" w:hAnsiTheme="minorHAnsi" w:cstheme="minorHAnsi"/>
          <w:lang w:eastAsia="cs-CZ"/>
        </w:rPr>
        <w:t xml:space="preserve"> </w:t>
      </w:r>
      <w:r w:rsidRPr="00AE630A">
        <w:rPr>
          <w:rFonts w:asciiTheme="minorHAnsi" w:eastAsia="Times New Roman" w:hAnsiTheme="minorHAnsi" w:cstheme="minorHAnsi"/>
          <w:lang w:eastAsia="cs-CZ"/>
        </w:rPr>
        <w:t>dat</w:t>
      </w:r>
      <w:r w:rsidR="008C7CA7">
        <w:rPr>
          <w:rFonts w:asciiTheme="minorHAnsi" w:eastAsia="Times New Roman" w:hAnsiTheme="minorHAnsi" w:cstheme="minorHAnsi"/>
          <w:lang w:eastAsia="cs-CZ"/>
        </w:rPr>
        <w:t xml:space="preserve"> </w:t>
      </w:r>
      <w:r w:rsidRPr="00AE630A">
        <w:rPr>
          <w:rFonts w:asciiTheme="minorHAnsi" w:eastAsia="Times New Roman" w:hAnsiTheme="minorHAnsi" w:cstheme="minorHAnsi"/>
          <w:lang w:eastAsia="cs-CZ"/>
        </w:rPr>
        <w:t>od provozovatelů hazardních her a následné analýzy těchto dat pro výkon dozoru</w:t>
      </w:r>
      <w:r w:rsidR="001B3704">
        <w:rPr>
          <w:rFonts w:asciiTheme="minorHAnsi" w:eastAsia="Times New Roman" w:hAnsiTheme="minorHAnsi" w:cstheme="minorHAnsi"/>
          <w:lang w:eastAsia="cs-CZ"/>
        </w:rPr>
        <w:t>.</w:t>
      </w:r>
    </w:p>
    <w:p w14:paraId="24450DBD" w14:textId="78D53D42" w:rsidR="00D7518A" w:rsidRPr="00AE630A" w:rsidRDefault="00D7518A" w:rsidP="00A36482">
      <w:pPr>
        <w:pStyle w:val="Default"/>
        <w:numPr>
          <w:ilvl w:val="0"/>
          <w:numId w:val="5"/>
        </w:numPr>
        <w:spacing w:after="120"/>
        <w:jc w:val="both"/>
        <w:rPr>
          <w:rFonts w:asciiTheme="minorHAnsi" w:hAnsiTheme="minorHAnsi" w:cstheme="minorHAnsi"/>
        </w:rPr>
      </w:pPr>
      <w:r w:rsidRPr="00AE630A">
        <w:rPr>
          <w:rFonts w:asciiTheme="minorHAnsi" w:eastAsia="Times New Roman" w:hAnsiTheme="minorHAnsi" w:cstheme="minorHAnsi"/>
          <w:lang w:eastAsia="cs-CZ"/>
        </w:rPr>
        <w:t>Dozorov</w:t>
      </w:r>
      <w:r w:rsidR="002C5549">
        <w:rPr>
          <w:rFonts w:asciiTheme="minorHAnsi" w:eastAsia="Times New Roman" w:hAnsiTheme="minorHAnsi" w:cstheme="minorHAnsi"/>
          <w:lang w:eastAsia="cs-CZ"/>
        </w:rPr>
        <w:t>ý</w:t>
      </w:r>
      <w:r>
        <w:rPr>
          <w:rFonts w:asciiTheme="minorHAnsi" w:eastAsia="Times New Roman" w:hAnsiTheme="minorHAnsi" w:cstheme="minorHAnsi"/>
          <w:lang w:eastAsia="cs-CZ"/>
        </w:rPr>
        <w:t xml:space="preserve"> modul</w:t>
      </w:r>
      <w:r w:rsidR="008A2DC1" w:rsidRPr="008142C5">
        <w:rPr>
          <w:rFonts w:asciiTheme="minorHAnsi" w:eastAsia="Times New Roman" w:hAnsiTheme="minorHAnsi" w:cstheme="minorHAnsi"/>
          <w:lang w:eastAsia="cs-CZ"/>
        </w:rPr>
        <w:t xml:space="preserve"> (dále také „DM AISG“)</w:t>
      </w:r>
      <w:r w:rsidRPr="008142C5">
        <w:rPr>
          <w:rFonts w:asciiTheme="minorHAnsi" w:eastAsia="Times New Roman" w:hAnsiTheme="minorHAnsi" w:cstheme="minorHAnsi"/>
          <w:lang w:eastAsia="cs-CZ"/>
        </w:rPr>
        <w:t>,</w:t>
      </w:r>
      <w:r w:rsidR="009626B3">
        <w:rPr>
          <w:rFonts w:asciiTheme="minorHAnsi" w:eastAsia="Times New Roman" w:hAnsiTheme="minorHAnsi" w:cstheme="minorHAnsi"/>
          <w:lang w:eastAsia="cs-CZ"/>
        </w:rPr>
        <w:t xml:space="preserve"> </w:t>
      </w:r>
      <w:r w:rsidRPr="00AE630A">
        <w:rPr>
          <w:rFonts w:asciiTheme="minorHAnsi" w:eastAsia="Times New Roman" w:hAnsiTheme="minorHAnsi" w:cstheme="minorHAnsi"/>
          <w:lang w:eastAsia="cs-CZ"/>
        </w:rPr>
        <w:t>podporující</w:t>
      </w:r>
      <w:r w:rsidR="009626B3">
        <w:rPr>
          <w:rFonts w:asciiTheme="minorHAnsi" w:eastAsia="Times New Roman" w:hAnsiTheme="minorHAnsi" w:cstheme="minorHAnsi"/>
          <w:lang w:eastAsia="cs-CZ"/>
        </w:rPr>
        <w:t xml:space="preserve"> </w:t>
      </w:r>
      <w:r w:rsidRPr="00AE630A">
        <w:rPr>
          <w:rFonts w:asciiTheme="minorHAnsi" w:eastAsia="Times New Roman" w:hAnsiTheme="minorHAnsi" w:cstheme="minorHAnsi"/>
          <w:lang w:eastAsia="cs-CZ"/>
        </w:rPr>
        <w:t>zákonné</w:t>
      </w:r>
      <w:r w:rsidR="009626B3">
        <w:rPr>
          <w:rFonts w:asciiTheme="minorHAnsi" w:eastAsia="Times New Roman" w:hAnsiTheme="minorHAnsi" w:cstheme="minorHAnsi"/>
          <w:lang w:eastAsia="cs-CZ"/>
        </w:rPr>
        <w:t xml:space="preserve"> </w:t>
      </w:r>
      <w:r w:rsidRPr="00AE630A">
        <w:rPr>
          <w:rFonts w:asciiTheme="minorHAnsi" w:eastAsia="Times New Roman" w:hAnsiTheme="minorHAnsi" w:cstheme="minorHAnsi"/>
          <w:lang w:eastAsia="cs-CZ"/>
        </w:rPr>
        <w:t>požadavky</w:t>
      </w:r>
      <w:r w:rsidR="009626B3">
        <w:rPr>
          <w:rFonts w:asciiTheme="minorHAnsi" w:eastAsia="Times New Roman" w:hAnsiTheme="minorHAnsi" w:cstheme="minorHAnsi"/>
          <w:lang w:eastAsia="cs-CZ"/>
        </w:rPr>
        <w:t xml:space="preserve"> </w:t>
      </w:r>
      <w:r w:rsidRPr="00AE630A">
        <w:rPr>
          <w:rFonts w:asciiTheme="minorHAnsi" w:eastAsia="Times New Roman" w:hAnsiTheme="minorHAnsi" w:cstheme="minorHAnsi"/>
          <w:lang w:eastAsia="cs-CZ"/>
        </w:rPr>
        <w:t>na registraci hráčů a vedení rejstříku fyzických osob vyloučených z hraní hazardních her</w:t>
      </w:r>
      <w:r w:rsidR="001B3704">
        <w:rPr>
          <w:rFonts w:asciiTheme="minorHAnsi" w:eastAsia="Times New Roman" w:hAnsiTheme="minorHAnsi" w:cstheme="minorHAnsi"/>
          <w:lang w:eastAsia="cs-CZ"/>
        </w:rPr>
        <w:t>.</w:t>
      </w:r>
    </w:p>
    <w:p w14:paraId="3C172090" w14:textId="269EA776" w:rsidR="00D7518A" w:rsidRPr="00AE630A" w:rsidRDefault="00D7518A" w:rsidP="00A36482">
      <w:pPr>
        <w:pStyle w:val="Default"/>
        <w:numPr>
          <w:ilvl w:val="0"/>
          <w:numId w:val="5"/>
        </w:numPr>
        <w:spacing w:after="120"/>
        <w:jc w:val="both"/>
        <w:rPr>
          <w:rFonts w:asciiTheme="minorHAnsi" w:hAnsiTheme="minorHAnsi" w:cstheme="minorHAnsi"/>
        </w:rPr>
      </w:pPr>
      <w:r w:rsidRPr="00AE630A">
        <w:rPr>
          <w:rFonts w:asciiTheme="minorHAnsi" w:eastAsia="Times New Roman" w:hAnsiTheme="minorHAnsi" w:cstheme="minorHAnsi"/>
          <w:lang w:eastAsia="cs-CZ"/>
        </w:rPr>
        <w:t xml:space="preserve">Správní </w:t>
      </w:r>
      <w:r>
        <w:rPr>
          <w:rFonts w:asciiTheme="minorHAnsi" w:eastAsia="Times New Roman" w:hAnsiTheme="minorHAnsi" w:cstheme="minorHAnsi"/>
          <w:lang w:eastAsia="cs-CZ"/>
        </w:rPr>
        <w:t>modul</w:t>
      </w:r>
      <w:r w:rsidR="00C67AD1">
        <w:rPr>
          <w:rFonts w:asciiTheme="minorHAnsi" w:eastAsia="Times New Roman" w:hAnsiTheme="minorHAnsi" w:cstheme="minorHAnsi"/>
          <w:lang w:eastAsia="cs-CZ"/>
        </w:rPr>
        <w:t>, k</w:t>
      </w:r>
      <w:r w:rsidRPr="00AE630A">
        <w:rPr>
          <w:rFonts w:asciiTheme="minorHAnsi" w:eastAsia="Times New Roman" w:hAnsiTheme="minorHAnsi" w:cstheme="minorHAnsi"/>
          <w:lang w:eastAsia="cs-CZ"/>
        </w:rPr>
        <w:t>ter</w:t>
      </w:r>
      <w:r w:rsidR="002C5549">
        <w:rPr>
          <w:rFonts w:asciiTheme="minorHAnsi" w:eastAsia="Times New Roman" w:hAnsiTheme="minorHAnsi" w:cstheme="minorHAnsi"/>
          <w:lang w:eastAsia="cs-CZ"/>
        </w:rPr>
        <w:t>ý</w:t>
      </w:r>
      <w:r w:rsidRPr="00AE630A">
        <w:rPr>
          <w:rFonts w:asciiTheme="minorHAnsi" w:eastAsia="Times New Roman" w:hAnsiTheme="minorHAnsi" w:cstheme="minorHAnsi"/>
          <w:lang w:eastAsia="cs-CZ"/>
        </w:rPr>
        <w:t xml:space="preserve"> měl zajišťovat</w:t>
      </w:r>
      <w:r w:rsidR="00A8645E">
        <w:rPr>
          <w:rFonts w:asciiTheme="minorHAnsi" w:eastAsia="Times New Roman" w:hAnsiTheme="minorHAnsi" w:cstheme="minorHAnsi"/>
          <w:lang w:eastAsia="cs-CZ"/>
        </w:rPr>
        <w:t xml:space="preserve"> </w:t>
      </w:r>
      <w:r w:rsidRPr="00AE630A">
        <w:rPr>
          <w:rFonts w:asciiTheme="minorHAnsi" w:eastAsia="Times New Roman" w:hAnsiTheme="minorHAnsi" w:cstheme="minorHAnsi"/>
          <w:lang w:eastAsia="cs-CZ"/>
        </w:rPr>
        <w:t>komplexní podporu</w:t>
      </w:r>
      <w:r w:rsidR="00A8645E">
        <w:rPr>
          <w:rFonts w:asciiTheme="minorHAnsi" w:eastAsia="Times New Roman" w:hAnsiTheme="minorHAnsi" w:cstheme="minorHAnsi"/>
          <w:lang w:eastAsia="cs-CZ"/>
        </w:rPr>
        <w:t xml:space="preserve"> </w:t>
      </w:r>
      <w:r w:rsidRPr="00AE630A">
        <w:rPr>
          <w:rFonts w:asciiTheme="minorHAnsi" w:eastAsia="Times New Roman" w:hAnsiTheme="minorHAnsi" w:cstheme="minorHAnsi"/>
          <w:lang w:eastAsia="cs-CZ"/>
        </w:rPr>
        <w:t>správních řízení a dozorové a</w:t>
      </w:r>
      <w:r w:rsidR="00DF2F32">
        <w:rPr>
          <w:rFonts w:asciiTheme="minorHAnsi" w:eastAsia="Times New Roman" w:hAnsiTheme="minorHAnsi" w:cstheme="minorHAnsi"/>
          <w:lang w:eastAsia="cs-CZ"/>
        </w:rPr>
        <w:t> </w:t>
      </w:r>
      <w:r w:rsidRPr="00AE630A">
        <w:rPr>
          <w:rFonts w:asciiTheme="minorHAnsi" w:eastAsia="Times New Roman" w:hAnsiTheme="minorHAnsi" w:cstheme="minorHAnsi"/>
          <w:lang w:eastAsia="cs-CZ"/>
        </w:rPr>
        <w:t>kontrolní činnosti pro dotčené subjekty veřejné správy (MF, CS</w:t>
      </w:r>
      <w:r w:rsidR="00557960">
        <w:rPr>
          <w:rFonts w:asciiTheme="minorHAnsi" w:eastAsia="Times New Roman" w:hAnsiTheme="minorHAnsi" w:cstheme="minorHAnsi"/>
          <w:lang w:eastAsia="cs-CZ"/>
        </w:rPr>
        <w:t xml:space="preserve"> ČR, F</w:t>
      </w:r>
      <w:r w:rsidR="005D38F2">
        <w:rPr>
          <w:rFonts w:asciiTheme="minorHAnsi" w:eastAsia="Times New Roman" w:hAnsiTheme="minorHAnsi" w:cstheme="minorHAnsi"/>
          <w:lang w:eastAsia="cs-CZ"/>
        </w:rPr>
        <w:t>inanční správa</w:t>
      </w:r>
      <w:r w:rsidR="00557960">
        <w:rPr>
          <w:rFonts w:asciiTheme="minorHAnsi" w:eastAsia="Times New Roman" w:hAnsiTheme="minorHAnsi" w:cstheme="minorHAnsi"/>
          <w:lang w:eastAsia="cs-CZ"/>
        </w:rPr>
        <w:t xml:space="preserve"> ČR</w:t>
      </w:r>
      <w:r w:rsidRPr="00AE630A">
        <w:rPr>
          <w:rFonts w:asciiTheme="minorHAnsi" w:eastAsia="Times New Roman" w:hAnsiTheme="minorHAnsi" w:cstheme="minorHAnsi"/>
          <w:lang w:eastAsia="cs-CZ"/>
        </w:rPr>
        <w:t>, obce)</w:t>
      </w:r>
      <w:r w:rsidR="001B3704">
        <w:rPr>
          <w:rFonts w:asciiTheme="minorHAnsi" w:eastAsia="Times New Roman" w:hAnsiTheme="minorHAnsi" w:cstheme="minorHAnsi"/>
          <w:lang w:eastAsia="cs-CZ"/>
        </w:rPr>
        <w:t>.</w:t>
      </w:r>
    </w:p>
    <w:p w14:paraId="5AE133CA" w14:textId="6EA3FDB6" w:rsidR="00081EF3" w:rsidRPr="00120803" w:rsidRDefault="00B93815" w:rsidP="00120803">
      <w:pPr>
        <w:pStyle w:val="Odstavecseseznamem"/>
        <w:numPr>
          <w:ilvl w:val="1"/>
          <w:numId w:val="17"/>
        </w:numPr>
        <w:spacing w:after="120"/>
        <w:ind w:left="0" w:firstLine="0"/>
        <w:contextualSpacing w:val="0"/>
        <w:rPr>
          <w:rFonts w:asciiTheme="minorHAnsi" w:hAnsiTheme="minorHAnsi" w:cstheme="minorHAnsi"/>
          <w:sz w:val="24"/>
          <w:szCs w:val="24"/>
        </w:rPr>
      </w:pPr>
      <w:r w:rsidRPr="00120803">
        <w:rPr>
          <w:rFonts w:asciiTheme="minorHAnsi" w:hAnsiTheme="minorHAnsi" w:cstheme="minorHAnsi"/>
          <w:sz w:val="24"/>
          <w:szCs w:val="24"/>
        </w:rPr>
        <w:t>Jedním z c</w:t>
      </w:r>
      <w:r w:rsidR="00081EF3" w:rsidRPr="00120803">
        <w:rPr>
          <w:rFonts w:asciiTheme="minorHAnsi" w:hAnsiTheme="minorHAnsi" w:cstheme="minorHAnsi"/>
          <w:sz w:val="24"/>
          <w:szCs w:val="24"/>
        </w:rPr>
        <w:t>íl</w:t>
      </w:r>
      <w:r w:rsidRPr="00120803">
        <w:rPr>
          <w:rFonts w:asciiTheme="minorHAnsi" w:hAnsiTheme="minorHAnsi" w:cstheme="minorHAnsi"/>
          <w:sz w:val="24"/>
          <w:szCs w:val="24"/>
        </w:rPr>
        <w:t>ů</w:t>
      </w:r>
      <w:r w:rsidR="00081EF3" w:rsidRPr="00120803">
        <w:rPr>
          <w:rFonts w:asciiTheme="minorHAnsi" w:hAnsiTheme="minorHAnsi" w:cstheme="minorHAnsi"/>
          <w:sz w:val="24"/>
          <w:szCs w:val="24"/>
        </w:rPr>
        <w:t xml:space="preserve"> vývoje AISG bylo získání</w:t>
      </w:r>
      <w:r w:rsidR="00081EF3" w:rsidRPr="00120803">
        <w:rPr>
          <w:rFonts w:asciiTheme="minorHAnsi" w:hAnsiTheme="minorHAnsi" w:cstheme="minorHAnsi"/>
          <w:i/>
          <w:sz w:val="24"/>
          <w:szCs w:val="24"/>
        </w:rPr>
        <w:t xml:space="preserve"> </w:t>
      </w:r>
      <w:r w:rsidR="00156DB2" w:rsidRPr="00247CAB">
        <w:rPr>
          <w:rFonts w:asciiTheme="minorHAnsi" w:hAnsiTheme="minorHAnsi" w:cstheme="minorHAnsi"/>
          <w:sz w:val="24"/>
          <w:szCs w:val="24"/>
        </w:rPr>
        <w:t>„</w:t>
      </w:r>
      <w:r w:rsidR="00081EF3" w:rsidRPr="00120803">
        <w:rPr>
          <w:rFonts w:asciiTheme="minorHAnsi" w:hAnsiTheme="minorHAnsi" w:cstheme="minorHAnsi"/>
          <w:i/>
          <w:sz w:val="24"/>
          <w:szCs w:val="24"/>
        </w:rPr>
        <w:t>úplné datové základny</w:t>
      </w:r>
      <w:r w:rsidR="00081EF3" w:rsidRPr="00120803">
        <w:rPr>
          <w:rFonts w:asciiTheme="minorHAnsi" w:hAnsiTheme="minorHAnsi" w:cstheme="minorHAnsi"/>
          <w:sz w:val="24"/>
          <w:szCs w:val="24"/>
        </w:rPr>
        <w:t xml:space="preserve"> </w:t>
      </w:r>
      <w:r w:rsidR="00081EF3" w:rsidRPr="00120803">
        <w:rPr>
          <w:rFonts w:asciiTheme="minorHAnsi" w:hAnsiTheme="minorHAnsi" w:cstheme="minorHAnsi"/>
          <w:i/>
          <w:sz w:val="24"/>
          <w:szCs w:val="24"/>
        </w:rPr>
        <w:t>pro</w:t>
      </w:r>
      <w:r w:rsidR="009F113E" w:rsidRPr="00120803">
        <w:rPr>
          <w:rFonts w:asciiTheme="minorHAnsi" w:hAnsiTheme="minorHAnsi" w:cstheme="minorHAnsi"/>
          <w:i/>
          <w:sz w:val="24"/>
          <w:szCs w:val="24"/>
        </w:rPr>
        <w:t xml:space="preserve"> celou veřejnou správu</w:t>
      </w:r>
      <w:r w:rsidR="00081EF3" w:rsidRPr="00120803">
        <w:rPr>
          <w:rFonts w:asciiTheme="minorHAnsi" w:hAnsiTheme="minorHAnsi" w:cstheme="minorHAnsi"/>
          <w:i/>
          <w:sz w:val="24"/>
          <w:szCs w:val="24"/>
        </w:rPr>
        <w:t xml:space="preserve"> vč. kontrolních orgánů a finanční správy (podklady pro kontrolu provozování her a pro kontrolu daňových přiznání provozovatelů)</w:t>
      </w:r>
      <w:r w:rsidR="009626B3">
        <w:rPr>
          <w:rFonts w:asciiTheme="minorHAnsi" w:hAnsiTheme="minorHAnsi" w:cstheme="minorHAnsi"/>
          <w:sz w:val="24"/>
          <w:szCs w:val="24"/>
        </w:rPr>
        <w:t>“</w:t>
      </w:r>
      <w:r w:rsidR="00331CC1" w:rsidRPr="00247CAB">
        <w:rPr>
          <w:rStyle w:val="Znakapoznpodarou"/>
          <w:rFonts w:asciiTheme="minorHAnsi" w:hAnsiTheme="minorHAnsi" w:cstheme="minorHAnsi"/>
          <w:sz w:val="24"/>
          <w:szCs w:val="24"/>
        </w:rPr>
        <w:footnoteReference w:id="22"/>
      </w:r>
      <w:r w:rsidR="002457CA">
        <w:rPr>
          <w:rFonts w:asciiTheme="minorHAnsi" w:hAnsiTheme="minorHAnsi" w:cstheme="minorHAnsi"/>
          <w:sz w:val="24"/>
          <w:szCs w:val="24"/>
        </w:rPr>
        <w:t xml:space="preserve">, což mělo </w:t>
      </w:r>
      <w:r w:rsidR="00E71248">
        <w:rPr>
          <w:rFonts w:asciiTheme="minorHAnsi" w:hAnsiTheme="minorHAnsi" w:cstheme="minorHAnsi"/>
          <w:sz w:val="24"/>
          <w:szCs w:val="24"/>
        </w:rPr>
        <w:t>zlepšit</w:t>
      </w:r>
      <w:r w:rsidR="00081EF3" w:rsidRPr="00120803">
        <w:rPr>
          <w:rFonts w:asciiTheme="minorHAnsi" w:hAnsiTheme="minorHAnsi" w:cstheme="minorHAnsi"/>
          <w:sz w:val="24"/>
          <w:szCs w:val="24"/>
        </w:rPr>
        <w:t xml:space="preserve"> dohled a kontrol</w:t>
      </w:r>
      <w:r w:rsidR="00E71248">
        <w:rPr>
          <w:rFonts w:asciiTheme="minorHAnsi" w:hAnsiTheme="minorHAnsi" w:cstheme="minorHAnsi"/>
          <w:sz w:val="24"/>
          <w:szCs w:val="24"/>
        </w:rPr>
        <w:t>u</w:t>
      </w:r>
      <w:r w:rsidR="00081EF3" w:rsidRPr="00120803">
        <w:rPr>
          <w:rFonts w:asciiTheme="minorHAnsi" w:hAnsiTheme="minorHAnsi" w:cstheme="minorHAnsi"/>
          <w:sz w:val="24"/>
          <w:szCs w:val="24"/>
        </w:rPr>
        <w:t xml:space="preserve"> nad provozováním hazardních her. Účelem AISG byla rovněž náhrada IS SDSL</w:t>
      </w:r>
      <w:r w:rsidR="0077551F" w:rsidRPr="00120803">
        <w:rPr>
          <w:rFonts w:asciiTheme="minorHAnsi" w:hAnsiTheme="minorHAnsi" w:cstheme="minorHAnsi"/>
          <w:sz w:val="24"/>
          <w:szCs w:val="24"/>
        </w:rPr>
        <w:t>.</w:t>
      </w:r>
    </w:p>
    <w:bookmarkEnd w:id="14"/>
    <w:p w14:paraId="1D4C8E24" w14:textId="63246E57" w:rsidR="00C90D00" w:rsidRPr="008142C5" w:rsidRDefault="00EB1BB3" w:rsidP="00A36482">
      <w:pPr>
        <w:pStyle w:val="Odstavecseseznamem"/>
        <w:numPr>
          <w:ilvl w:val="1"/>
          <w:numId w:val="17"/>
        </w:numPr>
        <w:spacing w:after="120"/>
        <w:ind w:left="0" w:firstLine="0"/>
        <w:contextualSpacing w:val="0"/>
        <w:rPr>
          <w:rFonts w:asciiTheme="minorHAnsi" w:hAnsiTheme="minorHAnsi" w:cstheme="minorHAnsi"/>
          <w:sz w:val="24"/>
          <w:szCs w:val="24"/>
        </w:rPr>
      </w:pPr>
      <w:r w:rsidRPr="008142C5">
        <w:rPr>
          <w:rFonts w:asciiTheme="minorHAnsi" w:hAnsiTheme="minorHAnsi" w:cstheme="minorHAnsi"/>
          <w:sz w:val="24"/>
          <w:szCs w:val="24"/>
        </w:rPr>
        <w:t>Dne 1. 4. 2016 vyhlásilo M</w:t>
      </w:r>
      <w:r w:rsidR="00876ECC" w:rsidRPr="008142C5">
        <w:rPr>
          <w:rFonts w:asciiTheme="minorHAnsi" w:hAnsiTheme="minorHAnsi" w:cstheme="minorHAnsi"/>
          <w:sz w:val="24"/>
          <w:szCs w:val="24"/>
        </w:rPr>
        <w:t>inisterstvo financí</w:t>
      </w:r>
      <w:r w:rsidRPr="008142C5">
        <w:rPr>
          <w:rFonts w:asciiTheme="minorHAnsi" w:hAnsiTheme="minorHAnsi" w:cstheme="minorHAnsi"/>
          <w:sz w:val="24"/>
          <w:szCs w:val="24"/>
        </w:rPr>
        <w:t xml:space="preserve"> </w:t>
      </w:r>
      <w:r w:rsidR="003E2533">
        <w:rPr>
          <w:rFonts w:asciiTheme="minorHAnsi" w:hAnsiTheme="minorHAnsi" w:cstheme="minorHAnsi"/>
          <w:sz w:val="24"/>
          <w:szCs w:val="24"/>
        </w:rPr>
        <w:t xml:space="preserve">v zadávacím řízení veřejnou zakázku </w:t>
      </w:r>
      <w:r w:rsidRPr="008142C5">
        <w:rPr>
          <w:rFonts w:asciiTheme="minorHAnsi" w:hAnsiTheme="minorHAnsi" w:cstheme="minorHAnsi"/>
          <w:i/>
          <w:sz w:val="24"/>
          <w:szCs w:val="24"/>
        </w:rPr>
        <w:t>Dodávka a implementace informačního systému pro dohled nad hazardními hrami</w:t>
      </w:r>
      <w:r w:rsidR="00BF79D6">
        <w:rPr>
          <w:rFonts w:asciiTheme="minorHAnsi" w:hAnsiTheme="minorHAnsi" w:cstheme="minorHAnsi"/>
          <w:sz w:val="24"/>
          <w:szCs w:val="24"/>
        </w:rPr>
        <w:t xml:space="preserve"> (dále také „VZ AISG“)</w:t>
      </w:r>
      <w:r w:rsidRPr="008142C5">
        <w:rPr>
          <w:rFonts w:asciiTheme="minorHAnsi" w:hAnsiTheme="minorHAnsi" w:cstheme="minorHAnsi"/>
          <w:sz w:val="24"/>
          <w:szCs w:val="24"/>
        </w:rPr>
        <w:t xml:space="preserve">. </w:t>
      </w:r>
      <w:r w:rsidR="009472A4">
        <w:rPr>
          <w:rFonts w:asciiTheme="minorHAnsi" w:hAnsiTheme="minorHAnsi" w:cstheme="minorHAnsi"/>
          <w:sz w:val="24"/>
          <w:szCs w:val="24"/>
        </w:rPr>
        <w:t>Z</w:t>
      </w:r>
      <w:r w:rsidR="009472A4" w:rsidRPr="008142C5">
        <w:rPr>
          <w:rFonts w:asciiTheme="minorHAnsi" w:hAnsiTheme="minorHAnsi" w:cstheme="minorHAnsi"/>
          <w:sz w:val="24"/>
          <w:szCs w:val="24"/>
        </w:rPr>
        <w:t xml:space="preserve">adávací dokumentace </w:t>
      </w:r>
      <w:r w:rsidR="009472A4" w:rsidRPr="00AA6B0C">
        <w:rPr>
          <w:rFonts w:asciiTheme="minorHAnsi" w:hAnsiTheme="minorHAnsi" w:cstheme="minorHAnsi"/>
          <w:sz w:val="24"/>
          <w:szCs w:val="24"/>
        </w:rPr>
        <w:t>(dále také „</w:t>
      </w:r>
      <w:r w:rsidR="00FD5D88" w:rsidRPr="008142C5">
        <w:rPr>
          <w:rFonts w:asciiTheme="minorHAnsi" w:hAnsiTheme="minorHAnsi" w:cstheme="minorHAnsi"/>
          <w:sz w:val="24"/>
          <w:szCs w:val="24"/>
        </w:rPr>
        <w:t>ZD</w:t>
      </w:r>
      <w:r w:rsidR="009472A4" w:rsidRPr="00AA6B0C">
        <w:rPr>
          <w:rFonts w:asciiTheme="minorHAnsi" w:hAnsiTheme="minorHAnsi" w:cstheme="minorHAnsi"/>
          <w:sz w:val="24"/>
          <w:szCs w:val="24"/>
        </w:rPr>
        <w:t>“)</w:t>
      </w:r>
      <w:r w:rsidR="00FD5D88" w:rsidRPr="008142C5">
        <w:rPr>
          <w:rFonts w:asciiTheme="minorHAnsi" w:hAnsiTheme="minorHAnsi" w:cstheme="minorHAnsi"/>
          <w:sz w:val="24"/>
          <w:szCs w:val="24"/>
        </w:rPr>
        <w:t xml:space="preserve"> </w:t>
      </w:r>
      <w:r w:rsidR="00C5777D">
        <w:rPr>
          <w:rFonts w:asciiTheme="minorHAnsi" w:hAnsiTheme="minorHAnsi" w:cstheme="minorHAnsi"/>
          <w:sz w:val="24"/>
          <w:szCs w:val="24"/>
        </w:rPr>
        <w:t xml:space="preserve">VZ </w:t>
      </w:r>
      <w:r w:rsidR="00BF79D6">
        <w:rPr>
          <w:rFonts w:asciiTheme="minorHAnsi" w:hAnsiTheme="minorHAnsi" w:cstheme="minorHAnsi"/>
          <w:sz w:val="24"/>
          <w:szCs w:val="24"/>
        </w:rPr>
        <w:t xml:space="preserve">AISG </w:t>
      </w:r>
      <w:r w:rsidR="00FD5D88" w:rsidRPr="008142C5">
        <w:rPr>
          <w:rFonts w:asciiTheme="minorHAnsi" w:hAnsiTheme="minorHAnsi" w:cstheme="minorHAnsi"/>
          <w:sz w:val="24"/>
          <w:szCs w:val="24"/>
        </w:rPr>
        <w:t>obsahovala analyticky chybné požadavky</w:t>
      </w:r>
      <w:r w:rsidR="000F530F">
        <w:rPr>
          <w:rFonts w:asciiTheme="minorHAnsi" w:hAnsiTheme="minorHAnsi" w:cstheme="minorHAnsi"/>
          <w:sz w:val="24"/>
          <w:szCs w:val="24"/>
        </w:rPr>
        <w:t>.</w:t>
      </w:r>
      <w:r w:rsidR="00FD5D88" w:rsidRPr="008142C5">
        <w:rPr>
          <w:rFonts w:asciiTheme="minorHAnsi" w:hAnsiTheme="minorHAnsi" w:cstheme="minorHAnsi"/>
          <w:sz w:val="24"/>
          <w:szCs w:val="24"/>
        </w:rPr>
        <w:t xml:space="preserve"> </w:t>
      </w:r>
      <w:r w:rsidR="009B01CE">
        <w:rPr>
          <w:rFonts w:asciiTheme="minorHAnsi" w:hAnsiTheme="minorHAnsi" w:cstheme="minorHAnsi"/>
          <w:sz w:val="24"/>
          <w:szCs w:val="24"/>
        </w:rPr>
        <w:t>V </w:t>
      </w:r>
      <w:r w:rsidR="009B01CE" w:rsidRPr="000F530F">
        <w:rPr>
          <w:rFonts w:asciiTheme="minorHAnsi" w:hAnsiTheme="minorHAnsi" w:cstheme="minorHAnsi"/>
          <w:sz w:val="24"/>
          <w:szCs w:val="24"/>
        </w:rPr>
        <w:t>průběhu VZ vydalo MF 15 opravných oznámení.</w:t>
      </w:r>
      <w:r w:rsidR="009B01CE">
        <w:rPr>
          <w:rFonts w:asciiTheme="minorHAnsi" w:hAnsiTheme="minorHAnsi" w:cstheme="minorHAnsi"/>
          <w:sz w:val="24"/>
          <w:szCs w:val="24"/>
        </w:rPr>
        <w:t xml:space="preserve"> Lhůtu</w:t>
      </w:r>
      <w:r w:rsidR="009B01CE" w:rsidRPr="000F530F">
        <w:rPr>
          <w:rFonts w:asciiTheme="minorHAnsi" w:hAnsiTheme="minorHAnsi" w:cstheme="minorHAnsi"/>
          <w:sz w:val="24"/>
          <w:szCs w:val="24"/>
        </w:rPr>
        <w:t xml:space="preserve"> </w:t>
      </w:r>
      <w:r w:rsidR="002C5C34">
        <w:rPr>
          <w:rFonts w:asciiTheme="minorHAnsi" w:hAnsiTheme="minorHAnsi" w:cstheme="minorHAnsi"/>
          <w:sz w:val="24"/>
          <w:szCs w:val="24"/>
        </w:rPr>
        <w:t>pro</w:t>
      </w:r>
      <w:r w:rsidR="002C5C34" w:rsidRPr="000F530F">
        <w:rPr>
          <w:rFonts w:asciiTheme="minorHAnsi" w:hAnsiTheme="minorHAnsi" w:cstheme="minorHAnsi"/>
          <w:sz w:val="24"/>
          <w:szCs w:val="24"/>
        </w:rPr>
        <w:t xml:space="preserve"> </w:t>
      </w:r>
      <w:r w:rsidR="009B01CE" w:rsidRPr="000F530F">
        <w:rPr>
          <w:rFonts w:asciiTheme="minorHAnsi" w:hAnsiTheme="minorHAnsi" w:cstheme="minorHAnsi"/>
          <w:sz w:val="24"/>
          <w:szCs w:val="24"/>
        </w:rPr>
        <w:t>podání nabídek v zadávacím řízení MF prodloužilo z 60 na 207 dnů, tedy téměř na 3,5násobek původně plánované</w:t>
      </w:r>
      <w:r w:rsidR="009B01CE" w:rsidRPr="008142C5">
        <w:rPr>
          <w:rFonts w:asciiTheme="minorHAnsi" w:hAnsiTheme="minorHAnsi" w:cstheme="minorHAnsi"/>
          <w:sz w:val="24"/>
          <w:szCs w:val="24"/>
        </w:rPr>
        <w:t xml:space="preserve"> </w:t>
      </w:r>
      <w:r w:rsidR="009B01CE">
        <w:rPr>
          <w:rFonts w:asciiTheme="minorHAnsi" w:hAnsiTheme="minorHAnsi" w:cstheme="minorHAnsi"/>
          <w:sz w:val="24"/>
          <w:szCs w:val="24"/>
        </w:rPr>
        <w:t>lhůty</w:t>
      </w:r>
      <w:r w:rsidR="009B01CE" w:rsidRPr="008142C5">
        <w:rPr>
          <w:rFonts w:asciiTheme="minorHAnsi" w:hAnsiTheme="minorHAnsi" w:cstheme="minorHAnsi"/>
          <w:sz w:val="24"/>
          <w:szCs w:val="24"/>
        </w:rPr>
        <w:t xml:space="preserve">. Na základě souběhu uvedených důvodů vyhodnotil NKÚ zadávací dokumentaci jako nekvalitně </w:t>
      </w:r>
      <w:r w:rsidR="009B01CE">
        <w:rPr>
          <w:rFonts w:asciiTheme="minorHAnsi" w:hAnsiTheme="minorHAnsi" w:cstheme="minorHAnsi"/>
          <w:sz w:val="24"/>
          <w:szCs w:val="24"/>
        </w:rPr>
        <w:t xml:space="preserve">provedenou. </w:t>
      </w:r>
      <w:r w:rsidR="00C5777D">
        <w:rPr>
          <w:rFonts w:asciiTheme="minorHAnsi" w:hAnsiTheme="minorHAnsi" w:cstheme="minorHAnsi"/>
          <w:sz w:val="24"/>
          <w:szCs w:val="24"/>
        </w:rPr>
        <w:t>P</w:t>
      </w:r>
      <w:r w:rsidR="00FD5D88" w:rsidRPr="008142C5">
        <w:rPr>
          <w:rFonts w:asciiTheme="minorHAnsi" w:hAnsiTheme="minorHAnsi" w:cstheme="minorHAnsi"/>
          <w:sz w:val="24"/>
          <w:szCs w:val="24"/>
        </w:rPr>
        <w:t>o úpravách</w:t>
      </w:r>
      <w:r w:rsidR="009D5634" w:rsidRPr="008142C5">
        <w:rPr>
          <w:rFonts w:asciiTheme="minorHAnsi" w:hAnsiTheme="minorHAnsi" w:cstheme="minorHAnsi"/>
          <w:sz w:val="24"/>
          <w:szCs w:val="24"/>
        </w:rPr>
        <w:t xml:space="preserve"> </w:t>
      </w:r>
      <w:r w:rsidR="00C5777D">
        <w:rPr>
          <w:rFonts w:asciiTheme="minorHAnsi" w:hAnsiTheme="minorHAnsi" w:cstheme="minorHAnsi"/>
          <w:sz w:val="24"/>
          <w:szCs w:val="24"/>
        </w:rPr>
        <w:t xml:space="preserve">v průběhu VZ </w:t>
      </w:r>
      <w:r w:rsidR="00BF79D6">
        <w:rPr>
          <w:rFonts w:asciiTheme="minorHAnsi" w:hAnsiTheme="minorHAnsi" w:cstheme="minorHAnsi"/>
          <w:sz w:val="24"/>
          <w:szCs w:val="24"/>
        </w:rPr>
        <w:t xml:space="preserve">AISG </w:t>
      </w:r>
      <w:r w:rsidR="00C5777D" w:rsidRPr="008142C5">
        <w:rPr>
          <w:rFonts w:asciiTheme="minorHAnsi" w:hAnsiTheme="minorHAnsi" w:cstheme="minorHAnsi"/>
          <w:sz w:val="24"/>
          <w:szCs w:val="24"/>
        </w:rPr>
        <w:t>využi</w:t>
      </w:r>
      <w:r w:rsidR="00C5777D">
        <w:rPr>
          <w:rFonts w:asciiTheme="minorHAnsi" w:hAnsiTheme="minorHAnsi" w:cstheme="minorHAnsi"/>
          <w:sz w:val="24"/>
          <w:szCs w:val="24"/>
        </w:rPr>
        <w:t>lo</w:t>
      </w:r>
      <w:r w:rsidR="00C5777D" w:rsidRPr="008142C5">
        <w:rPr>
          <w:rFonts w:asciiTheme="minorHAnsi" w:hAnsiTheme="minorHAnsi" w:cstheme="minorHAnsi"/>
          <w:sz w:val="24"/>
          <w:szCs w:val="24"/>
        </w:rPr>
        <w:t xml:space="preserve"> </w:t>
      </w:r>
      <w:r w:rsidR="00FD5D88" w:rsidRPr="008142C5">
        <w:rPr>
          <w:rFonts w:asciiTheme="minorHAnsi" w:hAnsiTheme="minorHAnsi" w:cstheme="minorHAnsi"/>
          <w:sz w:val="24"/>
          <w:szCs w:val="24"/>
        </w:rPr>
        <w:t xml:space="preserve">MF </w:t>
      </w:r>
      <w:r w:rsidR="00BF79D6">
        <w:rPr>
          <w:rFonts w:asciiTheme="minorHAnsi" w:hAnsiTheme="minorHAnsi" w:cstheme="minorHAnsi"/>
          <w:sz w:val="24"/>
          <w:szCs w:val="24"/>
        </w:rPr>
        <w:t xml:space="preserve">tuto </w:t>
      </w:r>
      <w:r w:rsidR="00C5777D" w:rsidRPr="008142C5">
        <w:rPr>
          <w:rFonts w:asciiTheme="minorHAnsi" w:hAnsiTheme="minorHAnsi" w:cstheme="minorHAnsi"/>
          <w:sz w:val="24"/>
          <w:szCs w:val="24"/>
        </w:rPr>
        <w:t xml:space="preserve">ZD </w:t>
      </w:r>
      <w:r w:rsidR="009D5634" w:rsidRPr="008142C5">
        <w:rPr>
          <w:rFonts w:asciiTheme="minorHAnsi" w:hAnsiTheme="minorHAnsi" w:cstheme="minorHAnsi"/>
          <w:sz w:val="24"/>
          <w:szCs w:val="24"/>
        </w:rPr>
        <w:t>v</w:t>
      </w:r>
      <w:r w:rsidR="00C90D00" w:rsidRPr="008142C5">
        <w:rPr>
          <w:rFonts w:asciiTheme="minorHAnsi" w:hAnsiTheme="minorHAnsi" w:cstheme="minorHAnsi"/>
          <w:sz w:val="24"/>
          <w:szCs w:val="24"/>
        </w:rPr>
        <w:t> následujících VZ vyhlášených pro zajištění AISG</w:t>
      </w:r>
      <w:r w:rsidR="00FD5D88" w:rsidRPr="008142C5">
        <w:rPr>
          <w:rFonts w:asciiTheme="minorHAnsi" w:hAnsiTheme="minorHAnsi" w:cstheme="minorHAnsi"/>
          <w:sz w:val="24"/>
          <w:szCs w:val="24"/>
        </w:rPr>
        <w:t>.</w:t>
      </w:r>
      <w:r w:rsidR="00C90D00" w:rsidRPr="008142C5">
        <w:rPr>
          <w:rFonts w:asciiTheme="minorHAnsi" w:hAnsiTheme="minorHAnsi" w:cstheme="minorHAnsi"/>
          <w:sz w:val="24"/>
          <w:szCs w:val="24"/>
        </w:rPr>
        <w:t xml:space="preserve"> </w:t>
      </w:r>
      <w:r w:rsidR="00C5777D" w:rsidRPr="008142C5">
        <w:rPr>
          <w:rFonts w:asciiTheme="minorHAnsi" w:hAnsiTheme="minorHAnsi" w:cstheme="minorHAnsi"/>
          <w:sz w:val="24"/>
          <w:szCs w:val="24"/>
        </w:rPr>
        <w:t>Za</w:t>
      </w:r>
      <w:r w:rsidR="00C5777D">
        <w:rPr>
          <w:rFonts w:asciiTheme="minorHAnsi" w:hAnsiTheme="minorHAnsi" w:cstheme="minorHAnsi"/>
          <w:sz w:val="24"/>
          <w:szCs w:val="24"/>
        </w:rPr>
        <w:t xml:space="preserve"> </w:t>
      </w:r>
      <w:r w:rsidR="00C5777D" w:rsidRPr="009472A4">
        <w:rPr>
          <w:rFonts w:asciiTheme="minorHAnsi" w:hAnsiTheme="minorHAnsi" w:cstheme="minorHAnsi"/>
          <w:sz w:val="24"/>
          <w:szCs w:val="24"/>
        </w:rPr>
        <w:t xml:space="preserve">zpracování podkladů pro </w:t>
      </w:r>
      <w:r w:rsidR="00C5777D">
        <w:rPr>
          <w:rFonts w:asciiTheme="minorHAnsi" w:hAnsiTheme="minorHAnsi" w:cstheme="minorHAnsi"/>
          <w:sz w:val="24"/>
          <w:szCs w:val="24"/>
        </w:rPr>
        <w:t xml:space="preserve">toto </w:t>
      </w:r>
      <w:r w:rsidR="00C5777D" w:rsidRPr="008142C5">
        <w:rPr>
          <w:rFonts w:asciiTheme="minorHAnsi" w:hAnsiTheme="minorHAnsi" w:cstheme="minorHAnsi"/>
          <w:sz w:val="24"/>
          <w:szCs w:val="24"/>
        </w:rPr>
        <w:t xml:space="preserve">zadávací </w:t>
      </w:r>
      <w:r w:rsidR="00C5777D" w:rsidRPr="009472A4">
        <w:rPr>
          <w:rFonts w:asciiTheme="minorHAnsi" w:hAnsiTheme="minorHAnsi" w:cstheme="minorHAnsi"/>
          <w:sz w:val="24"/>
          <w:szCs w:val="24"/>
        </w:rPr>
        <w:t xml:space="preserve">řízení a </w:t>
      </w:r>
      <w:r w:rsidR="00C5777D">
        <w:rPr>
          <w:rFonts w:asciiTheme="minorHAnsi" w:hAnsiTheme="minorHAnsi" w:cstheme="minorHAnsi"/>
          <w:sz w:val="24"/>
          <w:szCs w:val="24"/>
        </w:rPr>
        <w:t xml:space="preserve">jeho </w:t>
      </w:r>
      <w:r w:rsidR="00C5777D" w:rsidRPr="009472A4">
        <w:rPr>
          <w:rFonts w:asciiTheme="minorHAnsi" w:hAnsiTheme="minorHAnsi" w:cstheme="minorHAnsi"/>
          <w:sz w:val="24"/>
          <w:szCs w:val="24"/>
        </w:rPr>
        <w:t>příprav</w:t>
      </w:r>
      <w:r w:rsidR="00C5777D">
        <w:rPr>
          <w:rFonts w:asciiTheme="minorHAnsi" w:hAnsiTheme="minorHAnsi" w:cstheme="minorHAnsi"/>
          <w:sz w:val="24"/>
          <w:szCs w:val="24"/>
        </w:rPr>
        <w:t>u</w:t>
      </w:r>
      <w:r w:rsidR="00C5777D" w:rsidRPr="009472A4">
        <w:rPr>
          <w:rFonts w:asciiTheme="minorHAnsi" w:hAnsiTheme="minorHAnsi" w:cstheme="minorHAnsi"/>
          <w:sz w:val="24"/>
          <w:szCs w:val="24"/>
        </w:rPr>
        <w:t xml:space="preserve"> </w:t>
      </w:r>
      <w:r w:rsidR="00C5777D" w:rsidRPr="00AA6B0C">
        <w:rPr>
          <w:rFonts w:asciiTheme="minorHAnsi" w:hAnsiTheme="minorHAnsi" w:cstheme="minorHAnsi"/>
          <w:sz w:val="24"/>
          <w:szCs w:val="24"/>
        </w:rPr>
        <w:t>vydalo</w:t>
      </w:r>
      <w:r w:rsidR="00C5777D" w:rsidRPr="008142C5">
        <w:rPr>
          <w:rFonts w:asciiTheme="minorHAnsi" w:hAnsiTheme="minorHAnsi" w:cstheme="minorHAnsi"/>
          <w:sz w:val="24"/>
          <w:szCs w:val="24"/>
        </w:rPr>
        <w:t xml:space="preserve"> MF peněžní prostředky </w:t>
      </w:r>
      <w:r w:rsidR="00C5777D">
        <w:rPr>
          <w:rFonts w:asciiTheme="minorHAnsi" w:hAnsiTheme="minorHAnsi" w:cstheme="minorHAnsi"/>
          <w:sz w:val="24"/>
          <w:szCs w:val="24"/>
        </w:rPr>
        <w:t xml:space="preserve">ve </w:t>
      </w:r>
      <w:r w:rsidR="00C5777D" w:rsidRPr="008142C5">
        <w:rPr>
          <w:rFonts w:asciiTheme="minorHAnsi" w:hAnsiTheme="minorHAnsi" w:cstheme="minorHAnsi"/>
          <w:sz w:val="24"/>
          <w:szCs w:val="24"/>
        </w:rPr>
        <w:t>výš</w:t>
      </w:r>
      <w:r w:rsidR="00C5777D">
        <w:rPr>
          <w:rFonts w:asciiTheme="minorHAnsi" w:hAnsiTheme="minorHAnsi" w:cstheme="minorHAnsi"/>
          <w:sz w:val="24"/>
          <w:szCs w:val="24"/>
        </w:rPr>
        <w:t>i</w:t>
      </w:r>
      <w:r w:rsidR="00C5777D" w:rsidRPr="008142C5">
        <w:rPr>
          <w:rFonts w:asciiTheme="minorHAnsi" w:hAnsiTheme="minorHAnsi" w:cstheme="minorHAnsi"/>
          <w:sz w:val="24"/>
          <w:szCs w:val="24"/>
        </w:rPr>
        <w:t xml:space="preserve"> 5</w:t>
      </w:r>
      <w:r w:rsidR="00DB2C7A">
        <w:rPr>
          <w:rFonts w:asciiTheme="minorHAnsi" w:hAnsiTheme="minorHAnsi" w:cstheme="minorHAnsi"/>
          <w:sz w:val="24"/>
          <w:szCs w:val="24"/>
        </w:rPr>
        <w:t>,3 mil.</w:t>
      </w:r>
      <w:r w:rsidR="00C5777D" w:rsidRPr="008142C5">
        <w:rPr>
          <w:rFonts w:asciiTheme="minorHAnsi" w:hAnsiTheme="minorHAnsi" w:cstheme="minorHAnsi"/>
          <w:sz w:val="24"/>
          <w:szCs w:val="24"/>
        </w:rPr>
        <w:t xml:space="preserve"> Kč. </w:t>
      </w:r>
      <w:r w:rsidR="009D5634" w:rsidRPr="008142C5">
        <w:rPr>
          <w:rFonts w:asciiTheme="minorHAnsi" w:hAnsiTheme="minorHAnsi" w:cstheme="minorHAnsi"/>
          <w:sz w:val="24"/>
          <w:szCs w:val="24"/>
        </w:rPr>
        <w:t xml:space="preserve">NKÚ </w:t>
      </w:r>
      <w:r w:rsidR="003E2533">
        <w:rPr>
          <w:rFonts w:asciiTheme="minorHAnsi" w:hAnsiTheme="minorHAnsi" w:cstheme="minorHAnsi"/>
          <w:sz w:val="24"/>
          <w:szCs w:val="24"/>
        </w:rPr>
        <w:t>vyhodnotil</w:t>
      </w:r>
      <w:r w:rsidR="00C5777D">
        <w:rPr>
          <w:rFonts w:asciiTheme="minorHAnsi" w:hAnsiTheme="minorHAnsi" w:cstheme="minorHAnsi"/>
          <w:sz w:val="24"/>
          <w:szCs w:val="24"/>
        </w:rPr>
        <w:t xml:space="preserve"> sníženou </w:t>
      </w:r>
      <w:r w:rsidR="00C90D00" w:rsidRPr="008142C5">
        <w:rPr>
          <w:rFonts w:asciiTheme="minorHAnsi" w:hAnsiTheme="minorHAnsi" w:cstheme="minorHAnsi"/>
          <w:sz w:val="24"/>
          <w:szCs w:val="24"/>
        </w:rPr>
        <w:t>účelnost a</w:t>
      </w:r>
      <w:r w:rsidR="00DF2F32" w:rsidRPr="008142C5">
        <w:rPr>
          <w:rFonts w:asciiTheme="minorHAnsi" w:hAnsiTheme="minorHAnsi" w:cstheme="minorHAnsi"/>
          <w:sz w:val="24"/>
          <w:szCs w:val="24"/>
        </w:rPr>
        <w:t> </w:t>
      </w:r>
      <w:r w:rsidR="00C90D00" w:rsidRPr="008142C5">
        <w:rPr>
          <w:rFonts w:asciiTheme="minorHAnsi" w:hAnsiTheme="minorHAnsi" w:cstheme="minorHAnsi"/>
          <w:sz w:val="24"/>
          <w:szCs w:val="24"/>
        </w:rPr>
        <w:t xml:space="preserve">hospodárnost </w:t>
      </w:r>
      <w:r w:rsidR="002C5C34">
        <w:rPr>
          <w:rFonts w:asciiTheme="minorHAnsi" w:hAnsiTheme="minorHAnsi" w:cstheme="minorHAnsi"/>
          <w:sz w:val="24"/>
          <w:szCs w:val="24"/>
        </w:rPr>
        <w:t>tohoto výdaje</w:t>
      </w:r>
      <w:r w:rsidR="00C90D00" w:rsidRPr="008142C5">
        <w:rPr>
          <w:rFonts w:asciiTheme="minorHAnsi" w:hAnsiTheme="minorHAnsi" w:cstheme="minorHAnsi"/>
          <w:sz w:val="24"/>
          <w:szCs w:val="24"/>
        </w:rPr>
        <w:t>.</w:t>
      </w:r>
      <w:r w:rsidRPr="008142C5">
        <w:rPr>
          <w:rFonts w:asciiTheme="minorHAnsi" w:hAnsiTheme="minorHAnsi" w:cstheme="minorHAnsi"/>
          <w:sz w:val="24"/>
          <w:szCs w:val="24"/>
        </w:rPr>
        <w:t xml:space="preserve"> </w:t>
      </w:r>
    </w:p>
    <w:p w14:paraId="5DBD6255" w14:textId="6C7EA2A6" w:rsidR="009332FB" w:rsidRPr="008142C5" w:rsidRDefault="00C90D00" w:rsidP="00A36482">
      <w:pPr>
        <w:pStyle w:val="Odstavecseseznamem"/>
        <w:numPr>
          <w:ilvl w:val="1"/>
          <w:numId w:val="17"/>
        </w:numPr>
        <w:spacing w:after="120"/>
        <w:ind w:left="0" w:firstLine="0"/>
        <w:contextualSpacing w:val="0"/>
        <w:rPr>
          <w:rFonts w:asciiTheme="minorHAnsi" w:hAnsiTheme="minorHAnsi" w:cstheme="minorHAnsi"/>
          <w:sz w:val="24"/>
          <w:szCs w:val="24"/>
        </w:rPr>
      </w:pPr>
      <w:r w:rsidRPr="008142C5">
        <w:rPr>
          <w:rFonts w:asciiTheme="minorHAnsi" w:hAnsiTheme="minorHAnsi" w:cstheme="minorHAnsi"/>
          <w:sz w:val="24"/>
          <w:szCs w:val="24"/>
        </w:rPr>
        <w:t xml:space="preserve">Dne 28. 2. 2017 </w:t>
      </w:r>
      <w:r w:rsidR="0077219A">
        <w:rPr>
          <w:rFonts w:asciiTheme="minorHAnsi" w:hAnsiTheme="minorHAnsi" w:cstheme="minorHAnsi"/>
          <w:sz w:val="24"/>
          <w:szCs w:val="24"/>
        </w:rPr>
        <w:t>MF</w:t>
      </w:r>
      <w:r w:rsidR="0077219A" w:rsidRPr="008142C5">
        <w:rPr>
          <w:rFonts w:asciiTheme="minorHAnsi" w:hAnsiTheme="minorHAnsi" w:cstheme="minorHAnsi"/>
          <w:sz w:val="24"/>
          <w:szCs w:val="24"/>
        </w:rPr>
        <w:t xml:space="preserve"> </w:t>
      </w:r>
      <w:r w:rsidR="0077219A">
        <w:rPr>
          <w:rFonts w:asciiTheme="minorHAnsi" w:hAnsiTheme="minorHAnsi" w:cstheme="minorHAnsi"/>
          <w:sz w:val="24"/>
          <w:szCs w:val="24"/>
        </w:rPr>
        <w:t>zrušilo</w:t>
      </w:r>
      <w:r w:rsidR="00BF79D6">
        <w:rPr>
          <w:rFonts w:asciiTheme="minorHAnsi" w:hAnsiTheme="minorHAnsi" w:cstheme="minorHAnsi"/>
          <w:sz w:val="24"/>
          <w:szCs w:val="24"/>
        </w:rPr>
        <w:t xml:space="preserve"> VZ AISG</w:t>
      </w:r>
      <w:r w:rsidRPr="008142C5">
        <w:rPr>
          <w:rFonts w:asciiTheme="minorHAnsi" w:hAnsiTheme="minorHAnsi" w:cstheme="minorHAnsi"/>
          <w:sz w:val="24"/>
          <w:szCs w:val="24"/>
        </w:rPr>
        <w:t xml:space="preserve">, </w:t>
      </w:r>
      <w:r w:rsidR="00750974" w:rsidRPr="008142C5">
        <w:rPr>
          <w:rFonts w:asciiTheme="minorHAnsi" w:hAnsiTheme="minorHAnsi" w:cstheme="minorHAnsi"/>
          <w:sz w:val="24"/>
          <w:szCs w:val="24"/>
        </w:rPr>
        <w:t>jelikož</w:t>
      </w:r>
      <w:r w:rsidRPr="008142C5">
        <w:rPr>
          <w:rFonts w:asciiTheme="minorHAnsi" w:hAnsiTheme="minorHAnsi" w:cstheme="minorHAnsi"/>
          <w:sz w:val="24"/>
          <w:szCs w:val="24"/>
        </w:rPr>
        <w:t xml:space="preserve"> dodatečně zjistilo, že nezodpovědělo žádost jednoho dodavatele o dodatečné informace ve lhůtě podle </w:t>
      </w:r>
      <w:r w:rsidR="00B9655B" w:rsidRPr="008142C5">
        <w:rPr>
          <w:rFonts w:asciiTheme="minorHAnsi" w:hAnsiTheme="minorHAnsi" w:cstheme="minorHAnsi"/>
          <w:color w:val="000000"/>
          <w:sz w:val="24"/>
          <w:szCs w:val="24"/>
        </w:rPr>
        <w:t xml:space="preserve">ustanovení </w:t>
      </w:r>
      <w:r w:rsidRPr="008142C5">
        <w:rPr>
          <w:rFonts w:asciiTheme="minorHAnsi" w:hAnsiTheme="minorHAnsi" w:cstheme="minorHAnsi"/>
          <w:sz w:val="24"/>
          <w:szCs w:val="24"/>
        </w:rPr>
        <w:t>§ 49 odst.</w:t>
      </w:r>
      <w:r w:rsidR="009E6A86" w:rsidRPr="008142C5">
        <w:rPr>
          <w:rFonts w:asciiTheme="minorHAnsi" w:hAnsiTheme="minorHAnsi" w:cstheme="minorHAnsi"/>
          <w:sz w:val="24"/>
          <w:szCs w:val="24"/>
        </w:rPr>
        <w:t> </w:t>
      </w:r>
      <w:r w:rsidRPr="008142C5">
        <w:rPr>
          <w:rFonts w:asciiTheme="minorHAnsi" w:hAnsiTheme="minorHAnsi" w:cstheme="minorHAnsi"/>
          <w:sz w:val="24"/>
          <w:szCs w:val="24"/>
        </w:rPr>
        <w:t xml:space="preserve">2 </w:t>
      </w:r>
      <w:r w:rsidR="00EB1BB3" w:rsidRPr="008142C5">
        <w:rPr>
          <w:rFonts w:asciiTheme="minorHAnsi" w:hAnsiTheme="minorHAnsi" w:cstheme="minorHAnsi"/>
          <w:sz w:val="24"/>
          <w:szCs w:val="24"/>
        </w:rPr>
        <w:t>zákona</w:t>
      </w:r>
      <w:r w:rsidR="00386CBB">
        <w:rPr>
          <w:rFonts w:asciiTheme="minorHAnsi" w:hAnsiTheme="minorHAnsi" w:cstheme="minorHAnsi"/>
          <w:sz w:val="24"/>
          <w:szCs w:val="24"/>
        </w:rPr>
        <w:t xml:space="preserve"> </w:t>
      </w:r>
      <w:r w:rsidR="00767620">
        <w:rPr>
          <w:rFonts w:asciiTheme="minorHAnsi" w:hAnsiTheme="minorHAnsi" w:cstheme="minorHAnsi"/>
          <w:sz w:val="24"/>
          <w:szCs w:val="24"/>
        </w:rPr>
        <w:br/>
      </w:r>
      <w:r w:rsidR="00EB1BB3" w:rsidRPr="008142C5">
        <w:rPr>
          <w:rFonts w:asciiTheme="minorHAnsi" w:hAnsiTheme="minorHAnsi" w:cstheme="minorHAnsi"/>
          <w:sz w:val="24"/>
          <w:szCs w:val="24"/>
        </w:rPr>
        <w:t>č. 137/2006 Sb., o veřejných zakázkách</w:t>
      </w:r>
      <w:r w:rsidR="002C5C34">
        <w:rPr>
          <w:rFonts w:asciiTheme="minorHAnsi" w:hAnsiTheme="minorHAnsi" w:cstheme="minorHAnsi"/>
          <w:sz w:val="24"/>
          <w:szCs w:val="24"/>
        </w:rPr>
        <w:t>,</w:t>
      </w:r>
      <w:r w:rsidR="00EB1BB3" w:rsidRPr="008142C5">
        <w:rPr>
          <w:rFonts w:asciiTheme="minorHAnsi" w:hAnsiTheme="minorHAnsi" w:cstheme="minorHAnsi"/>
          <w:sz w:val="24"/>
          <w:szCs w:val="24"/>
        </w:rPr>
        <w:t xml:space="preserve"> a</w:t>
      </w:r>
      <w:r w:rsidRPr="008142C5" w:rsidDel="00EB1BB3">
        <w:rPr>
          <w:rFonts w:asciiTheme="minorHAnsi" w:hAnsiTheme="minorHAnsi" w:cstheme="minorHAnsi"/>
          <w:sz w:val="24"/>
          <w:szCs w:val="24"/>
        </w:rPr>
        <w:t xml:space="preserve"> </w:t>
      </w:r>
      <w:r w:rsidRPr="008142C5">
        <w:rPr>
          <w:rFonts w:asciiTheme="minorHAnsi" w:hAnsiTheme="minorHAnsi" w:cstheme="minorHAnsi"/>
          <w:sz w:val="24"/>
          <w:szCs w:val="24"/>
        </w:rPr>
        <w:t xml:space="preserve">neučinilo </w:t>
      </w:r>
      <w:r w:rsidR="00EB1BB3" w:rsidRPr="008142C5">
        <w:rPr>
          <w:rFonts w:asciiTheme="minorHAnsi" w:hAnsiTheme="minorHAnsi" w:cstheme="minorHAnsi"/>
          <w:sz w:val="24"/>
          <w:szCs w:val="24"/>
        </w:rPr>
        <w:t xml:space="preserve">tak </w:t>
      </w:r>
      <w:r w:rsidRPr="008142C5">
        <w:rPr>
          <w:rFonts w:asciiTheme="minorHAnsi" w:hAnsiTheme="minorHAnsi" w:cstheme="minorHAnsi"/>
          <w:sz w:val="24"/>
          <w:szCs w:val="24"/>
        </w:rPr>
        <w:t>ani v pozdější lhůtě.</w:t>
      </w:r>
      <w:r w:rsidR="00C01365" w:rsidRPr="008142C5">
        <w:rPr>
          <w:rFonts w:asciiTheme="minorHAnsi" w:hAnsiTheme="minorHAnsi" w:cstheme="minorHAnsi"/>
          <w:sz w:val="24"/>
          <w:szCs w:val="24"/>
        </w:rPr>
        <w:t xml:space="preserve"> </w:t>
      </w:r>
      <w:r w:rsidRPr="008142C5">
        <w:rPr>
          <w:rFonts w:asciiTheme="minorHAnsi" w:hAnsiTheme="minorHAnsi" w:cstheme="minorHAnsi"/>
          <w:sz w:val="24"/>
          <w:szCs w:val="24"/>
        </w:rPr>
        <w:t>MF dne 12.</w:t>
      </w:r>
      <w:r w:rsidR="005430D2">
        <w:rPr>
          <w:rFonts w:asciiTheme="minorHAnsi" w:hAnsiTheme="minorHAnsi" w:cstheme="minorHAnsi"/>
          <w:sz w:val="24"/>
          <w:szCs w:val="24"/>
        </w:rPr>
        <w:t> </w:t>
      </w:r>
      <w:r w:rsidRPr="008142C5">
        <w:rPr>
          <w:rFonts w:asciiTheme="minorHAnsi" w:hAnsiTheme="minorHAnsi" w:cstheme="minorHAnsi"/>
          <w:sz w:val="24"/>
          <w:szCs w:val="24"/>
        </w:rPr>
        <w:t xml:space="preserve">3. 2018, tedy 21 měsíců po začátku platnosti ZHH a více než rok po zrušení VZ </w:t>
      </w:r>
      <w:r w:rsidR="00BF79D6" w:rsidRPr="00BF79D6">
        <w:rPr>
          <w:rFonts w:asciiTheme="minorHAnsi" w:hAnsiTheme="minorHAnsi" w:cstheme="minorHAnsi"/>
          <w:sz w:val="24"/>
          <w:szCs w:val="24"/>
        </w:rPr>
        <w:t>AISG</w:t>
      </w:r>
      <w:r w:rsidRPr="008142C5">
        <w:rPr>
          <w:rFonts w:asciiTheme="minorHAnsi" w:hAnsiTheme="minorHAnsi" w:cstheme="minorHAnsi"/>
          <w:sz w:val="24"/>
          <w:szCs w:val="24"/>
        </w:rPr>
        <w:t xml:space="preserve">, </w:t>
      </w:r>
      <w:r w:rsidR="00081EF3" w:rsidRPr="008142C5">
        <w:rPr>
          <w:rFonts w:asciiTheme="minorHAnsi" w:hAnsiTheme="minorHAnsi" w:cstheme="minorHAnsi"/>
          <w:sz w:val="24"/>
          <w:szCs w:val="24"/>
        </w:rPr>
        <w:t>rozhodlo</w:t>
      </w:r>
      <w:r w:rsidR="004259CA" w:rsidRPr="008142C5">
        <w:rPr>
          <w:rFonts w:asciiTheme="minorHAnsi" w:hAnsiTheme="minorHAnsi" w:cstheme="minorHAnsi"/>
          <w:sz w:val="24"/>
          <w:szCs w:val="24"/>
        </w:rPr>
        <w:t xml:space="preserve"> o</w:t>
      </w:r>
      <w:r w:rsidR="008C7CA7">
        <w:rPr>
          <w:rFonts w:asciiTheme="minorHAnsi" w:hAnsiTheme="minorHAnsi" w:cstheme="minorHAnsi"/>
          <w:sz w:val="24"/>
          <w:szCs w:val="24"/>
        </w:rPr>
        <w:t> </w:t>
      </w:r>
      <w:r w:rsidR="004259CA" w:rsidRPr="008142C5">
        <w:rPr>
          <w:rFonts w:asciiTheme="minorHAnsi" w:hAnsiTheme="minorHAnsi" w:cstheme="minorHAnsi"/>
          <w:sz w:val="24"/>
          <w:szCs w:val="24"/>
        </w:rPr>
        <w:t>oddělení</w:t>
      </w:r>
      <w:r w:rsidRPr="008142C5">
        <w:rPr>
          <w:rFonts w:asciiTheme="minorHAnsi" w:hAnsiTheme="minorHAnsi" w:cstheme="minorHAnsi"/>
          <w:sz w:val="24"/>
          <w:szCs w:val="24"/>
        </w:rPr>
        <w:t xml:space="preserve"> </w:t>
      </w:r>
      <w:r w:rsidR="00477262" w:rsidRPr="008142C5">
        <w:rPr>
          <w:rFonts w:asciiTheme="minorHAnsi" w:hAnsiTheme="minorHAnsi" w:cstheme="minorHAnsi"/>
          <w:sz w:val="24"/>
          <w:szCs w:val="24"/>
        </w:rPr>
        <w:t>AM</w:t>
      </w:r>
      <w:r w:rsidRPr="008142C5">
        <w:rPr>
          <w:rFonts w:asciiTheme="minorHAnsi" w:hAnsiTheme="minorHAnsi" w:cstheme="minorHAnsi"/>
          <w:sz w:val="24"/>
          <w:szCs w:val="24"/>
        </w:rPr>
        <w:t xml:space="preserve"> AISG od </w:t>
      </w:r>
      <w:r w:rsidR="00477262" w:rsidRPr="008142C5">
        <w:rPr>
          <w:rFonts w:asciiTheme="minorHAnsi" w:hAnsiTheme="minorHAnsi" w:cstheme="minorHAnsi"/>
          <w:sz w:val="24"/>
          <w:szCs w:val="24"/>
        </w:rPr>
        <w:t xml:space="preserve">DM AISG </w:t>
      </w:r>
      <w:r w:rsidRPr="008142C5">
        <w:rPr>
          <w:rFonts w:asciiTheme="minorHAnsi" w:hAnsiTheme="minorHAnsi" w:cstheme="minorHAnsi"/>
          <w:sz w:val="24"/>
          <w:szCs w:val="24"/>
        </w:rPr>
        <w:t xml:space="preserve">a </w:t>
      </w:r>
      <w:r w:rsidR="00477262" w:rsidRPr="008142C5">
        <w:rPr>
          <w:rFonts w:asciiTheme="minorHAnsi" w:hAnsiTheme="minorHAnsi" w:cstheme="minorHAnsi"/>
          <w:sz w:val="24"/>
          <w:szCs w:val="24"/>
        </w:rPr>
        <w:t>SM</w:t>
      </w:r>
      <w:r w:rsidRPr="008142C5">
        <w:rPr>
          <w:rFonts w:asciiTheme="minorHAnsi" w:hAnsiTheme="minorHAnsi" w:cstheme="minorHAnsi"/>
          <w:sz w:val="24"/>
          <w:szCs w:val="24"/>
        </w:rPr>
        <w:t xml:space="preserve"> AISG. </w:t>
      </w:r>
      <w:r w:rsidR="009379A1">
        <w:rPr>
          <w:rFonts w:asciiTheme="minorHAnsi" w:hAnsiTheme="minorHAnsi" w:cstheme="minorHAnsi"/>
          <w:sz w:val="24"/>
          <w:szCs w:val="24"/>
        </w:rPr>
        <w:t>Smlouvu na dodávku</w:t>
      </w:r>
      <w:r w:rsidRPr="008142C5">
        <w:rPr>
          <w:rFonts w:asciiTheme="minorHAnsi" w:hAnsiTheme="minorHAnsi" w:cstheme="minorHAnsi"/>
          <w:sz w:val="24"/>
          <w:szCs w:val="24"/>
        </w:rPr>
        <w:t xml:space="preserve"> </w:t>
      </w:r>
      <w:r w:rsidR="0077219A">
        <w:rPr>
          <w:rFonts w:asciiTheme="minorHAnsi" w:hAnsiTheme="minorHAnsi" w:cstheme="minorHAnsi"/>
          <w:sz w:val="24"/>
          <w:szCs w:val="24"/>
        </w:rPr>
        <w:t>AM</w:t>
      </w:r>
      <w:r w:rsidRPr="008142C5">
        <w:rPr>
          <w:rFonts w:asciiTheme="minorHAnsi" w:hAnsiTheme="minorHAnsi" w:cstheme="minorHAnsi"/>
          <w:sz w:val="24"/>
          <w:szCs w:val="24"/>
        </w:rPr>
        <w:t xml:space="preserve"> AISG </w:t>
      </w:r>
      <w:r w:rsidR="009379A1">
        <w:rPr>
          <w:rFonts w:asciiTheme="minorHAnsi" w:hAnsiTheme="minorHAnsi" w:cstheme="minorHAnsi"/>
          <w:sz w:val="24"/>
          <w:szCs w:val="24"/>
        </w:rPr>
        <w:t xml:space="preserve">uzavřelo MF </w:t>
      </w:r>
      <w:r w:rsidRPr="008142C5">
        <w:rPr>
          <w:rFonts w:asciiTheme="minorHAnsi" w:hAnsiTheme="minorHAnsi" w:cstheme="minorHAnsi"/>
          <w:sz w:val="24"/>
          <w:szCs w:val="24"/>
        </w:rPr>
        <w:t xml:space="preserve">v rámci vertikální spolupráce </w:t>
      </w:r>
      <w:r w:rsidR="009379A1">
        <w:rPr>
          <w:rFonts w:asciiTheme="minorHAnsi" w:hAnsiTheme="minorHAnsi" w:cstheme="minorHAnsi"/>
          <w:sz w:val="24"/>
          <w:szCs w:val="24"/>
        </w:rPr>
        <w:t xml:space="preserve">se </w:t>
      </w:r>
      <w:r w:rsidRPr="008142C5">
        <w:rPr>
          <w:rFonts w:asciiTheme="minorHAnsi" w:hAnsiTheme="minorHAnsi" w:cstheme="minorHAnsi"/>
          <w:sz w:val="24"/>
          <w:szCs w:val="24"/>
        </w:rPr>
        <w:t>státní</w:t>
      </w:r>
      <w:r w:rsidR="002C5C34">
        <w:rPr>
          <w:rFonts w:asciiTheme="minorHAnsi" w:hAnsiTheme="minorHAnsi" w:cstheme="minorHAnsi"/>
          <w:sz w:val="24"/>
          <w:szCs w:val="24"/>
        </w:rPr>
        <w:t>m</w:t>
      </w:r>
      <w:r w:rsidRPr="008142C5">
        <w:rPr>
          <w:rFonts w:asciiTheme="minorHAnsi" w:hAnsiTheme="minorHAnsi" w:cstheme="minorHAnsi"/>
          <w:sz w:val="24"/>
          <w:szCs w:val="24"/>
        </w:rPr>
        <w:t xml:space="preserve"> podnik</w:t>
      </w:r>
      <w:r w:rsidR="009379A1">
        <w:rPr>
          <w:rFonts w:asciiTheme="minorHAnsi" w:hAnsiTheme="minorHAnsi" w:cstheme="minorHAnsi"/>
          <w:sz w:val="24"/>
          <w:szCs w:val="24"/>
        </w:rPr>
        <w:t>em</w:t>
      </w:r>
      <w:r w:rsidRPr="008142C5">
        <w:rPr>
          <w:rFonts w:asciiTheme="minorHAnsi" w:hAnsiTheme="minorHAnsi" w:cstheme="minorHAnsi"/>
          <w:sz w:val="24"/>
          <w:szCs w:val="24"/>
        </w:rPr>
        <w:t xml:space="preserve"> SPCSS</w:t>
      </w:r>
      <w:r w:rsidR="0077551F" w:rsidRPr="008142C5">
        <w:rPr>
          <w:rFonts w:asciiTheme="minorHAnsi" w:hAnsiTheme="minorHAnsi" w:cstheme="minorHAnsi"/>
          <w:sz w:val="24"/>
          <w:szCs w:val="24"/>
        </w:rPr>
        <w:t>.</w:t>
      </w:r>
      <w:r w:rsidRPr="008142C5">
        <w:rPr>
          <w:rFonts w:asciiTheme="minorHAnsi" w:hAnsiTheme="minorHAnsi" w:cstheme="minorHAnsi"/>
          <w:sz w:val="24"/>
          <w:szCs w:val="24"/>
        </w:rPr>
        <w:t xml:space="preserve"> </w:t>
      </w:r>
    </w:p>
    <w:p w14:paraId="095804EE" w14:textId="1E8F1001" w:rsidR="0065196E" w:rsidRPr="008142C5" w:rsidRDefault="00376601" w:rsidP="00A36482">
      <w:pPr>
        <w:pStyle w:val="Odstavecseseznamem"/>
        <w:numPr>
          <w:ilvl w:val="1"/>
          <w:numId w:val="17"/>
        </w:numPr>
        <w:spacing w:after="120"/>
        <w:ind w:left="0" w:firstLine="0"/>
        <w:contextualSpacing w:val="0"/>
        <w:rPr>
          <w:rFonts w:asciiTheme="minorHAnsi" w:hAnsiTheme="minorHAnsi" w:cstheme="minorHAnsi"/>
          <w:sz w:val="24"/>
          <w:szCs w:val="24"/>
        </w:rPr>
      </w:pPr>
      <w:r w:rsidRPr="008142C5">
        <w:rPr>
          <w:rFonts w:asciiTheme="minorHAnsi" w:hAnsiTheme="minorHAnsi" w:cstheme="minorHAnsi"/>
          <w:sz w:val="24"/>
          <w:szCs w:val="24"/>
        </w:rPr>
        <w:t xml:space="preserve">Externí náklady (tj. subdodávky třetích stran pro SPCSS) na realizaci </w:t>
      </w:r>
      <w:r w:rsidR="00EE17CD" w:rsidRPr="008142C5">
        <w:rPr>
          <w:rFonts w:asciiTheme="minorHAnsi" w:hAnsiTheme="minorHAnsi" w:cstheme="minorHAnsi"/>
          <w:sz w:val="24"/>
          <w:szCs w:val="24"/>
        </w:rPr>
        <w:t>AM AISG</w:t>
      </w:r>
      <w:r w:rsidRPr="008142C5">
        <w:rPr>
          <w:rFonts w:asciiTheme="minorHAnsi" w:hAnsiTheme="minorHAnsi" w:cstheme="minorHAnsi"/>
          <w:sz w:val="24"/>
          <w:szCs w:val="24"/>
        </w:rPr>
        <w:t xml:space="preserve"> měly dle informace MF pro vládu ČR z</w:t>
      </w:r>
      <w:r w:rsidR="002C5C34">
        <w:rPr>
          <w:rFonts w:asciiTheme="minorHAnsi" w:hAnsiTheme="minorHAnsi" w:cstheme="minorHAnsi"/>
          <w:sz w:val="24"/>
          <w:szCs w:val="24"/>
        </w:rPr>
        <w:t xml:space="preserve">e </w:t>
      </w:r>
      <w:r w:rsidRPr="008142C5">
        <w:rPr>
          <w:rFonts w:asciiTheme="minorHAnsi" w:hAnsiTheme="minorHAnsi" w:cstheme="minorHAnsi"/>
          <w:sz w:val="24"/>
          <w:szCs w:val="24"/>
        </w:rPr>
        <w:t>7. 11. 2018 představovat cca 20 % z ceny zakázky. Formou subdodávek</w:t>
      </w:r>
      <w:r w:rsidRPr="008142C5" w:rsidDel="00E01B89">
        <w:rPr>
          <w:rFonts w:asciiTheme="minorHAnsi" w:hAnsiTheme="minorHAnsi" w:cstheme="minorHAnsi"/>
          <w:sz w:val="24"/>
          <w:szCs w:val="24"/>
        </w:rPr>
        <w:t xml:space="preserve"> </w:t>
      </w:r>
      <w:r w:rsidRPr="008142C5">
        <w:rPr>
          <w:rFonts w:asciiTheme="minorHAnsi" w:hAnsiTheme="minorHAnsi" w:cstheme="minorHAnsi"/>
          <w:sz w:val="24"/>
          <w:szCs w:val="24"/>
        </w:rPr>
        <w:t xml:space="preserve">však </w:t>
      </w:r>
      <w:r w:rsidR="002C5C34">
        <w:rPr>
          <w:rFonts w:asciiTheme="minorHAnsi" w:hAnsiTheme="minorHAnsi" w:cstheme="minorHAnsi"/>
          <w:sz w:val="24"/>
          <w:szCs w:val="24"/>
        </w:rPr>
        <w:t xml:space="preserve">podnik </w:t>
      </w:r>
      <w:r w:rsidRPr="008142C5">
        <w:rPr>
          <w:rFonts w:asciiTheme="minorHAnsi" w:hAnsiTheme="minorHAnsi" w:cstheme="minorHAnsi"/>
          <w:sz w:val="24"/>
          <w:szCs w:val="24"/>
        </w:rPr>
        <w:t xml:space="preserve">SPCSS realizoval téměř 80 % VZ na AM AISG. </w:t>
      </w:r>
      <w:r w:rsidR="002C5C34">
        <w:rPr>
          <w:rFonts w:asciiTheme="minorHAnsi" w:hAnsiTheme="minorHAnsi" w:cstheme="minorHAnsi"/>
          <w:sz w:val="24"/>
          <w:szCs w:val="24"/>
        </w:rPr>
        <w:t xml:space="preserve">Podnik </w:t>
      </w:r>
      <w:r w:rsidR="00D73665" w:rsidRPr="008142C5">
        <w:rPr>
          <w:rFonts w:asciiTheme="minorHAnsi" w:hAnsiTheme="minorHAnsi" w:cstheme="minorHAnsi"/>
          <w:sz w:val="24"/>
          <w:szCs w:val="24"/>
        </w:rPr>
        <w:t xml:space="preserve">SPCSS </w:t>
      </w:r>
      <w:r w:rsidR="00EE17CD" w:rsidRPr="008142C5">
        <w:rPr>
          <w:rFonts w:asciiTheme="minorHAnsi" w:hAnsiTheme="minorHAnsi" w:cstheme="minorHAnsi"/>
          <w:sz w:val="24"/>
          <w:szCs w:val="24"/>
        </w:rPr>
        <w:t xml:space="preserve">také </w:t>
      </w:r>
      <w:bookmarkStart w:id="15" w:name="_Hlk132975581"/>
      <w:r w:rsidR="002C5C34" w:rsidRPr="008142C5">
        <w:rPr>
          <w:rFonts w:asciiTheme="minorHAnsi" w:hAnsiTheme="minorHAnsi" w:cstheme="minorHAnsi"/>
          <w:sz w:val="24"/>
          <w:szCs w:val="24"/>
        </w:rPr>
        <w:t xml:space="preserve">nesprávně </w:t>
      </w:r>
      <w:r w:rsidR="0065196E" w:rsidRPr="008142C5">
        <w:rPr>
          <w:rFonts w:asciiTheme="minorHAnsi" w:hAnsiTheme="minorHAnsi" w:cstheme="minorHAnsi"/>
          <w:sz w:val="24"/>
          <w:szCs w:val="24"/>
        </w:rPr>
        <w:t xml:space="preserve">stanovoval předpokládané hodnoty veřejných zakázek souvisejících s AISG </w:t>
      </w:r>
      <w:r w:rsidR="00F303E0">
        <w:rPr>
          <w:rFonts w:asciiTheme="minorHAnsi" w:hAnsiTheme="minorHAnsi" w:cstheme="minorHAnsi"/>
          <w:sz w:val="24"/>
          <w:szCs w:val="24"/>
        </w:rPr>
        <w:br/>
      </w:r>
      <w:r w:rsidR="0065196E" w:rsidRPr="008142C5">
        <w:rPr>
          <w:rFonts w:asciiTheme="minorHAnsi" w:hAnsiTheme="minorHAnsi" w:cstheme="minorHAnsi"/>
          <w:sz w:val="24"/>
          <w:szCs w:val="24"/>
        </w:rPr>
        <w:t>a</w:t>
      </w:r>
      <w:r w:rsidR="00F303E0">
        <w:rPr>
          <w:rFonts w:asciiTheme="minorHAnsi" w:hAnsiTheme="minorHAnsi" w:cstheme="minorHAnsi"/>
          <w:sz w:val="24"/>
          <w:szCs w:val="24"/>
        </w:rPr>
        <w:t xml:space="preserve"> </w:t>
      </w:r>
      <w:r w:rsidR="0065196E" w:rsidRPr="008142C5">
        <w:rPr>
          <w:rFonts w:asciiTheme="minorHAnsi" w:hAnsiTheme="minorHAnsi" w:cstheme="minorHAnsi"/>
          <w:sz w:val="24"/>
          <w:szCs w:val="24"/>
        </w:rPr>
        <w:t xml:space="preserve">nezadával je v zákonem stanovených </w:t>
      </w:r>
      <w:r w:rsidR="00A10FA6" w:rsidRPr="008142C5">
        <w:rPr>
          <w:rFonts w:asciiTheme="minorHAnsi" w:hAnsiTheme="minorHAnsi" w:cstheme="minorHAnsi"/>
          <w:sz w:val="24"/>
          <w:szCs w:val="24"/>
        </w:rPr>
        <w:t xml:space="preserve">druzích </w:t>
      </w:r>
      <w:r w:rsidR="0065196E" w:rsidRPr="008142C5">
        <w:rPr>
          <w:rFonts w:asciiTheme="minorHAnsi" w:hAnsiTheme="minorHAnsi" w:cstheme="minorHAnsi"/>
          <w:sz w:val="24"/>
          <w:szCs w:val="24"/>
        </w:rPr>
        <w:t>zadávacích řízení</w:t>
      </w:r>
      <w:bookmarkEnd w:id="15"/>
      <w:r w:rsidR="0065196E" w:rsidRPr="008142C5">
        <w:rPr>
          <w:rFonts w:asciiTheme="minorHAnsi" w:hAnsiTheme="minorHAnsi" w:cstheme="minorHAnsi"/>
          <w:sz w:val="24"/>
          <w:szCs w:val="24"/>
        </w:rPr>
        <w:t xml:space="preserve">. </w:t>
      </w:r>
      <w:r w:rsidR="002C5C34">
        <w:rPr>
          <w:rFonts w:asciiTheme="minorHAnsi" w:hAnsiTheme="minorHAnsi" w:cstheme="minorHAnsi"/>
          <w:sz w:val="24"/>
          <w:szCs w:val="24"/>
        </w:rPr>
        <w:t>T</w:t>
      </w:r>
      <w:r w:rsidR="0065196E" w:rsidRPr="008142C5">
        <w:rPr>
          <w:rFonts w:asciiTheme="minorHAnsi" w:hAnsiTheme="minorHAnsi" w:cstheme="minorHAnsi"/>
          <w:sz w:val="24"/>
          <w:szCs w:val="24"/>
        </w:rPr>
        <w:t>ím opakovaně porušil ustanovení § 2 odst. 3 ZZVZ.</w:t>
      </w:r>
      <w:r w:rsidR="00792915" w:rsidRPr="008142C5">
        <w:rPr>
          <w:rFonts w:asciiTheme="minorHAnsi" w:hAnsiTheme="minorHAnsi" w:cstheme="minorHAnsi"/>
          <w:sz w:val="24"/>
          <w:szCs w:val="24"/>
        </w:rPr>
        <w:t xml:space="preserve"> </w:t>
      </w:r>
      <w:r w:rsidR="002C5C34">
        <w:rPr>
          <w:rFonts w:asciiTheme="minorHAnsi" w:hAnsiTheme="minorHAnsi" w:cstheme="minorHAnsi"/>
          <w:sz w:val="24"/>
          <w:szCs w:val="24"/>
        </w:rPr>
        <w:t xml:space="preserve">Státní podnik </w:t>
      </w:r>
      <w:r w:rsidR="00D73665" w:rsidRPr="008142C5">
        <w:rPr>
          <w:rFonts w:asciiTheme="minorHAnsi" w:hAnsiTheme="minorHAnsi" w:cstheme="minorHAnsi"/>
          <w:sz w:val="24"/>
          <w:szCs w:val="24"/>
        </w:rPr>
        <w:t xml:space="preserve">SPCSS </w:t>
      </w:r>
      <w:r w:rsidR="009379A1">
        <w:rPr>
          <w:rFonts w:asciiTheme="minorHAnsi" w:hAnsiTheme="minorHAnsi" w:cstheme="minorHAnsi"/>
          <w:sz w:val="24"/>
          <w:szCs w:val="24"/>
        </w:rPr>
        <w:t xml:space="preserve">v některých případech </w:t>
      </w:r>
      <w:r w:rsidR="0065196E" w:rsidRPr="008142C5">
        <w:rPr>
          <w:rFonts w:asciiTheme="minorHAnsi" w:hAnsiTheme="minorHAnsi" w:cstheme="minorHAnsi"/>
          <w:sz w:val="24"/>
          <w:szCs w:val="24"/>
        </w:rPr>
        <w:t xml:space="preserve">nepostupoval </w:t>
      </w:r>
      <w:r w:rsidR="002C5C34">
        <w:rPr>
          <w:rFonts w:asciiTheme="minorHAnsi" w:hAnsiTheme="minorHAnsi" w:cstheme="minorHAnsi"/>
          <w:sz w:val="24"/>
          <w:szCs w:val="24"/>
        </w:rPr>
        <w:t>ani</w:t>
      </w:r>
      <w:r w:rsidR="0065196E" w:rsidRPr="008142C5">
        <w:rPr>
          <w:rFonts w:asciiTheme="minorHAnsi" w:hAnsiTheme="minorHAnsi" w:cstheme="minorHAnsi"/>
          <w:sz w:val="24"/>
          <w:szCs w:val="24"/>
        </w:rPr>
        <w:t xml:space="preserve"> v</w:t>
      </w:r>
      <w:r w:rsidR="00F303E0">
        <w:rPr>
          <w:rFonts w:asciiTheme="minorHAnsi" w:hAnsiTheme="minorHAnsi" w:cstheme="minorHAnsi"/>
          <w:sz w:val="24"/>
          <w:szCs w:val="24"/>
        </w:rPr>
        <w:t> </w:t>
      </w:r>
      <w:r w:rsidR="0065196E" w:rsidRPr="008142C5">
        <w:rPr>
          <w:rFonts w:asciiTheme="minorHAnsi" w:hAnsiTheme="minorHAnsi" w:cstheme="minorHAnsi"/>
          <w:sz w:val="24"/>
          <w:szCs w:val="24"/>
        </w:rPr>
        <w:t>souladu s ustanovením §</w:t>
      </w:r>
      <w:r w:rsidR="002C5C34">
        <w:rPr>
          <w:rFonts w:asciiTheme="minorHAnsi" w:hAnsiTheme="minorHAnsi" w:cstheme="minorHAnsi"/>
          <w:sz w:val="24"/>
          <w:szCs w:val="24"/>
        </w:rPr>
        <w:t> </w:t>
      </w:r>
      <w:r w:rsidR="0065196E" w:rsidRPr="008142C5">
        <w:rPr>
          <w:rFonts w:asciiTheme="minorHAnsi" w:hAnsiTheme="minorHAnsi" w:cstheme="minorHAnsi"/>
          <w:sz w:val="24"/>
          <w:szCs w:val="24"/>
        </w:rPr>
        <w:t>6 odst. 1 ZZVZ, kter</w:t>
      </w:r>
      <w:r w:rsidR="002C5C34">
        <w:rPr>
          <w:rFonts w:asciiTheme="minorHAnsi" w:hAnsiTheme="minorHAnsi" w:cstheme="minorHAnsi"/>
          <w:sz w:val="24"/>
          <w:szCs w:val="24"/>
        </w:rPr>
        <w:t>é</w:t>
      </w:r>
      <w:r w:rsidR="0065196E" w:rsidRPr="008142C5">
        <w:rPr>
          <w:rFonts w:asciiTheme="minorHAnsi" w:hAnsiTheme="minorHAnsi" w:cstheme="minorHAnsi"/>
          <w:sz w:val="24"/>
          <w:szCs w:val="24"/>
        </w:rPr>
        <w:t xml:space="preserve"> stanoví, že zadavatel musí dodržovat zásad</w:t>
      </w:r>
      <w:r w:rsidR="00A10FA6" w:rsidRPr="008142C5">
        <w:rPr>
          <w:rFonts w:asciiTheme="minorHAnsi" w:hAnsiTheme="minorHAnsi" w:cstheme="minorHAnsi"/>
          <w:sz w:val="24"/>
          <w:szCs w:val="24"/>
        </w:rPr>
        <w:t>u</w:t>
      </w:r>
      <w:r w:rsidR="0065196E" w:rsidRPr="008142C5">
        <w:rPr>
          <w:rFonts w:asciiTheme="minorHAnsi" w:hAnsiTheme="minorHAnsi" w:cstheme="minorHAnsi"/>
          <w:sz w:val="24"/>
          <w:szCs w:val="24"/>
        </w:rPr>
        <w:t xml:space="preserve"> transparentnosti.</w:t>
      </w:r>
      <w:r w:rsidR="00792915" w:rsidRPr="008142C5">
        <w:rPr>
          <w:rFonts w:asciiTheme="minorHAnsi" w:hAnsiTheme="minorHAnsi" w:cstheme="minorHAnsi"/>
          <w:sz w:val="24"/>
          <w:szCs w:val="24"/>
        </w:rPr>
        <w:t xml:space="preserve"> </w:t>
      </w:r>
    </w:p>
    <w:p w14:paraId="253695A5" w14:textId="1DF40F95" w:rsidR="0035754A" w:rsidRPr="00247CAB" w:rsidRDefault="009758D3" w:rsidP="00A36482">
      <w:pPr>
        <w:pStyle w:val="Odstavecseseznamem"/>
        <w:numPr>
          <w:ilvl w:val="1"/>
          <w:numId w:val="17"/>
        </w:numPr>
        <w:spacing w:after="120"/>
        <w:ind w:left="0" w:firstLine="0"/>
        <w:contextualSpacing w:val="0"/>
        <w:rPr>
          <w:rFonts w:asciiTheme="minorHAnsi" w:hAnsiTheme="minorHAnsi" w:cstheme="minorHAnsi"/>
          <w:sz w:val="24"/>
          <w:szCs w:val="24"/>
        </w:rPr>
      </w:pPr>
      <w:r w:rsidRPr="008142C5">
        <w:rPr>
          <w:rFonts w:asciiTheme="minorHAnsi" w:hAnsiTheme="minorHAnsi" w:cstheme="minorHAnsi"/>
          <w:sz w:val="24"/>
          <w:szCs w:val="24"/>
        </w:rPr>
        <w:t>Smlouv</w:t>
      </w:r>
      <w:r w:rsidR="00560040">
        <w:rPr>
          <w:rFonts w:asciiTheme="minorHAnsi" w:hAnsiTheme="minorHAnsi" w:cstheme="minorHAnsi"/>
          <w:sz w:val="24"/>
          <w:szCs w:val="24"/>
        </w:rPr>
        <w:t>u</w:t>
      </w:r>
      <w:r w:rsidRPr="008142C5">
        <w:rPr>
          <w:rFonts w:asciiTheme="minorHAnsi" w:hAnsiTheme="minorHAnsi" w:cstheme="minorHAnsi"/>
          <w:sz w:val="24"/>
          <w:szCs w:val="24"/>
        </w:rPr>
        <w:t xml:space="preserve"> na dodání</w:t>
      </w:r>
      <w:r w:rsidR="0044368F">
        <w:rPr>
          <w:rFonts w:asciiTheme="minorHAnsi" w:hAnsiTheme="minorHAnsi" w:cstheme="minorHAnsi"/>
          <w:sz w:val="24"/>
          <w:szCs w:val="24"/>
        </w:rPr>
        <w:t xml:space="preserve"> </w:t>
      </w:r>
      <w:r w:rsidR="00664B35">
        <w:rPr>
          <w:rFonts w:asciiTheme="minorHAnsi" w:hAnsiTheme="minorHAnsi" w:cstheme="minorHAnsi"/>
          <w:sz w:val="24"/>
          <w:szCs w:val="24"/>
        </w:rPr>
        <w:t>zbývajících dvou modulů AISG (DM AISG a SM AISG)</w:t>
      </w:r>
      <w:r w:rsidRPr="008142C5">
        <w:rPr>
          <w:rFonts w:asciiTheme="minorHAnsi" w:hAnsiTheme="minorHAnsi" w:cstheme="minorHAnsi"/>
          <w:sz w:val="24"/>
          <w:szCs w:val="24"/>
        </w:rPr>
        <w:t xml:space="preserve"> </w:t>
      </w:r>
      <w:r w:rsidR="00664B35">
        <w:rPr>
          <w:rFonts w:asciiTheme="minorHAnsi" w:hAnsiTheme="minorHAnsi" w:cstheme="minorHAnsi"/>
          <w:sz w:val="24"/>
          <w:szCs w:val="24"/>
        </w:rPr>
        <w:t>Ministerstvo financ</w:t>
      </w:r>
      <w:r w:rsidR="002C5C34">
        <w:rPr>
          <w:rFonts w:asciiTheme="minorHAnsi" w:hAnsiTheme="minorHAnsi" w:cstheme="minorHAnsi"/>
          <w:sz w:val="24"/>
          <w:szCs w:val="24"/>
        </w:rPr>
        <w:t>í</w:t>
      </w:r>
      <w:r w:rsidR="00560040">
        <w:rPr>
          <w:rFonts w:asciiTheme="minorHAnsi" w:hAnsiTheme="minorHAnsi" w:cstheme="minorHAnsi"/>
          <w:sz w:val="24"/>
          <w:szCs w:val="24"/>
        </w:rPr>
        <w:t xml:space="preserve"> uzavřelo</w:t>
      </w:r>
      <w:r w:rsidRPr="008142C5">
        <w:rPr>
          <w:rFonts w:asciiTheme="minorHAnsi" w:hAnsiTheme="minorHAnsi" w:cstheme="minorHAnsi"/>
          <w:sz w:val="24"/>
          <w:szCs w:val="24"/>
        </w:rPr>
        <w:t xml:space="preserve"> dne 3.</w:t>
      </w:r>
      <w:r w:rsidR="00F11468" w:rsidRPr="008142C5">
        <w:rPr>
          <w:rFonts w:asciiTheme="minorHAnsi" w:hAnsiTheme="minorHAnsi" w:cstheme="minorHAnsi"/>
          <w:sz w:val="24"/>
          <w:szCs w:val="24"/>
        </w:rPr>
        <w:t> </w:t>
      </w:r>
      <w:r w:rsidRPr="008142C5">
        <w:rPr>
          <w:rFonts w:asciiTheme="minorHAnsi" w:hAnsiTheme="minorHAnsi" w:cstheme="minorHAnsi"/>
          <w:sz w:val="24"/>
          <w:szCs w:val="24"/>
        </w:rPr>
        <w:t>12. 2018</w:t>
      </w:r>
      <w:r w:rsidR="00664B35">
        <w:rPr>
          <w:rFonts w:asciiTheme="minorHAnsi" w:hAnsiTheme="minorHAnsi" w:cstheme="minorHAnsi"/>
          <w:sz w:val="24"/>
          <w:szCs w:val="24"/>
        </w:rPr>
        <w:t>.</w:t>
      </w:r>
      <w:r w:rsidR="00664B35" w:rsidRPr="008142C5">
        <w:rPr>
          <w:rFonts w:asciiTheme="minorHAnsi" w:hAnsiTheme="minorHAnsi" w:cstheme="minorHAnsi"/>
          <w:sz w:val="24"/>
          <w:szCs w:val="24"/>
        </w:rPr>
        <w:t xml:space="preserve"> </w:t>
      </w:r>
      <w:r w:rsidR="00664B35">
        <w:rPr>
          <w:rFonts w:asciiTheme="minorHAnsi" w:hAnsiTheme="minorHAnsi" w:cstheme="minorHAnsi"/>
          <w:sz w:val="24"/>
          <w:szCs w:val="24"/>
        </w:rPr>
        <w:t>T</w:t>
      </w:r>
      <w:r w:rsidR="00664B35" w:rsidRPr="008142C5">
        <w:rPr>
          <w:rFonts w:asciiTheme="minorHAnsi" w:hAnsiTheme="minorHAnsi" w:cstheme="minorHAnsi"/>
          <w:sz w:val="24"/>
          <w:szCs w:val="24"/>
        </w:rPr>
        <w:t xml:space="preserve">ermín </w:t>
      </w:r>
      <w:r w:rsidR="0082137F" w:rsidRPr="008142C5">
        <w:rPr>
          <w:rFonts w:asciiTheme="minorHAnsi" w:hAnsiTheme="minorHAnsi" w:cstheme="minorHAnsi"/>
          <w:sz w:val="24"/>
          <w:szCs w:val="24"/>
        </w:rPr>
        <w:t>dokončení byl stanoven na 17. 5. 2020</w:t>
      </w:r>
      <w:r w:rsidR="006C2102" w:rsidRPr="008142C5">
        <w:rPr>
          <w:rFonts w:asciiTheme="minorHAnsi" w:hAnsiTheme="minorHAnsi" w:cstheme="minorHAnsi"/>
          <w:sz w:val="24"/>
          <w:szCs w:val="24"/>
        </w:rPr>
        <w:t xml:space="preserve">. </w:t>
      </w:r>
      <w:r w:rsidR="00630E1B">
        <w:rPr>
          <w:rFonts w:asciiTheme="minorHAnsi" w:hAnsiTheme="minorHAnsi" w:cstheme="minorHAnsi"/>
          <w:sz w:val="24"/>
          <w:szCs w:val="24"/>
        </w:rPr>
        <w:t xml:space="preserve">Cílem smlouvy </w:t>
      </w:r>
      <w:r w:rsidR="00630E1B">
        <w:rPr>
          <w:rFonts w:asciiTheme="minorHAnsi" w:hAnsiTheme="minorHAnsi" w:cstheme="minorHAnsi"/>
          <w:sz w:val="24"/>
          <w:szCs w:val="24"/>
        </w:rPr>
        <w:lastRenderedPageBreak/>
        <w:t xml:space="preserve">bylo </w:t>
      </w:r>
      <w:r w:rsidR="00630E1B" w:rsidRPr="008142C5">
        <w:rPr>
          <w:rFonts w:asciiTheme="minorHAnsi" w:hAnsiTheme="minorHAnsi" w:cstheme="minorHAnsi"/>
          <w:sz w:val="24"/>
          <w:szCs w:val="24"/>
        </w:rPr>
        <w:t>„</w:t>
      </w:r>
      <w:r w:rsidR="00630E1B" w:rsidRPr="008142C5">
        <w:rPr>
          <w:rFonts w:asciiTheme="minorHAnsi" w:hAnsiTheme="minorHAnsi" w:cstheme="minorHAnsi"/>
          <w:i/>
          <w:sz w:val="24"/>
          <w:szCs w:val="24"/>
        </w:rPr>
        <w:t>provozování plně funkčního informačního systému pro evidenci, monitoring a kontrolu hazardních her</w:t>
      </w:r>
      <w:r w:rsidR="002C5C34">
        <w:rPr>
          <w:rFonts w:asciiTheme="minorHAnsi" w:hAnsiTheme="minorHAnsi" w:cstheme="minorHAnsi"/>
          <w:i/>
          <w:sz w:val="24"/>
          <w:szCs w:val="24"/>
        </w:rPr>
        <w:t>.</w:t>
      </w:r>
      <w:r w:rsidR="00630E1B" w:rsidRPr="00247CAB">
        <w:rPr>
          <w:rFonts w:asciiTheme="minorHAnsi" w:hAnsiTheme="minorHAnsi" w:cstheme="minorHAnsi"/>
          <w:sz w:val="24"/>
          <w:szCs w:val="24"/>
        </w:rPr>
        <w:t>“</w:t>
      </w:r>
    </w:p>
    <w:p w14:paraId="4CE00752" w14:textId="1A490414" w:rsidR="003628DF" w:rsidRPr="00AD6582" w:rsidRDefault="00297338" w:rsidP="002C404C">
      <w:pPr>
        <w:pStyle w:val="Odstavecseseznamem"/>
        <w:numPr>
          <w:ilvl w:val="1"/>
          <w:numId w:val="17"/>
        </w:numPr>
        <w:spacing w:after="120"/>
        <w:ind w:left="0" w:firstLine="0"/>
        <w:contextualSpacing w:val="0"/>
        <w:rPr>
          <w:rFonts w:asciiTheme="minorHAnsi" w:hAnsiTheme="minorHAnsi" w:cstheme="minorHAnsi"/>
        </w:rPr>
      </w:pPr>
      <w:r>
        <w:rPr>
          <w:rFonts w:asciiTheme="minorHAnsi" w:hAnsiTheme="minorHAnsi" w:cstheme="minorHAnsi"/>
          <w:sz w:val="24"/>
          <w:szCs w:val="24"/>
        </w:rPr>
        <w:t>D</w:t>
      </w:r>
      <w:r w:rsidR="00DB0586">
        <w:rPr>
          <w:rFonts w:asciiTheme="minorHAnsi" w:hAnsiTheme="minorHAnsi" w:cstheme="minorHAnsi"/>
          <w:sz w:val="24"/>
          <w:szCs w:val="24"/>
        </w:rPr>
        <w:t xml:space="preserve">ne 31. 8. 2020 </w:t>
      </w:r>
      <w:r>
        <w:rPr>
          <w:rFonts w:asciiTheme="minorHAnsi" w:hAnsiTheme="minorHAnsi" w:cstheme="minorHAnsi"/>
          <w:sz w:val="24"/>
          <w:szCs w:val="24"/>
        </w:rPr>
        <w:t>MF s</w:t>
      </w:r>
      <w:r w:rsidR="003767B7">
        <w:rPr>
          <w:rFonts w:asciiTheme="minorHAnsi" w:hAnsiTheme="minorHAnsi" w:cstheme="minorHAnsi"/>
          <w:sz w:val="24"/>
          <w:szCs w:val="24"/>
        </w:rPr>
        <w:t xml:space="preserve"> obecným </w:t>
      </w:r>
      <w:r>
        <w:rPr>
          <w:rFonts w:asciiTheme="minorHAnsi" w:hAnsiTheme="minorHAnsi" w:cstheme="minorHAnsi"/>
          <w:sz w:val="24"/>
          <w:szCs w:val="24"/>
        </w:rPr>
        <w:t xml:space="preserve">poukazem na pandemii </w:t>
      </w:r>
      <w:r w:rsidR="009A298C">
        <w:rPr>
          <w:rFonts w:asciiTheme="minorHAnsi" w:hAnsiTheme="minorHAnsi" w:cstheme="minorHAnsi"/>
          <w:sz w:val="24"/>
          <w:szCs w:val="24"/>
        </w:rPr>
        <w:t>c</w:t>
      </w:r>
      <w:r>
        <w:rPr>
          <w:rFonts w:asciiTheme="minorHAnsi" w:hAnsiTheme="minorHAnsi" w:cstheme="minorHAnsi"/>
          <w:sz w:val="24"/>
          <w:szCs w:val="24"/>
        </w:rPr>
        <w:t>ovid</w:t>
      </w:r>
      <w:r w:rsidR="00D307EF">
        <w:rPr>
          <w:rFonts w:asciiTheme="minorHAnsi" w:hAnsiTheme="minorHAnsi" w:cstheme="minorHAnsi"/>
          <w:sz w:val="24"/>
          <w:szCs w:val="24"/>
        </w:rPr>
        <w:t>u</w:t>
      </w:r>
      <w:r>
        <w:rPr>
          <w:rFonts w:asciiTheme="minorHAnsi" w:hAnsiTheme="minorHAnsi" w:cstheme="minorHAnsi"/>
          <w:sz w:val="24"/>
          <w:szCs w:val="24"/>
        </w:rPr>
        <w:t>-19 uzavřelo</w:t>
      </w:r>
      <w:r w:rsidR="00630E1B">
        <w:rPr>
          <w:rFonts w:asciiTheme="minorHAnsi" w:hAnsiTheme="minorHAnsi" w:cstheme="minorHAnsi"/>
          <w:sz w:val="24"/>
          <w:szCs w:val="24"/>
        </w:rPr>
        <w:t xml:space="preserve"> </w:t>
      </w:r>
      <w:r w:rsidR="00DB0586">
        <w:rPr>
          <w:rFonts w:asciiTheme="minorHAnsi" w:hAnsiTheme="minorHAnsi" w:cstheme="minorHAnsi"/>
          <w:sz w:val="24"/>
          <w:szCs w:val="24"/>
        </w:rPr>
        <w:t>smluvní dodatek, kterým</w:t>
      </w:r>
      <w:r w:rsidR="00630E1B">
        <w:rPr>
          <w:rFonts w:asciiTheme="minorHAnsi" w:hAnsiTheme="minorHAnsi" w:cstheme="minorHAnsi"/>
          <w:sz w:val="24"/>
          <w:szCs w:val="24"/>
        </w:rPr>
        <w:t xml:space="preserve"> z</w:t>
      </w:r>
      <w:r w:rsidR="00552F36">
        <w:rPr>
          <w:rFonts w:asciiTheme="minorHAnsi" w:hAnsiTheme="minorHAnsi" w:cstheme="minorHAnsi"/>
          <w:sz w:val="24"/>
          <w:szCs w:val="24"/>
        </w:rPr>
        <w:t>ásadně zredukovalo předmět smlouvy</w:t>
      </w:r>
      <w:r w:rsidR="00630E1B">
        <w:rPr>
          <w:rFonts w:asciiTheme="minorHAnsi" w:hAnsiTheme="minorHAnsi" w:cstheme="minorHAnsi"/>
          <w:sz w:val="24"/>
          <w:szCs w:val="24"/>
        </w:rPr>
        <w:t xml:space="preserve"> a </w:t>
      </w:r>
      <w:r w:rsidR="00CD304F">
        <w:rPr>
          <w:rFonts w:asciiTheme="minorHAnsi" w:hAnsiTheme="minorHAnsi" w:cstheme="minorHAnsi"/>
          <w:sz w:val="24"/>
          <w:szCs w:val="24"/>
        </w:rPr>
        <w:t xml:space="preserve">zastavilo </w:t>
      </w:r>
      <w:r w:rsidR="00630E1B">
        <w:rPr>
          <w:rFonts w:asciiTheme="minorHAnsi" w:hAnsiTheme="minorHAnsi" w:cstheme="minorHAnsi"/>
          <w:sz w:val="24"/>
          <w:szCs w:val="24"/>
        </w:rPr>
        <w:t>vývoj AISG</w:t>
      </w:r>
      <w:r w:rsidR="00A74CD3">
        <w:rPr>
          <w:rFonts w:asciiTheme="minorHAnsi" w:hAnsiTheme="minorHAnsi" w:cstheme="minorHAnsi"/>
          <w:sz w:val="24"/>
          <w:szCs w:val="24"/>
        </w:rPr>
        <w:t xml:space="preserve"> ve stavu, kdy nebyl naplněn základní účel a</w:t>
      </w:r>
      <w:r w:rsidR="00D307EF">
        <w:rPr>
          <w:rFonts w:asciiTheme="minorHAnsi" w:hAnsiTheme="minorHAnsi" w:cstheme="minorHAnsi"/>
          <w:sz w:val="24"/>
          <w:szCs w:val="24"/>
        </w:rPr>
        <w:t>ni</w:t>
      </w:r>
      <w:r w:rsidR="00A74CD3">
        <w:rPr>
          <w:rFonts w:asciiTheme="minorHAnsi" w:hAnsiTheme="minorHAnsi" w:cstheme="minorHAnsi"/>
          <w:sz w:val="24"/>
          <w:szCs w:val="24"/>
        </w:rPr>
        <w:t xml:space="preserve"> cíl smlouvy</w:t>
      </w:r>
      <w:r w:rsidR="00630E1B">
        <w:rPr>
          <w:rFonts w:asciiTheme="minorHAnsi" w:hAnsiTheme="minorHAnsi" w:cstheme="minorHAnsi"/>
          <w:sz w:val="24"/>
          <w:szCs w:val="24"/>
        </w:rPr>
        <w:t>.</w:t>
      </w:r>
      <w:r w:rsidR="00DB0586">
        <w:rPr>
          <w:rFonts w:asciiTheme="minorHAnsi" w:hAnsiTheme="minorHAnsi" w:cstheme="minorHAnsi"/>
          <w:sz w:val="24"/>
          <w:szCs w:val="24"/>
        </w:rPr>
        <w:t xml:space="preserve"> </w:t>
      </w:r>
      <w:r w:rsidR="00A74CD3">
        <w:rPr>
          <w:rFonts w:asciiTheme="minorHAnsi" w:hAnsiTheme="minorHAnsi" w:cstheme="minorHAnsi"/>
          <w:sz w:val="24"/>
          <w:szCs w:val="24"/>
        </w:rPr>
        <w:t xml:space="preserve">Podle </w:t>
      </w:r>
      <w:r>
        <w:rPr>
          <w:rFonts w:asciiTheme="minorHAnsi" w:hAnsiTheme="minorHAnsi" w:cstheme="minorHAnsi"/>
          <w:sz w:val="24"/>
          <w:szCs w:val="24"/>
        </w:rPr>
        <w:t>NKÚ k takovému postupu nebyl objektivní důvod</w:t>
      </w:r>
      <w:r w:rsidR="00D307EF">
        <w:rPr>
          <w:rFonts w:asciiTheme="minorHAnsi" w:hAnsiTheme="minorHAnsi" w:cstheme="minorHAnsi"/>
          <w:sz w:val="24"/>
          <w:szCs w:val="24"/>
        </w:rPr>
        <w:t>.</w:t>
      </w:r>
      <w:r w:rsidR="004018FB">
        <w:rPr>
          <w:rFonts w:asciiTheme="minorHAnsi" w:hAnsiTheme="minorHAnsi" w:cstheme="minorHAnsi"/>
          <w:sz w:val="24"/>
          <w:szCs w:val="24"/>
        </w:rPr>
        <w:t xml:space="preserve"> </w:t>
      </w:r>
      <w:r>
        <w:rPr>
          <w:rFonts w:asciiTheme="minorHAnsi" w:hAnsiTheme="minorHAnsi" w:cstheme="minorHAnsi"/>
          <w:sz w:val="24"/>
          <w:szCs w:val="24"/>
        </w:rPr>
        <w:t>MF</w:t>
      </w:r>
      <w:r w:rsidR="00552F36">
        <w:rPr>
          <w:rFonts w:asciiTheme="minorHAnsi" w:hAnsiTheme="minorHAnsi" w:cstheme="minorHAnsi"/>
          <w:sz w:val="24"/>
          <w:szCs w:val="24"/>
        </w:rPr>
        <w:t xml:space="preserve"> nepostupovalo tak, aby cílovým stavem byla plná funkčnost AISG</w:t>
      </w:r>
      <w:r w:rsidR="00D307EF">
        <w:rPr>
          <w:rFonts w:asciiTheme="minorHAnsi" w:hAnsiTheme="minorHAnsi" w:cstheme="minorHAnsi"/>
          <w:sz w:val="24"/>
          <w:szCs w:val="24"/>
        </w:rPr>
        <w:t>,</w:t>
      </w:r>
      <w:r w:rsidR="00552F36">
        <w:rPr>
          <w:rFonts w:asciiTheme="minorHAnsi" w:hAnsiTheme="minorHAnsi" w:cstheme="minorHAnsi"/>
          <w:sz w:val="24"/>
          <w:szCs w:val="24"/>
        </w:rPr>
        <w:t xml:space="preserve"> a nevyužilo ustanovení smlouvy, kter</w:t>
      </w:r>
      <w:r w:rsidR="00A74CD3">
        <w:rPr>
          <w:rFonts w:asciiTheme="minorHAnsi" w:hAnsiTheme="minorHAnsi" w:cstheme="minorHAnsi"/>
          <w:sz w:val="24"/>
          <w:szCs w:val="24"/>
        </w:rPr>
        <w:t>á</w:t>
      </w:r>
      <w:r w:rsidR="00552F36">
        <w:rPr>
          <w:rFonts w:asciiTheme="minorHAnsi" w:hAnsiTheme="minorHAnsi" w:cstheme="minorHAnsi"/>
          <w:sz w:val="24"/>
          <w:szCs w:val="24"/>
        </w:rPr>
        <w:t xml:space="preserve"> takový postup umožňovala. </w:t>
      </w:r>
      <w:r w:rsidR="004018FB">
        <w:rPr>
          <w:rFonts w:asciiTheme="minorHAnsi" w:hAnsiTheme="minorHAnsi" w:cstheme="minorHAnsi"/>
          <w:bCs/>
          <w:sz w:val="24"/>
          <w:szCs w:val="24"/>
        </w:rPr>
        <w:t>S</w:t>
      </w:r>
      <w:r w:rsidR="00474FB5" w:rsidRPr="002C404C">
        <w:rPr>
          <w:rFonts w:asciiTheme="minorHAnsi" w:hAnsiTheme="minorHAnsi" w:cstheme="minorHAnsi"/>
          <w:bCs/>
          <w:sz w:val="24"/>
          <w:szCs w:val="24"/>
        </w:rPr>
        <w:t>tav projektu</w:t>
      </w:r>
      <w:r w:rsidR="004018FB">
        <w:rPr>
          <w:rFonts w:asciiTheme="minorHAnsi" w:hAnsiTheme="minorHAnsi" w:cstheme="minorHAnsi"/>
          <w:bCs/>
          <w:sz w:val="24"/>
          <w:szCs w:val="24"/>
        </w:rPr>
        <w:t xml:space="preserve"> d</w:t>
      </w:r>
      <w:r w:rsidR="004018FB" w:rsidRPr="002C404C">
        <w:rPr>
          <w:rFonts w:asciiTheme="minorHAnsi" w:hAnsiTheme="minorHAnsi" w:cstheme="minorHAnsi"/>
          <w:bCs/>
          <w:sz w:val="24"/>
          <w:szCs w:val="24"/>
        </w:rPr>
        <w:t xml:space="preserve">osažený </w:t>
      </w:r>
      <w:r w:rsidR="004018FB">
        <w:rPr>
          <w:rFonts w:asciiTheme="minorHAnsi" w:hAnsiTheme="minorHAnsi" w:cstheme="minorHAnsi"/>
          <w:bCs/>
          <w:sz w:val="24"/>
          <w:szCs w:val="24"/>
        </w:rPr>
        <w:t>v srpnu 2020, tedy</w:t>
      </w:r>
      <w:r w:rsidR="00474FB5" w:rsidRPr="002C404C">
        <w:rPr>
          <w:rFonts w:asciiTheme="minorHAnsi" w:hAnsiTheme="minorHAnsi" w:cstheme="minorHAnsi"/>
          <w:bCs/>
          <w:sz w:val="24"/>
          <w:szCs w:val="24"/>
        </w:rPr>
        <w:t xml:space="preserve"> </w:t>
      </w:r>
      <w:r w:rsidR="00630E1B">
        <w:rPr>
          <w:rFonts w:asciiTheme="minorHAnsi" w:hAnsiTheme="minorHAnsi" w:cstheme="minorHAnsi"/>
          <w:bCs/>
          <w:sz w:val="24"/>
          <w:szCs w:val="24"/>
        </w:rPr>
        <w:t>více ne</w:t>
      </w:r>
      <w:r w:rsidR="004018FB">
        <w:rPr>
          <w:rFonts w:asciiTheme="minorHAnsi" w:hAnsiTheme="minorHAnsi" w:cstheme="minorHAnsi"/>
          <w:bCs/>
          <w:sz w:val="24"/>
          <w:szCs w:val="24"/>
        </w:rPr>
        <w:t>ž</w:t>
      </w:r>
      <w:r w:rsidR="00630E1B">
        <w:rPr>
          <w:rFonts w:asciiTheme="minorHAnsi" w:hAnsiTheme="minorHAnsi" w:cstheme="minorHAnsi"/>
          <w:bCs/>
          <w:sz w:val="24"/>
          <w:szCs w:val="24"/>
        </w:rPr>
        <w:t xml:space="preserve"> čtyř</w:t>
      </w:r>
      <w:r w:rsidR="00CD304F">
        <w:rPr>
          <w:rFonts w:asciiTheme="minorHAnsi" w:hAnsiTheme="minorHAnsi" w:cstheme="minorHAnsi"/>
          <w:bCs/>
          <w:sz w:val="24"/>
          <w:szCs w:val="24"/>
        </w:rPr>
        <w:t xml:space="preserve">i roky </w:t>
      </w:r>
      <w:r w:rsidR="00630E1B">
        <w:rPr>
          <w:rFonts w:asciiTheme="minorHAnsi" w:hAnsiTheme="minorHAnsi" w:cstheme="minorHAnsi"/>
          <w:bCs/>
          <w:sz w:val="24"/>
          <w:szCs w:val="24"/>
        </w:rPr>
        <w:t>po datu platnosti ZHH</w:t>
      </w:r>
      <w:r w:rsidR="004018FB">
        <w:rPr>
          <w:rFonts w:asciiTheme="minorHAnsi" w:hAnsiTheme="minorHAnsi" w:cstheme="minorHAnsi"/>
          <w:bCs/>
          <w:sz w:val="24"/>
          <w:szCs w:val="24"/>
        </w:rPr>
        <w:t>,</w:t>
      </w:r>
      <w:r w:rsidR="00630E1B">
        <w:rPr>
          <w:rFonts w:asciiTheme="minorHAnsi" w:hAnsiTheme="minorHAnsi" w:cstheme="minorHAnsi"/>
          <w:bCs/>
          <w:sz w:val="24"/>
          <w:szCs w:val="24"/>
        </w:rPr>
        <w:t xml:space="preserve"> </w:t>
      </w:r>
      <w:r w:rsidR="00474FB5" w:rsidRPr="002C404C">
        <w:rPr>
          <w:rFonts w:asciiTheme="minorHAnsi" w:hAnsiTheme="minorHAnsi" w:cstheme="minorHAnsi"/>
          <w:bCs/>
          <w:sz w:val="24"/>
          <w:szCs w:val="24"/>
        </w:rPr>
        <w:t xml:space="preserve">nezajišťuje podmínky pro efektivní výkon </w:t>
      </w:r>
      <w:r w:rsidR="00B15384">
        <w:rPr>
          <w:rFonts w:asciiTheme="minorHAnsi" w:hAnsiTheme="minorHAnsi" w:cstheme="minorHAnsi"/>
          <w:bCs/>
          <w:sz w:val="24"/>
          <w:szCs w:val="24"/>
        </w:rPr>
        <w:t xml:space="preserve">svěřených </w:t>
      </w:r>
      <w:r w:rsidR="00444897" w:rsidRPr="002C404C">
        <w:rPr>
          <w:rFonts w:asciiTheme="minorHAnsi" w:hAnsiTheme="minorHAnsi" w:cstheme="minorHAnsi"/>
          <w:bCs/>
          <w:sz w:val="24"/>
          <w:szCs w:val="24"/>
        </w:rPr>
        <w:t xml:space="preserve">činností v oblasti </w:t>
      </w:r>
      <w:r w:rsidR="00474FB5" w:rsidRPr="002C404C">
        <w:rPr>
          <w:rFonts w:asciiTheme="minorHAnsi" w:hAnsiTheme="minorHAnsi" w:cstheme="minorHAnsi"/>
          <w:bCs/>
          <w:sz w:val="24"/>
          <w:szCs w:val="24"/>
        </w:rPr>
        <w:t>hazardních her</w:t>
      </w:r>
      <w:r w:rsidR="00B15384">
        <w:rPr>
          <w:rFonts w:asciiTheme="minorHAnsi" w:hAnsiTheme="minorHAnsi" w:cstheme="minorHAnsi"/>
          <w:bCs/>
          <w:sz w:val="24"/>
          <w:szCs w:val="24"/>
        </w:rPr>
        <w:t xml:space="preserve"> a správy daně z hazardních her</w:t>
      </w:r>
      <w:r w:rsidR="00636012">
        <w:rPr>
          <w:rFonts w:asciiTheme="minorHAnsi" w:hAnsiTheme="minorHAnsi" w:cstheme="minorHAnsi"/>
          <w:bCs/>
          <w:sz w:val="24"/>
          <w:szCs w:val="24"/>
        </w:rPr>
        <w:t xml:space="preserve">. </w:t>
      </w:r>
      <w:r w:rsidR="00560040">
        <w:rPr>
          <w:rFonts w:asciiTheme="minorHAnsi" w:hAnsiTheme="minorHAnsi" w:cstheme="minorHAnsi"/>
          <w:sz w:val="24"/>
          <w:szCs w:val="24"/>
        </w:rPr>
        <w:t>D</w:t>
      </w:r>
      <w:r w:rsidR="00474FB5" w:rsidRPr="008142C5">
        <w:rPr>
          <w:rFonts w:asciiTheme="minorHAnsi" w:hAnsiTheme="minorHAnsi" w:cstheme="minorHAnsi"/>
          <w:sz w:val="24"/>
          <w:szCs w:val="24"/>
        </w:rPr>
        <w:t xml:space="preserve">otčené orgány </w:t>
      </w:r>
      <w:r w:rsidR="00F11468" w:rsidRPr="008142C5">
        <w:rPr>
          <w:rFonts w:asciiTheme="minorHAnsi" w:hAnsiTheme="minorHAnsi" w:cstheme="minorHAnsi"/>
          <w:sz w:val="24"/>
          <w:szCs w:val="24"/>
        </w:rPr>
        <w:t xml:space="preserve">proto </w:t>
      </w:r>
      <w:r w:rsidR="00474FB5" w:rsidRPr="008142C5">
        <w:rPr>
          <w:rFonts w:asciiTheme="minorHAnsi" w:hAnsiTheme="minorHAnsi" w:cstheme="minorHAnsi"/>
          <w:sz w:val="24"/>
          <w:szCs w:val="24"/>
        </w:rPr>
        <w:t>i nadále využívají IS SDSL, který funkčně pokrývá jen část podpory správních řízení</w:t>
      </w:r>
      <w:r w:rsidR="00D307EF">
        <w:rPr>
          <w:rFonts w:asciiTheme="minorHAnsi" w:hAnsiTheme="minorHAnsi" w:cstheme="minorHAnsi"/>
          <w:sz w:val="24"/>
          <w:szCs w:val="24"/>
        </w:rPr>
        <w:t xml:space="preserve"> </w:t>
      </w:r>
      <w:r w:rsidR="00474FB5" w:rsidRPr="008142C5">
        <w:rPr>
          <w:rFonts w:asciiTheme="minorHAnsi" w:hAnsiTheme="minorHAnsi" w:cstheme="minorHAnsi"/>
          <w:sz w:val="24"/>
          <w:szCs w:val="24"/>
        </w:rPr>
        <w:t>a</w:t>
      </w:r>
      <w:r w:rsidR="00D307EF">
        <w:rPr>
          <w:rFonts w:asciiTheme="minorHAnsi" w:hAnsiTheme="minorHAnsi" w:cstheme="minorHAnsi"/>
          <w:sz w:val="24"/>
          <w:szCs w:val="24"/>
        </w:rPr>
        <w:t> </w:t>
      </w:r>
      <w:r w:rsidR="00474FB5" w:rsidRPr="008142C5">
        <w:rPr>
          <w:rFonts w:asciiTheme="minorHAnsi" w:hAnsiTheme="minorHAnsi" w:cstheme="minorHAnsi"/>
          <w:sz w:val="24"/>
          <w:szCs w:val="24"/>
        </w:rPr>
        <w:t>registrace hráčů.</w:t>
      </w:r>
      <w:r w:rsidR="00552F36">
        <w:rPr>
          <w:rFonts w:asciiTheme="minorHAnsi" w:hAnsiTheme="minorHAnsi" w:cstheme="minorHAnsi"/>
          <w:sz w:val="24"/>
          <w:szCs w:val="24"/>
        </w:rPr>
        <w:t xml:space="preserve"> Do doby ukončení kontroly neučinilo </w:t>
      </w:r>
      <w:r w:rsidR="00D307EF">
        <w:rPr>
          <w:rFonts w:asciiTheme="minorHAnsi" w:hAnsiTheme="minorHAnsi" w:cstheme="minorHAnsi"/>
          <w:sz w:val="24"/>
          <w:szCs w:val="24"/>
        </w:rPr>
        <w:t xml:space="preserve">MF </w:t>
      </w:r>
      <w:r w:rsidR="00552F36">
        <w:rPr>
          <w:rFonts w:asciiTheme="minorHAnsi" w:hAnsiTheme="minorHAnsi" w:cstheme="minorHAnsi"/>
          <w:sz w:val="24"/>
          <w:szCs w:val="24"/>
        </w:rPr>
        <w:t xml:space="preserve">žádné kroky </w:t>
      </w:r>
      <w:r w:rsidR="00B15384">
        <w:rPr>
          <w:rFonts w:asciiTheme="minorHAnsi" w:hAnsiTheme="minorHAnsi" w:cstheme="minorHAnsi"/>
          <w:sz w:val="24"/>
          <w:szCs w:val="24"/>
        </w:rPr>
        <w:t>ve věci dokončení AISG.</w:t>
      </w:r>
      <w:r w:rsidR="00474FB5" w:rsidRPr="008142C5">
        <w:rPr>
          <w:rFonts w:asciiTheme="minorHAnsi" w:hAnsiTheme="minorHAnsi" w:cstheme="minorHAnsi"/>
          <w:sz w:val="24"/>
          <w:szCs w:val="24"/>
        </w:rPr>
        <w:t xml:space="preserve"> </w:t>
      </w:r>
    </w:p>
    <w:p w14:paraId="1CE786E8" w14:textId="43CB5A8D" w:rsidR="00C90D00" w:rsidRPr="00543FC5" w:rsidRDefault="006C2102" w:rsidP="00A36482">
      <w:pPr>
        <w:pStyle w:val="Odstavecseseznamem"/>
        <w:numPr>
          <w:ilvl w:val="1"/>
          <w:numId w:val="17"/>
        </w:numPr>
        <w:spacing w:after="120"/>
        <w:ind w:left="0" w:firstLine="0"/>
        <w:contextualSpacing w:val="0"/>
        <w:rPr>
          <w:rFonts w:asciiTheme="minorHAnsi" w:eastAsia="Georgia" w:hAnsiTheme="minorHAnsi" w:cstheme="minorHAnsi"/>
          <w:sz w:val="24"/>
          <w:szCs w:val="24"/>
        </w:rPr>
      </w:pPr>
      <w:r w:rsidRPr="008142C5">
        <w:rPr>
          <w:rFonts w:asciiTheme="minorHAnsi" w:hAnsiTheme="minorHAnsi" w:cstheme="minorHAnsi"/>
          <w:sz w:val="24"/>
          <w:szCs w:val="24"/>
        </w:rPr>
        <w:t xml:space="preserve">SM AISG </w:t>
      </w:r>
      <w:r w:rsidR="000C0F2C" w:rsidRPr="008142C5">
        <w:rPr>
          <w:rFonts w:asciiTheme="minorHAnsi" w:hAnsiTheme="minorHAnsi" w:cstheme="minorHAnsi"/>
          <w:sz w:val="24"/>
          <w:szCs w:val="24"/>
        </w:rPr>
        <w:t xml:space="preserve">podporuje </w:t>
      </w:r>
      <w:r w:rsidR="000C0F2C" w:rsidRPr="001F0EA4">
        <w:rPr>
          <w:rFonts w:asciiTheme="minorHAnsi" w:eastAsia="Georgia" w:hAnsiTheme="minorHAnsi" w:cstheme="minorHAnsi"/>
          <w:sz w:val="24"/>
          <w:szCs w:val="24"/>
        </w:rPr>
        <w:t xml:space="preserve">pouze </w:t>
      </w:r>
      <w:r w:rsidR="00474FB5" w:rsidRPr="001F0EA4">
        <w:rPr>
          <w:rFonts w:asciiTheme="minorHAnsi" w:eastAsia="Georgia" w:hAnsiTheme="minorHAnsi" w:cstheme="minorHAnsi"/>
          <w:sz w:val="24"/>
          <w:szCs w:val="24"/>
        </w:rPr>
        <w:t xml:space="preserve">tři procesy z plánovaných </w:t>
      </w:r>
      <w:r w:rsidR="00D307EF">
        <w:rPr>
          <w:rFonts w:asciiTheme="minorHAnsi" w:eastAsia="Georgia" w:hAnsiTheme="minorHAnsi" w:cstheme="minorHAnsi"/>
          <w:sz w:val="24"/>
          <w:szCs w:val="24"/>
        </w:rPr>
        <w:t>dvanácti</w:t>
      </w:r>
      <w:r w:rsidR="00474FB5" w:rsidRPr="001F0EA4">
        <w:rPr>
          <w:rFonts w:asciiTheme="minorHAnsi" w:eastAsia="Georgia" w:hAnsiTheme="minorHAnsi" w:cstheme="minorHAnsi"/>
          <w:sz w:val="24"/>
          <w:szCs w:val="24"/>
        </w:rPr>
        <w:t>:</w:t>
      </w:r>
      <w:r w:rsidR="00D307EF">
        <w:rPr>
          <w:rFonts w:asciiTheme="minorHAnsi" w:eastAsia="Georgia" w:hAnsiTheme="minorHAnsi" w:cstheme="minorHAnsi"/>
          <w:sz w:val="24"/>
          <w:szCs w:val="24"/>
        </w:rPr>
        <w:t xml:space="preserve"> konkrétně </w:t>
      </w:r>
      <w:r w:rsidR="00D307EF" w:rsidRPr="00247CAB">
        <w:rPr>
          <w:rFonts w:asciiTheme="minorHAnsi" w:eastAsia="Georgia" w:hAnsiTheme="minorHAnsi" w:cstheme="minorHAnsi"/>
          <w:sz w:val="24"/>
          <w:szCs w:val="24"/>
        </w:rPr>
        <w:t>m</w:t>
      </w:r>
      <w:r w:rsidR="00474FB5" w:rsidRPr="00247CAB">
        <w:rPr>
          <w:rFonts w:asciiTheme="minorHAnsi" w:eastAsia="Georgia" w:hAnsiTheme="minorHAnsi" w:cstheme="minorHAnsi"/>
          <w:sz w:val="24"/>
          <w:szCs w:val="24"/>
        </w:rPr>
        <w:t>etodick</w:t>
      </w:r>
      <w:r w:rsidR="00D307EF" w:rsidRPr="00247CAB">
        <w:rPr>
          <w:rFonts w:asciiTheme="minorHAnsi" w:eastAsia="Georgia" w:hAnsiTheme="minorHAnsi" w:cstheme="minorHAnsi"/>
          <w:sz w:val="24"/>
          <w:szCs w:val="24"/>
        </w:rPr>
        <w:t>ou</w:t>
      </w:r>
      <w:r w:rsidR="00474FB5" w:rsidRPr="00247CAB">
        <w:rPr>
          <w:rFonts w:asciiTheme="minorHAnsi" w:eastAsia="Georgia" w:hAnsiTheme="minorHAnsi" w:cstheme="minorHAnsi"/>
          <w:sz w:val="24"/>
          <w:szCs w:val="24"/>
        </w:rPr>
        <w:t xml:space="preserve"> činnost, </w:t>
      </w:r>
      <w:r w:rsidR="00D307EF">
        <w:rPr>
          <w:rFonts w:asciiTheme="minorHAnsi" w:eastAsia="Georgia" w:hAnsiTheme="minorHAnsi" w:cstheme="minorHAnsi"/>
          <w:sz w:val="24"/>
          <w:szCs w:val="24"/>
        </w:rPr>
        <w:t>v</w:t>
      </w:r>
      <w:r w:rsidR="00474FB5" w:rsidRPr="00247CAB">
        <w:rPr>
          <w:rFonts w:asciiTheme="minorHAnsi" w:eastAsia="Georgia" w:hAnsiTheme="minorHAnsi" w:cstheme="minorHAnsi"/>
          <w:sz w:val="24"/>
          <w:szCs w:val="24"/>
        </w:rPr>
        <w:t xml:space="preserve">yřizování dotazů </w:t>
      </w:r>
      <w:r w:rsidR="00474FB5" w:rsidRPr="00D307EF">
        <w:rPr>
          <w:rFonts w:asciiTheme="minorHAnsi" w:eastAsia="Georgia" w:hAnsiTheme="minorHAnsi" w:cstheme="minorHAnsi"/>
          <w:sz w:val="24"/>
          <w:szCs w:val="24"/>
        </w:rPr>
        <w:t>a</w:t>
      </w:r>
      <w:r w:rsidR="00474FB5" w:rsidRPr="00247CAB">
        <w:rPr>
          <w:rFonts w:asciiTheme="minorHAnsi" w:eastAsia="Georgia" w:hAnsiTheme="minorHAnsi" w:cstheme="minorHAnsi"/>
          <w:sz w:val="24"/>
          <w:szCs w:val="24"/>
        </w:rPr>
        <w:t xml:space="preserve"> </w:t>
      </w:r>
      <w:r w:rsidR="00D307EF">
        <w:rPr>
          <w:rFonts w:asciiTheme="minorHAnsi" w:eastAsia="Georgia" w:hAnsiTheme="minorHAnsi" w:cstheme="minorHAnsi"/>
          <w:sz w:val="24"/>
          <w:szCs w:val="24"/>
        </w:rPr>
        <w:t>ř</w:t>
      </w:r>
      <w:r w:rsidR="00474FB5" w:rsidRPr="00247CAB">
        <w:rPr>
          <w:rFonts w:asciiTheme="minorHAnsi" w:eastAsia="Georgia" w:hAnsiTheme="minorHAnsi" w:cstheme="minorHAnsi"/>
          <w:sz w:val="24"/>
          <w:szCs w:val="24"/>
        </w:rPr>
        <w:t>ešení stížností</w:t>
      </w:r>
      <w:r w:rsidR="00CB0532" w:rsidRPr="001F0EA4">
        <w:rPr>
          <w:rFonts w:asciiTheme="minorHAnsi" w:eastAsia="Georgia" w:hAnsiTheme="minorHAnsi" w:cstheme="minorHAnsi"/>
          <w:sz w:val="24"/>
          <w:szCs w:val="24"/>
        </w:rPr>
        <w:t>.</w:t>
      </w:r>
      <w:r w:rsidR="00474FB5" w:rsidRPr="001F0EA4">
        <w:rPr>
          <w:rFonts w:asciiTheme="minorHAnsi" w:eastAsia="Georgia" w:hAnsiTheme="minorHAnsi" w:cstheme="minorHAnsi"/>
          <w:sz w:val="24"/>
          <w:szCs w:val="24"/>
        </w:rPr>
        <w:t xml:space="preserve"> </w:t>
      </w:r>
      <w:r w:rsidR="004B7B2B" w:rsidRPr="001F0EA4">
        <w:rPr>
          <w:rFonts w:asciiTheme="minorHAnsi" w:hAnsiTheme="minorHAnsi" w:cstheme="minorHAnsi"/>
          <w:sz w:val="24"/>
          <w:szCs w:val="24"/>
        </w:rPr>
        <w:t xml:space="preserve">Tuto podporu </w:t>
      </w:r>
      <w:r w:rsidR="00D307EF">
        <w:rPr>
          <w:rFonts w:asciiTheme="minorHAnsi" w:hAnsiTheme="minorHAnsi" w:cstheme="minorHAnsi"/>
          <w:sz w:val="24"/>
          <w:szCs w:val="24"/>
        </w:rPr>
        <w:t xml:space="preserve">však </w:t>
      </w:r>
      <w:r w:rsidR="004B7B2B" w:rsidRPr="001F0EA4">
        <w:rPr>
          <w:rFonts w:asciiTheme="minorHAnsi" w:hAnsiTheme="minorHAnsi" w:cstheme="minorHAnsi"/>
          <w:sz w:val="24"/>
          <w:szCs w:val="24"/>
        </w:rPr>
        <w:t>MF ani další orgány státní správy nevyužív</w:t>
      </w:r>
      <w:r w:rsidR="00E7334F">
        <w:rPr>
          <w:rFonts w:asciiTheme="minorHAnsi" w:hAnsiTheme="minorHAnsi" w:cstheme="minorHAnsi"/>
          <w:sz w:val="24"/>
          <w:szCs w:val="24"/>
        </w:rPr>
        <w:t>ají</w:t>
      </w:r>
      <w:r w:rsidR="004B7B2B" w:rsidRPr="001F0EA4">
        <w:rPr>
          <w:rFonts w:asciiTheme="minorHAnsi" w:hAnsiTheme="minorHAnsi" w:cstheme="minorHAnsi"/>
          <w:sz w:val="24"/>
          <w:szCs w:val="24"/>
        </w:rPr>
        <w:t xml:space="preserve">. </w:t>
      </w:r>
      <w:r w:rsidR="00276FB2">
        <w:rPr>
          <w:rFonts w:asciiTheme="minorHAnsi" w:hAnsiTheme="minorHAnsi" w:cstheme="minorHAnsi"/>
          <w:sz w:val="24"/>
          <w:szCs w:val="24"/>
        </w:rPr>
        <w:t>P</w:t>
      </w:r>
      <w:r w:rsidR="00474FB5" w:rsidRPr="001F0EA4">
        <w:rPr>
          <w:rFonts w:asciiTheme="minorHAnsi" w:hAnsiTheme="minorHAnsi" w:cstheme="minorHAnsi"/>
          <w:sz w:val="24"/>
          <w:szCs w:val="24"/>
        </w:rPr>
        <w:t>eněžní prostředk</w:t>
      </w:r>
      <w:r w:rsidR="00276FB2">
        <w:rPr>
          <w:rFonts w:asciiTheme="minorHAnsi" w:hAnsiTheme="minorHAnsi" w:cstheme="minorHAnsi"/>
          <w:sz w:val="24"/>
          <w:szCs w:val="24"/>
        </w:rPr>
        <w:t>y</w:t>
      </w:r>
      <w:r w:rsidR="00474FB5" w:rsidRPr="001F0EA4">
        <w:rPr>
          <w:rFonts w:asciiTheme="minorHAnsi" w:hAnsiTheme="minorHAnsi" w:cstheme="minorHAnsi"/>
          <w:sz w:val="24"/>
          <w:szCs w:val="24"/>
        </w:rPr>
        <w:t xml:space="preserve"> vynalože</w:t>
      </w:r>
      <w:r w:rsidR="00B82F76">
        <w:rPr>
          <w:rFonts w:asciiTheme="minorHAnsi" w:hAnsiTheme="minorHAnsi" w:cstheme="minorHAnsi"/>
          <w:sz w:val="24"/>
          <w:szCs w:val="24"/>
        </w:rPr>
        <w:t>né</w:t>
      </w:r>
      <w:r w:rsidR="00474FB5" w:rsidRPr="001F0EA4">
        <w:rPr>
          <w:rFonts w:asciiTheme="minorHAnsi" w:hAnsiTheme="minorHAnsi" w:cstheme="minorHAnsi"/>
          <w:sz w:val="24"/>
          <w:szCs w:val="24"/>
        </w:rPr>
        <w:t xml:space="preserve"> na </w:t>
      </w:r>
      <w:r w:rsidR="004B7B2B" w:rsidRPr="001F0EA4">
        <w:rPr>
          <w:rFonts w:asciiTheme="minorHAnsi" w:hAnsiTheme="minorHAnsi" w:cstheme="minorHAnsi"/>
          <w:sz w:val="24"/>
          <w:szCs w:val="24"/>
        </w:rPr>
        <w:t>realizaci podpory těchto</w:t>
      </w:r>
      <w:r w:rsidR="00474FB5" w:rsidRPr="008142C5">
        <w:rPr>
          <w:rFonts w:asciiTheme="minorHAnsi" w:hAnsiTheme="minorHAnsi" w:cstheme="minorHAnsi"/>
          <w:sz w:val="24"/>
          <w:szCs w:val="24"/>
        </w:rPr>
        <w:t xml:space="preserve"> tří procesů</w:t>
      </w:r>
      <w:r w:rsidR="00276FB2" w:rsidRPr="004B7B2B">
        <w:rPr>
          <w:rFonts w:asciiTheme="minorHAnsi" w:eastAsia="Georgia" w:hAnsiTheme="minorHAnsi" w:cstheme="minorHAnsi"/>
          <w:color w:val="000000"/>
          <w:sz w:val="24"/>
          <w:szCs w:val="24"/>
          <w:lang w:bidi="cs-CZ"/>
        </w:rPr>
        <w:t xml:space="preserve"> posoudil NKÚ jako nehospodárně a neúčelně vynaložené,</w:t>
      </w:r>
      <w:r w:rsidR="00276FB2" w:rsidRPr="008142C5">
        <w:rPr>
          <w:rFonts w:asciiTheme="minorHAnsi" w:eastAsia="Georgia" w:hAnsiTheme="minorHAnsi" w:cstheme="minorHAnsi"/>
          <w:b/>
          <w:color w:val="000000"/>
          <w:sz w:val="24"/>
          <w:szCs w:val="24"/>
          <w:lang w:bidi="cs-CZ"/>
        </w:rPr>
        <w:t xml:space="preserve"> </w:t>
      </w:r>
      <w:r w:rsidR="00276FB2" w:rsidRPr="008142C5">
        <w:rPr>
          <w:rFonts w:asciiTheme="minorHAnsi" w:hAnsiTheme="minorHAnsi" w:cstheme="minorHAnsi"/>
          <w:sz w:val="24"/>
          <w:szCs w:val="24"/>
        </w:rPr>
        <w:t>neboť AISG nedosáhl žádoucího stavu a vynaložené prostředky neslouž</w:t>
      </w:r>
      <w:r w:rsidR="00B82F76">
        <w:rPr>
          <w:rFonts w:asciiTheme="minorHAnsi" w:hAnsiTheme="minorHAnsi" w:cstheme="minorHAnsi"/>
          <w:sz w:val="24"/>
          <w:szCs w:val="24"/>
        </w:rPr>
        <w:t>ily</w:t>
      </w:r>
      <w:r w:rsidR="00276FB2" w:rsidRPr="008142C5">
        <w:rPr>
          <w:rFonts w:asciiTheme="minorHAnsi" w:hAnsiTheme="minorHAnsi" w:cstheme="minorHAnsi"/>
          <w:sz w:val="24"/>
          <w:szCs w:val="24"/>
        </w:rPr>
        <w:t xml:space="preserve"> k zajištění stanovených úkolů</w:t>
      </w:r>
      <w:r w:rsidR="00276FB2" w:rsidRPr="008142C5">
        <w:rPr>
          <w:rFonts w:asciiTheme="minorHAnsi" w:hAnsiTheme="minorHAnsi" w:cstheme="minorHAnsi"/>
        </w:rPr>
        <w:t>.</w:t>
      </w:r>
      <w:r w:rsidR="00276FB2">
        <w:rPr>
          <w:rFonts w:asciiTheme="minorHAnsi" w:hAnsiTheme="minorHAnsi" w:cstheme="minorHAnsi"/>
        </w:rPr>
        <w:t xml:space="preserve"> </w:t>
      </w:r>
      <w:r w:rsidR="00276FB2">
        <w:rPr>
          <w:rFonts w:asciiTheme="minorHAnsi" w:hAnsiTheme="minorHAnsi" w:cstheme="minorHAnsi"/>
          <w:sz w:val="24"/>
          <w:szCs w:val="24"/>
        </w:rPr>
        <w:t>Přesnou výš</w:t>
      </w:r>
      <w:r w:rsidR="00D307EF">
        <w:rPr>
          <w:rFonts w:asciiTheme="minorHAnsi" w:hAnsiTheme="minorHAnsi" w:cstheme="minorHAnsi"/>
          <w:sz w:val="24"/>
          <w:szCs w:val="24"/>
        </w:rPr>
        <w:t>i</w:t>
      </w:r>
      <w:r w:rsidR="00276FB2">
        <w:rPr>
          <w:rFonts w:asciiTheme="minorHAnsi" w:hAnsiTheme="minorHAnsi" w:cstheme="minorHAnsi"/>
          <w:sz w:val="24"/>
          <w:szCs w:val="24"/>
        </w:rPr>
        <w:t xml:space="preserve"> takto vynaložených </w:t>
      </w:r>
      <w:r w:rsidR="00276FB2">
        <w:rPr>
          <w:rFonts w:asciiTheme="minorHAnsi" w:eastAsia="Georgia" w:hAnsiTheme="minorHAnsi" w:cstheme="minorHAnsi"/>
          <w:color w:val="000000"/>
          <w:sz w:val="24"/>
          <w:szCs w:val="24"/>
          <w:lang w:bidi="cs-CZ"/>
        </w:rPr>
        <w:t>p</w:t>
      </w:r>
      <w:r w:rsidR="00276FB2" w:rsidRPr="004B7B2B">
        <w:rPr>
          <w:rFonts w:asciiTheme="minorHAnsi" w:eastAsia="Georgia" w:hAnsiTheme="minorHAnsi" w:cstheme="minorHAnsi"/>
          <w:color w:val="000000"/>
          <w:sz w:val="24"/>
          <w:szCs w:val="24"/>
          <w:lang w:bidi="cs-CZ"/>
        </w:rPr>
        <w:t>eněžní</w:t>
      </w:r>
      <w:r w:rsidR="00276FB2">
        <w:rPr>
          <w:rFonts w:asciiTheme="minorHAnsi" w:eastAsia="Georgia" w:hAnsiTheme="minorHAnsi" w:cstheme="minorHAnsi"/>
          <w:color w:val="000000"/>
          <w:sz w:val="24"/>
          <w:szCs w:val="24"/>
          <w:lang w:bidi="cs-CZ"/>
        </w:rPr>
        <w:t>ch</w:t>
      </w:r>
      <w:r w:rsidR="00276FB2" w:rsidRPr="004B7B2B">
        <w:rPr>
          <w:rFonts w:asciiTheme="minorHAnsi" w:eastAsia="Georgia" w:hAnsiTheme="minorHAnsi" w:cstheme="minorHAnsi"/>
          <w:color w:val="000000"/>
          <w:sz w:val="24"/>
          <w:szCs w:val="24"/>
          <w:lang w:bidi="cs-CZ"/>
        </w:rPr>
        <w:t xml:space="preserve"> prostředk</w:t>
      </w:r>
      <w:r w:rsidR="00276FB2">
        <w:rPr>
          <w:rFonts w:asciiTheme="minorHAnsi" w:eastAsia="Georgia" w:hAnsiTheme="minorHAnsi" w:cstheme="minorHAnsi"/>
          <w:color w:val="000000"/>
          <w:sz w:val="24"/>
          <w:szCs w:val="24"/>
          <w:lang w:bidi="cs-CZ"/>
        </w:rPr>
        <w:t>ů</w:t>
      </w:r>
      <w:r w:rsidR="00276FB2" w:rsidRPr="004B7B2B">
        <w:rPr>
          <w:rFonts w:asciiTheme="minorHAnsi" w:eastAsia="Georgia" w:hAnsiTheme="minorHAnsi" w:cstheme="minorHAnsi"/>
          <w:color w:val="000000"/>
          <w:sz w:val="24"/>
          <w:szCs w:val="24"/>
          <w:lang w:bidi="cs-CZ"/>
        </w:rPr>
        <w:t xml:space="preserve"> </w:t>
      </w:r>
      <w:r w:rsidR="00615DC0" w:rsidRPr="008142C5">
        <w:rPr>
          <w:rFonts w:asciiTheme="minorHAnsi" w:hAnsiTheme="minorHAnsi" w:cstheme="minorHAnsi"/>
          <w:sz w:val="24"/>
          <w:szCs w:val="24"/>
        </w:rPr>
        <w:t xml:space="preserve">nebylo možné </w:t>
      </w:r>
      <w:r w:rsidR="00615DC0">
        <w:rPr>
          <w:rFonts w:asciiTheme="minorHAnsi" w:hAnsiTheme="minorHAnsi" w:cstheme="minorHAnsi"/>
          <w:sz w:val="24"/>
          <w:szCs w:val="24"/>
        </w:rPr>
        <w:t xml:space="preserve">v důsledku </w:t>
      </w:r>
      <w:r w:rsidR="00474FB5" w:rsidRPr="008142C5">
        <w:rPr>
          <w:rFonts w:asciiTheme="minorHAnsi" w:hAnsiTheme="minorHAnsi" w:cstheme="minorHAnsi"/>
          <w:sz w:val="24"/>
          <w:szCs w:val="24"/>
        </w:rPr>
        <w:t>způsob</w:t>
      </w:r>
      <w:r w:rsidR="00615DC0">
        <w:rPr>
          <w:rFonts w:asciiTheme="minorHAnsi" w:hAnsiTheme="minorHAnsi" w:cstheme="minorHAnsi"/>
          <w:sz w:val="24"/>
          <w:szCs w:val="24"/>
        </w:rPr>
        <w:t>u</w:t>
      </w:r>
      <w:r w:rsidR="00474FB5" w:rsidRPr="008142C5">
        <w:rPr>
          <w:rFonts w:asciiTheme="minorHAnsi" w:hAnsiTheme="minorHAnsi" w:cstheme="minorHAnsi"/>
          <w:sz w:val="24"/>
          <w:szCs w:val="24"/>
        </w:rPr>
        <w:t xml:space="preserve"> stanovení ceny předané části AISG zjistit</w:t>
      </w:r>
      <w:r w:rsidR="00474FB5" w:rsidRPr="004B7B2B">
        <w:rPr>
          <w:rFonts w:asciiTheme="minorHAnsi" w:hAnsiTheme="minorHAnsi" w:cstheme="minorHAnsi"/>
          <w:sz w:val="24"/>
          <w:szCs w:val="24"/>
        </w:rPr>
        <w:t xml:space="preserve">. </w:t>
      </w:r>
      <w:bookmarkStart w:id="16" w:name="_Hlk132270444"/>
    </w:p>
    <w:p w14:paraId="18EBB523" w14:textId="6B5DA1BF" w:rsidR="00682531" w:rsidRPr="008142C5" w:rsidRDefault="00682531" w:rsidP="00682531">
      <w:pPr>
        <w:pStyle w:val="Odstavecseseznamem"/>
        <w:numPr>
          <w:ilvl w:val="1"/>
          <w:numId w:val="17"/>
        </w:numPr>
        <w:spacing w:after="120"/>
        <w:ind w:left="0" w:firstLine="0"/>
        <w:contextualSpacing w:val="0"/>
        <w:rPr>
          <w:rFonts w:asciiTheme="minorHAnsi" w:hAnsiTheme="minorHAnsi" w:cstheme="minorHAnsi"/>
        </w:rPr>
      </w:pPr>
      <w:r w:rsidRPr="008142C5">
        <w:rPr>
          <w:rFonts w:asciiTheme="minorHAnsi" w:hAnsiTheme="minorHAnsi" w:cstheme="minorHAnsi"/>
          <w:sz w:val="24"/>
          <w:szCs w:val="24"/>
        </w:rPr>
        <w:t xml:space="preserve">Za dodávku SM </w:t>
      </w:r>
      <w:r w:rsidR="00D307EF" w:rsidRPr="008142C5">
        <w:rPr>
          <w:rFonts w:asciiTheme="minorHAnsi" w:hAnsiTheme="minorHAnsi" w:cstheme="minorHAnsi"/>
          <w:sz w:val="24"/>
          <w:szCs w:val="24"/>
        </w:rPr>
        <w:t xml:space="preserve">AISG </w:t>
      </w:r>
      <w:r w:rsidRPr="008142C5">
        <w:rPr>
          <w:rFonts w:asciiTheme="minorHAnsi" w:hAnsiTheme="minorHAnsi" w:cstheme="minorHAnsi"/>
          <w:sz w:val="24"/>
          <w:szCs w:val="24"/>
        </w:rPr>
        <w:t>a DM AISG mělo MF zaplatit 24,1 mil. Kč</w:t>
      </w:r>
      <w:r w:rsidR="009945FD">
        <w:rPr>
          <w:rFonts w:asciiTheme="minorHAnsi" w:hAnsiTheme="minorHAnsi" w:cstheme="minorHAnsi"/>
          <w:sz w:val="24"/>
          <w:szCs w:val="24"/>
        </w:rPr>
        <w:t>.</w:t>
      </w:r>
      <w:r w:rsidRPr="008142C5">
        <w:rPr>
          <w:rFonts w:asciiTheme="minorHAnsi" w:hAnsiTheme="minorHAnsi" w:cstheme="minorHAnsi"/>
          <w:sz w:val="24"/>
          <w:szCs w:val="24"/>
        </w:rPr>
        <w:t xml:space="preserve"> </w:t>
      </w:r>
      <w:r w:rsidR="009945FD">
        <w:rPr>
          <w:rFonts w:asciiTheme="minorHAnsi" w:hAnsiTheme="minorHAnsi" w:cstheme="minorHAnsi"/>
          <w:sz w:val="24"/>
          <w:szCs w:val="24"/>
        </w:rPr>
        <w:t>P</w:t>
      </w:r>
      <w:r w:rsidR="009945FD" w:rsidRPr="008142C5">
        <w:rPr>
          <w:rFonts w:asciiTheme="minorHAnsi" w:hAnsiTheme="minorHAnsi" w:cstheme="minorHAnsi"/>
          <w:sz w:val="24"/>
          <w:szCs w:val="24"/>
        </w:rPr>
        <w:t xml:space="preserve">o redukci SM AISG </w:t>
      </w:r>
      <w:r w:rsidR="00D307EF" w:rsidRPr="008142C5">
        <w:rPr>
          <w:rFonts w:asciiTheme="minorHAnsi" w:hAnsiTheme="minorHAnsi" w:cstheme="minorHAnsi"/>
          <w:sz w:val="24"/>
          <w:szCs w:val="24"/>
        </w:rPr>
        <w:t xml:space="preserve">zaplatilo </w:t>
      </w:r>
      <w:r w:rsidRPr="008142C5">
        <w:rPr>
          <w:rFonts w:asciiTheme="minorHAnsi" w:hAnsiTheme="minorHAnsi" w:cstheme="minorHAnsi"/>
          <w:sz w:val="24"/>
          <w:szCs w:val="24"/>
        </w:rPr>
        <w:t>za dodané části 19,9 mil. Kč. Stanovení výsledné ceny za tyto části AISG proběhlo bez detailní kalkulace.</w:t>
      </w:r>
    </w:p>
    <w:bookmarkEnd w:id="16"/>
    <w:p w14:paraId="1E5B4FA9" w14:textId="6D4C06D8" w:rsidR="003276AF" w:rsidRPr="00247CAB" w:rsidRDefault="00C90D00" w:rsidP="00776236">
      <w:pPr>
        <w:pStyle w:val="Odstavecseseznamem"/>
        <w:numPr>
          <w:ilvl w:val="1"/>
          <w:numId w:val="17"/>
        </w:numPr>
        <w:spacing w:after="120"/>
        <w:ind w:left="0" w:firstLine="0"/>
        <w:contextualSpacing w:val="0"/>
        <w:rPr>
          <w:rFonts w:asciiTheme="minorHAnsi" w:hAnsiTheme="minorHAnsi"/>
        </w:rPr>
      </w:pPr>
      <w:r w:rsidRPr="008142C5">
        <w:rPr>
          <w:rFonts w:asciiTheme="minorHAnsi" w:hAnsiTheme="minorHAnsi" w:cstheme="minorHAnsi"/>
          <w:sz w:val="24"/>
          <w:szCs w:val="24"/>
        </w:rPr>
        <w:t>MF při správě RVO</w:t>
      </w:r>
      <w:r w:rsidR="00D307EF">
        <w:rPr>
          <w:rFonts w:asciiTheme="minorHAnsi" w:hAnsiTheme="minorHAnsi" w:cstheme="minorHAnsi"/>
          <w:sz w:val="24"/>
          <w:szCs w:val="24"/>
        </w:rPr>
        <w:t>, který</w:t>
      </w:r>
      <w:r w:rsidRPr="008142C5">
        <w:rPr>
          <w:rFonts w:asciiTheme="minorHAnsi" w:hAnsiTheme="minorHAnsi" w:cstheme="minorHAnsi"/>
          <w:sz w:val="24"/>
          <w:szCs w:val="24"/>
        </w:rPr>
        <w:t xml:space="preserve"> patří do DM AISG</w:t>
      </w:r>
      <w:r w:rsidR="00D307EF">
        <w:rPr>
          <w:rFonts w:asciiTheme="minorHAnsi" w:hAnsiTheme="minorHAnsi" w:cstheme="minorHAnsi"/>
          <w:sz w:val="24"/>
          <w:szCs w:val="24"/>
        </w:rPr>
        <w:t>,</w:t>
      </w:r>
      <w:r w:rsidRPr="008142C5">
        <w:rPr>
          <w:rFonts w:asciiTheme="minorHAnsi" w:hAnsiTheme="minorHAnsi" w:cstheme="minorHAnsi"/>
          <w:sz w:val="24"/>
          <w:szCs w:val="24"/>
        </w:rPr>
        <w:t xml:space="preserve"> ve většině případů vychází z údajů, </w:t>
      </w:r>
      <w:r w:rsidR="00D307EF">
        <w:rPr>
          <w:rFonts w:asciiTheme="minorHAnsi" w:hAnsiTheme="minorHAnsi" w:cstheme="minorHAnsi"/>
          <w:sz w:val="24"/>
          <w:szCs w:val="24"/>
        </w:rPr>
        <w:t>jež</w:t>
      </w:r>
      <w:r w:rsidRPr="008142C5">
        <w:rPr>
          <w:rFonts w:asciiTheme="minorHAnsi" w:hAnsiTheme="minorHAnsi" w:cstheme="minorHAnsi"/>
          <w:sz w:val="24"/>
          <w:szCs w:val="24"/>
        </w:rPr>
        <w:t xml:space="preserve"> mu poskytl jiný orgán veřejné moci. Osoby, které o zápis samy požádají, a osoby </w:t>
      </w:r>
      <w:r w:rsidR="0068036F" w:rsidRPr="008142C5">
        <w:rPr>
          <w:rFonts w:asciiTheme="minorHAnsi" w:hAnsiTheme="minorHAnsi" w:cstheme="minorHAnsi"/>
          <w:sz w:val="24"/>
          <w:szCs w:val="24"/>
        </w:rPr>
        <w:t>zapisované</w:t>
      </w:r>
      <w:r w:rsidR="00D307EF">
        <w:rPr>
          <w:rFonts w:asciiTheme="minorHAnsi" w:hAnsiTheme="minorHAnsi" w:cstheme="minorHAnsi"/>
          <w:sz w:val="24"/>
          <w:szCs w:val="24"/>
        </w:rPr>
        <w:t xml:space="preserve"> </w:t>
      </w:r>
      <w:r w:rsidRPr="008142C5">
        <w:rPr>
          <w:rFonts w:asciiTheme="minorHAnsi" w:hAnsiTheme="minorHAnsi" w:cstheme="minorHAnsi"/>
          <w:sz w:val="24"/>
          <w:szCs w:val="24"/>
        </w:rPr>
        <w:t>na základě informac</w:t>
      </w:r>
      <w:r w:rsidR="00D307EF">
        <w:rPr>
          <w:rFonts w:asciiTheme="minorHAnsi" w:hAnsiTheme="minorHAnsi" w:cstheme="minorHAnsi"/>
          <w:sz w:val="24"/>
          <w:szCs w:val="24"/>
        </w:rPr>
        <w:t>í</w:t>
      </w:r>
      <w:r w:rsidRPr="008142C5">
        <w:rPr>
          <w:rFonts w:asciiTheme="minorHAnsi" w:hAnsiTheme="minorHAnsi" w:cstheme="minorHAnsi"/>
          <w:sz w:val="24"/>
          <w:szCs w:val="24"/>
        </w:rPr>
        <w:t xml:space="preserve"> od příslušných soudů zapisuje MF do RVO manuálně.</w:t>
      </w:r>
    </w:p>
    <w:p w14:paraId="2ECDA969" w14:textId="77777777" w:rsidR="00944BEB" w:rsidRDefault="00944BEB">
      <w:pPr>
        <w:jc w:val="left"/>
        <w:rPr>
          <w:rFonts w:asciiTheme="minorHAnsi" w:hAnsiTheme="minorHAnsi"/>
          <w:b/>
          <w:iCs/>
          <w:color w:val="auto"/>
        </w:rPr>
      </w:pPr>
      <w:r>
        <w:rPr>
          <w:rFonts w:asciiTheme="minorHAnsi" w:hAnsiTheme="minorHAnsi"/>
          <w:b/>
          <w:i/>
          <w:color w:val="auto"/>
        </w:rPr>
        <w:br w:type="page"/>
      </w:r>
    </w:p>
    <w:p w14:paraId="75604C92" w14:textId="0688E392" w:rsidR="009D403C" w:rsidRPr="00776236" w:rsidRDefault="009D403C" w:rsidP="00776236">
      <w:pPr>
        <w:pStyle w:val="Titulek"/>
        <w:keepNext/>
        <w:spacing w:before="240" w:after="120"/>
        <w:ind w:left="1304" w:hanging="1304"/>
        <w:jc w:val="left"/>
        <w:rPr>
          <w:rFonts w:asciiTheme="minorHAnsi" w:hAnsiTheme="minorHAnsi"/>
          <w:b/>
          <w:i w:val="0"/>
          <w:color w:val="auto"/>
          <w:sz w:val="24"/>
          <w:szCs w:val="24"/>
        </w:rPr>
      </w:pPr>
      <w:r w:rsidRPr="00776236">
        <w:rPr>
          <w:rFonts w:asciiTheme="minorHAnsi" w:hAnsiTheme="minorHAnsi"/>
          <w:b/>
          <w:i w:val="0"/>
          <w:color w:val="auto"/>
          <w:sz w:val="24"/>
          <w:szCs w:val="24"/>
        </w:rPr>
        <w:lastRenderedPageBreak/>
        <w:t xml:space="preserve">Tabulka č. </w:t>
      </w:r>
      <w:r w:rsidRPr="00776236">
        <w:rPr>
          <w:rFonts w:asciiTheme="minorHAnsi" w:hAnsiTheme="minorHAnsi"/>
          <w:b/>
          <w:i w:val="0"/>
          <w:color w:val="auto"/>
          <w:sz w:val="24"/>
          <w:szCs w:val="24"/>
        </w:rPr>
        <w:fldChar w:fldCharType="begin"/>
      </w:r>
      <w:r w:rsidRPr="00776236">
        <w:rPr>
          <w:rFonts w:asciiTheme="minorHAnsi" w:hAnsiTheme="minorHAnsi"/>
          <w:b/>
          <w:i w:val="0"/>
          <w:color w:val="auto"/>
          <w:sz w:val="24"/>
          <w:szCs w:val="24"/>
        </w:rPr>
        <w:instrText xml:space="preserve"> SEQ Tabulka_č. \* ARABIC </w:instrText>
      </w:r>
      <w:r w:rsidRPr="00776236">
        <w:rPr>
          <w:rFonts w:asciiTheme="minorHAnsi" w:hAnsiTheme="minorHAnsi"/>
          <w:b/>
          <w:i w:val="0"/>
          <w:color w:val="auto"/>
          <w:sz w:val="24"/>
          <w:szCs w:val="24"/>
        </w:rPr>
        <w:fldChar w:fldCharType="separate"/>
      </w:r>
      <w:r w:rsidR="00962F75">
        <w:rPr>
          <w:rFonts w:asciiTheme="minorHAnsi" w:hAnsiTheme="minorHAnsi"/>
          <w:b/>
          <w:i w:val="0"/>
          <w:noProof/>
          <w:color w:val="auto"/>
          <w:sz w:val="24"/>
          <w:szCs w:val="24"/>
        </w:rPr>
        <w:t>2</w:t>
      </w:r>
      <w:r w:rsidRPr="00776236">
        <w:rPr>
          <w:rFonts w:asciiTheme="minorHAnsi" w:hAnsiTheme="minorHAnsi"/>
          <w:b/>
          <w:i w:val="0"/>
          <w:color w:val="auto"/>
          <w:sz w:val="24"/>
          <w:szCs w:val="24"/>
        </w:rPr>
        <w:fldChar w:fldCharType="end"/>
      </w:r>
      <w:r w:rsidRPr="00776236">
        <w:rPr>
          <w:rFonts w:asciiTheme="minorHAnsi" w:hAnsiTheme="minorHAnsi"/>
          <w:b/>
          <w:i w:val="0"/>
          <w:color w:val="auto"/>
          <w:sz w:val="24"/>
          <w:szCs w:val="24"/>
        </w:rPr>
        <w:t xml:space="preserve">: </w:t>
      </w:r>
      <w:r w:rsidR="00776236">
        <w:rPr>
          <w:rFonts w:asciiTheme="minorHAnsi" w:hAnsiTheme="minorHAnsi"/>
          <w:b/>
          <w:i w:val="0"/>
          <w:color w:val="auto"/>
          <w:sz w:val="24"/>
          <w:szCs w:val="24"/>
        </w:rPr>
        <w:tab/>
      </w:r>
      <w:r w:rsidRPr="00776236">
        <w:rPr>
          <w:rFonts w:asciiTheme="minorHAnsi" w:hAnsiTheme="minorHAnsi"/>
          <w:b/>
          <w:i w:val="0"/>
          <w:color w:val="auto"/>
          <w:sz w:val="24"/>
          <w:szCs w:val="24"/>
        </w:rPr>
        <w:t xml:space="preserve">Vývoj počtu osob zapsaných v RVO podle důvodu zápisu od 1. 1. 2021 </w:t>
      </w:r>
      <w:r w:rsidR="00776236">
        <w:rPr>
          <w:rFonts w:asciiTheme="minorHAnsi" w:hAnsiTheme="minorHAnsi"/>
          <w:b/>
          <w:i w:val="0"/>
          <w:color w:val="auto"/>
          <w:sz w:val="24"/>
          <w:szCs w:val="24"/>
        </w:rPr>
        <w:br/>
      </w:r>
      <w:r w:rsidRPr="00776236">
        <w:rPr>
          <w:rFonts w:asciiTheme="minorHAnsi" w:hAnsiTheme="minorHAnsi"/>
          <w:b/>
          <w:i w:val="0"/>
          <w:color w:val="auto"/>
          <w:sz w:val="24"/>
          <w:szCs w:val="24"/>
        </w:rPr>
        <w:t>do 31. 7. 2022</w:t>
      </w:r>
    </w:p>
    <w:tbl>
      <w:tblPr>
        <w:tblW w:w="9088" w:type="dxa"/>
        <w:tblInd w:w="-5" w:type="dxa"/>
        <w:tblLayout w:type="fixed"/>
        <w:tblCellMar>
          <w:left w:w="70" w:type="dxa"/>
          <w:right w:w="70" w:type="dxa"/>
        </w:tblCellMar>
        <w:tblLook w:val="04A0" w:firstRow="1" w:lastRow="0" w:firstColumn="1" w:lastColumn="0" w:noHBand="0" w:noVBand="1"/>
      </w:tblPr>
      <w:tblGrid>
        <w:gridCol w:w="1871"/>
        <w:gridCol w:w="902"/>
        <w:gridCol w:w="902"/>
        <w:gridCol w:w="902"/>
        <w:gridCol w:w="902"/>
        <w:gridCol w:w="902"/>
        <w:gridCol w:w="902"/>
        <w:gridCol w:w="902"/>
        <w:gridCol w:w="903"/>
      </w:tblGrid>
      <w:tr w:rsidR="009D403C" w:rsidRPr="00C14C5C" w14:paraId="0AEBC098" w14:textId="77777777" w:rsidTr="00776236">
        <w:trPr>
          <w:trHeight w:val="301"/>
          <w:tblHeader/>
        </w:trPr>
        <w:tc>
          <w:tcPr>
            <w:tcW w:w="1871"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647A7F4B" w14:textId="77777777" w:rsidR="009D403C" w:rsidRPr="00AA3FCA" w:rsidRDefault="009D403C" w:rsidP="00550EA2">
            <w:pPr>
              <w:spacing w:after="0" w:line="240" w:lineRule="auto"/>
              <w:rPr>
                <w:rFonts w:asciiTheme="minorHAnsi" w:hAnsiTheme="minorHAnsi"/>
                <w:b/>
                <w:color w:val="000000"/>
                <w:sz w:val="20"/>
                <w:szCs w:val="20"/>
                <w:lang w:eastAsia="cs-CZ"/>
              </w:rPr>
            </w:pPr>
            <w:r w:rsidRPr="00AA3FCA">
              <w:rPr>
                <w:rFonts w:asciiTheme="minorHAnsi" w:hAnsiTheme="minorHAnsi"/>
                <w:b/>
                <w:color w:val="000000"/>
                <w:sz w:val="20"/>
                <w:szCs w:val="20"/>
                <w:lang w:eastAsia="cs-CZ"/>
              </w:rPr>
              <w:t>Důvod vyloučení</w:t>
            </w:r>
          </w:p>
        </w:tc>
        <w:tc>
          <w:tcPr>
            <w:tcW w:w="902" w:type="dxa"/>
            <w:tcBorders>
              <w:top w:val="single" w:sz="4" w:space="0" w:color="auto"/>
              <w:left w:val="nil"/>
              <w:bottom w:val="single" w:sz="4" w:space="0" w:color="auto"/>
              <w:right w:val="single" w:sz="4" w:space="0" w:color="auto"/>
            </w:tcBorders>
            <w:shd w:val="clear" w:color="auto" w:fill="E5F1FF"/>
            <w:noWrap/>
            <w:vAlign w:val="center"/>
            <w:hideMark/>
          </w:tcPr>
          <w:p w14:paraId="4A724A45" w14:textId="77777777" w:rsidR="009D403C" w:rsidRPr="00AA3FCA" w:rsidRDefault="009D403C" w:rsidP="00550EA2">
            <w:pPr>
              <w:spacing w:after="0" w:line="240" w:lineRule="auto"/>
              <w:jc w:val="center"/>
              <w:rPr>
                <w:rFonts w:asciiTheme="minorHAnsi" w:hAnsiTheme="minorHAnsi"/>
                <w:b/>
                <w:color w:val="000000"/>
                <w:sz w:val="20"/>
                <w:szCs w:val="20"/>
                <w:lang w:eastAsia="cs-CZ"/>
              </w:rPr>
            </w:pPr>
            <w:r w:rsidRPr="00AA3FCA">
              <w:rPr>
                <w:rFonts w:asciiTheme="minorHAnsi" w:hAnsiTheme="minorHAnsi"/>
                <w:b/>
                <w:color w:val="000000"/>
                <w:sz w:val="20"/>
                <w:szCs w:val="20"/>
                <w:lang w:eastAsia="cs-CZ"/>
              </w:rPr>
              <w:t xml:space="preserve">1. 1. </w:t>
            </w:r>
            <w:r w:rsidRPr="00AA3FCA">
              <w:rPr>
                <w:rFonts w:asciiTheme="minorHAnsi" w:hAnsiTheme="minorHAnsi"/>
                <w:b/>
                <w:color w:val="000000"/>
                <w:sz w:val="20"/>
                <w:szCs w:val="20"/>
                <w:lang w:eastAsia="cs-CZ"/>
              </w:rPr>
              <w:br/>
              <w:t>2021</w:t>
            </w:r>
          </w:p>
        </w:tc>
        <w:tc>
          <w:tcPr>
            <w:tcW w:w="902" w:type="dxa"/>
            <w:tcBorders>
              <w:top w:val="single" w:sz="4" w:space="0" w:color="auto"/>
              <w:left w:val="nil"/>
              <w:bottom w:val="single" w:sz="4" w:space="0" w:color="auto"/>
              <w:right w:val="single" w:sz="4" w:space="0" w:color="auto"/>
            </w:tcBorders>
            <w:shd w:val="clear" w:color="auto" w:fill="E5F1FF"/>
            <w:noWrap/>
            <w:vAlign w:val="center"/>
            <w:hideMark/>
          </w:tcPr>
          <w:p w14:paraId="1D9813BB" w14:textId="77777777" w:rsidR="009D403C" w:rsidRPr="00AA3FCA" w:rsidRDefault="009D403C" w:rsidP="00550EA2">
            <w:pPr>
              <w:spacing w:after="0" w:line="240" w:lineRule="auto"/>
              <w:jc w:val="center"/>
              <w:rPr>
                <w:rFonts w:asciiTheme="minorHAnsi" w:hAnsiTheme="minorHAnsi"/>
                <w:b/>
                <w:color w:val="000000"/>
                <w:sz w:val="20"/>
                <w:szCs w:val="20"/>
                <w:lang w:eastAsia="cs-CZ"/>
              </w:rPr>
            </w:pPr>
            <w:r w:rsidRPr="00AA3FCA">
              <w:rPr>
                <w:rFonts w:asciiTheme="minorHAnsi" w:hAnsiTheme="minorHAnsi"/>
                <w:b/>
                <w:color w:val="000000"/>
                <w:sz w:val="20"/>
                <w:szCs w:val="20"/>
                <w:lang w:eastAsia="cs-CZ"/>
              </w:rPr>
              <w:t xml:space="preserve">1. 4. </w:t>
            </w:r>
            <w:r w:rsidRPr="00AA3FCA">
              <w:rPr>
                <w:rFonts w:asciiTheme="minorHAnsi" w:hAnsiTheme="minorHAnsi"/>
                <w:b/>
                <w:color w:val="000000"/>
                <w:sz w:val="20"/>
                <w:szCs w:val="20"/>
                <w:lang w:eastAsia="cs-CZ"/>
              </w:rPr>
              <w:br/>
              <w:t>2021</w:t>
            </w:r>
          </w:p>
        </w:tc>
        <w:tc>
          <w:tcPr>
            <w:tcW w:w="902" w:type="dxa"/>
            <w:tcBorders>
              <w:top w:val="single" w:sz="4" w:space="0" w:color="auto"/>
              <w:left w:val="nil"/>
              <w:bottom w:val="single" w:sz="4" w:space="0" w:color="auto"/>
              <w:right w:val="single" w:sz="4" w:space="0" w:color="auto"/>
            </w:tcBorders>
            <w:shd w:val="clear" w:color="auto" w:fill="E5F1FF"/>
            <w:noWrap/>
            <w:vAlign w:val="center"/>
            <w:hideMark/>
          </w:tcPr>
          <w:p w14:paraId="6E39BE87" w14:textId="77777777" w:rsidR="009D403C" w:rsidRPr="00AA3FCA" w:rsidRDefault="009D403C" w:rsidP="00550EA2">
            <w:pPr>
              <w:spacing w:after="0" w:line="240" w:lineRule="auto"/>
              <w:jc w:val="center"/>
              <w:rPr>
                <w:rFonts w:asciiTheme="minorHAnsi" w:hAnsiTheme="minorHAnsi"/>
                <w:b/>
                <w:color w:val="000000"/>
                <w:sz w:val="20"/>
                <w:szCs w:val="20"/>
                <w:lang w:eastAsia="cs-CZ"/>
              </w:rPr>
            </w:pPr>
            <w:r w:rsidRPr="00AA3FCA">
              <w:rPr>
                <w:rFonts w:asciiTheme="minorHAnsi" w:hAnsiTheme="minorHAnsi"/>
                <w:b/>
                <w:color w:val="000000"/>
                <w:sz w:val="20"/>
                <w:szCs w:val="20"/>
                <w:lang w:eastAsia="cs-CZ"/>
              </w:rPr>
              <w:t>1. 7.</w:t>
            </w:r>
            <w:r w:rsidRPr="00AA3FCA">
              <w:rPr>
                <w:rFonts w:asciiTheme="minorHAnsi" w:hAnsiTheme="minorHAnsi"/>
                <w:b/>
                <w:color w:val="000000"/>
                <w:sz w:val="20"/>
                <w:szCs w:val="20"/>
                <w:lang w:eastAsia="cs-CZ"/>
              </w:rPr>
              <w:br/>
              <w:t>2021</w:t>
            </w:r>
          </w:p>
        </w:tc>
        <w:tc>
          <w:tcPr>
            <w:tcW w:w="902" w:type="dxa"/>
            <w:tcBorders>
              <w:top w:val="single" w:sz="4" w:space="0" w:color="auto"/>
              <w:left w:val="nil"/>
              <w:bottom w:val="single" w:sz="4" w:space="0" w:color="auto"/>
              <w:right w:val="single" w:sz="4" w:space="0" w:color="auto"/>
            </w:tcBorders>
            <w:shd w:val="clear" w:color="auto" w:fill="E5F1FF"/>
            <w:noWrap/>
            <w:vAlign w:val="center"/>
            <w:hideMark/>
          </w:tcPr>
          <w:p w14:paraId="384F39D4" w14:textId="77777777" w:rsidR="009D403C" w:rsidRPr="00AA3FCA" w:rsidRDefault="009D403C" w:rsidP="00550EA2">
            <w:pPr>
              <w:spacing w:after="0" w:line="240" w:lineRule="auto"/>
              <w:jc w:val="center"/>
              <w:rPr>
                <w:rFonts w:asciiTheme="minorHAnsi" w:hAnsiTheme="minorHAnsi"/>
                <w:b/>
                <w:color w:val="000000"/>
                <w:sz w:val="20"/>
                <w:szCs w:val="20"/>
                <w:lang w:eastAsia="cs-CZ"/>
              </w:rPr>
            </w:pPr>
            <w:r w:rsidRPr="00AA3FCA">
              <w:rPr>
                <w:rFonts w:asciiTheme="minorHAnsi" w:hAnsiTheme="minorHAnsi"/>
                <w:b/>
                <w:color w:val="000000"/>
                <w:sz w:val="20"/>
                <w:szCs w:val="20"/>
                <w:lang w:eastAsia="cs-CZ"/>
              </w:rPr>
              <w:t>1. 10.</w:t>
            </w:r>
            <w:r w:rsidRPr="00AA3FCA">
              <w:rPr>
                <w:rFonts w:asciiTheme="minorHAnsi" w:hAnsiTheme="minorHAnsi"/>
                <w:b/>
                <w:color w:val="000000"/>
                <w:sz w:val="20"/>
                <w:szCs w:val="20"/>
                <w:lang w:eastAsia="cs-CZ"/>
              </w:rPr>
              <w:br/>
              <w:t>2021</w:t>
            </w:r>
          </w:p>
        </w:tc>
        <w:tc>
          <w:tcPr>
            <w:tcW w:w="902" w:type="dxa"/>
            <w:tcBorders>
              <w:top w:val="single" w:sz="4" w:space="0" w:color="auto"/>
              <w:left w:val="nil"/>
              <w:bottom w:val="single" w:sz="4" w:space="0" w:color="auto"/>
              <w:right w:val="single" w:sz="4" w:space="0" w:color="auto"/>
            </w:tcBorders>
            <w:shd w:val="clear" w:color="auto" w:fill="E5F1FF"/>
            <w:noWrap/>
            <w:vAlign w:val="center"/>
            <w:hideMark/>
          </w:tcPr>
          <w:p w14:paraId="526A4C5C" w14:textId="77777777" w:rsidR="009D403C" w:rsidRPr="00AA3FCA" w:rsidRDefault="009D403C" w:rsidP="00550EA2">
            <w:pPr>
              <w:spacing w:after="0" w:line="240" w:lineRule="auto"/>
              <w:jc w:val="center"/>
              <w:rPr>
                <w:rFonts w:asciiTheme="minorHAnsi" w:hAnsiTheme="minorHAnsi"/>
                <w:b/>
                <w:color w:val="000000"/>
                <w:sz w:val="20"/>
                <w:szCs w:val="20"/>
                <w:lang w:eastAsia="cs-CZ"/>
              </w:rPr>
            </w:pPr>
            <w:r w:rsidRPr="00AA3FCA">
              <w:rPr>
                <w:rFonts w:asciiTheme="minorHAnsi" w:hAnsiTheme="minorHAnsi"/>
                <w:b/>
                <w:color w:val="000000"/>
                <w:sz w:val="20"/>
                <w:szCs w:val="20"/>
                <w:lang w:eastAsia="cs-CZ"/>
              </w:rPr>
              <w:t>1. 1.</w:t>
            </w:r>
            <w:r w:rsidRPr="00AA3FCA">
              <w:rPr>
                <w:rFonts w:asciiTheme="minorHAnsi" w:hAnsiTheme="minorHAnsi"/>
                <w:b/>
                <w:color w:val="000000"/>
                <w:sz w:val="20"/>
                <w:szCs w:val="20"/>
                <w:lang w:eastAsia="cs-CZ"/>
              </w:rPr>
              <w:br/>
              <w:t>2022</w:t>
            </w:r>
          </w:p>
        </w:tc>
        <w:tc>
          <w:tcPr>
            <w:tcW w:w="902" w:type="dxa"/>
            <w:tcBorders>
              <w:top w:val="single" w:sz="4" w:space="0" w:color="auto"/>
              <w:left w:val="nil"/>
              <w:bottom w:val="single" w:sz="4" w:space="0" w:color="auto"/>
              <w:right w:val="single" w:sz="4" w:space="0" w:color="auto"/>
            </w:tcBorders>
            <w:shd w:val="clear" w:color="auto" w:fill="E5F1FF"/>
            <w:noWrap/>
            <w:vAlign w:val="center"/>
            <w:hideMark/>
          </w:tcPr>
          <w:p w14:paraId="5300572A" w14:textId="77777777" w:rsidR="009D403C" w:rsidRPr="00AA3FCA" w:rsidRDefault="009D403C" w:rsidP="00550EA2">
            <w:pPr>
              <w:spacing w:after="0" w:line="240" w:lineRule="auto"/>
              <w:jc w:val="center"/>
              <w:rPr>
                <w:rFonts w:asciiTheme="minorHAnsi" w:hAnsiTheme="minorHAnsi"/>
                <w:b/>
                <w:color w:val="000000"/>
                <w:sz w:val="20"/>
                <w:szCs w:val="20"/>
                <w:lang w:eastAsia="cs-CZ"/>
              </w:rPr>
            </w:pPr>
            <w:r w:rsidRPr="00AA3FCA">
              <w:rPr>
                <w:rFonts w:asciiTheme="minorHAnsi" w:hAnsiTheme="minorHAnsi"/>
                <w:b/>
                <w:color w:val="000000"/>
                <w:sz w:val="20"/>
                <w:szCs w:val="20"/>
                <w:lang w:eastAsia="cs-CZ"/>
              </w:rPr>
              <w:t>1. 4.</w:t>
            </w:r>
            <w:r w:rsidRPr="00AA3FCA">
              <w:rPr>
                <w:rFonts w:asciiTheme="minorHAnsi" w:hAnsiTheme="minorHAnsi"/>
                <w:b/>
                <w:color w:val="000000"/>
                <w:sz w:val="20"/>
                <w:szCs w:val="20"/>
                <w:lang w:eastAsia="cs-CZ"/>
              </w:rPr>
              <w:br/>
              <w:t>2022</w:t>
            </w:r>
          </w:p>
        </w:tc>
        <w:tc>
          <w:tcPr>
            <w:tcW w:w="902" w:type="dxa"/>
            <w:tcBorders>
              <w:top w:val="single" w:sz="4" w:space="0" w:color="auto"/>
              <w:left w:val="nil"/>
              <w:bottom w:val="single" w:sz="4" w:space="0" w:color="auto"/>
              <w:right w:val="single" w:sz="4" w:space="0" w:color="auto"/>
            </w:tcBorders>
            <w:shd w:val="clear" w:color="auto" w:fill="E5F1FF"/>
            <w:noWrap/>
            <w:vAlign w:val="center"/>
            <w:hideMark/>
          </w:tcPr>
          <w:p w14:paraId="4F1CB5C2" w14:textId="77777777" w:rsidR="009D403C" w:rsidRPr="00AA3FCA" w:rsidRDefault="009D403C" w:rsidP="00550EA2">
            <w:pPr>
              <w:spacing w:after="0" w:line="240" w:lineRule="auto"/>
              <w:jc w:val="center"/>
              <w:rPr>
                <w:rFonts w:asciiTheme="minorHAnsi" w:hAnsiTheme="minorHAnsi"/>
                <w:b/>
                <w:color w:val="000000"/>
                <w:sz w:val="20"/>
                <w:szCs w:val="20"/>
                <w:lang w:eastAsia="cs-CZ"/>
              </w:rPr>
            </w:pPr>
            <w:r w:rsidRPr="00AA3FCA">
              <w:rPr>
                <w:rFonts w:asciiTheme="minorHAnsi" w:hAnsiTheme="minorHAnsi"/>
                <w:b/>
                <w:color w:val="000000"/>
                <w:sz w:val="20"/>
                <w:szCs w:val="20"/>
                <w:lang w:eastAsia="cs-CZ"/>
              </w:rPr>
              <w:t>1. 7.</w:t>
            </w:r>
            <w:r w:rsidRPr="00AA3FCA">
              <w:rPr>
                <w:rFonts w:asciiTheme="minorHAnsi" w:hAnsiTheme="minorHAnsi"/>
                <w:b/>
                <w:color w:val="000000"/>
                <w:sz w:val="20"/>
                <w:szCs w:val="20"/>
                <w:lang w:eastAsia="cs-CZ"/>
              </w:rPr>
              <w:br/>
              <w:t>2022</w:t>
            </w:r>
          </w:p>
        </w:tc>
        <w:tc>
          <w:tcPr>
            <w:tcW w:w="903" w:type="dxa"/>
            <w:tcBorders>
              <w:top w:val="single" w:sz="4" w:space="0" w:color="auto"/>
              <w:left w:val="nil"/>
              <w:bottom w:val="single" w:sz="4" w:space="0" w:color="auto"/>
              <w:right w:val="single" w:sz="4" w:space="0" w:color="auto"/>
            </w:tcBorders>
            <w:shd w:val="clear" w:color="auto" w:fill="E5F1FF"/>
            <w:noWrap/>
            <w:vAlign w:val="center"/>
            <w:hideMark/>
          </w:tcPr>
          <w:p w14:paraId="1B75A29A" w14:textId="77777777" w:rsidR="009D403C" w:rsidRPr="00AA3FCA" w:rsidRDefault="009D403C" w:rsidP="00550EA2">
            <w:pPr>
              <w:spacing w:after="0" w:line="240" w:lineRule="auto"/>
              <w:jc w:val="center"/>
              <w:rPr>
                <w:rFonts w:asciiTheme="minorHAnsi" w:hAnsiTheme="minorHAnsi"/>
                <w:b/>
                <w:color w:val="000000"/>
                <w:sz w:val="20"/>
                <w:szCs w:val="20"/>
                <w:lang w:eastAsia="cs-CZ"/>
              </w:rPr>
            </w:pPr>
            <w:r w:rsidRPr="00AA3FCA">
              <w:rPr>
                <w:rFonts w:asciiTheme="minorHAnsi" w:hAnsiTheme="minorHAnsi"/>
                <w:b/>
                <w:color w:val="000000"/>
                <w:sz w:val="20"/>
                <w:szCs w:val="20"/>
                <w:lang w:eastAsia="cs-CZ"/>
              </w:rPr>
              <w:t>31. 7.</w:t>
            </w:r>
            <w:r w:rsidRPr="00AA3FCA">
              <w:rPr>
                <w:rFonts w:asciiTheme="minorHAnsi" w:hAnsiTheme="minorHAnsi"/>
                <w:b/>
                <w:color w:val="000000"/>
                <w:sz w:val="20"/>
                <w:szCs w:val="20"/>
                <w:lang w:eastAsia="cs-CZ"/>
              </w:rPr>
              <w:br/>
              <w:t>2022</w:t>
            </w:r>
          </w:p>
        </w:tc>
      </w:tr>
      <w:tr w:rsidR="009D403C" w:rsidRPr="00C14C5C" w14:paraId="4115868F" w14:textId="77777777" w:rsidTr="00776236">
        <w:trPr>
          <w:trHeight w:val="301"/>
        </w:trPr>
        <w:tc>
          <w:tcPr>
            <w:tcW w:w="1871" w:type="dxa"/>
            <w:tcBorders>
              <w:top w:val="nil"/>
              <w:left w:val="single" w:sz="4" w:space="0" w:color="auto"/>
              <w:bottom w:val="single" w:sz="4" w:space="0" w:color="auto"/>
              <w:right w:val="single" w:sz="4" w:space="0" w:color="auto"/>
            </w:tcBorders>
            <w:shd w:val="clear" w:color="auto" w:fill="auto"/>
            <w:noWrap/>
            <w:vAlign w:val="center"/>
            <w:hideMark/>
          </w:tcPr>
          <w:p w14:paraId="1148481C" w14:textId="77777777" w:rsidR="009D403C" w:rsidRPr="00AA3FCA" w:rsidRDefault="009D403C" w:rsidP="00550EA2">
            <w:pPr>
              <w:spacing w:after="0" w:line="240" w:lineRule="auto"/>
              <w:jc w:val="left"/>
              <w:rPr>
                <w:rFonts w:asciiTheme="minorHAnsi" w:hAnsiTheme="minorHAnsi"/>
                <w:color w:val="000000"/>
                <w:sz w:val="20"/>
                <w:szCs w:val="20"/>
                <w:lang w:eastAsia="cs-CZ"/>
              </w:rPr>
            </w:pPr>
            <w:r w:rsidRPr="00AA3FCA">
              <w:rPr>
                <w:rFonts w:asciiTheme="minorHAnsi" w:hAnsiTheme="minorHAnsi"/>
                <w:color w:val="000000"/>
                <w:sz w:val="20"/>
                <w:szCs w:val="20"/>
                <w:lang w:eastAsia="cs-CZ"/>
              </w:rPr>
              <w:t>Na vlastní žádost</w:t>
            </w:r>
          </w:p>
        </w:tc>
        <w:tc>
          <w:tcPr>
            <w:tcW w:w="902" w:type="dxa"/>
            <w:tcBorders>
              <w:top w:val="nil"/>
              <w:left w:val="nil"/>
              <w:bottom w:val="single" w:sz="4" w:space="0" w:color="auto"/>
              <w:right w:val="single" w:sz="4" w:space="0" w:color="auto"/>
            </w:tcBorders>
            <w:shd w:val="clear" w:color="auto" w:fill="auto"/>
            <w:noWrap/>
            <w:vAlign w:val="center"/>
            <w:hideMark/>
          </w:tcPr>
          <w:p w14:paraId="1D031930" w14:textId="77777777" w:rsidR="009D403C" w:rsidRPr="00AA3FCA" w:rsidRDefault="009D403C" w:rsidP="00550EA2">
            <w:pPr>
              <w:spacing w:after="0" w:line="240" w:lineRule="auto"/>
              <w:jc w:val="right"/>
              <w:rPr>
                <w:rFonts w:asciiTheme="minorHAnsi" w:hAnsiTheme="minorHAnsi"/>
                <w:color w:val="000000"/>
                <w:sz w:val="20"/>
                <w:szCs w:val="20"/>
                <w:lang w:eastAsia="cs-CZ"/>
              </w:rPr>
            </w:pPr>
            <w:r w:rsidRPr="00AA3FCA">
              <w:rPr>
                <w:rFonts w:asciiTheme="minorHAnsi" w:hAnsiTheme="minorHAnsi"/>
                <w:color w:val="000000"/>
                <w:sz w:val="20"/>
                <w:szCs w:val="20"/>
                <w:lang w:eastAsia="cs-CZ"/>
              </w:rPr>
              <w:t>310</w:t>
            </w:r>
          </w:p>
        </w:tc>
        <w:tc>
          <w:tcPr>
            <w:tcW w:w="902" w:type="dxa"/>
            <w:tcBorders>
              <w:top w:val="nil"/>
              <w:left w:val="nil"/>
              <w:bottom w:val="single" w:sz="4" w:space="0" w:color="auto"/>
              <w:right w:val="single" w:sz="4" w:space="0" w:color="auto"/>
            </w:tcBorders>
            <w:shd w:val="clear" w:color="auto" w:fill="auto"/>
            <w:noWrap/>
            <w:vAlign w:val="center"/>
            <w:hideMark/>
          </w:tcPr>
          <w:p w14:paraId="1AEA1710" w14:textId="77777777" w:rsidR="009D403C" w:rsidRPr="00AA3FCA" w:rsidRDefault="009D403C" w:rsidP="00550EA2">
            <w:pPr>
              <w:spacing w:after="0" w:line="240" w:lineRule="auto"/>
              <w:jc w:val="right"/>
              <w:rPr>
                <w:rFonts w:asciiTheme="minorHAnsi" w:hAnsiTheme="minorHAnsi"/>
                <w:color w:val="000000"/>
                <w:sz w:val="20"/>
                <w:szCs w:val="20"/>
                <w:lang w:eastAsia="cs-CZ"/>
              </w:rPr>
            </w:pPr>
            <w:r w:rsidRPr="00AA3FCA">
              <w:rPr>
                <w:rFonts w:asciiTheme="minorHAnsi" w:hAnsiTheme="minorHAnsi"/>
                <w:color w:val="000000"/>
                <w:sz w:val="20"/>
                <w:szCs w:val="20"/>
                <w:lang w:eastAsia="cs-CZ"/>
              </w:rPr>
              <w:t>889</w:t>
            </w:r>
          </w:p>
        </w:tc>
        <w:tc>
          <w:tcPr>
            <w:tcW w:w="902" w:type="dxa"/>
            <w:tcBorders>
              <w:top w:val="nil"/>
              <w:left w:val="nil"/>
              <w:bottom w:val="single" w:sz="4" w:space="0" w:color="auto"/>
              <w:right w:val="single" w:sz="4" w:space="0" w:color="auto"/>
            </w:tcBorders>
            <w:shd w:val="clear" w:color="auto" w:fill="auto"/>
            <w:noWrap/>
            <w:vAlign w:val="center"/>
            <w:hideMark/>
          </w:tcPr>
          <w:p w14:paraId="21838560" w14:textId="11884CA7" w:rsidR="009D403C" w:rsidRPr="00AA3FCA" w:rsidRDefault="009D403C" w:rsidP="00550EA2">
            <w:pPr>
              <w:spacing w:after="0" w:line="240" w:lineRule="auto"/>
              <w:jc w:val="right"/>
              <w:rPr>
                <w:rFonts w:asciiTheme="minorHAnsi" w:hAnsiTheme="minorHAnsi"/>
                <w:color w:val="000000"/>
                <w:sz w:val="20"/>
                <w:szCs w:val="20"/>
                <w:lang w:eastAsia="cs-CZ"/>
              </w:rPr>
            </w:pPr>
            <w:r w:rsidRPr="00AA3FCA">
              <w:rPr>
                <w:rFonts w:asciiTheme="minorHAnsi" w:hAnsiTheme="minorHAnsi"/>
                <w:color w:val="000000"/>
                <w:sz w:val="20"/>
                <w:szCs w:val="20"/>
                <w:lang w:eastAsia="cs-CZ"/>
              </w:rPr>
              <w:t>1</w:t>
            </w:r>
            <w:r w:rsidR="008A5694" w:rsidRPr="00AA3FCA">
              <w:rPr>
                <w:rFonts w:asciiTheme="minorHAnsi" w:hAnsiTheme="minorHAnsi"/>
                <w:color w:val="000000"/>
                <w:sz w:val="20"/>
                <w:szCs w:val="20"/>
                <w:lang w:eastAsia="cs-CZ"/>
              </w:rPr>
              <w:t xml:space="preserve"> </w:t>
            </w:r>
            <w:r w:rsidRPr="00AA3FCA">
              <w:rPr>
                <w:rFonts w:asciiTheme="minorHAnsi" w:hAnsiTheme="minorHAnsi"/>
                <w:color w:val="000000"/>
                <w:sz w:val="20"/>
                <w:szCs w:val="20"/>
                <w:lang w:eastAsia="cs-CZ"/>
              </w:rPr>
              <w:t>302</w:t>
            </w:r>
          </w:p>
        </w:tc>
        <w:tc>
          <w:tcPr>
            <w:tcW w:w="902" w:type="dxa"/>
            <w:tcBorders>
              <w:top w:val="nil"/>
              <w:left w:val="nil"/>
              <w:bottom w:val="single" w:sz="4" w:space="0" w:color="auto"/>
              <w:right w:val="single" w:sz="4" w:space="0" w:color="auto"/>
            </w:tcBorders>
            <w:shd w:val="clear" w:color="auto" w:fill="auto"/>
            <w:noWrap/>
            <w:vAlign w:val="center"/>
            <w:hideMark/>
          </w:tcPr>
          <w:p w14:paraId="4DA06F11" w14:textId="5D4D9F27" w:rsidR="009D403C" w:rsidRPr="00AA3FCA" w:rsidRDefault="009D403C" w:rsidP="00550EA2">
            <w:pPr>
              <w:spacing w:after="0" w:line="240" w:lineRule="auto"/>
              <w:jc w:val="right"/>
              <w:rPr>
                <w:rFonts w:asciiTheme="minorHAnsi" w:hAnsiTheme="minorHAnsi"/>
                <w:color w:val="000000"/>
                <w:sz w:val="20"/>
                <w:szCs w:val="20"/>
                <w:lang w:eastAsia="cs-CZ"/>
              </w:rPr>
            </w:pPr>
            <w:r w:rsidRPr="00AA3FCA">
              <w:rPr>
                <w:rFonts w:asciiTheme="minorHAnsi" w:hAnsiTheme="minorHAnsi"/>
                <w:color w:val="000000"/>
                <w:sz w:val="20"/>
                <w:szCs w:val="20"/>
                <w:lang w:eastAsia="cs-CZ"/>
              </w:rPr>
              <w:t>1</w:t>
            </w:r>
            <w:r w:rsidR="008A5694" w:rsidRPr="00AA3FCA">
              <w:rPr>
                <w:rFonts w:asciiTheme="minorHAnsi" w:hAnsiTheme="minorHAnsi"/>
                <w:color w:val="000000"/>
                <w:sz w:val="20"/>
                <w:szCs w:val="20"/>
                <w:lang w:eastAsia="cs-CZ"/>
              </w:rPr>
              <w:t xml:space="preserve"> </w:t>
            </w:r>
            <w:r w:rsidRPr="00AA3FCA">
              <w:rPr>
                <w:rFonts w:asciiTheme="minorHAnsi" w:hAnsiTheme="minorHAnsi"/>
                <w:color w:val="000000"/>
                <w:sz w:val="20"/>
                <w:szCs w:val="20"/>
                <w:lang w:eastAsia="cs-CZ"/>
              </w:rPr>
              <w:t>774</w:t>
            </w:r>
          </w:p>
        </w:tc>
        <w:tc>
          <w:tcPr>
            <w:tcW w:w="902" w:type="dxa"/>
            <w:tcBorders>
              <w:top w:val="nil"/>
              <w:left w:val="nil"/>
              <w:bottom w:val="single" w:sz="4" w:space="0" w:color="auto"/>
              <w:right w:val="single" w:sz="4" w:space="0" w:color="auto"/>
            </w:tcBorders>
            <w:shd w:val="clear" w:color="auto" w:fill="auto"/>
            <w:noWrap/>
            <w:vAlign w:val="center"/>
            <w:hideMark/>
          </w:tcPr>
          <w:p w14:paraId="1ED1CC0D" w14:textId="0372F164" w:rsidR="009D403C" w:rsidRPr="00AA3FCA" w:rsidRDefault="009D403C" w:rsidP="00550EA2">
            <w:pPr>
              <w:spacing w:after="0" w:line="240" w:lineRule="auto"/>
              <w:jc w:val="right"/>
              <w:rPr>
                <w:rFonts w:asciiTheme="minorHAnsi" w:hAnsiTheme="minorHAnsi"/>
                <w:color w:val="000000"/>
                <w:sz w:val="20"/>
                <w:szCs w:val="20"/>
                <w:lang w:eastAsia="cs-CZ"/>
              </w:rPr>
            </w:pPr>
            <w:r w:rsidRPr="00AA3FCA">
              <w:rPr>
                <w:rFonts w:asciiTheme="minorHAnsi" w:hAnsiTheme="minorHAnsi"/>
                <w:color w:val="000000"/>
                <w:sz w:val="20"/>
                <w:szCs w:val="20"/>
                <w:lang w:eastAsia="cs-CZ"/>
              </w:rPr>
              <w:t>2</w:t>
            </w:r>
            <w:r w:rsidR="008A5694" w:rsidRPr="00AA3FCA">
              <w:rPr>
                <w:rFonts w:asciiTheme="minorHAnsi" w:hAnsiTheme="minorHAnsi"/>
                <w:color w:val="000000"/>
                <w:sz w:val="20"/>
                <w:szCs w:val="20"/>
                <w:lang w:eastAsia="cs-CZ"/>
              </w:rPr>
              <w:t xml:space="preserve"> </w:t>
            </w:r>
            <w:r w:rsidRPr="00AA3FCA">
              <w:rPr>
                <w:rFonts w:asciiTheme="minorHAnsi" w:hAnsiTheme="minorHAnsi"/>
                <w:color w:val="000000"/>
                <w:sz w:val="20"/>
                <w:szCs w:val="20"/>
                <w:lang w:eastAsia="cs-CZ"/>
              </w:rPr>
              <w:t>266</w:t>
            </w:r>
          </w:p>
        </w:tc>
        <w:tc>
          <w:tcPr>
            <w:tcW w:w="902" w:type="dxa"/>
            <w:tcBorders>
              <w:top w:val="nil"/>
              <w:left w:val="nil"/>
              <w:bottom w:val="single" w:sz="4" w:space="0" w:color="auto"/>
              <w:right w:val="single" w:sz="4" w:space="0" w:color="auto"/>
            </w:tcBorders>
            <w:shd w:val="clear" w:color="auto" w:fill="auto"/>
            <w:noWrap/>
            <w:vAlign w:val="center"/>
            <w:hideMark/>
          </w:tcPr>
          <w:p w14:paraId="718DBF46" w14:textId="21D8C9CD" w:rsidR="009D403C" w:rsidRPr="00AA3FCA" w:rsidRDefault="009D403C" w:rsidP="00550EA2">
            <w:pPr>
              <w:spacing w:after="0" w:line="240" w:lineRule="auto"/>
              <w:jc w:val="right"/>
              <w:rPr>
                <w:rFonts w:asciiTheme="minorHAnsi" w:hAnsiTheme="minorHAnsi"/>
                <w:color w:val="000000"/>
                <w:sz w:val="20"/>
                <w:szCs w:val="20"/>
                <w:lang w:eastAsia="cs-CZ"/>
              </w:rPr>
            </w:pPr>
            <w:r w:rsidRPr="00AA3FCA">
              <w:rPr>
                <w:rFonts w:asciiTheme="minorHAnsi" w:hAnsiTheme="minorHAnsi"/>
                <w:color w:val="000000"/>
                <w:sz w:val="20"/>
                <w:szCs w:val="20"/>
                <w:lang w:eastAsia="cs-CZ"/>
              </w:rPr>
              <w:t>2</w:t>
            </w:r>
            <w:r w:rsidR="008A5694" w:rsidRPr="00AA3FCA">
              <w:rPr>
                <w:rFonts w:asciiTheme="minorHAnsi" w:hAnsiTheme="minorHAnsi"/>
                <w:color w:val="000000"/>
                <w:sz w:val="20"/>
                <w:szCs w:val="20"/>
                <w:lang w:eastAsia="cs-CZ"/>
              </w:rPr>
              <w:t xml:space="preserve"> </w:t>
            </w:r>
            <w:r w:rsidRPr="00AA3FCA">
              <w:rPr>
                <w:rFonts w:asciiTheme="minorHAnsi" w:hAnsiTheme="minorHAnsi"/>
                <w:color w:val="000000"/>
                <w:sz w:val="20"/>
                <w:szCs w:val="20"/>
                <w:lang w:eastAsia="cs-CZ"/>
              </w:rPr>
              <w:t>835</w:t>
            </w:r>
          </w:p>
        </w:tc>
        <w:tc>
          <w:tcPr>
            <w:tcW w:w="902" w:type="dxa"/>
            <w:tcBorders>
              <w:top w:val="nil"/>
              <w:left w:val="nil"/>
              <w:bottom w:val="single" w:sz="4" w:space="0" w:color="auto"/>
              <w:right w:val="single" w:sz="4" w:space="0" w:color="auto"/>
            </w:tcBorders>
            <w:shd w:val="clear" w:color="auto" w:fill="auto"/>
            <w:noWrap/>
            <w:vAlign w:val="center"/>
            <w:hideMark/>
          </w:tcPr>
          <w:p w14:paraId="65EFD53E" w14:textId="29E35A8B" w:rsidR="009D403C" w:rsidRPr="00AA3FCA" w:rsidRDefault="009D403C" w:rsidP="00550EA2">
            <w:pPr>
              <w:spacing w:after="0" w:line="240" w:lineRule="auto"/>
              <w:jc w:val="right"/>
              <w:rPr>
                <w:rFonts w:asciiTheme="minorHAnsi" w:hAnsiTheme="minorHAnsi"/>
                <w:color w:val="000000"/>
                <w:sz w:val="20"/>
                <w:szCs w:val="20"/>
                <w:lang w:eastAsia="cs-CZ"/>
              </w:rPr>
            </w:pPr>
            <w:r w:rsidRPr="00AA3FCA">
              <w:rPr>
                <w:rFonts w:asciiTheme="minorHAnsi" w:hAnsiTheme="minorHAnsi"/>
                <w:color w:val="000000"/>
                <w:sz w:val="20"/>
                <w:szCs w:val="20"/>
                <w:lang w:eastAsia="cs-CZ"/>
              </w:rPr>
              <w:t>3</w:t>
            </w:r>
            <w:r w:rsidR="008A5694" w:rsidRPr="00AA3FCA">
              <w:rPr>
                <w:rFonts w:asciiTheme="minorHAnsi" w:hAnsiTheme="minorHAnsi"/>
                <w:color w:val="000000"/>
                <w:sz w:val="20"/>
                <w:szCs w:val="20"/>
                <w:lang w:eastAsia="cs-CZ"/>
              </w:rPr>
              <w:t xml:space="preserve"> </w:t>
            </w:r>
            <w:r w:rsidRPr="00AA3FCA">
              <w:rPr>
                <w:rFonts w:asciiTheme="minorHAnsi" w:hAnsiTheme="minorHAnsi"/>
                <w:color w:val="000000"/>
                <w:sz w:val="20"/>
                <w:szCs w:val="20"/>
                <w:lang w:eastAsia="cs-CZ"/>
              </w:rPr>
              <w:t>479</w:t>
            </w:r>
          </w:p>
        </w:tc>
        <w:tc>
          <w:tcPr>
            <w:tcW w:w="903" w:type="dxa"/>
            <w:tcBorders>
              <w:top w:val="nil"/>
              <w:left w:val="nil"/>
              <w:bottom w:val="single" w:sz="4" w:space="0" w:color="auto"/>
              <w:right w:val="single" w:sz="4" w:space="0" w:color="auto"/>
            </w:tcBorders>
            <w:shd w:val="clear" w:color="auto" w:fill="auto"/>
            <w:noWrap/>
            <w:vAlign w:val="center"/>
            <w:hideMark/>
          </w:tcPr>
          <w:p w14:paraId="3CD48C42" w14:textId="756EEE67" w:rsidR="009D403C" w:rsidRPr="00AA3FCA" w:rsidRDefault="009D403C" w:rsidP="00550EA2">
            <w:pPr>
              <w:spacing w:after="0" w:line="240" w:lineRule="auto"/>
              <w:jc w:val="right"/>
              <w:rPr>
                <w:rFonts w:asciiTheme="minorHAnsi" w:hAnsiTheme="minorHAnsi"/>
                <w:color w:val="000000"/>
                <w:sz w:val="20"/>
                <w:szCs w:val="20"/>
                <w:lang w:eastAsia="cs-CZ"/>
              </w:rPr>
            </w:pPr>
            <w:r w:rsidRPr="00AA3FCA">
              <w:rPr>
                <w:rFonts w:asciiTheme="minorHAnsi" w:hAnsiTheme="minorHAnsi"/>
                <w:color w:val="000000"/>
                <w:sz w:val="20"/>
                <w:szCs w:val="20"/>
                <w:lang w:eastAsia="cs-CZ"/>
              </w:rPr>
              <w:t>3</w:t>
            </w:r>
            <w:r w:rsidR="008A5694" w:rsidRPr="00AA3FCA">
              <w:rPr>
                <w:rFonts w:asciiTheme="minorHAnsi" w:hAnsiTheme="minorHAnsi"/>
                <w:color w:val="000000"/>
                <w:sz w:val="20"/>
                <w:szCs w:val="20"/>
                <w:lang w:eastAsia="cs-CZ"/>
              </w:rPr>
              <w:t xml:space="preserve"> </w:t>
            </w:r>
            <w:r w:rsidRPr="00AA3FCA">
              <w:rPr>
                <w:rFonts w:asciiTheme="minorHAnsi" w:hAnsiTheme="minorHAnsi"/>
                <w:color w:val="000000"/>
                <w:sz w:val="20"/>
                <w:szCs w:val="20"/>
                <w:lang w:eastAsia="cs-CZ"/>
              </w:rPr>
              <w:t>669</w:t>
            </w:r>
          </w:p>
        </w:tc>
      </w:tr>
      <w:tr w:rsidR="009D403C" w:rsidRPr="00C14C5C" w14:paraId="5E52D3DF" w14:textId="77777777" w:rsidTr="00776236">
        <w:trPr>
          <w:trHeight w:val="301"/>
        </w:trPr>
        <w:tc>
          <w:tcPr>
            <w:tcW w:w="1871" w:type="dxa"/>
            <w:tcBorders>
              <w:top w:val="nil"/>
              <w:left w:val="single" w:sz="4" w:space="0" w:color="auto"/>
              <w:bottom w:val="single" w:sz="4" w:space="0" w:color="auto"/>
              <w:right w:val="single" w:sz="4" w:space="0" w:color="auto"/>
            </w:tcBorders>
            <w:shd w:val="clear" w:color="auto" w:fill="auto"/>
            <w:noWrap/>
            <w:vAlign w:val="center"/>
            <w:hideMark/>
          </w:tcPr>
          <w:p w14:paraId="71D7F9D5" w14:textId="25ED6054" w:rsidR="009D403C" w:rsidRPr="00AA3FCA" w:rsidRDefault="009D403C" w:rsidP="00550EA2">
            <w:pPr>
              <w:spacing w:after="0" w:line="240" w:lineRule="auto"/>
              <w:jc w:val="left"/>
              <w:rPr>
                <w:rFonts w:asciiTheme="minorHAnsi" w:hAnsiTheme="minorHAnsi"/>
                <w:color w:val="000000"/>
                <w:sz w:val="20"/>
                <w:szCs w:val="20"/>
                <w:lang w:eastAsia="cs-CZ"/>
              </w:rPr>
            </w:pPr>
            <w:r w:rsidRPr="00AA3FCA">
              <w:rPr>
                <w:rFonts w:asciiTheme="minorHAnsi" w:hAnsiTheme="minorHAnsi"/>
                <w:color w:val="000000"/>
                <w:sz w:val="20"/>
                <w:szCs w:val="20"/>
                <w:lang w:eastAsia="cs-CZ"/>
              </w:rPr>
              <w:t xml:space="preserve">Omezení a povinnost zdržet se </w:t>
            </w:r>
            <w:r w:rsidR="002E43AE">
              <w:rPr>
                <w:rFonts w:asciiTheme="minorHAnsi" w:hAnsiTheme="minorHAnsi"/>
                <w:color w:val="000000"/>
                <w:sz w:val="20"/>
                <w:szCs w:val="20"/>
                <w:lang w:eastAsia="cs-CZ"/>
              </w:rPr>
              <w:t>hazardních her</w:t>
            </w:r>
            <w:r w:rsidRPr="00AA3FCA">
              <w:rPr>
                <w:rFonts w:asciiTheme="minorHAnsi" w:hAnsiTheme="minorHAnsi"/>
                <w:color w:val="000000"/>
                <w:sz w:val="20"/>
                <w:szCs w:val="20"/>
                <w:lang w:eastAsia="cs-CZ"/>
              </w:rPr>
              <w:t xml:space="preserve"> nebo ochranné léčení</w:t>
            </w:r>
          </w:p>
        </w:tc>
        <w:tc>
          <w:tcPr>
            <w:tcW w:w="902" w:type="dxa"/>
            <w:tcBorders>
              <w:top w:val="nil"/>
              <w:left w:val="nil"/>
              <w:bottom w:val="single" w:sz="4" w:space="0" w:color="auto"/>
              <w:right w:val="single" w:sz="4" w:space="0" w:color="auto"/>
            </w:tcBorders>
            <w:shd w:val="clear" w:color="auto" w:fill="auto"/>
            <w:noWrap/>
            <w:vAlign w:val="center"/>
            <w:hideMark/>
          </w:tcPr>
          <w:p w14:paraId="05985113" w14:textId="77777777" w:rsidR="009D403C" w:rsidRPr="00AA3FCA" w:rsidRDefault="009D403C" w:rsidP="00550EA2">
            <w:pPr>
              <w:spacing w:after="0" w:line="240" w:lineRule="auto"/>
              <w:jc w:val="right"/>
              <w:rPr>
                <w:rFonts w:asciiTheme="minorHAnsi" w:hAnsiTheme="minorHAnsi"/>
                <w:color w:val="000000"/>
                <w:sz w:val="20"/>
                <w:szCs w:val="20"/>
                <w:lang w:eastAsia="cs-CZ"/>
              </w:rPr>
            </w:pPr>
            <w:r w:rsidRPr="00AA3FCA">
              <w:rPr>
                <w:rFonts w:asciiTheme="minorHAnsi" w:hAnsiTheme="minorHAnsi"/>
                <w:color w:val="000000"/>
                <w:sz w:val="20"/>
                <w:szCs w:val="20"/>
                <w:lang w:eastAsia="cs-CZ"/>
              </w:rPr>
              <w:t>1</w:t>
            </w:r>
          </w:p>
        </w:tc>
        <w:tc>
          <w:tcPr>
            <w:tcW w:w="902" w:type="dxa"/>
            <w:tcBorders>
              <w:top w:val="nil"/>
              <w:left w:val="nil"/>
              <w:bottom w:val="single" w:sz="4" w:space="0" w:color="auto"/>
              <w:right w:val="single" w:sz="4" w:space="0" w:color="auto"/>
            </w:tcBorders>
            <w:shd w:val="clear" w:color="auto" w:fill="auto"/>
            <w:noWrap/>
            <w:vAlign w:val="center"/>
            <w:hideMark/>
          </w:tcPr>
          <w:p w14:paraId="3F6B0092" w14:textId="77777777" w:rsidR="009D403C" w:rsidRPr="00AA3FCA" w:rsidRDefault="009D403C" w:rsidP="00550EA2">
            <w:pPr>
              <w:spacing w:after="0" w:line="240" w:lineRule="auto"/>
              <w:jc w:val="right"/>
              <w:rPr>
                <w:rFonts w:asciiTheme="minorHAnsi" w:hAnsiTheme="minorHAnsi"/>
                <w:color w:val="000000"/>
                <w:sz w:val="20"/>
                <w:szCs w:val="20"/>
                <w:lang w:eastAsia="cs-CZ"/>
              </w:rPr>
            </w:pPr>
            <w:r w:rsidRPr="00AA3FCA">
              <w:rPr>
                <w:rFonts w:asciiTheme="minorHAnsi" w:hAnsiTheme="minorHAnsi"/>
                <w:color w:val="000000"/>
                <w:sz w:val="20"/>
                <w:szCs w:val="20"/>
                <w:lang w:eastAsia="cs-CZ"/>
              </w:rPr>
              <w:t>5</w:t>
            </w:r>
          </w:p>
        </w:tc>
        <w:tc>
          <w:tcPr>
            <w:tcW w:w="902" w:type="dxa"/>
            <w:tcBorders>
              <w:top w:val="nil"/>
              <w:left w:val="nil"/>
              <w:bottom w:val="single" w:sz="4" w:space="0" w:color="auto"/>
              <w:right w:val="single" w:sz="4" w:space="0" w:color="auto"/>
            </w:tcBorders>
            <w:shd w:val="clear" w:color="auto" w:fill="auto"/>
            <w:noWrap/>
            <w:vAlign w:val="center"/>
            <w:hideMark/>
          </w:tcPr>
          <w:p w14:paraId="0701C380" w14:textId="77777777" w:rsidR="009D403C" w:rsidRPr="00AA3FCA" w:rsidRDefault="009D403C" w:rsidP="00550EA2">
            <w:pPr>
              <w:spacing w:after="0" w:line="240" w:lineRule="auto"/>
              <w:jc w:val="right"/>
              <w:rPr>
                <w:rFonts w:asciiTheme="minorHAnsi" w:hAnsiTheme="minorHAnsi"/>
                <w:color w:val="000000"/>
                <w:sz w:val="20"/>
                <w:szCs w:val="20"/>
                <w:lang w:eastAsia="cs-CZ"/>
              </w:rPr>
            </w:pPr>
            <w:r w:rsidRPr="00AA3FCA">
              <w:rPr>
                <w:rFonts w:asciiTheme="minorHAnsi" w:hAnsiTheme="minorHAnsi"/>
                <w:color w:val="000000"/>
                <w:sz w:val="20"/>
                <w:szCs w:val="20"/>
                <w:lang w:eastAsia="cs-CZ"/>
              </w:rPr>
              <w:t>36</w:t>
            </w:r>
          </w:p>
        </w:tc>
        <w:tc>
          <w:tcPr>
            <w:tcW w:w="902" w:type="dxa"/>
            <w:tcBorders>
              <w:top w:val="nil"/>
              <w:left w:val="nil"/>
              <w:bottom w:val="single" w:sz="4" w:space="0" w:color="auto"/>
              <w:right w:val="single" w:sz="4" w:space="0" w:color="auto"/>
            </w:tcBorders>
            <w:shd w:val="clear" w:color="auto" w:fill="auto"/>
            <w:noWrap/>
            <w:vAlign w:val="center"/>
            <w:hideMark/>
          </w:tcPr>
          <w:p w14:paraId="69B5AC89" w14:textId="77777777" w:rsidR="009D403C" w:rsidRPr="00AA3FCA" w:rsidRDefault="009D403C" w:rsidP="00550EA2">
            <w:pPr>
              <w:spacing w:after="0" w:line="240" w:lineRule="auto"/>
              <w:jc w:val="right"/>
              <w:rPr>
                <w:rFonts w:asciiTheme="minorHAnsi" w:hAnsiTheme="minorHAnsi"/>
                <w:color w:val="000000"/>
                <w:sz w:val="20"/>
                <w:szCs w:val="20"/>
                <w:lang w:eastAsia="cs-CZ"/>
              </w:rPr>
            </w:pPr>
            <w:r w:rsidRPr="00AA3FCA">
              <w:rPr>
                <w:rFonts w:asciiTheme="minorHAnsi" w:hAnsiTheme="minorHAnsi"/>
                <w:color w:val="000000"/>
                <w:sz w:val="20"/>
                <w:szCs w:val="20"/>
                <w:lang w:eastAsia="cs-CZ"/>
              </w:rPr>
              <w:t>37</w:t>
            </w:r>
          </w:p>
        </w:tc>
        <w:tc>
          <w:tcPr>
            <w:tcW w:w="902" w:type="dxa"/>
            <w:tcBorders>
              <w:top w:val="nil"/>
              <w:left w:val="nil"/>
              <w:bottom w:val="single" w:sz="4" w:space="0" w:color="auto"/>
              <w:right w:val="single" w:sz="4" w:space="0" w:color="auto"/>
            </w:tcBorders>
            <w:shd w:val="clear" w:color="auto" w:fill="auto"/>
            <w:noWrap/>
            <w:vAlign w:val="center"/>
            <w:hideMark/>
          </w:tcPr>
          <w:p w14:paraId="79A8F5F5" w14:textId="77777777" w:rsidR="009D403C" w:rsidRPr="00AA3FCA" w:rsidRDefault="009D403C" w:rsidP="00550EA2">
            <w:pPr>
              <w:spacing w:after="0" w:line="240" w:lineRule="auto"/>
              <w:jc w:val="right"/>
              <w:rPr>
                <w:rFonts w:asciiTheme="minorHAnsi" w:hAnsiTheme="minorHAnsi"/>
                <w:color w:val="000000"/>
                <w:sz w:val="20"/>
                <w:szCs w:val="20"/>
                <w:lang w:eastAsia="cs-CZ"/>
              </w:rPr>
            </w:pPr>
            <w:r w:rsidRPr="00AA3FCA">
              <w:rPr>
                <w:rFonts w:asciiTheme="minorHAnsi" w:hAnsiTheme="minorHAnsi"/>
                <w:color w:val="000000"/>
                <w:sz w:val="20"/>
                <w:szCs w:val="20"/>
                <w:lang w:eastAsia="cs-CZ"/>
              </w:rPr>
              <w:t>42</w:t>
            </w:r>
          </w:p>
        </w:tc>
        <w:tc>
          <w:tcPr>
            <w:tcW w:w="902" w:type="dxa"/>
            <w:tcBorders>
              <w:top w:val="nil"/>
              <w:left w:val="nil"/>
              <w:bottom w:val="single" w:sz="4" w:space="0" w:color="auto"/>
              <w:right w:val="single" w:sz="4" w:space="0" w:color="auto"/>
            </w:tcBorders>
            <w:shd w:val="clear" w:color="auto" w:fill="auto"/>
            <w:noWrap/>
            <w:vAlign w:val="center"/>
            <w:hideMark/>
          </w:tcPr>
          <w:p w14:paraId="61F0B150" w14:textId="77777777" w:rsidR="009D403C" w:rsidRPr="00AA3FCA" w:rsidRDefault="009D403C" w:rsidP="00550EA2">
            <w:pPr>
              <w:spacing w:after="0" w:line="240" w:lineRule="auto"/>
              <w:jc w:val="right"/>
              <w:rPr>
                <w:rFonts w:asciiTheme="minorHAnsi" w:hAnsiTheme="minorHAnsi"/>
                <w:color w:val="000000"/>
                <w:sz w:val="20"/>
                <w:szCs w:val="20"/>
                <w:lang w:eastAsia="cs-CZ"/>
              </w:rPr>
            </w:pPr>
            <w:r w:rsidRPr="00AA3FCA">
              <w:rPr>
                <w:rFonts w:asciiTheme="minorHAnsi" w:hAnsiTheme="minorHAnsi"/>
                <w:color w:val="000000"/>
                <w:sz w:val="20"/>
                <w:szCs w:val="20"/>
                <w:lang w:eastAsia="cs-CZ"/>
              </w:rPr>
              <w:t>42</w:t>
            </w:r>
          </w:p>
        </w:tc>
        <w:tc>
          <w:tcPr>
            <w:tcW w:w="902" w:type="dxa"/>
            <w:tcBorders>
              <w:top w:val="nil"/>
              <w:left w:val="nil"/>
              <w:bottom w:val="single" w:sz="4" w:space="0" w:color="auto"/>
              <w:right w:val="single" w:sz="4" w:space="0" w:color="auto"/>
            </w:tcBorders>
            <w:shd w:val="clear" w:color="auto" w:fill="auto"/>
            <w:noWrap/>
            <w:vAlign w:val="center"/>
            <w:hideMark/>
          </w:tcPr>
          <w:p w14:paraId="69CF26E5" w14:textId="77777777" w:rsidR="009D403C" w:rsidRPr="00AA3FCA" w:rsidRDefault="009D403C" w:rsidP="00550EA2">
            <w:pPr>
              <w:spacing w:after="0" w:line="240" w:lineRule="auto"/>
              <w:jc w:val="right"/>
              <w:rPr>
                <w:rFonts w:asciiTheme="minorHAnsi" w:hAnsiTheme="minorHAnsi"/>
                <w:color w:val="000000"/>
                <w:sz w:val="20"/>
                <w:szCs w:val="20"/>
                <w:lang w:eastAsia="cs-CZ"/>
              </w:rPr>
            </w:pPr>
            <w:r w:rsidRPr="00AA3FCA">
              <w:rPr>
                <w:rFonts w:asciiTheme="minorHAnsi" w:hAnsiTheme="minorHAnsi"/>
                <w:color w:val="000000"/>
                <w:sz w:val="20"/>
                <w:szCs w:val="20"/>
                <w:lang w:eastAsia="cs-CZ"/>
              </w:rPr>
              <w:t>44</w:t>
            </w:r>
          </w:p>
        </w:tc>
        <w:tc>
          <w:tcPr>
            <w:tcW w:w="903" w:type="dxa"/>
            <w:tcBorders>
              <w:top w:val="nil"/>
              <w:left w:val="nil"/>
              <w:bottom w:val="single" w:sz="4" w:space="0" w:color="auto"/>
              <w:right w:val="single" w:sz="4" w:space="0" w:color="auto"/>
            </w:tcBorders>
            <w:shd w:val="clear" w:color="auto" w:fill="auto"/>
            <w:noWrap/>
            <w:vAlign w:val="center"/>
            <w:hideMark/>
          </w:tcPr>
          <w:p w14:paraId="4B14216B" w14:textId="77777777" w:rsidR="009D403C" w:rsidRPr="00AA3FCA" w:rsidRDefault="009D403C" w:rsidP="00550EA2">
            <w:pPr>
              <w:spacing w:after="0" w:line="240" w:lineRule="auto"/>
              <w:jc w:val="right"/>
              <w:rPr>
                <w:rFonts w:asciiTheme="minorHAnsi" w:hAnsiTheme="minorHAnsi"/>
                <w:color w:val="000000"/>
                <w:sz w:val="20"/>
                <w:szCs w:val="20"/>
                <w:lang w:eastAsia="cs-CZ"/>
              </w:rPr>
            </w:pPr>
            <w:r w:rsidRPr="00AA3FCA">
              <w:rPr>
                <w:rFonts w:asciiTheme="minorHAnsi" w:hAnsiTheme="minorHAnsi"/>
                <w:color w:val="000000"/>
                <w:sz w:val="20"/>
                <w:szCs w:val="20"/>
                <w:lang w:eastAsia="cs-CZ"/>
              </w:rPr>
              <w:t>44</w:t>
            </w:r>
          </w:p>
        </w:tc>
      </w:tr>
      <w:tr w:rsidR="009D403C" w:rsidRPr="00C14C5C" w14:paraId="69835FD3" w14:textId="77777777" w:rsidTr="00776236">
        <w:trPr>
          <w:trHeight w:val="301"/>
        </w:trPr>
        <w:tc>
          <w:tcPr>
            <w:tcW w:w="1871" w:type="dxa"/>
            <w:tcBorders>
              <w:top w:val="nil"/>
              <w:left w:val="single" w:sz="4" w:space="0" w:color="auto"/>
              <w:bottom w:val="single" w:sz="4" w:space="0" w:color="auto"/>
              <w:right w:val="single" w:sz="4" w:space="0" w:color="auto"/>
            </w:tcBorders>
            <w:shd w:val="clear" w:color="auto" w:fill="auto"/>
            <w:noWrap/>
            <w:vAlign w:val="center"/>
            <w:hideMark/>
          </w:tcPr>
          <w:p w14:paraId="2A96EF39" w14:textId="77777777" w:rsidR="009D403C" w:rsidRPr="00AA3FCA" w:rsidRDefault="009D403C" w:rsidP="00550EA2">
            <w:pPr>
              <w:spacing w:after="0" w:line="240" w:lineRule="auto"/>
              <w:jc w:val="left"/>
              <w:rPr>
                <w:rFonts w:asciiTheme="minorHAnsi" w:hAnsiTheme="minorHAnsi"/>
                <w:color w:val="000000"/>
                <w:sz w:val="20"/>
                <w:szCs w:val="20"/>
                <w:lang w:eastAsia="cs-CZ"/>
              </w:rPr>
            </w:pPr>
            <w:r w:rsidRPr="00AA3FCA">
              <w:rPr>
                <w:rFonts w:asciiTheme="minorHAnsi" w:hAnsiTheme="minorHAnsi"/>
                <w:color w:val="000000"/>
                <w:sz w:val="20"/>
                <w:szCs w:val="20"/>
                <w:lang w:eastAsia="cs-CZ"/>
              </w:rPr>
              <w:t>Pobírání dávek pomoci v hmotné nouzi</w:t>
            </w:r>
          </w:p>
        </w:tc>
        <w:tc>
          <w:tcPr>
            <w:tcW w:w="902" w:type="dxa"/>
            <w:tcBorders>
              <w:top w:val="nil"/>
              <w:left w:val="nil"/>
              <w:bottom w:val="single" w:sz="4" w:space="0" w:color="auto"/>
              <w:right w:val="single" w:sz="4" w:space="0" w:color="auto"/>
            </w:tcBorders>
            <w:shd w:val="clear" w:color="auto" w:fill="auto"/>
            <w:noWrap/>
            <w:vAlign w:val="center"/>
            <w:hideMark/>
          </w:tcPr>
          <w:p w14:paraId="7B64360B" w14:textId="77777777" w:rsidR="009D403C" w:rsidRPr="00AA3FCA" w:rsidRDefault="009D403C" w:rsidP="00550EA2">
            <w:pPr>
              <w:spacing w:after="0" w:line="240" w:lineRule="auto"/>
              <w:jc w:val="right"/>
              <w:rPr>
                <w:rFonts w:asciiTheme="minorHAnsi" w:hAnsiTheme="minorHAnsi"/>
                <w:color w:val="000000"/>
                <w:sz w:val="20"/>
                <w:szCs w:val="20"/>
                <w:lang w:eastAsia="cs-CZ"/>
              </w:rPr>
            </w:pPr>
            <w:r w:rsidRPr="00AA3FCA">
              <w:rPr>
                <w:rFonts w:asciiTheme="minorHAnsi" w:hAnsiTheme="minorHAnsi"/>
                <w:color w:val="000000"/>
                <w:sz w:val="20"/>
                <w:szCs w:val="20"/>
                <w:lang w:eastAsia="cs-CZ"/>
              </w:rPr>
              <w:t>64 809</w:t>
            </w:r>
          </w:p>
        </w:tc>
        <w:tc>
          <w:tcPr>
            <w:tcW w:w="902" w:type="dxa"/>
            <w:tcBorders>
              <w:top w:val="nil"/>
              <w:left w:val="nil"/>
              <w:bottom w:val="single" w:sz="4" w:space="0" w:color="auto"/>
              <w:right w:val="single" w:sz="4" w:space="0" w:color="auto"/>
            </w:tcBorders>
            <w:shd w:val="clear" w:color="auto" w:fill="auto"/>
            <w:noWrap/>
            <w:vAlign w:val="center"/>
            <w:hideMark/>
          </w:tcPr>
          <w:p w14:paraId="4E7A4A1E" w14:textId="77777777" w:rsidR="009D403C" w:rsidRPr="00AA3FCA" w:rsidRDefault="009D403C" w:rsidP="00550EA2">
            <w:pPr>
              <w:spacing w:after="0" w:line="240" w:lineRule="auto"/>
              <w:jc w:val="right"/>
              <w:rPr>
                <w:rFonts w:asciiTheme="minorHAnsi" w:hAnsiTheme="minorHAnsi"/>
                <w:color w:val="000000"/>
                <w:sz w:val="20"/>
                <w:szCs w:val="20"/>
                <w:lang w:eastAsia="cs-CZ"/>
              </w:rPr>
            </w:pPr>
            <w:r w:rsidRPr="00AA3FCA">
              <w:rPr>
                <w:rFonts w:asciiTheme="minorHAnsi" w:hAnsiTheme="minorHAnsi"/>
                <w:color w:val="000000"/>
                <w:sz w:val="20"/>
                <w:szCs w:val="20"/>
                <w:lang w:eastAsia="cs-CZ"/>
              </w:rPr>
              <w:t>68 407</w:t>
            </w:r>
          </w:p>
        </w:tc>
        <w:tc>
          <w:tcPr>
            <w:tcW w:w="902" w:type="dxa"/>
            <w:tcBorders>
              <w:top w:val="nil"/>
              <w:left w:val="nil"/>
              <w:bottom w:val="single" w:sz="4" w:space="0" w:color="auto"/>
              <w:right w:val="single" w:sz="4" w:space="0" w:color="auto"/>
            </w:tcBorders>
            <w:shd w:val="clear" w:color="auto" w:fill="auto"/>
            <w:noWrap/>
            <w:vAlign w:val="center"/>
            <w:hideMark/>
          </w:tcPr>
          <w:p w14:paraId="447A4022" w14:textId="77777777" w:rsidR="009D403C" w:rsidRPr="00AA3FCA" w:rsidRDefault="009D403C" w:rsidP="00550EA2">
            <w:pPr>
              <w:spacing w:after="0" w:line="240" w:lineRule="auto"/>
              <w:jc w:val="right"/>
              <w:rPr>
                <w:rFonts w:asciiTheme="minorHAnsi" w:hAnsiTheme="minorHAnsi"/>
                <w:color w:val="000000"/>
                <w:sz w:val="20"/>
                <w:szCs w:val="20"/>
                <w:lang w:eastAsia="cs-CZ"/>
              </w:rPr>
            </w:pPr>
            <w:r w:rsidRPr="00AA3FCA">
              <w:rPr>
                <w:rFonts w:asciiTheme="minorHAnsi" w:hAnsiTheme="minorHAnsi"/>
                <w:color w:val="000000"/>
                <w:sz w:val="20"/>
                <w:szCs w:val="20"/>
                <w:lang w:eastAsia="cs-CZ"/>
              </w:rPr>
              <w:t>68 684</w:t>
            </w:r>
          </w:p>
        </w:tc>
        <w:tc>
          <w:tcPr>
            <w:tcW w:w="902" w:type="dxa"/>
            <w:tcBorders>
              <w:top w:val="nil"/>
              <w:left w:val="nil"/>
              <w:bottom w:val="single" w:sz="4" w:space="0" w:color="auto"/>
              <w:right w:val="single" w:sz="4" w:space="0" w:color="auto"/>
            </w:tcBorders>
            <w:shd w:val="clear" w:color="auto" w:fill="auto"/>
            <w:noWrap/>
            <w:vAlign w:val="center"/>
            <w:hideMark/>
          </w:tcPr>
          <w:p w14:paraId="20FB2D06" w14:textId="77777777" w:rsidR="009D403C" w:rsidRPr="00AA3FCA" w:rsidRDefault="009D403C" w:rsidP="00550EA2">
            <w:pPr>
              <w:spacing w:after="0" w:line="240" w:lineRule="auto"/>
              <w:jc w:val="right"/>
              <w:rPr>
                <w:rFonts w:asciiTheme="minorHAnsi" w:hAnsiTheme="minorHAnsi"/>
                <w:color w:val="000000"/>
                <w:sz w:val="20"/>
                <w:szCs w:val="20"/>
                <w:lang w:eastAsia="cs-CZ"/>
              </w:rPr>
            </w:pPr>
            <w:r w:rsidRPr="00AA3FCA">
              <w:rPr>
                <w:rFonts w:asciiTheme="minorHAnsi" w:hAnsiTheme="minorHAnsi"/>
                <w:color w:val="000000"/>
                <w:sz w:val="20"/>
                <w:szCs w:val="20"/>
                <w:lang w:eastAsia="cs-CZ"/>
              </w:rPr>
              <w:t>64 619</w:t>
            </w:r>
          </w:p>
        </w:tc>
        <w:tc>
          <w:tcPr>
            <w:tcW w:w="902" w:type="dxa"/>
            <w:tcBorders>
              <w:top w:val="nil"/>
              <w:left w:val="nil"/>
              <w:bottom w:val="single" w:sz="4" w:space="0" w:color="auto"/>
              <w:right w:val="single" w:sz="4" w:space="0" w:color="auto"/>
            </w:tcBorders>
            <w:shd w:val="clear" w:color="auto" w:fill="auto"/>
            <w:noWrap/>
            <w:vAlign w:val="center"/>
            <w:hideMark/>
          </w:tcPr>
          <w:p w14:paraId="5EFAFC65" w14:textId="77777777" w:rsidR="009D403C" w:rsidRPr="00AA3FCA" w:rsidRDefault="009D403C" w:rsidP="00550EA2">
            <w:pPr>
              <w:spacing w:after="0" w:line="240" w:lineRule="auto"/>
              <w:jc w:val="right"/>
              <w:rPr>
                <w:rFonts w:asciiTheme="minorHAnsi" w:hAnsiTheme="minorHAnsi"/>
                <w:color w:val="000000"/>
                <w:sz w:val="20"/>
                <w:szCs w:val="20"/>
                <w:lang w:eastAsia="cs-CZ"/>
              </w:rPr>
            </w:pPr>
            <w:r w:rsidRPr="00AA3FCA">
              <w:rPr>
                <w:rFonts w:asciiTheme="minorHAnsi" w:hAnsiTheme="minorHAnsi"/>
                <w:color w:val="000000"/>
                <w:sz w:val="20"/>
                <w:szCs w:val="20"/>
                <w:lang w:eastAsia="cs-CZ"/>
              </w:rPr>
              <w:t>61 676</w:t>
            </w:r>
          </w:p>
        </w:tc>
        <w:tc>
          <w:tcPr>
            <w:tcW w:w="902" w:type="dxa"/>
            <w:tcBorders>
              <w:top w:val="nil"/>
              <w:left w:val="nil"/>
              <w:bottom w:val="single" w:sz="4" w:space="0" w:color="auto"/>
              <w:right w:val="single" w:sz="4" w:space="0" w:color="auto"/>
            </w:tcBorders>
            <w:shd w:val="clear" w:color="auto" w:fill="auto"/>
            <w:noWrap/>
            <w:vAlign w:val="center"/>
            <w:hideMark/>
          </w:tcPr>
          <w:p w14:paraId="5DB197E4" w14:textId="77777777" w:rsidR="009D403C" w:rsidRPr="00AA3FCA" w:rsidRDefault="009D403C" w:rsidP="00550EA2">
            <w:pPr>
              <w:spacing w:after="0" w:line="240" w:lineRule="auto"/>
              <w:jc w:val="right"/>
              <w:rPr>
                <w:rFonts w:asciiTheme="minorHAnsi" w:hAnsiTheme="minorHAnsi"/>
                <w:color w:val="000000"/>
                <w:sz w:val="20"/>
                <w:szCs w:val="20"/>
                <w:lang w:eastAsia="cs-CZ"/>
              </w:rPr>
            </w:pPr>
            <w:r w:rsidRPr="00AA3FCA">
              <w:rPr>
                <w:rFonts w:asciiTheme="minorHAnsi" w:hAnsiTheme="minorHAnsi"/>
                <w:color w:val="000000"/>
                <w:sz w:val="20"/>
                <w:szCs w:val="20"/>
                <w:lang w:eastAsia="cs-CZ"/>
              </w:rPr>
              <w:t>60 608</w:t>
            </w:r>
          </w:p>
        </w:tc>
        <w:tc>
          <w:tcPr>
            <w:tcW w:w="902" w:type="dxa"/>
            <w:tcBorders>
              <w:top w:val="nil"/>
              <w:left w:val="nil"/>
              <w:bottom w:val="single" w:sz="4" w:space="0" w:color="auto"/>
              <w:right w:val="single" w:sz="4" w:space="0" w:color="auto"/>
            </w:tcBorders>
            <w:shd w:val="clear" w:color="auto" w:fill="auto"/>
            <w:noWrap/>
            <w:vAlign w:val="center"/>
            <w:hideMark/>
          </w:tcPr>
          <w:p w14:paraId="011CE092" w14:textId="77777777" w:rsidR="009D403C" w:rsidRPr="00AA3FCA" w:rsidRDefault="009D403C" w:rsidP="00550EA2">
            <w:pPr>
              <w:spacing w:after="0" w:line="240" w:lineRule="auto"/>
              <w:jc w:val="right"/>
              <w:rPr>
                <w:rFonts w:asciiTheme="minorHAnsi" w:hAnsiTheme="minorHAnsi"/>
                <w:color w:val="000000"/>
                <w:sz w:val="20"/>
                <w:szCs w:val="20"/>
                <w:lang w:eastAsia="cs-CZ"/>
              </w:rPr>
            </w:pPr>
            <w:r w:rsidRPr="00AA3FCA">
              <w:rPr>
                <w:rFonts w:asciiTheme="minorHAnsi" w:hAnsiTheme="minorHAnsi"/>
                <w:color w:val="000000"/>
                <w:sz w:val="20"/>
                <w:szCs w:val="20"/>
                <w:lang w:eastAsia="cs-CZ"/>
              </w:rPr>
              <w:t>60 587</w:t>
            </w:r>
          </w:p>
        </w:tc>
        <w:tc>
          <w:tcPr>
            <w:tcW w:w="903" w:type="dxa"/>
            <w:tcBorders>
              <w:top w:val="nil"/>
              <w:left w:val="nil"/>
              <w:bottom w:val="single" w:sz="4" w:space="0" w:color="auto"/>
              <w:right w:val="single" w:sz="4" w:space="0" w:color="auto"/>
            </w:tcBorders>
            <w:shd w:val="clear" w:color="auto" w:fill="auto"/>
            <w:noWrap/>
            <w:vAlign w:val="center"/>
            <w:hideMark/>
          </w:tcPr>
          <w:p w14:paraId="4BDFF33E" w14:textId="77777777" w:rsidR="009D403C" w:rsidRPr="00AA3FCA" w:rsidRDefault="009D403C" w:rsidP="00550EA2">
            <w:pPr>
              <w:spacing w:after="0" w:line="240" w:lineRule="auto"/>
              <w:jc w:val="right"/>
              <w:rPr>
                <w:rFonts w:asciiTheme="minorHAnsi" w:hAnsiTheme="minorHAnsi"/>
                <w:color w:val="000000"/>
                <w:sz w:val="20"/>
                <w:szCs w:val="20"/>
                <w:lang w:eastAsia="cs-CZ"/>
              </w:rPr>
            </w:pPr>
            <w:r w:rsidRPr="00AA3FCA">
              <w:rPr>
                <w:rFonts w:asciiTheme="minorHAnsi" w:hAnsiTheme="minorHAnsi"/>
                <w:color w:val="000000"/>
                <w:sz w:val="20"/>
                <w:szCs w:val="20"/>
                <w:lang w:eastAsia="cs-CZ"/>
              </w:rPr>
              <w:t>60 018</w:t>
            </w:r>
          </w:p>
        </w:tc>
      </w:tr>
      <w:tr w:rsidR="009D403C" w:rsidRPr="00C14C5C" w14:paraId="7CC61C23" w14:textId="77777777" w:rsidTr="00776236">
        <w:trPr>
          <w:trHeight w:val="301"/>
        </w:trPr>
        <w:tc>
          <w:tcPr>
            <w:tcW w:w="1871" w:type="dxa"/>
            <w:tcBorders>
              <w:top w:val="nil"/>
              <w:left w:val="single" w:sz="4" w:space="0" w:color="auto"/>
              <w:bottom w:val="single" w:sz="4" w:space="0" w:color="auto"/>
              <w:right w:val="single" w:sz="4" w:space="0" w:color="auto"/>
            </w:tcBorders>
            <w:shd w:val="clear" w:color="auto" w:fill="auto"/>
            <w:noWrap/>
            <w:vAlign w:val="center"/>
            <w:hideMark/>
          </w:tcPr>
          <w:p w14:paraId="6FFFFFD6" w14:textId="77777777" w:rsidR="009D403C" w:rsidRPr="00AA3FCA" w:rsidRDefault="009D403C" w:rsidP="00550EA2">
            <w:pPr>
              <w:spacing w:after="0" w:line="240" w:lineRule="auto"/>
              <w:jc w:val="left"/>
              <w:rPr>
                <w:rFonts w:asciiTheme="minorHAnsi" w:hAnsiTheme="minorHAnsi"/>
                <w:color w:val="000000"/>
                <w:sz w:val="20"/>
                <w:szCs w:val="20"/>
                <w:lang w:eastAsia="cs-CZ"/>
              </w:rPr>
            </w:pPr>
            <w:r w:rsidRPr="00AA3FCA">
              <w:rPr>
                <w:rFonts w:asciiTheme="minorHAnsi" w:hAnsiTheme="minorHAnsi"/>
                <w:color w:val="000000"/>
                <w:sz w:val="20"/>
                <w:szCs w:val="20"/>
                <w:lang w:eastAsia="cs-CZ"/>
              </w:rPr>
              <w:t>Předběžné opatření zákazu her</w:t>
            </w:r>
          </w:p>
        </w:tc>
        <w:tc>
          <w:tcPr>
            <w:tcW w:w="902" w:type="dxa"/>
            <w:tcBorders>
              <w:top w:val="nil"/>
              <w:left w:val="nil"/>
              <w:bottom w:val="single" w:sz="4" w:space="0" w:color="auto"/>
              <w:right w:val="single" w:sz="4" w:space="0" w:color="auto"/>
            </w:tcBorders>
            <w:shd w:val="clear" w:color="auto" w:fill="auto"/>
            <w:noWrap/>
            <w:vAlign w:val="center"/>
            <w:hideMark/>
          </w:tcPr>
          <w:p w14:paraId="4B069AF2" w14:textId="77777777" w:rsidR="009D403C" w:rsidRPr="00AA3FCA" w:rsidRDefault="009D403C" w:rsidP="00550EA2">
            <w:pPr>
              <w:spacing w:after="0" w:line="240" w:lineRule="auto"/>
              <w:jc w:val="right"/>
              <w:rPr>
                <w:rFonts w:asciiTheme="minorHAnsi" w:hAnsiTheme="minorHAnsi"/>
                <w:color w:val="000000"/>
                <w:sz w:val="20"/>
                <w:szCs w:val="20"/>
                <w:lang w:eastAsia="cs-CZ"/>
              </w:rPr>
            </w:pPr>
            <w:r w:rsidRPr="00AA3FCA">
              <w:rPr>
                <w:rFonts w:asciiTheme="minorHAnsi" w:hAnsiTheme="minorHAnsi"/>
                <w:color w:val="000000"/>
                <w:sz w:val="20"/>
                <w:szCs w:val="20"/>
                <w:lang w:eastAsia="cs-CZ"/>
              </w:rPr>
              <w:t>0</w:t>
            </w:r>
          </w:p>
        </w:tc>
        <w:tc>
          <w:tcPr>
            <w:tcW w:w="902" w:type="dxa"/>
            <w:tcBorders>
              <w:top w:val="nil"/>
              <w:left w:val="nil"/>
              <w:bottom w:val="single" w:sz="4" w:space="0" w:color="auto"/>
              <w:right w:val="single" w:sz="4" w:space="0" w:color="auto"/>
            </w:tcBorders>
            <w:shd w:val="clear" w:color="auto" w:fill="auto"/>
            <w:noWrap/>
            <w:vAlign w:val="center"/>
            <w:hideMark/>
          </w:tcPr>
          <w:p w14:paraId="57730676" w14:textId="77777777" w:rsidR="009D403C" w:rsidRPr="00AA3FCA" w:rsidRDefault="009D403C" w:rsidP="00550EA2">
            <w:pPr>
              <w:spacing w:after="0" w:line="240" w:lineRule="auto"/>
              <w:jc w:val="right"/>
              <w:rPr>
                <w:rFonts w:asciiTheme="minorHAnsi" w:hAnsiTheme="minorHAnsi"/>
                <w:color w:val="000000"/>
                <w:sz w:val="20"/>
                <w:szCs w:val="20"/>
                <w:lang w:eastAsia="cs-CZ"/>
              </w:rPr>
            </w:pPr>
            <w:r w:rsidRPr="00AA3FCA">
              <w:rPr>
                <w:rFonts w:asciiTheme="minorHAnsi" w:hAnsiTheme="minorHAnsi"/>
                <w:color w:val="000000"/>
                <w:sz w:val="20"/>
                <w:szCs w:val="20"/>
                <w:lang w:eastAsia="cs-CZ"/>
              </w:rPr>
              <w:t>0</w:t>
            </w:r>
          </w:p>
        </w:tc>
        <w:tc>
          <w:tcPr>
            <w:tcW w:w="902" w:type="dxa"/>
            <w:tcBorders>
              <w:top w:val="nil"/>
              <w:left w:val="nil"/>
              <w:bottom w:val="single" w:sz="4" w:space="0" w:color="auto"/>
              <w:right w:val="single" w:sz="4" w:space="0" w:color="auto"/>
            </w:tcBorders>
            <w:shd w:val="clear" w:color="auto" w:fill="auto"/>
            <w:noWrap/>
            <w:vAlign w:val="center"/>
            <w:hideMark/>
          </w:tcPr>
          <w:p w14:paraId="72CBC0D2" w14:textId="77777777" w:rsidR="009D403C" w:rsidRPr="00AA3FCA" w:rsidRDefault="009D403C" w:rsidP="00550EA2">
            <w:pPr>
              <w:spacing w:after="0" w:line="240" w:lineRule="auto"/>
              <w:jc w:val="right"/>
              <w:rPr>
                <w:rFonts w:asciiTheme="minorHAnsi" w:hAnsiTheme="minorHAnsi"/>
                <w:color w:val="000000"/>
                <w:sz w:val="20"/>
                <w:szCs w:val="20"/>
                <w:lang w:eastAsia="cs-CZ"/>
              </w:rPr>
            </w:pPr>
            <w:r w:rsidRPr="00AA3FCA">
              <w:rPr>
                <w:rFonts w:asciiTheme="minorHAnsi" w:hAnsiTheme="minorHAnsi"/>
                <w:color w:val="000000"/>
                <w:sz w:val="20"/>
                <w:szCs w:val="20"/>
                <w:lang w:eastAsia="cs-CZ"/>
              </w:rPr>
              <w:t>0</w:t>
            </w:r>
          </w:p>
        </w:tc>
        <w:tc>
          <w:tcPr>
            <w:tcW w:w="902" w:type="dxa"/>
            <w:tcBorders>
              <w:top w:val="nil"/>
              <w:left w:val="nil"/>
              <w:bottom w:val="single" w:sz="4" w:space="0" w:color="auto"/>
              <w:right w:val="single" w:sz="4" w:space="0" w:color="auto"/>
            </w:tcBorders>
            <w:shd w:val="clear" w:color="auto" w:fill="auto"/>
            <w:noWrap/>
            <w:vAlign w:val="center"/>
            <w:hideMark/>
          </w:tcPr>
          <w:p w14:paraId="0DB11DF8" w14:textId="77777777" w:rsidR="009D403C" w:rsidRPr="00AA3FCA" w:rsidRDefault="009D403C" w:rsidP="00550EA2">
            <w:pPr>
              <w:spacing w:after="0" w:line="240" w:lineRule="auto"/>
              <w:jc w:val="right"/>
              <w:rPr>
                <w:rFonts w:asciiTheme="minorHAnsi" w:hAnsiTheme="minorHAnsi"/>
                <w:color w:val="000000"/>
                <w:sz w:val="20"/>
                <w:szCs w:val="20"/>
                <w:lang w:eastAsia="cs-CZ"/>
              </w:rPr>
            </w:pPr>
            <w:r w:rsidRPr="00AA3FCA">
              <w:rPr>
                <w:rFonts w:asciiTheme="minorHAnsi" w:hAnsiTheme="minorHAnsi"/>
                <w:color w:val="000000"/>
                <w:sz w:val="20"/>
                <w:szCs w:val="20"/>
                <w:lang w:eastAsia="cs-CZ"/>
              </w:rPr>
              <w:t>1</w:t>
            </w:r>
          </w:p>
        </w:tc>
        <w:tc>
          <w:tcPr>
            <w:tcW w:w="902" w:type="dxa"/>
            <w:tcBorders>
              <w:top w:val="nil"/>
              <w:left w:val="nil"/>
              <w:bottom w:val="single" w:sz="4" w:space="0" w:color="auto"/>
              <w:right w:val="single" w:sz="4" w:space="0" w:color="auto"/>
            </w:tcBorders>
            <w:shd w:val="clear" w:color="auto" w:fill="auto"/>
            <w:noWrap/>
            <w:vAlign w:val="center"/>
            <w:hideMark/>
          </w:tcPr>
          <w:p w14:paraId="5ED7794D" w14:textId="77777777" w:rsidR="009D403C" w:rsidRPr="00AA3FCA" w:rsidRDefault="009D403C" w:rsidP="00550EA2">
            <w:pPr>
              <w:spacing w:after="0" w:line="240" w:lineRule="auto"/>
              <w:jc w:val="right"/>
              <w:rPr>
                <w:rFonts w:asciiTheme="minorHAnsi" w:hAnsiTheme="minorHAnsi"/>
                <w:color w:val="000000"/>
                <w:sz w:val="20"/>
                <w:szCs w:val="20"/>
                <w:lang w:eastAsia="cs-CZ"/>
              </w:rPr>
            </w:pPr>
            <w:r w:rsidRPr="00AA3FCA">
              <w:rPr>
                <w:rFonts w:asciiTheme="minorHAnsi" w:hAnsiTheme="minorHAnsi"/>
                <w:color w:val="000000"/>
                <w:sz w:val="20"/>
                <w:szCs w:val="20"/>
                <w:lang w:eastAsia="cs-CZ"/>
              </w:rPr>
              <w:t>1</w:t>
            </w:r>
          </w:p>
        </w:tc>
        <w:tc>
          <w:tcPr>
            <w:tcW w:w="902" w:type="dxa"/>
            <w:tcBorders>
              <w:top w:val="nil"/>
              <w:left w:val="nil"/>
              <w:bottom w:val="single" w:sz="4" w:space="0" w:color="auto"/>
              <w:right w:val="single" w:sz="4" w:space="0" w:color="auto"/>
            </w:tcBorders>
            <w:shd w:val="clear" w:color="auto" w:fill="auto"/>
            <w:noWrap/>
            <w:vAlign w:val="center"/>
            <w:hideMark/>
          </w:tcPr>
          <w:p w14:paraId="0B556062" w14:textId="77777777" w:rsidR="009D403C" w:rsidRPr="00AA3FCA" w:rsidRDefault="009D403C" w:rsidP="00550EA2">
            <w:pPr>
              <w:spacing w:after="0" w:line="240" w:lineRule="auto"/>
              <w:jc w:val="right"/>
              <w:rPr>
                <w:rFonts w:asciiTheme="minorHAnsi" w:hAnsiTheme="minorHAnsi"/>
                <w:color w:val="000000"/>
                <w:sz w:val="20"/>
                <w:szCs w:val="20"/>
                <w:lang w:eastAsia="cs-CZ"/>
              </w:rPr>
            </w:pPr>
            <w:r w:rsidRPr="00AA3FCA">
              <w:rPr>
                <w:rFonts w:asciiTheme="minorHAnsi" w:hAnsiTheme="minorHAnsi"/>
                <w:color w:val="000000"/>
                <w:sz w:val="20"/>
                <w:szCs w:val="20"/>
                <w:lang w:eastAsia="cs-CZ"/>
              </w:rPr>
              <w:t>1</w:t>
            </w:r>
          </w:p>
        </w:tc>
        <w:tc>
          <w:tcPr>
            <w:tcW w:w="902" w:type="dxa"/>
            <w:tcBorders>
              <w:top w:val="nil"/>
              <w:left w:val="nil"/>
              <w:bottom w:val="single" w:sz="4" w:space="0" w:color="auto"/>
              <w:right w:val="single" w:sz="4" w:space="0" w:color="auto"/>
            </w:tcBorders>
            <w:shd w:val="clear" w:color="auto" w:fill="auto"/>
            <w:noWrap/>
            <w:vAlign w:val="center"/>
            <w:hideMark/>
          </w:tcPr>
          <w:p w14:paraId="655F482C" w14:textId="77777777" w:rsidR="009D403C" w:rsidRPr="00AA3FCA" w:rsidRDefault="009D403C" w:rsidP="00550EA2">
            <w:pPr>
              <w:spacing w:after="0" w:line="240" w:lineRule="auto"/>
              <w:jc w:val="right"/>
              <w:rPr>
                <w:rFonts w:asciiTheme="minorHAnsi" w:hAnsiTheme="minorHAnsi"/>
                <w:color w:val="000000"/>
                <w:sz w:val="20"/>
                <w:szCs w:val="20"/>
                <w:lang w:eastAsia="cs-CZ"/>
              </w:rPr>
            </w:pPr>
            <w:r w:rsidRPr="00AA3FCA">
              <w:rPr>
                <w:rFonts w:asciiTheme="minorHAnsi" w:hAnsiTheme="minorHAnsi"/>
                <w:color w:val="000000"/>
                <w:sz w:val="20"/>
                <w:szCs w:val="20"/>
                <w:lang w:eastAsia="cs-CZ"/>
              </w:rPr>
              <w:t>1</w:t>
            </w:r>
          </w:p>
        </w:tc>
        <w:tc>
          <w:tcPr>
            <w:tcW w:w="903" w:type="dxa"/>
            <w:tcBorders>
              <w:top w:val="nil"/>
              <w:left w:val="nil"/>
              <w:bottom w:val="single" w:sz="4" w:space="0" w:color="auto"/>
              <w:right w:val="single" w:sz="4" w:space="0" w:color="auto"/>
            </w:tcBorders>
            <w:shd w:val="clear" w:color="auto" w:fill="auto"/>
            <w:noWrap/>
            <w:vAlign w:val="center"/>
            <w:hideMark/>
          </w:tcPr>
          <w:p w14:paraId="13609F25" w14:textId="77777777" w:rsidR="009D403C" w:rsidRPr="00AA3FCA" w:rsidRDefault="009D403C" w:rsidP="00550EA2">
            <w:pPr>
              <w:spacing w:after="0" w:line="240" w:lineRule="auto"/>
              <w:jc w:val="right"/>
              <w:rPr>
                <w:rFonts w:asciiTheme="minorHAnsi" w:hAnsiTheme="minorHAnsi"/>
                <w:color w:val="000000"/>
                <w:sz w:val="20"/>
                <w:szCs w:val="20"/>
                <w:lang w:eastAsia="cs-CZ"/>
              </w:rPr>
            </w:pPr>
            <w:r w:rsidRPr="00AA3FCA">
              <w:rPr>
                <w:rFonts w:asciiTheme="minorHAnsi" w:hAnsiTheme="minorHAnsi"/>
                <w:color w:val="000000"/>
                <w:sz w:val="20"/>
                <w:szCs w:val="20"/>
                <w:lang w:eastAsia="cs-CZ"/>
              </w:rPr>
              <w:t>1</w:t>
            </w:r>
          </w:p>
        </w:tc>
      </w:tr>
      <w:tr w:rsidR="009D403C" w:rsidRPr="00C14C5C" w14:paraId="3667D560" w14:textId="77777777" w:rsidTr="00776236">
        <w:trPr>
          <w:trHeight w:val="301"/>
        </w:trPr>
        <w:tc>
          <w:tcPr>
            <w:tcW w:w="1871" w:type="dxa"/>
            <w:tcBorders>
              <w:top w:val="nil"/>
              <w:left w:val="single" w:sz="4" w:space="0" w:color="auto"/>
              <w:bottom w:val="single" w:sz="4" w:space="0" w:color="auto"/>
              <w:right w:val="single" w:sz="4" w:space="0" w:color="auto"/>
            </w:tcBorders>
            <w:shd w:val="clear" w:color="auto" w:fill="auto"/>
            <w:noWrap/>
            <w:vAlign w:val="center"/>
            <w:hideMark/>
          </w:tcPr>
          <w:p w14:paraId="573278C7" w14:textId="2599ABBC" w:rsidR="009D403C" w:rsidRPr="00AA3FCA" w:rsidRDefault="00606FE5" w:rsidP="00550EA2">
            <w:pPr>
              <w:spacing w:after="0" w:line="240" w:lineRule="auto"/>
              <w:jc w:val="left"/>
              <w:rPr>
                <w:rFonts w:asciiTheme="minorHAnsi" w:hAnsiTheme="minorHAnsi"/>
                <w:color w:val="000000"/>
                <w:sz w:val="20"/>
                <w:szCs w:val="20"/>
                <w:lang w:eastAsia="cs-CZ"/>
              </w:rPr>
            </w:pPr>
            <w:r>
              <w:rPr>
                <w:rFonts w:asciiTheme="minorHAnsi" w:hAnsiTheme="minorHAnsi"/>
                <w:color w:val="000000"/>
                <w:sz w:val="20"/>
                <w:szCs w:val="20"/>
                <w:lang w:eastAsia="cs-CZ"/>
              </w:rPr>
              <w:t>O</w:t>
            </w:r>
            <w:r w:rsidRPr="00AA3FCA">
              <w:rPr>
                <w:rFonts w:asciiTheme="minorHAnsi" w:hAnsiTheme="minorHAnsi"/>
                <w:color w:val="000000"/>
                <w:sz w:val="20"/>
                <w:szCs w:val="20"/>
                <w:lang w:eastAsia="cs-CZ"/>
              </w:rPr>
              <w:t xml:space="preserve">soba </w:t>
            </w:r>
            <w:r w:rsidR="009D403C" w:rsidRPr="00AA3FCA">
              <w:rPr>
                <w:rFonts w:asciiTheme="minorHAnsi" w:hAnsiTheme="minorHAnsi"/>
                <w:color w:val="000000"/>
                <w:sz w:val="20"/>
                <w:szCs w:val="20"/>
                <w:lang w:eastAsia="cs-CZ"/>
              </w:rPr>
              <w:t xml:space="preserve">posuzovaná </w:t>
            </w:r>
            <w:r>
              <w:rPr>
                <w:rFonts w:asciiTheme="minorHAnsi" w:hAnsiTheme="minorHAnsi"/>
                <w:color w:val="000000"/>
                <w:sz w:val="20"/>
                <w:szCs w:val="20"/>
                <w:lang w:eastAsia="cs-CZ"/>
              </w:rPr>
              <w:t>s</w:t>
            </w:r>
            <w:r w:rsidRPr="00AA3FCA">
              <w:rPr>
                <w:rFonts w:asciiTheme="minorHAnsi" w:hAnsiTheme="minorHAnsi"/>
                <w:color w:val="000000"/>
                <w:sz w:val="20"/>
                <w:szCs w:val="20"/>
                <w:lang w:eastAsia="cs-CZ"/>
              </w:rPr>
              <w:t xml:space="preserve">polečně </w:t>
            </w:r>
            <w:r>
              <w:rPr>
                <w:rFonts w:asciiTheme="minorHAnsi" w:hAnsiTheme="minorHAnsi"/>
                <w:color w:val="000000"/>
                <w:sz w:val="20"/>
                <w:szCs w:val="20"/>
                <w:lang w:eastAsia="cs-CZ"/>
              </w:rPr>
              <w:t>s </w:t>
            </w:r>
            <w:r w:rsidR="009D403C" w:rsidRPr="00AA3FCA">
              <w:rPr>
                <w:rFonts w:asciiTheme="minorHAnsi" w:hAnsiTheme="minorHAnsi"/>
                <w:color w:val="000000"/>
                <w:sz w:val="20"/>
                <w:szCs w:val="20"/>
                <w:lang w:eastAsia="cs-CZ"/>
              </w:rPr>
              <w:t>osob</w:t>
            </w:r>
            <w:r>
              <w:rPr>
                <w:rFonts w:asciiTheme="minorHAnsi" w:hAnsiTheme="minorHAnsi"/>
                <w:color w:val="000000"/>
                <w:sz w:val="20"/>
                <w:szCs w:val="20"/>
                <w:lang w:eastAsia="cs-CZ"/>
              </w:rPr>
              <w:t>ou pobírající</w:t>
            </w:r>
            <w:r w:rsidR="009D403C" w:rsidRPr="00AA3FCA">
              <w:rPr>
                <w:rFonts w:asciiTheme="minorHAnsi" w:hAnsiTheme="minorHAnsi"/>
                <w:color w:val="000000"/>
                <w:sz w:val="20"/>
                <w:szCs w:val="20"/>
                <w:lang w:eastAsia="cs-CZ"/>
              </w:rPr>
              <w:t xml:space="preserve"> dávky</w:t>
            </w:r>
          </w:p>
        </w:tc>
        <w:tc>
          <w:tcPr>
            <w:tcW w:w="902" w:type="dxa"/>
            <w:tcBorders>
              <w:top w:val="nil"/>
              <w:left w:val="nil"/>
              <w:bottom w:val="single" w:sz="4" w:space="0" w:color="auto"/>
              <w:right w:val="single" w:sz="4" w:space="0" w:color="auto"/>
            </w:tcBorders>
            <w:shd w:val="clear" w:color="auto" w:fill="auto"/>
            <w:noWrap/>
            <w:vAlign w:val="center"/>
            <w:hideMark/>
          </w:tcPr>
          <w:p w14:paraId="4650531E" w14:textId="77777777" w:rsidR="009D403C" w:rsidRPr="00AA3FCA" w:rsidRDefault="009D403C" w:rsidP="00550EA2">
            <w:pPr>
              <w:spacing w:after="0" w:line="240" w:lineRule="auto"/>
              <w:jc w:val="right"/>
              <w:rPr>
                <w:rFonts w:asciiTheme="minorHAnsi" w:hAnsiTheme="minorHAnsi"/>
                <w:color w:val="000000"/>
                <w:sz w:val="20"/>
                <w:szCs w:val="20"/>
                <w:lang w:eastAsia="cs-CZ"/>
              </w:rPr>
            </w:pPr>
            <w:r w:rsidRPr="00AA3FCA">
              <w:rPr>
                <w:rFonts w:asciiTheme="minorHAnsi" w:hAnsiTheme="minorHAnsi"/>
                <w:color w:val="000000"/>
                <w:sz w:val="20"/>
                <w:szCs w:val="20"/>
                <w:lang w:eastAsia="cs-CZ"/>
              </w:rPr>
              <w:t>25 462</w:t>
            </w:r>
          </w:p>
        </w:tc>
        <w:tc>
          <w:tcPr>
            <w:tcW w:w="902" w:type="dxa"/>
            <w:tcBorders>
              <w:top w:val="nil"/>
              <w:left w:val="nil"/>
              <w:bottom w:val="single" w:sz="4" w:space="0" w:color="auto"/>
              <w:right w:val="single" w:sz="4" w:space="0" w:color="auto"/>
            </w:tcBorders>
            <w:shd w:val="clear" w:color="auto" w:fill="auto"/>
            <w:noWrap/>
            <w:vAlign w:val="center"/>
            <w:hideMark/>
          </w:tcPr>
          <w:p w14:paraId="12918429" w14:textId="77777777" w:rsidR="009D403C" w:rsidRPr="00AA3FCA" w:rsidRDefault="009D403C" w:rsidP="00550EA2">
            <w:pPr>
              <w:spacing w:after="0" w:line="240" w:lineRule="auto"/>
              <w:jc w:val="right"/>
              <w:rPr>
                <w:rFonts w:asciiTheme="minorHAnsi" w:hAnsiTheme="minorHAnsi"/>
                <w:color w:val="000000"/>
                <w:sz w:val="20"/>
                <w:szCs w:val="20"/>
                <w:lang w:eastAsia="cs-CZ"/>
              </w:rPr>
            </w:pPr>
            <w:r w:rsidRPr="00AA3FCA">
              <w:rPr>
                <w:rFonts w:asciiTheme="minorHAnsi" w:hAnsiTheme="minorHAnsi"/>
                <w:color w:val="000000"/>
                <w:sz w:val="20"/>
                <w:szCs w:val="20"/>
                <w:lang w:eastAsia="cs-CZ"/>
              </w:rPr>
              <w:t>26 327</w:t>
            </w:r>
          </w:p>
        </w:tc>
        <w:tc>
          <w:tcPr>
            <w:tcW w:w="902" w:type="dxa"/>
            <w:tcBorders>
              <w:top w:val="nil"/>
              <w:left w:val="nil"/>
              <w:bottom w:val="single" w:sz="4" w:space="0" w:color="auto"/>
              <w:right w:val="single" w:sz="4" w:space="0" w:color="auto"/>
            </w:tcBorders>
            <w:shd w:val="clear" w:color="auto" w:fill="auto"/>
            <w:noWrap/>
            <w:vAlign w:val="center"/>
            <w:hideMark/>
          </w:tcPr>
          <w:p w14:paraId="7387DFB3" w14:textId="77777777" w:rsidR="009D403C" w:rsidRPr="00AA3FCA" w:rsidRDefault="009D403C" w:rsidP="00550EA2">
            <w:pPr>
              <w:spacing w:after="0" w:line="240" w:lineRule="auto"/>
              <w:jc w:val="right"/>
              <w:rPr>
                <w:rFonts w:asciiTheme="minorHAnsi" w:hAnsiTheme="minorHAnsi"/>
                <w:color w:val="000000"/>
                <w:sz w:val="20"/>
                <w:szCs w:val="20"/>
                <w:lang w:eastAsia="cs-CZ"/>
              </w:rPr>
            </w:pPr>
            <w:r w:rsidRPr="00AA3FCA">
              <w:rPr>
                <w:rFonts w:asciiTheme="minorHAnsi" w:hAnsiTheme="minorHAnsi"/>
                <w:color w:val="000000"/>
                <w:sz w:val="20"/>
                <w:szCs w:val="20"/>
                <w:lang w:eastAsia="cs-CZ"/>
              </w:rPr>
              <w:t>26 182</w:t>
            </w:r>
          </w:p>
        </w:tc>
        <w:tc>
          <w:tcPr>
            <w:tcW w:w="902" w:type="dxa"/>
            <w:tcBorders>
              <w:top w:val="nil"/>
              <w:left w:val="nil"/>
              <w:bottom w:val="single" w:sz="4" w:space="0" w:color="auto"/>
              <w:right w:val="single" w:sz="4" w:space="0" w:color="auto"/>
            </w:tcBorders>
            <w:shd w:val="clear" w:color="auto" w:fill="auto"/>
            <w:noWrap/>
            <w:vAlign w:val="center"/>
            <w:hideMark/>
          </w:tcPr>
          <w:p w14:paraId="3E9DC8D1" w14:textId="77777777" w:rsidR="009D403C" w:rsidRPr="00AA3FCA" w:rsidRDefault="009D403C" w:rsidP="00550EA2">
            <w:pPr>
              <w:spacing w:after="0" w:line="240" w:lineRule="auto"/>
              <w:jc w:val="right"/>
              <w:rPr>
                <w:rFonts w:asciiTheme="minorHAnsi" w:hAnsiTheme="minorHAnsi"/>
                <w:color w:val="000000"/>
                <w:sz w:val="20"/>
                <w:szCs w:val="20"/>
                <w:lang w:eastAsia="cs-CZ"/>
              </w:rPr>
            </w:pPr>
            <w:r w:rsidRPr="00AA3FCA">
              <w:rPr>
                <w:rFonts w:asciiTheme="minorHAnsi" w:hAnsiTheme="minorHAnsi"/>
                <w:color w:val="000000"/>
                <w:sz w:val="20"/>
                <w:szCs w:val="20"/>
                <w:lang w:eastAsia="cs-CZ"/>
              </w:rPr>
              <w:t>24 748</w:t>
            </w:r>
          </w:p>
        </w:tc>
        <w:tc>
          <w:tcPr>
            <w:tcW w:w="902" w:type="dxa"/>
            <w:tcBorders>
              <w:top w:val="nil"/>
              <w:left w:val="nil"/>
              <w:bottom w:val="single" w:sz="4" w:space="0" w:color="auto"/>
              <w:right w:val="single" w:sz="4" w:space="0" w:color="auto"/>
            </w:tcBorders>
            <w:shd w:val="clear" w:color="auto" w:fill="auto"/>
            <w:noWrap/>
            <w:vAlign w:val="center"/>
            <w:hideMark/>
          </w:tcPr>
          <w:p w14:paraId="462DDE41" w14:textId="77777777" w:rsidR="009D403C" w:rsidRPr="00AA3FCA" w:rsidRDefault="009D403C" w:rsidP="00550EA2">
            <w:pPr>
              <w:spacing w:after="0" w:line="240" w:lineRule="auto"/>
              <w:jc w:val="right"/>
              <w:rPr>
                <w:rFonts w:asciiTheme="minorHAnsi" w:hAnsiTheme="minorHAnsi"/>
                <w:color w:val="000000"/>
                <w:sz w:val="20"/>
                <w:szCs w:val="20"/>
                <w:lang w:eastAsia="cs-CZ"/>
              </w:rPr>
            </w:pPr>
            <w:r w:rsidRPr="00AA3FCA">
              <w:rPr>
                <w:rFonts w:asciiTheme="minorHAnsi" w:hAnsiTheme="minorHAnsi"/>
                <w:color w:val="000000"/>
                <w:sz w:val="20"/>
                <w:szCs w:val="20"/>
                <w:lang w:eastAsia="cs-CZ"/>
              </w:rPr>
              <w:t>23 929</w:t>
            </w:r>
          </w:p>
        </w:tc>
        <w:tc>
          <w:tcPr>
            <w:tcW w:w="902" w:type="dxa"/>
            <w:tcBorders>
              <w:top w:val="nil"/>
              <w:left w:val="nil"/>
              <w:bottom w:val="single" w:sz="4" w:space="0" w:color="auto"/>
              <w:right w:val="single" w:sz="4" w:space="0" w:color="auto"/>
            </w:tcBorders>
            <w:shd w:val="clear" w:color="auto" w:fill="auto"/>
            <w:noWrap/>
            <w:vAlign w:val="center"/>
            <w:hideMark/>
          </w:tcPr>
          <w:p w14:paraId="68B445C4" w14:textId="77777777" w:rsidR="009D403C" w:rsidRPr="00AA3FCA" w:rsidRDefault="009D403C" w:rsidP="00550EA2">
            <w:pPr>
              <w:spacing w:after="0" w:line="240" w:lineRule="auto"/>
              <w:jc w:val="right"/>
              <w:rPr>
                <w:rFonts w:asciiTheme="minorHAnsi" w:hAnsiTheme="minorHAnsi"/>
                <w:color w:val="000000"/>
                <w:sz w:val="20"/>
                <w:szCs w:val="20"/>
                <w:lang w:eastAsia="cs-CZ"/>
              </w:rPr>
            </w:pPr>
            <w:r w:rsidRPr="00AA3FCA">
              <w:rPr>
                <w:rFonts w:asciiTheme="minorHAnsi" w:hAnsiTheme="minorHAnsi"/>
                <w:color w:val="000000"/>
                <w:sz w:val="20"/>
                <w:szCs w:val="20"/>
                <w:lang w:eastAsia="cs-CZ"/>
              </w:rPr>
              <w:t>23 696</w:t>
            </w:r>
          </w:p>
        </w:tc>
        <w:tc>
          <w:tcPr>
            <w:tcW w:w="902" w:type="dxa"/>
            <w:tcBorders>
              <w:top w:val="nil"/>
              <w:left w:val="nil"/>
              <w:bottom w:val="single" w:sz="4" w:space="0" w:color="auto"/>
              <w:right w:val="single" w:sz="4" w:space="0" w:color="auto"/>
            </w:tcBorders>
            <w:shd w:val="clear" w:color="auto" w:fill="auto"/>
            <w:noWrap/>
            <w:vAlign w:val="center"/>
            <w:hideMark/>
          </w:tcPr>
          <w:p w14:paraId="66E56E75" w14:textId="77777777" w:rsidR="009D403C" w:rsidRPr="00AA3FCA" w:rsidRDefault="009D403C" w:rsidP="00550EA2">
            <w:pPr>
              <w:spacing w:after="0" w:line="240" w:lineRule="auto"/>
              <w:jc w:val="right"/>
              <w:rPr>
                <w:rFonts w:asciiTheme="minorHAnsi" w:hAnsiTheme="minorHAnsi"/>
                <w:color w:val="000000"/>
                <w:sz w:val="20"/>
                <w:szCs w:val="20"/>
                <w:lang w:eastAsia="cs-CZ"/>
              </w:rPr>
            </w:pPr>
            <w:r w:rsidRPr="00AA3FCA">
              <w:rPr>
                <w:rFonts w:asciiTheme="minorHAnsi" w:hAnsiTheme="minorHAnsi"/>
                <w:color w:val="000000"/>
                <w:sz w:val="20"/>
                <w:szCs w:val="20"/>
                <w:lang w:eastAsia="cs-CZ"/>
              </w:rPr>
              <w:t>23 744</w:t>
            </w:r>
          </w:p>
        </w:tc>
        <w:tc>
          <w:tcPr>
            <w:tcW w:w="903" w:type="dxa"/>
            <w:tcBorders>
              <w:top w:val="nil"/>
              <w:left w:val="nil"/>
              <w:bottom w:val="single" w:sz="4" w:space="0" w:color="auto"/>
              <w:right w:val="single" w:sz="4" w:space="0" w:color="auto"/>
            </w:tcBorders>
            <w:shd w:val="clear" w:color="auto" w:fill="auto"/>
            <w:noWrap/>
            <w:vAlign w:val="center"/>
            <w:hideMark/>
          </w:tcPr>
          <w:p w14:paraId="0ACB5AD2" w14:textId="77777777" w:rsidR="009D403C" w:rsidRPr="00AA3FCA" w:rsidRDefault="009D403C" w:rsidP="00550EA2">
            <w:pPr>
              <w:spacing w:after="0" w:line="240" w:lineRule="auto"/>
              <w:jc w:val="right"/>
              <w:rPr>
                <w:rFonts w:asciiTheme="minorHAnsi" w:hAnsiTheme="minorHAnsi"/>
                <w:color w:val="000000"/>
                <w:sz w:val="20"/>
                <w:szCs w:val="20"/>
                <w:lang w:eastAsia="cs-CZ"/>
              </w:rPr>
            </w:pPr>
            <w:r w:rsidRPr="00AA3FCA">
              <w:rPr>
                <w:rFonts w:asciiTheme="minorHAnsi" w:hAnsiTheme="minorHAnsi"/>
                <w:color w:val="000000"/>
                <w:sz w:val="20"/>
                <w:szCs w:val="20"/>
                <w:lang w:eastAsia="cs-CZ"/>
              </w:rPr>
              <w:t>23 633</w:t>
            </w:r>
          </w:p>
        </w:tc>
      </w:tr>
      <w:tr w:rsidR="009D403C" w:rsidRPr="00C14C5C" w14:paraId="66A75BB0" w14:textId="77777777" w:rsidTr="00776236">
        <w:trPr>
          <w:trHeight w:val="301"/>
        </w:trPr>
        <w:tc>
          <w:tcPr>
            <w:tcW w:w="1871" w:type="dxa"/>
            <w:tcBorders>
              <w:top w:val="nil"/>
              <w:left w:val="single" w:sz="4" w:space="0" w:color="auto"/>
              <w:bottom w:val="single" w:sz="4" w:space="0" w:color="auto"/>
              <w:right w:val="single" w:sz="4" w:space="0" w:color="auto"/>
            </w:tcBorders>
            <w:shd w:val="clear" w:color="auto" w:fill="auto"/>
            <w:noWrap/>
            <w:vAlign w:val="center"/>
            <w:hideMark/>
          </w:tcPr>
          <w:p w14:paraId="4871885C" w14:textId="77777777" w:rsidR="009D403C" w:rsidRPr="00AA3FCA" w:rsidRDefault="009D403C" w:rsidP="00550EA2">
            <w:pPr>
              <w:spacing w:after="0" w:line="240" w:lineRule="auto"/>
              <w:jc w:val="left"/>
              <w:rPr>
                <w:rFonts w:asciiTheme="minorHAnsi" w:hAnsiTheme="minorHAnsi"/>
                <w:color w:val="000000"/>
                <w:sz w:val="20"/>
                <w:szCs w:val="20"/>
                <w:lang w:eastAsia="cs-CZ"/>
              </w:rPr>
            </w:pPr>
            <w:r w:rsidRPr="00AA3FCA">
              <w:rPr>
                <w:rFonts w:asciiTheme="minorHAnsi" w:hAnsiTheme="minorHAnsi"/>
                <w:color w:val="000000"/>
                <w:sz w:val="20"/>
                <w:szCs w:val="20"/>
                <w:lang w:eastAsia="cs-CZ"/>
              </w:rPr>
              <w:t>Úpadek</w:t>
            </w:r>
          </w:p>
        </w:tc>
        <w:tc>
          <w:tcPr>
            <w:tcW w:w="902" w:type="dxa"/>
            <w:tcBorders>
              <w:top w:val="nil"/>
              <w:left w:val="nil"/>
              <w:bottom w:val="single" w:sz="4" w:space="0" w:color="auto"/>
              <w:right w:val="single" w:sz="4" w:space="0" w:color="auto"/>
            </w:tcBorders>
            <w:shd w:val="clear" w:color="auto" w:fill="auto"/>
            <w:noWrap/>
            <w:vAlign w:val="center"/>
            <w:hideMark/>
          </w:tcPr>
          <w:p w14:paraId="46890C03" w14:textId="77777777" w:rsidR="009D403C" w:rsidRPr="00AA3FCA" w:rsidRDefault="009D403C" w:rsidP="00550EA2">
            <w:pPr>
              <w:spacing w:after="0" w:line="240" w:lineRule="auto"/>
              <w:jc w:val="right"/>
              <w:rPr>
                <w:rFonts w:asciiTheme="minorHAnsi" w:hAnsiTheme="minorHAnsi"/>
                <w:color w:val="000000"/>
                <w:sz w:val="20"/>
                <w:szCs w:val="20"/>
                <w:lang w:eastAsia="cs-CZ"/>
              </w:rPr>
            </w:pPr>
            <w:r w:rsidRPr="00AA3FCA">
              <w:rPr>
                <w:rFonts w:asciiTheme="minorHAnsi" w:hAnsiTheme="minorHAnsi"/>
                <w:color w:val="000000"/>
                <w:sz w:val="20"/>
                <w:szCs w:val="20"/>
                <w:lang w:eastAsia="cs-CZ"/>
              </w:rPr>
              <w:t>108 452</w:t>
            </w:r>
          </w:p>
        </w:tc>
        <w:tc>
          <w:tcPr>
            <w:tcW w:w="902" w:type="dxa"/>
            <w:tcBorders>
              <w:top w:val="nil"/>
              <w:left w:val="nil"/>
              <w:bottom w:val="single" w:sz="4" w:space="0" w:color="auto"/>
              <w:right w:val="single" w:sz="4" w:space="0" w:color="auto"/>
            </w:tcBorders>
            <w:shd w:val="clear" w:color="auto" w:fill="auto"/>
            <w:noWrap/>
            <w:vAlign w:val="center"/>
            <w:hideMark/>
          </w:tcPr>
          <w:p w14:paraId="129E99B9" w14:textId="77777777" w:rsidR="009D403C" w:rsidRPr="00AA3FCA" w:rsidRDefault="009D403C" w:rsidP="00550EA2">
            <w:pPr>
              <w:spacing w:after="0" w:line="240" w:lineRule="auto"/>
              <w:jc w:val="right"/>
              <w:rPr>
                <w:rFonts w:asciiTheme="minorHAnsi" w:hAnsiTheme="minorHAnsi"/>
                <w:color w:val="000000"/>
                <w:sz w:val="20"/>
                <w:szCs w:val="20"/>
                <w:lang w:eastAsia="cs-CZ"/>
              </w:rPr>
            </w:pPr>
            <w:r w:rsidRPr="00AA3FCA">
              <w:rPr>
                <w:rFonts w:asciiTheme="minorHAnsi" w:hAnsiTheme="minorHAnsi"/>
                <w:color w:val="000000"/>
                <w:sz w:val="20"/>
                <w:szCs w:val="20"/>
                <w:lang w:eastAsia="cs-CZ"/>
              </w:rPr>
              <w:t>107 719</w:t>
            </w:r>
          </w:p>
        </w:tc>
        <w:tc>
          <w:tcPr>
            <w:tcW w:w="902" w:type="dxa"/>
            <w:tcBorders>
              <w:top w:val="nil"/>
              <w:left w:val="nil"/>
              <w:bottom w:val="single" w:sz="4" w:space="0" w:color="auto"/>
              <w:right w:val="single" w:sz="4" w:space="0" w:color="auto"/>
            </w:tcBorders>
            <w:shd w:val="clear" w:color="auto" w:fill="auto"/>
            <w:noWrap/>
            <w:vAlign w:val="center"/>
            <w:hideMark/>
          </w:tcPr>
          <w:p w14:paraId="697BFE62" w14:textId="77777777" w:rsidR="009D403C" w:rsidRPr="00AA3FCA" w:rsidRDefault="009D403C" w:rsidP="00550EA2">
            <w:pPr>
              <w:spacing w:after="0" w:line="240" w:lineRule="auto"/>
              <w:jc w:val="right"/>
              <w:rPr>
                <w:rFonts w:asciiTheme="minorHAnsi" w:hAnsiTheme="minorHAnsi"/>
                <w:color w:val="000000"/>
                <w:sz w:val="20"/>
                <w:szCs w:val="20"/>
                <w:lang w:eastAsia="cs-CZ"/>
              </w:rPr>
            </w:pPr>
            <w:r w:rsidRPr="00AA3FCA">
              <w:rPr>
                <w:rFonts w:asciiTheme="minorHAnsi" w:hAnsiTheme="minorHAnsi"/>
                <w:color w:val="000000"/>
                <w:sz w:val="20"/>
                <w:szCs w:val="20"/>
                <w:lang w:eastAsia="cs-CZ"/>
              </w:rPr>
              <w:t>107 479</w:t>
            </w:r>
          </w:p>
        </w:tc>
        <w:tc>
          <w:tcPr>
            <w:tcW w:w="902" w:type="dxa"/>
            <w:tcBorders>
              <w:top w:val="nil"/>
              <w:left w:val="nil"/>
              <w:bottom w:val="single" w:sz="4" w:space="0" w:color="auto"/>
              <w:right w:val="single" w:sz="4" w:space="0" w:color="auto"/>
            </w:tcBorders>
            <w:shd w:val="clear" w:color="auto" w:fill="auto"/>
            <w:noWrap/>
            <w:vAlign w:val="center"/>
            <w:hideMark/>
          </w:tcPr>
          <w:p w14:paraId="54DAEDEF" w14:textId="77777777" w:rsidR="009D403C" w:rsidRPr="00AA3FCA" w:rsidRDefault="009D403C" w:rsidP="00550EA2">
            <w:pPr>
              <w:spacing w:after="0" w:line="240" w:lineRule="auto"/>
              <w:jc w:val="right"/>
              <w:rPr>
                <w:rFonts w:asciiTheme="minorHAnsi" w:hAnsiTheme="minorHAnsi"/>
                <w:color w:val="000000"/>
                <w:sz w:val="20"/>
                <w:szCs w:val="20"/>
                <w:lang w:eastAsia="cs-CZ"/>
              </w:rPr>
            </w:pPr>
            <w:r w:rsidRPr="00AA3FCA">
              <w:rPr>
                <w:rFonts w:asciiTheme="minorHAnsi" w:hAnsiTheme="minorHAnsi"/>
                <w:color w:val="000000"/>
                <w:sz w:val="20"/>
                <w:szCs w:val="20"/>
                <w:lang w:eastAsia="cs-CZ"/>
              </w:rPr>
              <w:t>107 415</w:t>
            </w:r>
          </w:p>
        </w:tc>
        <w:tc>
          <w:tcPr>
            <w:tcW w:w="902" w:type="dxa"/>
            <w:tcBorders>
              <w:top w:val="nil"/>
              <w:left w:val="nil"/>
              <w:bottom w:val="single" w:sz="4" w:space="0" w:color="auto"/>
              <w:right w:val="single" w:sz="4" w:space="0" w:color="auto"/>
            </w:tcBorders>
            <w:shd w:val="clear" w:color="auto" w:fill="auto"/>
            <w:noWrap/>
            <w:vAlign w:val="center"/>
            <w:hideMark/>
          </w:tcPr>
          <w:p w14:paraId="6DE6DF16" w14:textId="77777777" w:rsidR="009D403C" w:rsidRPr="00AA3FCA" w:rsidRDefault="009D403C" w:rsidP="00550EA2">
            <w:pPr>
              <w:spacing w:after="0" w:line="240" w:lineRule="auto"/>
              <w:jc w:val="right"/>
              <w:rPr>
                <w:rFonts w:asciiTheme="minorHAnsi" w:hAnsiTheme="minorHAnsi"/>
                <w:color w:val="000000"/>
                <w:sz w:val="20"/>
                <w:szCs w:val="20"/>
                <w:lang w:eastAsia="cs-CZ"/>
              </w:rPr>
            </w:pPr>
            <w:r w:rsidRPr="00AA3FCA">
              <w:rPr>
                <w:rFonts w:asciiTheme="minorHAnsi" w:hAnsiTheme="minorHAnsi"/>
                <w:color w:val="000000"/>
                <w:sz w:val="20"/>
                <w:szCs w:val="20"/>
                <w:lang w:eastAsia="cs-CZ"/>
              </w:rPr>
              <w:t>107 355</w:t>
            </w:r>
          </w:p>
        </w:tc>
        <w:tc>
          <w:tcPr>
            <w:tcW w:w="902" w:type="dxa"/>
            <w:tcBorders>
              <w:top w:val="nil"/>
              <w:left w:val="nil"/>
              <w:bottom w:val="single" w:sz="4" w:space="0" w:color="auto"/>
              <w:right w:val="single" w:sz="4" w:space="0" w:color="auto"/>
            </w:tcBorders>
            <w:shd w:val="clear" w:color="auto" w:fill="auto"/>
            <w:noWrap/>
            <w:vAlign w:val="center"/>
            <w:hideMark/>
          </w:tcPr>
          <w:p w14:paraId="4D093319" w14:textId="77777777" w:rsidR="009D403C" w:rsidRPr="00AA3FCA" w:rsidRDefault="009D403C" w:rsidP="00550EA2">
            <w:pPr>
              <w:spacing w:after="0" w:line="240" w:lineRule="auto"/>
              <w:jc w:val="right"/>
              <w:rPr>
                <w:rFonts w:asciiTheme="minorHAnsi" w:hAnsiTheme="minorHAnsi"/>
                <w:color w:val="000000"/>
                <w:sz w:val="20"/>
                <w:szCs w:val="20"/>
                <w:lang w:eastAsia="cs-CZ"/>
              </w:rPr>
            </w:pPr>
            <w:r w:rsidRPr="00AA3FCA">
              <w:rPr>
                <w:rFonts w:asciiTheme="minorHAnsi" w:hAnsiTheme="minorHAnsi"/>
                <w:color w:val="000000"/>
                <w:sz w:val="20"/>
                <w:szCs w:val="20"/>
                <w:lang w:eastAsia="cs-CZ"/>
              </w:rPr>
              <w:t>106 523</w:t>
            </w:r>
          </w:p>
        </w:tc>
        <w:tc>
          <w:tcPr>
            <w:tcW w:w="902" w:type="dxa"/>
            <w:tcBorders>
              <w:top w:val="nil"/>
              <w:left w:val="nil"/>
              <w:bottom w:val="single" w:sz="4" w:space="0" w:color="auto"/>
              <w:right w:val="single" w:sz="4" w:space="0" w:color="auto"/>
            </w:tcBorders>
            <w:shd w:val="clear" w:color="auto" w:fill="auto"/>
            <w:noWrap/>
            <w:vAlign w:val="center"/>
            <w:hideMark/>
          </w:tcPr>
          <w:p w14:paraId="74FA1355" w14:textId="77777777" w:rsidR="009D403C" w:rsidRPr="00AA3FCA" w:rsidRDefault="009D403C" w:rsidP="00550EA2">
            <w:pPr>
              <w:spacing w:after="0" w:line="240" w:lineRule="auto"/>
              <w:jc w:val="right"/>
              <w:rPr>
                <w:rFonts w:asciiTheme="minorHAnsi" w:hAnsiTheme="minorHAnsi"/>
                <w:color w:val="000000"/>
                <w:sz w:val="20"/>
                <w:szCs w:val="20"/>
                <w:lang w:eastAsia="cs-CZ"/>
              </w:rPr>
            </w:pPr>
            <w:r w:rsidRPr="00AA3FCA">
              <w:rPr>
                <w:rFonts w:asciiTheme="minorHAnsi" w:hAnsiTheme="minorHAnsi"/>
                <w:color w:val="000000"/>
                <w:sz w:val="20"/>
                <w:szCs w:val="20"/>
                <w:lang w:eastAsia="cs-CZ"/>
              </w:rPr>
              <w:t>106 076</w:t>
            </w:r>
          </w:p>
        </w:tc>
        <w:tc>
          <w:tcPr>
            <w:tcW w:w="903" w:type="dxa"/>
            <w:tcBorders>
              <w:top w:val="nil"/>
              <w:left w:val="nil"/>
              <w:bottom w:val="single" w:sz="4" w:space="0" w:color="auto"/>
              <w:right w:val="single" w:sz="4" w:space="0" w:color="auto"/>
            </w:tcBorders>
            <w:shd w:val="clear" w:color="auto" w:fill="auto"/>
            <w:noWrap/>
            <w:vAlign w:val="center"/>
            <w:hideMark/>
          </w:tcPr>
          <w:p w14:paraId="38C48822" w14:textId="77777777" w:rsidR="009D403C" w:rsidRPr="00AA3FCA" w:rsidRDefault="009D403C" w:rsidP="00550EA2">
            <w:pPr>
              <w:spacing w:after="0" w:line="240" w:lineRule="auto"/>
              <w:jc w:val="right"/>
              <w:rPr>
                <w:rFonts w:asciiTheme="minorHAnsi" w:hAnsiTheme="minorHAnsi"/>
                <w:color w:val="000000"/>
                <w:sz w:val="20"/>
                <w:szCs w:val="20"/>
                <w:lang w:eastAsia="cs-CZ"/>
              </w:rPr>
            </w:pPr>
            <w:r w:rsidRPr="00AA3FCA">
              <w:rPr>
                <w:rFonts w:asciiTheme="minorHAnsi" w:hAnsiTheme="minorHAnsi"/>
                <w:color w:val="000000"/>
                <w:sz w:val="20"/>
                <w:szCs w:val="20"/>
                <w:lang w:eastAsia="cs-CZ"/>
              </w:rPr>
              <w:t>106 018</w:t>
            </w:r>
          </w:p>
        </w:tc>
      </w:tr>
      <w:tr w:rsidR="009D403C" w:rsidRPr="00C14C5C" w14:paraId="3E6502F7" w14:textId="77777777" w:rsidTr="00776236">
        <w:trPr>
          <w:trHeight w:val="301"/>
        </w:trPr>
        <w:tc>
          <w:tcPr>
            <w:tcW w:w="1871" w:type="dxa"/>
            <w:tcBorders>
              <w:top w:val="nil"/>
              <w:left w:val="single" w:sz="4" w:space="0" w:color="auto"/>
              <w:bottom w:val="single" w:sz="4" w:space="0" w:color="auto"/>
              <w:right w:val="single" w:sz="4" w:space="0" w:color="auto"/>
            </w:tcBorders>
            <w:shd w:val="clear" w:color="auto" w:fill="auto"/>
            <w:noWrap/>
            <w:vAlign w:val="center"/>
            <w:hideMark/>
          </w:tcPr>
          <w:p w14:paraId="3D7558E3" w14:textId="77777777" w:rsidR="009D403C" w:rsidRPr="00AA3FCA" w:rsidRDefault="009D403C" w:rsidP="00550EA2">
            <w:pPr>
              <w:keepNext/>
              <w:spacing w:after="0" w:line="240" w:lineRule="auto"/>
              <w:jc w:val="left"/>
              <w:rPr>
                <w:rFonts w:asciiTheme="minorHAnsi" w:hAnsiTheme="minorHAnsi"/>
                <w:color w:val="000000"/>
                <w:sz w:val="20"/>
                <w:szCs w:val="20"/>
                <w:lang w:eastAsia="cs-CZ"/>
              </w:rPr>
            </w:pPr>
            <w:r w:rsidRPr="00AA3FCA">
              <w:rPr>
                <w:rFonts w:asciiTheme="minorHAnsi" w:hAnsiTheme="minorHAnsi"/>
                <w:color w:val="000000"/>
                <w:sz w:val="20"/>
                <w:szCs w:val="20"/>
                <w:lang w:eastAsia="cs-CZ"/>
              </w:rPr>
              <w:t>Náhradní výživné</w:t>
            </w:r>
          </w:p>
        </w:tc>
        <w:tc>
          <w:tcPr>
            <w:tcW w:w="902" w:type="dxa"/>
            <w:tcBorders>
              <w:top w:val="nil"/>
              <w:left w:val="nil"/>
              <w:bottom w:val="single" w:sz="4" w:space="0" w:color="auto"/>
              <w:right w:val="single" w:sz="4" w:space="0" w:color="auto"/>
            </w:tcBorders>
            <w:shd w:val="clear" w:color="auto" w:fill="auto"/>
            <w:noWrap/>
            <w:vAlign w:val="center"/>
            <w:hideMark/>
          </w:tcPr>
          <w:p w14:paraId="59DFD029" w14:textId="2B2F709A" w:rsidR="009D403C" w:rsidRPr="00AA3FCA" w:rsidRDefault="003234B3" w:rsidP="00550EA2">
            <w:pPr>
              <w:keepNext/>
              <w:spacing w:after="0" w:line="240" w:lineRule="auto"/>
              <w:jc w:val="right"/>
              <w:rPr>
                <w:rFonts w:asciiTheme="minorHAnsi" w:hAnsiTheme="minorHAnsi"/>
                <w:color w:val="000000"/>
                <w:sz w:val="20"/>
                <w:szCs w:val="20"/>
                <w:lang w:eastAsia="cs-CZ"/>
              </w:rPr>
            </w:pPr>
            <w:r w:rsidRPr="00AA3FCA">
              <w:rPr>
                <w:rFonts w:asciiTheme="minorHAnsi" w:hAnsiTheme="minorHAnsi"/>
                <w:color w:val="000000"/>
                <w:sz w:val="20"/>
                <w:szCs w:val="20"/>
                <w:lang w:eastAsia="cs-CZ"/>
              </w:rPr>
              <w:t>x</w:t>
            </w:r>
          </w:p>
        </w:tc>
        <w:tc>
          <w:tcPr>
            <w:tcW w:w="902" w:type="dxa"/>
            <w:tcBorders>
              <w:top w:val="nil"/>
              <w:left w:val="nil"/>
              <w:bottom w:val="single" w:sz="4" w:space="0" w:color="auto"/>
              <w:right w:val="single" w:sz="4" w:space="0" w:color="auto"/>
            </w:tcBorders>
            <w:shd w:val="clear" w:color="auto" w:fill="auto"/>
            <w:noWrap/>
            <w:vAlign w:val="center"/>
            <w:hideMark/>
          </w:tcPr>
          <w:p w14:paraId="7A418A9C" w14:textId="28B15626" w:rsidR="009D403C" w:rsidRPr="00AA3FCA" w:rsidRDefault="00AD3F9F" w:rsidP="00550EA2">
            <w:pPr>
              <w:keepNext/>
              <w:spacing w:after="0" w:line="240" w:lineRule="auto"/>
              <w:jc w:val="right"/>
              <w:rPr>
                <w:rFonts w:asciiTheme="minorHAnsi" w:hAnsiTheme="minorHAnsi"/>
                <w:color w:val="000000"/>
                <w:sz w:val="20"/>
                <w:szCs w:val="20"/>
                <w:lang w:eastAsia="cs-CZ"/>
              </w:rPr>
            </w:pPr>
            <w:r w:rsidRPr="00AA3FCA">
              <w:rPr>
                <w:rFonts w:asciiTheme="minorHAnsi" w:hAnsiTheme="minorHAnsi"/>
                <w:color w:val="000000"/>
                <w:sz w:val="20"/>
                <w:szCs w:val="20"/>
                <w:lang w:eastAsia="cs-CZ"/>
              </w:rPr>
              <w:t>X</w:t>
            </w:r>
          </w:p>
        </w:tc>
        <w:tc>
          <w:tcPr>
            <w:tcW w:w="902" w:type="dxa"/>
            <w:tcBorders>
              <w:top w:val="nil"/>
              <w:left w:val="nil"/>
              <w:bottom w:val="single" w:sz="4" w:space="0" w:color="auto"/>
              <w:right w:val="single" w:sz="4" w:space="0" w:color="auto"/>
            </w:tcBorders>
            <w:shd w:val="clear" w:color="auto" w:fill="auto"/>
            <w:noWrap/>
            <w:vAlign w:val="center"/>
            <w:hideMark/>
          </w:tcPr>
          <w:p w14:paraId="3F6F7B15" w14:textId="77777777" w:rsidR="009D403C" w:rsidRPr="00AA3FCA" w:rsidRDefault="009D403C" w:rsidP="00550EA2">
            <w:pPr>
              <w:keepNext/>
              <w:spacing w:after="0" w:line="240" w:lineRule="auto"/>
              <w:jc w:val="right"/>
              <w:rPr>
                <w:rFonts w:asciiTheme="minorHAnsi" w:hAnsiTheme="minorHAnsi"/>
                <w:color w:val="000000"/>
                <w:sz w:val="20"/>
                <w:szCs w:val="20"/>
                <w:lang w:eastAsia="cs-CZ"/>
              </w:rPr>
            </w:pPr>
            <w:r w:rsidRPr="00AA3FCA">
              <w:rPr>
                <w:rFonts w:asciiTheme="minorHAnsi" w:hAnsiTheme="minorHAnsi"/>
                <w:color w:val="000000"/>
                <w:sz w:val="20"/>
                <w:szCs w:val="20"/>
                <w:lang w:eastAsia="cs-CZ"/>
              </w:rPr>
              <w:t>x</w:t>
            </w:r>
          </w:p>
        </w:tc>
        <w:tc>
          <w:tcPr>
            <w:tcW w:w="902" w:type="dxa"/>
            <w:tcBorders>
              <w:top w:val="nil"/>
              <w:left w:val="nil"/>
              <w:bottom w:val="single" w:sz="4" w:space="0" w:color="auto"/>
              <w:right w:val="single" w:sz="4" w:space="0" w:color="auto"/>
            </w:tcBorders>
            <w:shd w:val="clear" w:color="auto" w:fill="auto"/>
            <w:noWrap/>
            <w:vAlign w:val="center"/>
            <w:hideMark/>
          </w:tcPr>
          <w:p w14:paraId="32D1AA93" w14:textId="77777777" w:rsidR="009D403C" w:rsidRPr="00AA3FCA" w:rsidRDefault="009D403C" w:rsidP="00550EA2">
            <w:pPr>
              <w:keepNext/>
              <w:spacing w:after="0" w:line="240" w:lineRule="auto"/>
              <w:jc w:val="right"/>
              <w:rPr>
                <w:rFonts w:asciiTheme="minorHAnsi" w:hAnsiTheme="minorHAnsi"/>
                <w:color w:val="000000"/>
                <w:sz w:val="20"/>
                <w:szCs w:val="20"/>
                <w:lang w:eastAsia="cs-CZ"/>
              </w:rPr>
            </w:pPr>
            <w:r w:rsidRPr="00AA3FCA">
              <w:rPr>
                <w:rFonts w:asciiTheme="minorHAnsi" w:hAnsiTheme="minorHAnsi"/>
                <w:color w:val="000000"/>
                <w:sz w:val="20"/>
                <w:szCs w:val="20"/>
                <w:lang w:eastAsia="cs-CZ"/>
              </w:rPr>
              <w:t>x</w:t>
            </w:r>
          </w:p>
        </w:tc>
        <w:tc>
          <w:tcPr>
            <w:tcW w:w="902" w:type="dxa"/>
            <w:tcBorders>
              <w:top w:val="nil"/>
              <w:left w:val="nil"/>
              <w:bottom w:val="single" w:sz="4" w:space="0" w:color="auto"/>
              <w:right w:val="single" w:sz="4" w:space="0" w:color="auto"/>
            </w:tcBorders>
            <w:shd w:val="clear" w:color="auto" w:fill="auto"/>
            <w:noWrap/>
            <w:vAlign w:val="center"/>
            <w:hideMark/>
          </w:tcPr>
          <w:p w14:paraId="308989FE" w14:textId="77777777" w:rsidR="009D403C" w:rsidRPr="00AA3FCA" w:rsidRDefault="009D403C" w:rsidP="00550EA2">
            <w:pPr>
              <w:keepNext/>
              <w:spacing w:after="0" w:line="240" w:lineRule="auto"/>
              <w:jc w:val="right"/>
              <w:rPr>
                <w:rFonts w:asciiTheme="minorHAnsi" w:hAnsiTheme="minorHAnsi"/>
                <w:color w:val="000000"/>
                <w:sz w:val="20"/>
                <w:szCs w:val="20"/>
                <w:lang w:eastAsia="cs-CZ"/>
              </w:rPr>
            </w:pPr>
            <w:r w:rsidRPr="00AA3FCA">
              <w:rPr>
                <w:rFonts w:asciiTheme="minorHAnsi" w:hAnsiTheme="minorHAnsi"/>
                <w:color w:val="000000"/>
                <w:sz w:val="20"/>
                <w:szCs w:val="20"/>
                <w:lang w:eastAsia="cs-CZ"/>
              </w:rPr>
              <w:t>x</w:t>
            </w:r>
          </w:p>
        </w:tc>
        <w:tc>
          <w:tcPr>
            <w:tcW w:w="902" w:type="dxa"/>
            <w:tcBorders>
              <w:top w:val="nil"/>
              <w:left w:val="nil"/>
              <w:bottom w:val="single" w:sz="4" w:space="0" w:color="auto"/>
              <w:right w:val="single" w:sz="4" w:space="0" w:color="auto"/>
            </w:tcBorders>
            <w:shd w:val="clear" w:color="auto" w:fill="auto"/>
            <w:noWrap/>
            <w:vAlign w:val="center"/>
            <w:hideMark/>
          </w:tcPr>
          <w:p w14:paraId="277F9EC8" w14:textId="77777777" w:rsidR="009D403C" w:rsidRPr="00AA3FCA" w:rsidRDefault="009D403C" w:rsidP="00550EA2">
            <w:pPr>
              <w:keepNext/>
              <w:spacing w:after="0" w:line="240" w:lineRule="auto"/>
              <w:jc w:val="right"/>
              <w:rPr>
                <w:rFonts w:asciiTheme="minorHAnsi" w:hAnsiTheme="minorHAnsi"/>
                <w:color w:val="000000"/>
                <w:sz w:val="20"/>
                <w:szCs w:val="20"/>
                <w:lang w:eastAsia="cs-CZ"/>
              </w:rPr>
            </w:pPr>
            <w:r w:rsidRPr="00AA3FCA">
              <w:rPr>
                <w:rFonts w:asciiTheme="minorHAnsi" w:hAnsiTheme="minorHAnsi"/>
                <w:color w:val="000000"/>
                <w:sz w:val="20"/>
                <w:szCs w:val="20"/>
                <w:lang w:eastAsia="cs-CZ"/>
              </w:rPr>
              <w:t>x</w:t>
            </w:r>
          </w:p>
        </w:tc>
        <w:tc>
          <w:tcPr>
            <w:tcW w:w="902" w:type="dxa"/>
            <w:tcBorders>
              <w:top w:val="nil"/>
              <w:left w:val="nil"/>
              <w:bottom w:val="single" w:sz="4" w:space="0" w:color="auto"/>
              <w:right w:val="single" w:sz="4" w:space="0" w:color="auto"/>
            </w:tcBorders>
            <w:shd w:val="clear" w:color="auto" w:fill="auto"/>
            <w:noWrap/>
            <w:vAlign w:val="center"/>
            <w:hideMark/>
          </w:tcPr>
          <w:p w14:paraId="65FB1966" w14:textId="7366E738" w:rsidR="009D403C" w:rsidRPr="00AA3FCA" w:rsidRDefault="009D403C" w:rsidP="00550EA2">
            <w:pPr>
              <w:keepNext/>
              <w:spacing w:after="0" w:line="240" w:lineRule="auto"/>
              <w:jc w:val="right"/>
              <w:rPr>
                <w:rFonts w:asciiTheme="minorHAnsi" w:hAnsiTheme="minorHAnsi"/>
                <w:color w:val="000000"/>
                <w:sz w:val="20"/>
                <w:szCs w:val="20"/>
                <w:lang w:eastAsia="cs-CZ"/>
              </w:rPr>
            </w:pPr>
            <w:r w:rsidRPr="00AA3FCA">
              <w:rPr>
                <w:rFonts w:asciiTheme="minorHAnsi" w:hAnsiTheme="minorHAnsi"/>
                <w:color w:val="000000"/>
                <w:sz w:val="20"/>
                <w:szCs w:val="20"/>
                <w:lang w:eastAsia="cs-CZ"/>
              </w:rPr>
              <w:t>5</w:t>
            </w:r>
            <w:r w:rsidR="008A5694" w:rsidRPr="00AA3FCA">
              <w:rPr>
                <w:rFonts w:asciiTheme="minorHAnsi" w:hAnsiTheme="minorHAnsi"/>
                <w:color w:val="000000"/>
                <w:sz w:val="20"/>
                <w:szCs w:val="20"/>
                <w:lang w:eastAsia="cs-CZ"/>
              </w:rPr>
              <w:t xml:space="preserve"> </w:t>
            </w:r>
            <w:r w:rsidRPr="00AA3FCA">
              <w:rPr>
                <w:rFonts w:asciiTheme="minorHAnsi" w:hAnsiTheme="minorHAnsi"/>
                <w:color w:val="000000"/>
                <w:sz w:val="20"/>
                <w:szCs w:val="20"/>
                <w:lang w:eastAsia="cs-CZ"/>
              </w:rPr>
              <w:t>601</w:t>
            </w:r>
          </w:p>
        </w:tc>
        <w:tc>
          <w:tcPr>
            <w:tcW w:w="903" w:type="dxa"/>
            <w:tcBorders>
              <w:top w:val="nil"/>
              <w:left w:val="nil"/>
              <w:bottom w:val="single" w:sz="4" w:space="0" w:color="auto"/>
              <w:right w:val="single" w:sz="4" w:space="0" w:color="auto"/>
            </w:tcBorders>
            <w:shd w:val="clear" w:color="auto" w:fill="auto"/>
            <w:noWrap/>
            <w:vAlign w:val="center"/>
            <w:hideMark/>
          </w:tcPr>
          <w:p w14:paraId="6D0A477A" w14:textId="482A31FF" w:rsidR="009D403C" w:rsidRPr="00AA3FCA" w:rsidRDefault="009D403C" w:rsidP="00550EA2">
            <w:pPr>
              <w:keepNext/>
              <w:spacing w:after="0" w:line="240" w:lineRule="auto"/>
              <w:jc w:val="right"/>
              <w:rPr>
                <w:rFonts w:asciiTheme="minorHAnsi" w:hAnsiTheme="minorHAnsi"/>
                <w:color w:val="000000"/>
                <w:sz w:val="20"/>
                <w:szCs w:val="20"/>
                <w:lang w:eastAsia="cs-CZ"/>
              </w:rPr>
            </w:pPr>
            <w:r w:rsidRPr="00AA3FCA">
              <w:rPr>
                <w:rFonts w:asciiTheme="minorHAnsi" w:hAnsiTheme="minorHAnsi"/>
                <w:color w:val="000000"/>
                <w:sz w:val="20"/>
                <w:szCs w:val="20"/>
                <w:lang w:eastAsia="cs-CZ"/>
              </w:rPr>
              <w:t>5</w:t>
            </w:r>
            <w:r w:rsidR="008A5694" w:rsidRPr="00AA3FCA">
              <w:rPr>
                <w:rFonts w:asciiTheme="minorHAnsi" w:hAnsiTheme="minorHAnsi"/>
                <w:color w:val="000000"/>
                <w:sz w:val="20"/>
                <w:szCs w:val="20"/>
                <w:lang w:eastAsia="cs-CZ"/>
              </w:rPr>
              <w:t xml:space="preserve"> </w:t>
            </w:r>
            <w:r w:rsidRPr="00AA3FCA">
              <w:rPr>
                <w:rFonts w:asciiTheme="minorHAnsi" w:hAnsiTheme="minorHAnsi"/>
                <w:color w:val="000000"/>
                <w:sz w:val="20"/>
                <w:szCs w:val="20"/>
                <w:lang w:eastAsia="cs-CZ"/>
              </w:rPr>
              <w:t>805</w:t>
            </w:r>
          </w:p>
        </w:tc>
      </w:tr>
      <w:tr w:rsidR="009D403C" w:rsidRPr="00C14C5C" w14:paraId="32A9018C" w14:textId="77777777" w:rsidTr="00776236">
        <w:trPr>
          <w:trHeight w:val="301"/>
        </w:trPr>
        <w:tc>
          <w:tcPr>
            <w:tcW w:w="1871" w:type="dxa"/>
            <w:tcBorders>
              <w:top w:val="nil"/>
              <w:left w:val="single" w:sz="4" w:space="0" w:color="auto"/>
              <w:bottom w:val="single" w:sz="4" w:space="0" w:color="auto"/>
              <w:right w:val="single" w:sz="4" w:space="0" w:color="auto"/>
            </w:tcBorders>
            <w:shd w:val="clear" w:color="auto" w:fill="F2C6C9"/>
            <w:noWrap/>
            <w:vAlign w:val="center"/>
            <w:hideMark/>
          </w:tcPr>
          <w:p w14:paraId="442F8A15" w14:textId="77777777" w:rsidR="009D403C" w:rsidRPr="00AA3FCA" w:rsidRDefault="009D403C" w:rsidP="00A4279F">
            <w:pPr>
              <w:keepNext/>
              <w:spacing w:after="0" w:line="240" w:lineRule="auto"/>
              <w:jc w:val="left"/>
              <w:rPr>
                <w:rFonts w:asciiTheme="minorHAnsi" w:hAnsiTheme="minorHAnsi"/>
                <w:b/>
                <w:color w:val="000000"/>
                <w:sz w:val="20"/>
                <w:szCs w:val="20"/>
                <w:lang w:eastAsia="cs-CZ"/>
              </w:rPr>
            </w:pPr>
            <w:r w:rsidRPr="00AA3FCA">
              <w:rPr>
                <w:rFonts w:asciiTheme="minorHAnsi" w:hAnsiTheme="minorHAnsi"/>
                <w:b/>
                <w:color w:val="000000"/>
                <w:sz w:val="20"/>
                <w:szCs w:val="20"/>
                <w:lang w:eastAsia="cs-CZ"/>
              </w:rPr>
              <w:t>Celkový počet vyloučených osob</w:t>
            </w:r>
          </w:p>
        </w:tc>
        <w:tc>
          <w:tcPr>
            <w:tcW w:w="902" w:type="dxa"/>
            <w:tcBorders>
              <w:top w:val="nil"/>
              <w:left w:val="nil"/>
              <w:bottom w:val="single" w:sz="4" w:space="0" w:color="auto"/>
              <w:right w:val="single" w:sz="4" w:space="0" w:color="auto"/>
            </w:tcBorders>
            <w:shd w:val="clear" w:color="auto" w:fill="F2C6C9"/>
            <w:noWrap/>
            <w:vAlign w:val="center"/>
            <w:hideMark/>
          </w:tcPr>
          <w:p w14:paraId="6ED124FD" w14:textId="77777777" w:rsidR="009D403C" w:rsidRPr="00AA3FCA" w:rsidRDefault="009D403C" w:rsidP="00550EA2">
            <w:pPr>
              <w:keepNext/>
              <w:spacing w:after="0" w:line="240" w:lineRule="auto"/>
              <w:jc w:val="right"/>
              <w:rPr>
                <w:rFonts w:asciiTheme="minorHAnsi" w:hAnsiTheme="minorHAnsi"/>
                <w:b/>
                <w:color w:val="000000"/>
                <w:sz w:val="20"/>
                <w:szCs w:val="20"/>
                <w:lang w:eastAsia="cs-CZ"/>
              </w:rPr>
            </w:pPr>
            <w:r w:rsidRPr="00AA3FCA">
              <w:rPr>
                <w:rFonts w:asciiTheme="minorHAnsi" w:hAnsiTheme="minorHAnsi"/>
                <w:b/>
                <w:color w:val="000000"/>
                <w:sz w:val="20"/>
                <w:szCs w:val="20"/>
                <w:lang w:eastAsia="cs-CZ"/>
              </w:rPr>
              <w:t>195 796</w:t>
            </w:r>
          </w:p>
        </w:tc>
        <w:tc>
          <w:tcPr>
            <w:tcW w:w="902" w:type="dxa"/>
            <w:tcBorders>
              <w:top w:val="nil"/>
              <w:left w:val="nil"/>
              <w:bottom w:val="single" w:sz="4" w:space="0" w:color="auto"/>
              <w:right w:val="single" w:sz="4" w:space="0" w:color="auto"/>
            </w:tcBorders>
            <w:shd w:val="clear" w:color="auto" w:fill="F2C6C9"/>
            <w:noWrap/>
            <w:vAlign w:val="center"/>
            <w:hideMark/>
          </w:tcPr>
          <w:p w14:paraId="6884E42F" w14:textId="77777777" w:rsidR="009D403C" w:rsidRPr="00AA3FCA" w:rsidRDefault="009D403C" w:rsidP="00550EA2">
            <w:pPr>
              <w:keepNext/>
              <w:spacing w:after="0" w:line="240" w:lineRule="auto"/>
              <w:jc w:val="right"/>
              <w:rPr>
                <w:rFonts w:asciiTheme="minorHAnsi" w:hAnsiTheme="minorHAnsi"/>
                <w:b/>
                <w:color w:val="000000"/>
                <w:sz w:val="20"/>
                <w:szCs w:val="20"/>
                <w:lang w:eastAsia="cs-CZ"/>
              </w:rPr>
            </w:pPr>
            <w:r w:rsidRPr="00AA3FCA">
              <w:rPr>
                <w:rFonts w:asciiTheme="minorHAnsi" w:hAnsiTheme="minorHAnsi"/>
                <w:b/>
                <w:color w:val="000000"/>
                <w:sz w:val="20"/>
                <w:szCs w:val="20"/>
                <w:lang w:eastAsia="cs-CZ"/>
              </w:rPr>
              <w:t>199 866</w:t>
            </w:r>
          </w:p>
        </w:tc>
        <w:tc>
          <w:tcPr>
            <w:tcW w:w="902" w:type="dxa"/>
            <w:tcBorders>
              <w:top w:val="nil"/>
              <w:left w:val="nil"/>
              <w:bottom w:val="single" w:sz="4" w:space="0" w:color="auto"/>
              <w:right w:val="single" w:sz="4" w:space="0" w:color="auto"/>
            </w:tcBorders>
            <w:shd w:val="clear" w:color="auto" w:fill="F2C6C9"/>
            <w:noWrap/>
            <w:vAlign w:val="center"/>
            <w:hideMark/>
          </w:tcPr>
          <w:p w14:paraId="4D32DD07" w14:textId="77777777" w:rsidR="009D403C" w:rsidRPr="00AA3FCA" w:rsidRDefault="009D403C" w:rsidP="00550EA2">
            <w:pPr>
              <w:keepNext/>
              <w:spacing w:after="0" w:line="240" w:lineRule="auto"/>
              <w:jc w:val="right"/>
              <w:rPr>
                <w:rFonts w:asciiTheme="minorHAnsi" w:hAnsiTheme="minorHAnsi"/>
                <w:b/>
                <w:color w:val="000000"/>
                <w:sz w:val="20"/>
                <w:szCs w:val="20"/>
                <w:lang w:eastAsia="cs-CZ"/>
              </w:rPr>
            </w:pPr>
            <w:r w:rsidRPr="00AA3FCA">
              <w:rPr>
                <w:rFonts w:asciiTheme="minorHAnsi" w:hAnsiTheme="minorHAnsi"/>
                <w:b/>
                <w:color w:val="000000"/>
                <w:sz w:val="20"/>
                <w:szCs w:val="20"/>
                <w:lang w:eastAsia="cs-CZ"/>
              </w:rPr>
              <w:t>200 192</w:t>
            </w:r>
          </w:p>
        </w:tc>
        <w:tc>
          <w:tcPr>
            <w:tcW w:w="902" w:type="dxa"/>
            <w:tcBorders>
              <w:top w:val="nil"/>
              <w:left w:val="nil"/>
              <w:bottom w:val="single" w:sz="4" w:space="0" w:color="auto"/>
              <w:right w:val="single" w:sz="4" w:space="0" w:color="auto"/>
            </w:tcBorders>
            <w:shd w:val="clear" w:color="auto" w:fill="F2C6C9"/>
            <w:noWrap/>
            <w:vAlign w:val="center"/>
            <w:hideMark/>
          </w:tcPr>
          <w:p w14:paraId="33563C58" w14:textId="77777777" w:rsidR="009D403C" w:rsidRPr="00AA3FCA" w:rsidRDefault="009D403C" w:rsidP="00550EA2">
            <w:pPr>
              <w:keepNext/>
              <w:spacing w:after="0" w:line="240" w:lineRule="auto"/>
              <w:jc w:val="right"/>
              <w:rPr>
                <w:rFonts w:asciiTheme="minorHAnsi" w:hAnsiTheme="minorHAnsi"/>
                <w:b/>
                <w:color w:val="000000"/>
                <w:sz w:val="20"/>
                <w:szCs w:val="20"/>
                <w:lang w:eastAsia="cs-CZ"/>
              </w:rPr>
            </w:pPr>
            <w:r w:rsidRPr="00AA3FCA">
              <w:rPr>
                <w:rFonts w:asciiTheme="minorHAnsi" w:hAnsiTheme="minorHAnsi"/>
                <w:b/>
                <w:color w:val="000000"/>
                <w:sz w:val="20"/>
                <w:szCs w:val="20"/>
                <w:lang w:eastAsia="cs-CZ"/>
              </w:rPr>
              <w:t>195 270</w:t>
            </w:r>
          </w:p>
        </w:tc>
        <w:tc>
          <w:tcPr>
            <w:tcW w:w="902" w:type="dxa"/>
            <w:tcBorders>
              <w:top w:val="nil"/>
              <w:left w:val="nil"/>
              <w:bottom w:val="single" w:sz="4" w:space="0" w:color="auto"/>
              <w:right w:val="single" w:sz="4" w:space="0" w:color="auto"/>
            </w:tcBorders>
            <w:shd w:val="clear" w:color="auto" w:fill="F2C6C9"/>
            <w:noWrap/>
            <w:vAlign w:val="center"/>
            <w:hideMark/>
          </w:tcPr>
          <w:p w14:paraId="0E55DDE7" w14:textId="77777777" w:rsidR="009D403C" w:rsidRPr="00AA3FCA" w:rsidRDefault="009D403C" w:rsidP="00550EA2">
            <w:pPr>
              <w:keepNext/>
              <w:spacing w:after="0" w:line="240" w:lineRule="auto"/>
              <w:jc w:val="right"/>
              <w:rPr>
                <w:rFonts w:asciiTheme="minorHAnsi" w:hAnsiTheme="minorHAnsi"/>
                <w:b/>
                <w:color w:val="000000"/>
                <w:sz w:val="20"/>
                <w:szCs w:val="20"/>
                <w:lang w:eastAsia="cs-CZ"/>
              </w:rPr>
            </w:pPr>
            <w:r w:rsidRPr="00AA3FCA">
              <w:rPr>
                <w:rFonts w:asciiTheme="minorHAnsi" w:hAnsiTheme="minorHAnsi"/>
                <w:b/>
                <w:color w:val="000000"/>
                <w:sz w:val="20"/>
                <w:szCs w:val="20"/>
                <w:lang w:eastAsia="cs-CZ"/>
              </w:rPr>
              <w:t>192 014</w:t>
            </w:r>
          </w:p>
        </w:tc>
        <w:tc>
          <w:tcPr>
            <w:tcW w:w="902" w:type="dxa"/>
            <w:tcBorders>
              <w:top w:val="nil"/>
              <w:left w:val="nil"/>
              <w:bottom w:val="single" w:sz="4" w:space="0" w:color="auto"/>
              <w:right w:val="single" w:sz="4" w:space="0" w:color="auto"/>
            </w:tcBorders>
            <w:shd w:val="clear" w:color="auto" w:fill="F2C6C9"/>
            <w:noWrap/>
            <w:vAlign w:val="center"/>
            <w:hideMark/>
          </w:tcPr>
          <w:p w14:paraId="0F2EA9E8" w14:textId="77777777" w:rsidR="009D403C" w:rsidRPr="00AA3FCA" w:rsidRDefault="009D403C" w:rsidP="00550EA2">
            <w:pPr>
              <w:keepNext/>
              <w:spacing w:after="0" w:line="240" w:lineRule="auto"/>
              <w:jc w:val="right"/>
              <w:rPr>
                <w:rFonts w:asciiTheme="minorHAnsi" w:hAnsiTheme="minorHAnsi"/>
                <w:b/>
                <w:color w:val="000000"/>
                <w:sz w:val="20"/>
                <w:szCs w:val="20"/>
                <w:lang w:eastAsia="cs-CZ"/>
              </w:rPr>
            </w:pPr>
            <w:r w:rsidRPr="00AA3FCA">
              <w:rPr>
                <w:rFonts w:asciiTheme="minorHAnsi" w:hAnsiTheme="minorHAnsi"/>
                <w:b/>
                <w:color w:val="000000"/>
                <w:sz w:val="20"/>
                <w:szCs w:val="20"/>
                <w:lang w:eastAsia="cs-CZ"/>
              </w:rPr>
              <w:t>190 418</w:t>
            </w:r>
          </w:p>
        </w:tc>
        <w:tc>
          <w:tcPr>
            <w:tcW w:w="902" w:type="dxa"/>
            <w:tcBorders>
              <w:top w:val="nil"/>
              <w:left w:val="nil"/>
              <w:bottom w:val="single" w:sz="4" w:space="0" w:color="auto"/>
              <w:right w:val="single" w:sz="4" w:space="0" w:color="auto"/>
            </w:tcBorders>
            <w:shd w:val="clear" w:color="auto" w:fill="F2C6C9"/>
            <w:noWrap/>
            <w:vAlign w:val="center"/>
            <w:hideMark/>
          </w:tcPr>
          <w:p w14:paraId="0C38EB99" w14:textId="77777777" w:rsidR="009D403C" w:rsidRPr="00AA3FCA" w:rsidRDefault="009D403C" w:rsidP="00550EA2">
            <w:pPr>
              <w:keepNext/>
              <w:spacing w:after="0" w:line="240" w:lineRule="auto"/>
              <w:jc w:val="right"/>
              <w:rPr>
                <w:rFonts w:asciiTheme="minorHAnsi" w:hAnsiTheme="minorHAnsi"/>
                <w:b/>
                <w:color w:val="000000"/>
                <w:sz w:val="20"/>
                <w:szCs w:val="20"/>
                <w:lang w:eastAsia="cs-CZ"/>
              </w:rPr>
            </w:pPr>
            <w:r w:rsidRPr="00AA3FCA">
              <w:rPr>
                <w:rFonts w:asciiTheme="minorHAnsi" w:hAnsiTheme="minorHAnsi"/>
                <w:b/>
                <w:color w:val="000000"/>
                <w:sz w:val="20"/>
                <w:szCs w:val="20"/>
                <w:lang w:eastAsia="cs-CZ"/>
              </w:rPr>
              <w:t>195 618</w:t>
            </w:r>
          </w:p>
        </w:tc>
        <w:tc>
          <w:tcPr>
            <w:tcW w:w="903" w:type="dxa"/>
            <w:tcBorders>
              <w:top w:val="nil"/>
              <w:left w:val="nil"/>
              <w:bottom w:val="single" w:sz="4" w:space="0" w:color="auto"/>
              <w:right w:val="single" w:sz="4" w:space="0" w:color="auto"/>
            </w:tcBorders>
            <w:shd w:val="clear" w:color="auto" w:fill="F2C6C9"/>
            <w:noWrap/>
            <w:vAlign w:val="center"/>
            <w:hideMark/>
          </w:tcPr>
          <w:p w14:paraId="7EB2F68A" w14:textId="77777777" w:rsidR="009D403C" w:rsidRPr="00AA3FCA" w:rsidRDefault="009D403C" w:rsidP="00550EA2">
            <w:pPr>
              <w:keepNext/>
              <w:spacing w:after="0" w:line="240" w:lineRule="auto"/>
              <w:jc w:val="right"/>
              <w:rPr>
                <w:rFonts w:asciiTheme="minorHAnsi" w:hAnsiTheme="minorHAnsi"/>
                <w:b/>
                <w:color w:val="000000"/>
                <w:sz w:val="20"/>
                <w:szCs w:val="20"/>
                <w:lang w:eastAsia="cs-CZ"/>
              </w:rPr>
            </w:pPr>
            <w:r w:rsidRPr="00AA3FCA">
              <w:rPr>
                <w:rFonts w:asciiTheme="minorHAnsi" w:hAnsiTheme="minorHAnsi"/>
                <w:b/>
                <w:color w:val="000000"/>
                <w:sz w:val="20"/>
                <w:szCs w:val="20"/>
                <w:lang w:eastAsia="cs-CZ"/>
              </w:rPr>
              <w:t>195 288</w:t>
            </w:r>
          </w:p>
        </w:tc>
      </w:tr>
    </w:tbl>
    <w:p w14:paraId="02BBEA27" w14:textId="34C2AD65" w:rsidR="003276AF" w:rsidRPr="00247CAB" w:rsidRDefault="003276AF" w:rsidP="00247CAB">
      <w:pPr>
        <w:pStyle w:val="Popistabulky"/>
        <w:spacing w:after="0"/>
        <w:rPr>
          <w:rFonts w:asciiTheme="minorHAnsi" w:hAnsiTheme="minorHAnsi" w:cstheme="minorHAnsi"/>
          <w:i w:val="0"/>
        </w:rPr>
      </w:pPr>
      <w:r w:rsidRPr="00247CAB">
        <w:rPr>
          <w:rFonts w:asciiTheme="minorHAnsi" w:hAnsiTheme="minorHAnsi" w:cstheme="minorHAnsi"/>
          <w:b/>
          <w:i w:val="0"/>
        </w:rPr>
        <w:t>Zdroj:</w:t>
      </w:r>
      <w:r w:rsidRPr="00247CAB">
        <w:rPr>
          <w:rFonts w:asciiTheme="minorHAnsi" w:hAnsiTheme="minorHAnsi" w:cstheme="minorHAnsi"/>
          <w:i w:val="0"/>
        </w:rPr>
        <w:t xml:space="preserve"> data MF; vlastní zpracování NKÚ.</w:t>
      </w:r>
    </w:p>
    <w:p w14:paraId="467A1B43" w14:textId="77777777" w:rsidR="003276AF" w:rsidRPr="00247CAB" w:rsidRDefault="003276AF" w:rsidP="00247CAB">
      <w:pPr>
        <w:pStyle w:val="Popistabulky"/>
        <w:spacing w:after="0"/>
        <w:rPr>
          <w:rFonts w:asciiTheme="minorHAnsi" w:hAnsiTheme="minorHAnsi" w:cstheme="minorHAnsi"/>
          <w:b/>
          <w:i w:val="0"/>
        </w:rPr>
      </w:pPr>
      <w:r w:rsidRPr="00247CAB">
        <w:rPr>
          <w:rFonts w:asciiTheme="minorHAnsi" w:hAnsiTheme="minorHAnsi" w:cstheme="minorHAnsi"/>
          <w:b/>
          <w:i w:val="0"/>
        </w:rPr>
        <w:t>Pozn.:</w:t>
      </w:r>
    </w:p>
    <w:p w14:paraId="381D5264" w14:textId="1B7EDB83" w:rsidR="009D403C" w:rsidRPr="00247CAB" w:rsidRDefault="009D403C" w:rsidP="00247CAB">
      <w:pPr>
        <w:pStyle w:val="Popistabulky"/>
        <w:spacing w:after="0"/>
        <w:rPr>
          <w:rFonts w:asciiTheme="minorHAnsi" w:hAnsiTheme="minorHAnsi" w:cstheme="minorHAnsi"/>
          <w:i w:val="0"/>
        </w:rPr>
      </w:pPr>
      <w:r w:rsidRPr="00247CAB">
        <w:rPr>
          <w:rFonts w:asciiTheme="minorHAnsi" w:hAnsiTheme="minorHAnsi" w:cstheme="minorHAnsi"/>
          <w:i w:val="0"/>
        </w:rPr>
        <w:t>Celkový počet vyloučených osob – tento údaj nevznikl jako prostý součet počt</w:t>
      </w:r>
      <w:r w:rsidR="00606FE5">
        <w:rPr>
          <w:rFonts w:asciiTheme="minorHAnsi" w:hAnsiTheme="minorHAnsi" w:cstheme="minorHAnsi"/>
          <w:i w:val="0"/>
        </w:rPr>
        <w:t>ů</w:t>
      </w:r>
      <w:r w:rsidRPr="00247CAB">
        <w:rPr>
          <w:rFonts w:asciiTheme="minorHAnsi" w:hAnsiTheme="minorHAnsi" w:cstheme="minorHAnsi"/>
          <w:i w:val="0"/>
        </w:rPr>
        <w:t xml:space="preserve"> osob v RVO podle důvodu vyloučení, a to z důvodu zápisu osob v RVO z více důvodů najednou. V tomto řádku jsou </w:t>
      </w:r>
      <w:r w:rsidR="00606FE5" w:rsidRPr="00115837">
        <w:rPr>
          <w:rFonts w:asciiTheme="minorHAnsi" w:hAnsiTheme="minorHAnsi" w:cstheme="minorHAnsi"/>
          <w:i w:val="0"/>
        </w:rPr>
        <w:t xml:space="preserve">osoby </w:t>
      </w:r>
      <w:r w:rsidRPr="00247CAB">
        <w:rPr>
          <w:rFonts w:asciiTheme="minorHAnsi" w:hAnsiTheme="minorHAnsi" w:cstheme="minorHAnsi"/>
          <w:i w:val="0"/>
        </w:rPr>
        <w:t>zapsané v RVO započítány vždy pouze jednou.</w:t>
      </w:r>
    </w:p>
    <w:p w14:paraId="28846143" w14:textId="68140207" w:rsidR="001157AD" w:rsidRPr="008142C5" w:rsidRDefault="00010115" w:rsidP="001E51C9">
      <w:pPr>
        <w:pStyle w:val="Odstavecseseznamem"/>
        <w:numPr>
          <w:ilvl w:val="1"/>
          <w:numId w:val="17"/>
        </w:numPr>
        <w:spacing w:before="240" w:after="120"/>
        <w:ind w:left="0" w:firstLine="0"/>
        <w:contextualSpacing w:val="0"/>
        <w:rPr>
          <w:rFonts w:asciiTheme="minorHAnsi" w:hAnsiTheme="minorHAnsi" w:cstheme="minorHAnsi"/>
          <w:sz w:val="24"/>
          <w:szCs w:val="24"/>
        </w:rPr>
      </w:pPr>
      <w:r w:rsidRPr="008142C5">
        <w:rPr>
          <w:rFonts w:asciiTheme="minorHAnsi" w:hAnsiTheme="minorHAnsi" w:cstheme="minorHAnsi"/>
          <w:sz w:val="24"/>
          <w:szCs w:val="24"/>
        </w:rPr>
        <w:t>GŘC na</w:t>
      </w:r>
      <w:r w:rsidR="00C90D00" w:rsidRPr="008142C5">
        <w:rPr>
          <w:rFonts w:asciiTheme="minorHAnsi" w:hAnsiTheme="minorHAnsi" w:cstheme="minorHAnsi"/>
          <w:sz w:val="24"/>
          <w:szCs w:val="24"/>
        </w:rPr>
        <w:t xml:space="preserve"> příprav</w:t>
      </w:r>
      <w:r w:rsidRPr="008142C5">
        <w:rPr>
          <w:rFonts w:asciiTheme="minorHAnsi" w:hAnsiTheme="minorHAnsi" w:cstheme="minorHAnsi"/>
          <w:sz w:val="24"/>
          <w:szCs w:val="24"/>
        </w:rPr>
        <w:t>u</w:t>
      </w:r>
      <w:r w:rsidR="00C90D00" w:rsidRPr="008142C5">
        <w:rPr>
          <w:rFonts w:asciiTheme="minorHAnsi" w:hAnsiTheme="minorHAnsi" w:cstheme="minorHAnsi"/>
          <w:sz w:val="24"/>
          <w:szCs w:val="24"/>
        </w:rPr>
        <w:t xml:space="preserve"> interních aplikací k napojení na SM AISG v roce 2019 vynalož</w:t>
      </w:r>
      <w:r w:rsidRPr="008142C5">
        <w:rPr>
          <w:rFonts w:asciiTheme="minorHAnsi" w:hAnsiTheme="minorHAnsi" w:cstheme="minorHAnsi"/>
          <w:sz w:val="24"/>
          <w:szCs w:val="24"/>
        </w:rPr>
        <w:t>ilo</w:t>
      </w:r>
      <w:r w:rsidR="00C90D00" w:rsidRPr="008142C5">
        <w:rPr>
          <w:rFonts w:asciiTheme="minorHAnsi" w:hAnsiTheme="minorHAnsi" w:cstheme="minorHAnsi"/>
          <w:sz w:val="24"/>
          <w:szCs w:val="24"/>
        </w:rPr>
        <w:t xml:space="preserve"> 1,98</w:t>
      </w:r>
      <w:r w:rsidR="005430D2">
        <w:rPr>
          <w:rFonts w:asciiTheme="minorHAnsi" w:hAnsiTheme="minorHAnsi" w:cstheme="minorHAnsi"/>
          <w:sz w:val="24"/>
          <w:szCs w:val="24"/>
        </w:rPr>
        <w:t> </w:t>
      </w:r>
      <w:r w:rsidR="00C90D00" w:rsidRPr="008142C5">
        <w:rPr>
          <w:rFonts w:asciiTheme="minorHAnsi" w:hAnsiTheme="minorHAnsi" w:cstheme="minorHAnsi"/>
          <w:sz w:val="24"/>
          <w:szCs w:val="24"/>
        </w:rPr>
        <w:t>mil. Kč. K napojení a sdílení informací však</w:t>
      </w:r>
      <w:r w:rsidR="002630AF">
        <w:rPr>
          <w:rFonts w:asciiTheme="minorHAnsi" w:hAnsiTheme="minorHAnsi" w:cstheme="minorHAnsi"/>
          <w:sz w:val="24"/>
          <w:szCs w:val="24"/>
        </w:rPr>
        <w:t xml:space="preserve"> nedošlo, a to</w:t>
      </w:r>
      <w:r w:rsidR="00C90D00" w:rsidRPr="008142C5">
        <w:rPr>
          <w:rFonts w:asciiTheme="minorHAnsi" w:hAnsiTheme="minorHAnsi" w:cstheme="minorHAnsi"/>
          <w:sz w:val="24"/>
          <w:szCs w:val="24"/>
        </w:rPr>
        <w:t xml:space="preserve"> z důvodu nedokončení SM AISG ze strany MF</w:t>
      </w:r>
      <w:r w:rsidRPr="008142C5">
        <w:rPr>
          <w:rFonts w:asciiTheme="minorHAnsi" w:hAnsiTheme="minorHAnsi" w:cstheme="minorHAnsi"/>
          <w:sz w:val="24"/>
          <w:szCs w:val="24"/>
        </w:rPr>
        <w:t>.</w:t>
      </w:r>
      <w:r w:rsidR="00C90D00" w:rsidRPr="008142C5" w:rsidDel="00010115">
        <w:rPr>
          <w:rFonts w:asciiTheme="minorHAnsi" w:hAnsiTheme="minorHAnsi" w:cstheme="minorHAnsi"/>
          <w:sz w:val="24"/>
          <w:szCs w:val="24"/>
        </w:rPr>
        <w:t xml:space="preserve"> </w:t>
      </w:r>
      <w:r w:rsidR="00876756">
        <w:rPr>
          <w:rFonts w:asciiTheme="minorHAnsi" w:hAnsiTheme="minorHAnsi" w:cstheme="minorHAnsi"/>
          <w:sz w:val="24"/>
          <w:szCs w:val="24"/>
        </w:rPr>
        <w:t xml:space="preserve">Takto </w:t>
      </w:r>
      <w:r w:rsidR="00FA7553">
        <w:rPr>
          <w:rFonts w:asciiTheme="minorHAnsi" w:hAnsiTheme="minorHAnsi" w:cstheme="minorHAnsi"/>
          <w:sz w:val="24"/>
          <w:szCs w:val="24"/>
        </w:rPr>
        <w:t>použité</w:t>
      </w:r>
      <w:r w:rsidR="00876756">
        <w:rPr>
          <w:rFonts w:asciiTheme="minorHAnsi" w:hAnsiTheme="minorHAnsi" w:cstheme="minorHAnsi"/>
          <w:sz w:val="24"/>
          <w:szCs w:val="24"/>
        </w:rPr>
        <w:t xml:space="preserve"> p</w:t>
      </w:r>
      <w:r w:rsidR="001157AD" w:rsidRPr="008142C5">
        <w:rPr>
          <w:rFonts w:asciiTheme="minorHAnsi" w:hAnsiTheme="minorHAnsi" w:cstheme="minorHAnsi"/>
          <w:sz w:val="24"/>
          <w:szCs w:val="24"/>
        </w:rPr>
        <w:t xml:space="preserve">eněžní prostředky posoudil NKÚ jako neúčelně vynaložené, neboť </w:t>
      </w:r>
      <w:r w:rsidR="00F92AD5">
        <w:rPr>
          <w:rFonts w:asciiTheme="minorHAnsi" w:hAnsiTheme="minorHAnsi" w:cstheme="minorHAnsi"/>
          <w:sz w:val="24"/>
          <w:szCs w:val="24"/>
        </w:rPr>
        <w:t>v</w:t>
      </w:r>
      <w:r w:rsidR="00F303E0">
        <w:rPr>
          <w:rFonts w:asciiTheme="minorHAnsi" w:hAnsiTheme="minorHAnsi" w:cstheme="minorHAnsi"/>
          <w:sz w:val="24"/>
          <w:szCs w:val="24"/>
        </w:rPr>
        <w:t xml:space="preserve"> </w:t>
      </w:r>
      <w:r w:rsidR="00F92AD5">
        <w:rPr>
          <w:rFonts w:asciiTheme="minorHAnsi" w:hAnsiTheme="minorHAnsi" w:cstheme="minorHAnsi"/>
          <w:sz w:val="24"/>
          <w:szCs w:val="24"/>
        </w:rPr>
        <w:t>důsledku rozhodnutí MF</w:t>
      </w:r>
      <w:r w:rsidR="00F92AD5" w:rsidRPr="008142C5" w:rsidDel="00F92AD5">
        <w:rPr>
          <w:rFonts w:asciiTheme="minorHAnsi" w:hAnsiTheme="minorHAnsi" w:cstheme="minorHAnsi"/>
          <w:sz w:val="24"/>
          <w:szCs w:val="24"/>
        </w:rPr>
        <w:t xml:space="preserve"> </w:t>
      </w:r>
      <w:r w:rsidR="00F92AD5">
        <w:rPr>
          <w:rFonts w:asciiTheme="minorHAnsi" w:hAnsiTheme="minorHAnsi" w:cstheme="minorHAnsi"/>
          <w:sz w:val="24"/>
          <w:szCs w:val="24"/>
        </w:rPr>
        <w:t>nezajistily optimální míru dosažení cílů při plnění stanovených úkolů.</w:t>
      </w:r>
      <w:r w:rsidR="001157AD" w:rsidRPr="008142C5">
        <w:rPr>
          <w:rFonts w:asciiTheme="minorHAnsi" w:hAnsiTheme="minorHAnsi" w:cstheme="minorHAnsi"/>
          <w:sz w:val="24"/>
          <w:szCs w:val="24"/>
        </w:rPr>
        <w:t xml:space="preserve"> </w:t>
      </w:r>
    </w:p>
    <w:p w14:paraId="71CF9961" w14:textId="7A8AB661" w:rsidR="008A5694" w:rsidRPr="008142C5" w:rsidRDefault="008F03AB" w:rsidP="00A36482">
      <w:pPr>
        <w:pStyle w:val="Odstavecseseznamem"/>
        <w:numPr>
          <w:ilvl w:val="1"/>
          <w:numId w:val="17"/>
        </w:numPr>
        <w:spacing w:after="120"/>
        <w:ind w:left="0" w:firstLine="0"/>
        <w:contextualSpacing w:val="0"/>
        <w:rPr>
          <w:rFonts w:asciiTheme="minorHAnsi" w:hAnsiTheme="minorHAnsi" w:cstheme="minorHAnsi"/>
          <w:sz w:val="24"/>
          <w:szCs w:val="24"/>
        </w:rPr>
      </w:pPr>
      <w:r w:rsidRPr="008142C5">
        <w:rPr>
          <w:rFonts w:asciiTheme="minorHAnsi" w:hAnsiTheme="minorHAnsi" w:cstheme="minorHAnsi"/>
          <w:sz w:val="24"/>
          <w:szCs w:val="24"/>
        </w:rPr>
        <w:t>GFŘ čerpalo na realizaci změn IS ADIS</w:t>
      </w:r>
      <w:r w:rsidR="00331CC1">
        <w:rPr>
          <w:rStyle w:val="Znakapoznpodarou"/>
          <w:rFonts w:asciiTheme="minorHAnsi" w:hAnsiTheme="minorHAnsi" w:cstheme="minorHAnsi"/>
          <w:sz w:val="24"/>
          <w:szCs w:val="24"/>
        </w:rPr>
        <w:footnoteReference w:id="23"/>
      </w:r>
      <w:r w:rsidRPr="008142C5">
        <w:rPr>
          <w:rFonts w:asciiTheme="minorHAnsi" w:hAnsiTheme="minorHAnsi" w:cstheme="minorHAnsi"/>
          <w:sz w:val="24"/>
          <w:szCs w:val="24"/>
        </w:rPr>
        <w:t xml:space="preserve"> v souvislosti s novou právní úpravou hazardních her celkovou částku 23</w:t>
      </w:r>
      <w:r w:rsidR="00EF3CAB" w:rsidRPr="008142C5">
        <w:rPr>
          <w:rFonts w:asciiTheme="minorHAnsi" w:hAnsiTheme="minorHAnsi" w:cstheme="minorHAnsi"/>
          <w:sz w:val="24"/>
          <w:szCs w:val="24"/>
        </w:rPr>
        <w:t>,</w:t>
      </w:r>
      <w:r w:rsidRPr="008142C5">
        <w:rPr>
          <w:rFonts w:asciiTheme="minorHAnsi" w:hAnsiTheme="minorHAnsi" w:cstheme="minorHAnsi"/>
          <w:sz w:val="24"/>
          <w:szCs w:val="24"/>
        </w:rPr>
        <w:t>9</w:t>
      </w:r>
      <w:r w:rsidR="00EF3CAB" w:rsidRPr="008142C5">
        <w:rPr>
          <w:rFonts w:asciiTheme="minorHAnsi" w:hAnsiTheme="minorHAnsi" w:cstheme="minorHAnsi"/>
          <w:sz w:val="24"/>
          <w:szCs w:val="24"/>
        </w:rPr>
        <w:t xml:space="preserve"> mil.</w:t>
      </w:r>
      <w:r w:rsidRPr="008142C5">
        <w:rPr>
          <w:rFonts w:asciiTheme="minorHAnsi" w:hAnsiTheme="minorHAnsi" w:cstheme="minorHAnsi"/>
          <w:sz w:val="24"/>
          <w:szCs w:val="24"/>
        </w:rPr>
        <w:t> Kč.</w:t>
      </w:r>
      <w:r w:rsidR="0006673E">
        <w:rPr>
          <w:rFonts w:asciiTheme="minorHAnsi" w:hAnsiTheme="minorHAnsi" w:cstheme="minorHAnsi"/>
          <w:sz w:val="24"/>
          <w:szCs w:val="24"/>
        </w:rPr>
        <w:t xml:space="preserve"> </w:t>
      </w:r>
      <w:r w:rsidR="006149DF">
        <w:rPr>
          <w:rFonts w:asciiTheme="minorHAnsi" w:hAnsiTheme="minorHAnsi" w:cstheme="minorHAnsi"/>
          <w:sz w:val="24"/>
          <w:szCs w:val="24"/>
        </w:rPr>
        <w:t>D</w:t>
      </w:r>
      <w:r w:rsidR="006149DF" w:rsidRPr="008142C5">
        <w:rPr>
          <w:rFonts w:asciiTheme="minorHAnsi" w:hAnsiTheme="minorHAnsi" w:cstheme="minorHAnsi"/>
          <w:sz w:val="24"/>
          <w:szCs w:val="24"/>
        </w:rPr>
        <w:t xml:space="preserve">o konce kontroly nebylo realizováno </w:t>
      </w:r>
      <w:r w:rsidR="006149DF">
        <w:rPr>
          <w:rFonts w:asciiTheme="minorHAnsi" w:hAnsiTheme="minorHAnsi" w:cstheme="minorHAnsi"/>
          <w:sz w:val="24"/>
          <w:szCs w:val="24"/>
        </w:rPr>
        <w:t>napojení</w:t>
      </w:r>
      <w:r w:rsidR="00DA4A03">
        <w:rPr>
          <w:rFonts w:asciiTheme="minorHAnsi" w:hAnsiTheme="minorHAnsi" w:cstheme="minorHAnsi"/>
          <w:sz w:val="24"/>
          <w:szCs w:val="24"/>
        </w:rPr>
        <w:t xml:space="preserve"> SM</w:t>
      </w:r>
      <w:r w:rsidR="006149DF">
        <w:rPr>
          <w:rFonts w:asciiTheme="minorHAnsi" w:hAnsiTheme="minorHAnsi" w:cstheme="minorHAnsi"/>
          <w:sz w:val="24"/>
          <w:szCs w:val="24"/>
        </w:rPr>
        <w:t xml:space="preserve"> </w:t>
      </w:r>
      <w:r w:rsidRPr="008142C5">
        <w:rPr>
          <w:rFonts w:asciiTheme="minorHAnsi" w:hAnsiTheme="minorHAnsi" w:cstheme="minorHAnsi"/>
          <w:sz w:val="24"/>
          <w:szCs w:val="24"/>
        </w:rPr>
        <w:t>AISG</w:t>
      </w:r>
      <w:r w:rsidR="00FA7553">
        <w:rPr>
          <w:rFonts w:asciiTheme="minorHAnsi" w:hAnsiTheme="minorHAnsi" w:cstheme="minorHAnsi"/>
          <w:sz w:val="24"/>
          <w:szCs w:val="24"/>
        </w:rPr>
        <w:t xml:space="preserve"> </w:t>
      </w:r>
      <w:r w:rsidRPr="008142C5">
        <w:rPr>
          <w:rFonts w:asciiTheme="minorHAnsi" w:hAnsiTheme="minorHAnsi" w:cstheme="minorHAnsi"/>
          <w:sz w:val="24"/>
          <w:szCs w:val="24"/>
        </w:rPr>
        <w:t>na IS ADIS.</w:t>
      </w:r>
      <w:r w:rsidR="00C90D00" w:rsidRPr="008142C5">
        <w:rPr>
          <w:rFonts w:asciiTheme="minorHAnsi" w:hAnsiTheme="minorHAnsi" w:cstheme="minorHAnsi"/>
          <w:sz w:val="24"/>
          <w:szCs w:val="24"/>
        </w:rPr>
        <w:t xml:space="preserve"> </w:t>
      </w:r>
      <w:r w:rsidR="0068036F" w:rsidRPr="008142C5">
        <w:rPr>
          <w:rFonts w:asciiTheme="minorHAnsi" w:hAnsiTheme="minorHAnsi" w:cstheme="minorHAnsi"/>
          <w:sz w:val="24"/>
          <w:szCs w:val="24"/>
        </w:rPr>
        <w:t>J</w:t>
      </w:r>
      <w:r w:rsidR="00C90D00" w:rsidRPr="008142C5">
        <w:rPr>
          <w:rFonts w:asciiTheme="minorHAnsi" w:hAnsiTheme="minorHAnsi" w:cstheme="minorHAnsi"/>
          <w:sz w:val="24"/>
          <w:szCs w:val="24"/>
        </w:rPr>
        <w:t>ediný nástroj pro kontrolu údajů uvedených v povolení</w:t>
      </w:r>
      <w:r w:rsidR="00FA7553">
        <w:rPr>
          <w:rFonts w:asciiTheme="minorHAnsi" w:hAnsiTheme="minorHAnsi" w:cstheme="minorHAnsi"/>
          <w:sz w:val="24"/>
          <w:szCs w:val="24"/>
        </w:rPr>
        <w:t>ch</w:t>
      </w:r>
      <w:r w:rsidR="00C90D00" w:rsidRPr="008142C5">
        <w:rPr>
          <w:rFonts w:asciiTheme="minorHAnsi" w:hAnsiTheme="minorHAnsi" w:cstheme="minorHAnsi"/>
          <w:sz w:val="24"/>
          <w:szCs w:val="24"/>
        </w:rPr>
        <w:t xml:space="preserve"> k</w:t>
      </w:r>
      <w:r w:rsidR="00D87ACB" w:rsidRPr="008142C5">
        <w:rPr>
          <w:rFonts w:asciiTheme="minorHAnsi" w:hAnsiTheme="minorHAnsi" w:cstheme="minorHAnsi"/>
          <w:sz w:val="24"/>
          <w:szCs w:val="24"/>
        </w:rPr>
        <w:t> </w:t>
      </w:r>
      <w:r w:rsidR="00C90D00" w:rsidRPr="008142C5">
        <w:rPr>
          <w:rFonts w:asciiTheme="minorHAnsi" w:hAnsiTheme="minorHAnsi" w:cstheme="minorHAnsi"/>
          <w:sz w:val="24"/>
          <w:szCs w:val="24"/>
        </w:rPr>
        <w:t>provozování hazardních her propojený s IS ADIS</w:t>
      </w:r>
      <w:r w:rsidRPr="008142C5">
        <w:rPr>
          <w:rFonts w:asciiTheme="minorHAnsi" w:hAnsiTheme="minorHAnsi" w:cstheme="minorHAnsi"/>
          <w:sz w:val="24"/>
          <w:szCs w:val="24"/>
        </w:rPr>
        <w:t xml:space="preserve"> tak</w:t>
      </w:r>
      <w:r w:rsidR="00C90D00" w:rsidRPr="008142C5">
        <w:rPr>
          <w:rFonts w:asciiTheme="minorHAnsi" w:hAnsiTheme="minorHAnsi" w:cstheme="minorHAnsi"/>
          <w:sz w:val="24"/>
          <w:szCs w:val="24"/>
        </w:rPr>
        <w:t xml:space="preserve"> </w:t>
      </w:r>
      <w:r w:rsidRPr="008142C5">
        <w:rPr>
          <w:rFonts w:asciiTheme="minorHAnsi" w:hAnsiTheme="minorHAnsi" w:cstheme="minorHAnsi"/>
          <w:sz w:val="24"/>
          <w:szCs w:val="24"/>
        </w:rPr>
        <w:t>i po zavedení nové právní úpravy v</w:t>
      </w:r>
      <w:r w:rsidR="00BD5D1A">
        <w:rPr>
          <w:rFonts w:asciiTheme="minorHAnsi" w:hAnsiTheme="minorHAnsi" w:cstheme="minorHAnsi"/>
          <w:sz w:val="24"/>
          <w:szCs w:val="24"/>
        </w:rPr>
        <w:t> </w:t>
      </w:r>
      <w:r w:rsidRPr="008142C5">
        <w:rPr>
          <w:rFonts w:asciiTheme="minorHAnsi" w:hAnsiTheme="minorHAnsi" w:cstheme="minorHAnsi"/>
          <w:sz w:val="24"/>
          <w:szCs w:val="24"/>
        </w:rPr>
        <w:t xml:space="preserve">oblasti hazardních her </w:t>
      </w:r>
      <w:r w:rsidR="0068036F" w:rsidRPr="008142C5">
        <w:rPr>
          <w:rFonts w:asciiTheme="minorHAnsi" w:hAnsiTheme="minorHAnsi" w:cstheme="minorHAnsi"/>
          <w:sz w:val="24"/>
          <w:szCs w:val="24"/>
        </w:rPr>
        <w:t>představuje IS SDSL</w:t>
      </w:r>
      <w:r w:rsidR="00C90D00" w:rsidRPr="008142C5">
        <w:rPr>
          <w:rFonts w:asciiTheme="minorHAnsi" w:hAnsiTheme="minorHAnsi" w:cstheme="minorHAnsi"/>
          <w:sz w:val="24"/>
          <w:szCs w:val="24"/>
        </w:rPr>
        <w:t xml:space="preserve">. </w:t>
      </w:r>
    </w:p>
    <w:p w14:paraId="6C90D6D1" w14:textId="56ED3E7C" w:rsidR="002236F3" w:rsidRPr="00776236" w:rsidRDefault="002236F3" w:rsidP="00776236">
      <w:pPr>
        <w:pStyle w:val="Titulek"/>
        <w:keepNext/>
        <w:spacing w:before="240" w:after="120"/>
        <w:ind w:left="1304" w:hanging="1304"/>
        <w:rPr>
          <w:rFonts w:asciiTheme="minorHAnsi" w:hAnsiTheme="minorHAnsi"/>
          <w:b/>
          <w:i w:val="0"/>
          <w:color w:val="auto"/>
          <w:sz w:val="24"/>
          <w:szCs w:val="24"/>
        </w:rPr>
      </w:pPr>
      <w:r w:rsidRPr="00776236">
        <w:rPr>
          <w:rFonts w:asciiTheme="minorHAnsi" w:hAnsiTheme="minorHAnsi"/>
          <w:b/>
          <w:i w:val="0"/>
          <w:color w:val="auto"/>
          <w:sz w:val="24"/>
          <w:szCs w:val="24"/>
        </w:rPr>
        <w:lastRenderedPageBreak/>
        <w:t xml:space="preserve">Tabulka č. </w:t>
      </w:r>
      <w:r w:rsidRPr="00776236">
        <w:rPr>
          <w:rFonts w:asciiTheme="minorHAnsi" w:hAnsiTheme="minorHAnsi"/>
          <w:b/>
          <w:i w:val="0"/>
          <w:color w:val="auto"/>
          <w:sz w:val="24"/>
          <w:szCs w:val="24"/>
        </w:rPr>
        <w:fldChar w:fldCharType="begin"/>
      </w:r>
      <w:r w:rsidRPr="00776236">
        <w:rPr>
          <w:rFonts w:asciiTheme="minorHAnsi" w:hAnsiTheme="minorHAnsi"/>
          <w:b/>
          <w:i w:val="0"/>
          <w:color w:val="auto"/>
          <w:sz w:val="24"/>
          <w:szCs w:val="24"/>
        </w:rPr>
        <w:instrText xml:space="preserve"> SEQ Tabulka_č. \* ARABIC </w:instrText>
      </w:r>
      <w:r w:rsidRPr="00776236">
        <w:rPr>
          <w:rFonts w:asciiTheme="minorHAnsi" w:hAnsiTheme="minorHAnsi"/>
          <w:b/>
          <w:i w:val="0"/>
          <w:color w:val="auto"/>
          <w:sz w:val="24"/>
          <w:szCs w:val="24"/>
        </w:rPr>
        <w:fldChar w:fldCharType="separate"/>
      </w:r>
      <w:r w:rsidR="00962F75">
        <w:rPr>
          <w:rFonts w:asciiTheme="minorHAnsi" w:hAnsiTheme="minorHAnsi"/>
          <w:b/>
          <w:i w:val="0"/>
          <w:noProof/>
          <w:color w:val="auto"/>
          <w:sz w:val="24"/>
          <w:szCs w:val="24"/>
        </w:rPr>
        <w:t>3</w:t>
      </w:r>
      <w:r w:rsidRPr="00776236">
        <w:rPr>
          <w:rFonts w:asciiTheme="minorHAnsi" w:hAnsiTheme="minorHAnsi"/>
          <w:b/>
          <w:i w:val="0"/>
          <w:color w:val="auto"/>
          <w:sz w:val="24"/>
          <w:szCs w:val="24"/>
        </w:rPr>
        <w:fldChar w:fldCharType="end"/>
      </w:r>
      <w:r w:rsidR="00574887" w:rsidRPr="00776236">
        <w:rPr>
          <w:rFonts w:asciiTheme="minorHAnsi" w:hAnsiTheme="minorHAnsi"/>
          <w:b/>
          <w:i w:val="0"/>
          <w:color w:val="auto"/>
          <w:sz w:val="24"/>
          <w:szCs w:val="24"/>
        </w:rPr>
        <w:t>:</w:t>
      </w:r>
      <w:r w:rsidR="00B078CD" w:rsidRPr="00776236">
        <w:rPr>
          <w:rFonts w:asciiTheme="minorHAnsi" w:hAnsiTheme="minorHAnsi"/>
          <w:b/>
          <w:i w:val="0"/>
          <w:color w:val="auto"/>
          <w:sz w:val="24"/>
          <w:szCs w:val="24"/>
        </w:rPr>
        <w:tab/>
      </w:r>
      <w:r w:rsidRPr="00776236">
        <w:rPr>
          <w:rFonts w:asciiTheme="minorHAnsi" w:hAnsiTheme="minorHAnsi"/>
          <w:b/>
          <w:i w:val="0"/>
          <w:color w:val="auto"/>
          <w:sz w:val="24"/>
          <w:szCs w:val="24"/>
        </w:rPr>
        <w:t xml:space="preserve">Přehled plánovaného a dosaženého stavu klíčových parametrů informační podpory </w:t>
      </w:r>
      <w:r w:rsidR="00FA7553">
        <w:rPr>
          <w:rFonts w:asciiTheme="minorHAnsi" w:hAnsiTheme="minorHAnsi"/>
          <w:b/>
          <w:i w:val="0"/>
          <w:color w:val="auto"/>
          <w:sz w:val="24"/>
          <w:szCs w:val="24"/>
        </w:rPr>
        <w:t xml:space="preserve">v oblasti </w:t>
      </w:r>
      <w:r w:rsidR="002E43AE" w:rsidRPr="00776236">
        <w:rPr>
          <w:rFonts w:asciiTheme="minorHAnsi" w:hAnsiTheme="minorHAnsi"/>
          <w:b/>
          <w:i w:val="0"/>
          <w:color w:val="auto"/>
          <w:sz w:val="24"/>
          <w:szCs w:val="24"/>
        </w:rPr>
        <w:t>hazardních her</w:t>
      </w:r>
    </w:p>
    <w:tbl>
      <w:tblPr>
        <w:tblW w:w="92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4"/>
        <w:gridCol w:w="3338"/>
        <w:gridCol w:w="4433"/>
      </w:tblGrid>
      <w:tr w:rsidR="002236F3" w:rsidRPr="007D108A" w14:paraId="0B0A501A" w14:textId="77777777" w:rsidTr="00247CAB">
        <w:trPr>
          <w:tblHeader/>
        </w:trPr>
        <w:tc>
          <w:tcPr>
            <w:tcW w:w="1474" w:type="dxa"/>
            <w:tcBorders>
              <w:top w:val="single" w:sz="6" w:space="0" w:color="auto"/>
              <w:left w:val="single" w:sz="6" w:space="0" w:color="auto"/>
              <w:bottom w:val="single" w:sz="6" w:space="0" w:color="auto"/>
              <w:right w:val="single" w:sz="6" w:space="0" w:color="auto"/>
            </w:tcBorders>
            <w:shd w:val="clear" w:color="auto" w:fill="E5F1FF"/>
            <w:hideMark/>
          </w:tcPr>
          <w:p w14:paraId="0B8DF109" w14:textId="0A7619CE" w:rsidR="002236F3" w:rsidRPr="008142C5" w:rsidRDefault="002236F3" w:rsidP="00AB271D">
            <w:pPr>
              <w:keepNext/>
              <w:spacing w:after="0" w:line="240" w:lineRule="auto"/>
              <w:jc w:val="center"/>
              <w:textAlignment w:val="baseline"/>
              <w:rPr>
                <w:rFonts w:asciiTheme="minorHAnsi" w:eastAsia="Times New Roman" w:hAnsiTheme="minorHAnsi"/>
                <w:b/>
                <w:sz w:val="20"/>
                <w:szCs w:val="20"/>
                <w:lang w:eastAsia="cs-CZ"/>
              </w:rPr>
            </w:pPr>
            <w:r w:rsidRPr="008142C5">
              <w:rPr>
                <w:rFonts w:asciiTheme="minorHAnsi" w:eastAsia="Times New Roman" w:hAnsiTheme="minorHAnsi"/>
                <w:b/>
                <w:sz w:val="20"/>
                <w:szCs w:val="20"/>
                <w:lang w:eastAsia="cs-CZ"/>
              </w:rPr>
              <w:t>Parametr</w:t>
            </w:r>
          </w:p>
        </w:tc>
        <w:tc>
          <w:tcPr>
            <w:tcW w:w="3338" w:type="dxa"/>
            <w:tcBorders>
              <w:top w:val="single" w:sz="6" w:space="0" w:color="auto"/>
              <w:left w:val="outset" w:sz="6" w:space="0" w:color="auto"/>
              <w:bottom w:val="single" w:sz="6" w:space="0" w:color="auto"/>
              <w:right w:val="single" w:sz="6" w:space="0" w:color="auto"/>
            </w:tcBorders>
            <w:shd w:val="clear" w:color="auto" w:fill="E5F1FF"/>
            <w:hideMark/>
          </w:tcPr>
          <w:p w14:paraId="5F64A954" w14:textId="6FC89E3E" w:rsidR="002236F3" w:rsidRPr="008142C5" w:rsidRDefault="002236F3" w:rsidP="00AB271D">
            <w:pPr>
              <w:keepNext/>
              <w:spacing w:after="0" w:line="240" w:lineRule="auto"/>
              <w:jc w:val="center"/>
              <w:textAlignment w:val="baseline"/>
              <w:rPr>
                <w:rFonts w:asciiTheme="minorHAnsi" w:eastAsia="Times New Roman" w:hAnsiTheme="minorHAnsi"/>
                <w:b/>
                <w:sz w:val="20"/>
                <w:szCs w:val="20"/>
                <w:lang w:eastAsia="cs-CZ"/>
              </w:rPr>
            </w:pPr>
            <w:r w:rsidRPr="008142C5">
              <w:rPr>
                <w:rFonts w:asciiTheme="minorHAnsi" w:eastAsia="Times New Roman" w:hAnsiTheme="minorHAnsi"/>
                <w:b/>
                <w:sz w:val="20"/>
                <w:szCs w:val="20"/>
                <w:lang w:eastAsia="cs-CZ"/>
              </w:rPr>
              <w:t>Plánovaný cílový stav</w:t>
            </w:r>
          </w:p>
        </w:tc>
        <w:tc>
          <w:tcPr>
            <w:tcW w:w="4433" w:type="dxa"/>
            <w:tcBorders>
              <w:top w:val="single" w:sz="6" w:space="0" w:color="auto"/>
              <w:left w:val="outset" w:sz="6" w:space="0" w:color="auto"/>
              <w:bottom w:val="single" w:sz="6" w:space="0" w:color="auto"/>
              <w:right w:val="single" w:sz="6" w:space="0" w:color="auto"/>
            </w:tcBorders>
            <w:shd w:val="clear" w:color="auto" w:fill="E5F1FF"/>
            <w:hideMark/>
          </w:tcPr>
          <w:p w14:paraId="33C0EB29" w14:textId="36839E3A" w:rsidR="002236F3" w:rsidRPr="008142C5" w:rsidRDefault="002236F3" w:rsidP="00AB271D">
            <w:pPr>
              <w:keepNext/>
              <w:spacing w:after="0" w:line="240" w:lineRule="auto"/>
              <w:jc w:val="center"/>
              <w:textAlignment w:val="baseline"/>
              <w:rPr>
                <w:rFonts w:asciiTheme="minorHAnsi" w:eastAsia="Times New Roman" w:hAnsiTheme="minorHAnsi"/>
                <w:b/>
                <w:sz w:val="20"/>
                <w:szCs w:val="20"/>
                <w:lang w:eastAsia="cs-CZ"/>
              </w:rPr>
            </w:pPr>
            <w:r w:rsidRPr="008142C5">
              <w:rPr>
                <w:rFonts w:asciiTheme="minorHAnsi" w:eastAsia="Times New Roman" w:hAnsiTheme="minorHAnsi"/>
                <w:b/>
                <w:sz w:val="20"/>
                <w:szCs w:val="20"/>
                <w:lang w:eastAsia="cs-CZ"/>
              </w:rPr>
              <w:t>Skutečný stav</w:t>
            </w:r>
          </w:p>
        </w:tc>
      </w:tr>
      <w:tr w:rsidR="002236F3" w:rsidRPr="007D108A" w14:paraId="10A5FA3C" w14:textId="77777777" w:rsidTr="00247CAB">
        <w:tc>
          <w:tcPr>
            <w:tcW w:w="1474" w:type="dxa"/>
            <w:tcBorders>
              <w:top w:val="outset" w:sz="6" w:space="0" w:color="auto"/>
              <w:left w:val="single" w:sz="6" w:space="0" w:color="auto"/>
              <w:bottom w:val="single" w:sz="6" w:space="0" w:color="auto"/>
              <w:right w:val="single" w:sz="6" w:space="0" w:color="auto"/>
            </w:tcBorders>
            <w:shd w:val="clear" w:color="auto" w:fill="F2C6C9"/>
            <w:hideMark/>
          </w:tcPr>
          <w:p w14:paraId="25AF9E82" w14:textId="7259DBA1" w:rsidR="002236F3" w:rsidRPr="008142C5" w:rsidRDefault="002236F3" w:rsidP="00AB271D">
            <w:pPr>
              <w:keepNext/>
              <w:spacing w:after="0" w:line="240" w:lineRule="auto"/>
              <w:jc w:val="left"/>
              <w:textAlignment w:val="baseline"/>
              <w:rPr>
                <w:rFonts w:asciiTheme="minorHAnsi" w:hAnsiTheme="minorHAnsi"/>
                <w:b/>
                <w:color w:val="000000"/>
                <w:sz w:val="20"/>
                <w:szCs w:val="20"/>
              </w:rPr>
            </w:pPr>
            <w:r w:rsidRPr="008142C5">
              <w:rPr>
                <w:rFonts w:asciiTheme="minorHAnsi" w:hAnsiTheme="minorHAnsi"/>
                <w:b/>
                <w:color w:val="000000"/>
                <w:sz w:val="20"/>
                <w:szCs w:val="20"/>
              </w:rPr>
              <w:t>Rozsah</w:t>
            </w:r>
          </w:p>
        </w:tc>
        <w:tc>
          <w:tcPr>
            <w:tcW w:w="3338" w:type="dxa"/>
            <w:tcBorders>
              <w:top w:val="outset" w:sz="6" w:space="0" w:color="auto"/>
              <w:left w:val="outset" w:sz="6" w:space="0" w:color="auto"/>
              <w:bottom w:val="single" w:sz="6" w:space="0" w:color="auto"/>
              <w:right w:val="single" w:sz="6" w:space="0" w:color="auto"/>
            </w:tcBorders>
            <w:shd w:val="clear" w:color="auto" w:fill="auto"/>
            <w:hideMark/>
          </w:tcPr>
          <w:p w14:paraId="5D60A962" w14:textId="1C6507F2" w:rsidR="002236F3" w:rsidRPr="007D108A" w:rsidRDefault="002236F3" w:rsidP="00AB271D">
            <w:pPr>
              <w:pStyle w:val="Default"/>
              <w:keepNext/>
              <w:rPr>
                <w:rFonts w:asciiTheme="minorHAnsi" w:hAnsiTheme="minorHAnsi" w:cstheme="minorHAnsi"/>
                <w:sz w:val="20"/>
                <w:szCs w:val="20"/>
              </w:rPr>
            </w:pPr>
            <w:r w:rsidRPr="007D108A">
              <w:rPr>
                <w:rFonts w:asciiTheme="minorHAnsi" w:hAnsiTheme="minorHAnsi" w:cstheme="minorHAnsi"/>
                <w:sz w:val="20"/>
                <w:szCs w:val="20"/>
              </w:rPr>
              <w:t>Funkční AM</w:t>
            </w:r>
            <w:r w:rsidR="00323307">
              <w:rPr>
                <w:rFonts w:asciiTheme="minorHAnsi" w:hAnsiTheme="minorHAnsi" w:cstheme="minorHAnsi"/>
                <w:sz w:val="20"/>
                <w:szCs w:val="20"/>
              </w:rPr>
              <w:t xml:space="preserve"> AISG</w:t>
            </w:r>
          </w:p>
          <w:p w14:paraId="604EEB5E" w14:textId="7C4B910B" w:rsidR="002236F3" w:rsidRPr="007D108A" w:rsidRDefault="002236F3" w:rsidP="00AB271D">
            <w:pPr>
              <w:pStyle w:val="Default"/>
              <w:keepNext/>
              <w:rPr>
                <w:rFonts w:asciiTheme="minorHAnsi" w:hAnsiTheme="minorHAnsi" w:cstheme="minorHAnsi"/>
                <w:sz w:val="20"/>
                <w:szCs w:val="20"/>
              </w:rPr>
            </w:pPr>
            <w:r w:rsidRPr="007D108A">
              <w:rPr>
                <w:rFonts w:asciiTheme="minorHAnsi" w:hAnsiTheme="minorHAnsi" w:cstheme="minorHAnsi"/>
                <w:sz w:val="20"/>
                <w:szCs w:val="20"/>
              </w:rPr>
              <w:t>Funkční DM</w:t>
            </w:r>
            <w:r w:rsidR="00323307">
              <w:rPr>
                <w:rFonts w:asciiTheme="minorHAnsi" w:hAnsiTheme="minorHAnsi" w:cstheme="minorHAnsi"/>
                <w:sz w:val="20"/>
                <w:szCs w:val="20"/>
              </w:rPr>
              <w:t xml:space="preserve"> AISG</w:t>
            </w:r>
          </w:p>
          <w:p w14:paraId="4EA85C06" w14:textId="1C3B37F4" w:rsidR="002236F3" w:rsidRPr="007D108A" w:rsidRDefault="002236F3" w:rsidP="00AB271D">
            <w:pPr>
              <w:pStyle w:val="Default"/>
              <w:keepNext/>
              <w:rPr>
                <w:rFonts w:asciiTheme="minorHAnsi" w:hAnsiTheme="minorHAnsi" w:cstheme="minorHAnsi"/>
                <w:sz w:val="20"/>
                <w:szCs w:val="20"/>
              </w:rPr>
            </w:pPr>
            <w:r w:rsidRPr="007D108A">
              <w:rPr>
                <w:rFonts w:asciiTheme="minorHAnsi" w:hAnsiTheme="minorHAnsi" w:cstheme="minorHAnsi"/>
                <w:sz w:val="20"/>
                <w:szCs w:val="20"/>
              </w:rPr>
              <w:t xml:space="preserve">Funkční SM </w:t>
            </w:r>
            <w:r w:rsidR="00323307">
              <w:rPr>
                <w:rFonts w:asciiTheme="minorHAnsi" w:hAnsiTheme="minorHAnsi" w:cstheme="minorHAnsi"/>
                <w:sz w:val="20"/>
                <w:szCs w:val="20"/>
              </w:rPr>
              <w:t>AISG</w:t>
            </w:r>
            <w:r w:rsidR="00323307" w:rsidRPr="007D108A">
              <w:rPr>
                <w:rFonts w:asciiTheme="minorHAnsi" w:hAnsiTheme="minorHAnsi" w:cstheme="minorHAnsi"/>
                <w:sz w:val="20"/>
                <w:szCs w:val="20"/>
              </w:rPr>
              <w:t xml:space="preserve"> </w:t>
            </w:r>
            <w:r w:rsidRPr="007D108A">
              <w:rPr>
                <w:rFonts w:asciiTheme="minorHAnsi" w:hAnsiTheme="minorHAnsi" w:cstheme="minorHAnsi"/>
                <w:sz w:val="20"/>
                <w:szCs w:val="20"/>
              </w:rPr>
              <w:t>podporuj</w:t>
            </w:r>
            <w:r w:rsidR="007D108A" w:rsidRPr="007D108A">
              <w:rPr>
                <w:rFonts w:asciiTheme="minorHAnsi" w:hAnsiTheme="minorHAnsi" w:cstheme="minorHAnsi"/>
                <w:sz w:val="20"/>
                <w:szCs w:val="20"/>
              </w:rPr>
              <w:t>e</w:t>
            </w:r>
            <w:r w:rsidRPr="007D108A">
              <w:rPr>
                <w:rFonts w:asciiTheme="minorHAnsi" w:hAnsiTheme="minorHAnsi" w:cstheme="minorHAnsi"/>
                <w:sz w:val="20"/>
                <w:szCs w:val="20"/>
              </w:rPr>
              <w:t xml:space="preserve"> </w:t>
            </w:r>
            <w:r w:rsidR="007D108A" w:rsidRPr="007D108A">
              <w:rPr>
                <w:rFonts w:asciiTheme="minorHAnsi" w:hAnsiTheme="minorHAnsi" w:cstheme="minorHAnsi"/>
                <w:sz w:val="20"/>
                <w:szCs w:val="20"/>
              </w:rPr>
              <w:t>12</w:t>
            </w:r>
            <w:r w:rsidR="00323307">
              <w:rPr>
                <w:rFonts w:asciiTheme="minorHAnsi" w:hAnsiTheme="minorHAnsi" w:cstheme="minorHAnsi"/>
                <w:sz w:val="20"/>
                <w:szCs w:val="20"/>
              </w:rPr>
              <w:t> </w:t>
            </w:r>
            <w:r w:rsidRPr="007D108A">
              <w:rPr>
                <w:rFonts w:asciiTheme="minorHAnsi" w:hAnsiTheme="minorHAnsi" w:cstheme="minorHAnsi"/>
                <w:sz w:val="20"/>
                <w:szCs w:val="20"/>
              </w:rPr>
              <w:t>procesů.</w:t>
            </w:r>
          </w:p>
          <w:p w14:paraId="2DEA537F" w14:textId="57185318" w:rsidR="002236F3" w:rsidRPr="007D108A" w:rsidRDefault="002236F3" w:rsidP="00AB271D">
            <w:pPr>
              <w:pStyle w:val="Default"/>
              <w:keepNext/>
              <w:rPr>
                <w:rFonts w:asciiTheme="minorHAnsi" w:hAnsiTheme="minorHAnsi" w:cstheme="minorHAnsi"/>
                <w:sz w:val="20"/>
                <w:szCs w:val="20"/>
              </w:rPr>
            </w:pPr>
            <w:r w:rsidRPr="007D108A">
              <w:rPr>
                <w:rFonts w:asciiTheme="minorHAnsi" w:hAnsiTheme="minorHAnsi" w:cstheme="minorHAnsi"/>
                <w:sz w:val="20"/>
                <w:szCs w:val="20"/>
              </w:rPr>
              <w:t>IS SDSL jen pro archivní účely</w:t>
            </w:r>
            <w:r w:rsidR="00D950C5">
              <w:rPr>
                <w:rFonts w:asciiTheme="minorHAnsi" w:hAnsiTheme="minorHAnsi" w:cstheme="minorHAnsi"/>
                <w:sz w:val="20"/>
                <w:szCs w:val="20"/>
              </w:rPr>
              <w:t>.</w:t>
            </w:r>
          </w:p>
        </w:tc>
        <w:tc>
          <w:tcPr>
            <w:tcW w:w="4433" w:type="dxa"/>
            <w:tcBorders>
              <w:top w:val="outset" w:sz="6" w:space="0" w:color="auto"/>
              <w:left w:val="outset" w:sz="6" w:space="0" w:color="auto"/>
              <w:bottom w:val="single" w:sz="6" w:space="0" w:color="auto"/>
              <w:right w:val="single" w:sz="6" w:space="0" w:color="auto"/>
            </w:tcBorders>
            <w:shd w:val="clear" w:color="auto" w:fill="auto"/>
            <w:hideMark/>
          </w:tcPr>
          <w:p w14:paraId="1191F1D3" w14:textId="7A084003" w:rsidR="002236F3" w:rsidRPr="007D108A" w:rsidRDefault="002236F3" w:rsidP="00AB271D">
            <w:pPr>
              <w:pStyle w:val="Default"/>
              <w:keepNext/>
              <w:rPr>
                <w:rFonts w:asciiTheme="minorHAnsi" w:hAnsiTheme="minorHAnsi" w:cstheme="minorHAnsi"/>
                <w:sz w:val="20"/>
                <w:szCs w:val="20"/>
              </w:rPr>
            </w:pPr>
            <w:r w:rsidRPr="007D108A">
              <w:rPr>
                <w:rFonts w:asciiTheme="minorHAnsi" w:hAnsiTheme="minorHAnsi" w:cstheme="minorHAnsi"/>
                <w:sz w:val="20"/>
                <w:szCs w:val="20"/>
              </w:rPr>
              <w:t>Funkční AM</w:t>
            </w:r>
            <w:r w:rsidR="00323307">
              <w:rPr>
                <w:rFonts w:asciiTheme="minorHAnsi" w:hAnsiTheme="minorHAnsi" w:cstheme="minorHAnsi"/>
                <w:sz w:val="20"/>
                <w:szCs w:val="20"/>
              </w:rPr>
              <w:t xml:space="preserve"> AISG</w:t>
            </w:r>
          </w:p>
          <w:p w14:paraId="26F6F875" w14:textId="175EEF10" w:rsidR="002236F3" w:rsidRPr="007D108A" w:rsidRDefault="002236F3" w:rsidP="00AB271D">
            <w:pPr>
              <w:pStyle w:val="Default"/>
              <w:keepNext/>
              <w:rPr>
                <w:rFonts w:asciiTheme="minorHAnsi" w:hAnsiTheme="minorHAnsi" w:cstheme="minorHAnsi"/>
                <w:sz w:val="20"/>
                <w:szCs w:val="20"/>
              </w:rPr>
            </w:pPr>
            <w:r w:rsidRPr="007D108A">
              <w:rPr>
                <w:rFonts w:asciiTheme="minorHAnsi" w:hAnsiTheme="minorHAnsi" w:cstheme="minorHAnsi"/>
                <w:sz w:val="20"/>
                <w:szCs w:val="20"/>
              </w:rPr>
              <w:t>Funkční DM</w:t>
            </w:r>
            <w:r w:rsidR="00323307">
              <w:rPr>
                <w:rFonts w:asciiTheme="minorHAnsi" w:hAnsiTheme="minorHAnsi" w:cstheme="minorHAnsi"/>
                <w:sz w:val="20"/>
                <w:szCs w:val="20"/>
              </w:rPr>
              <w:t xml:space="preserve"> AISG</w:t>
            </w:r>
          </w:p>
          <w:p w14:paraId="6BA65AF2" w14:textId="7290B326" w:rsidR="002236F3" w:rsidRPr="007D108A" w:rsidRDefault="002236F3" w:rsidP="00AB271D">
            <w:pPr>
              <w:pStyle w:val="Default"/>
              <w:keepNext/>
              <w:rPr>
                <w:rFonts w:asciiTheme="minorHAnsi" w:hAnsiTheme="minorHAnsi" w:cstheme="minorHAnsi"/>
                <w:sz w:val="20"/>
                <w:szCs w:val="20"/>
              </w:rPr>
            </w:pPr>
            <w:r w:rsidRPr="007D108A">
              <w:rPr>
                <w:rFonts w:asciiTheme="minorHAnsi" w:hAnsiTheme="minorHAnsi" w:cstheme="minorHAnsi"/>
                <w:sz w:val="20"/>
                <w:szCs w:val="20"/>
              </w:rPr>
              <w:t xml:space="preserve">SM </w:t>
            </w:r>
            <w:r w:rsidR="00323307">
              <w:rPr>
                <w:rFonts w:asciiTheme="minorHAnsi" w:hAnsiTheme="minorHAnsi" w:cstheme="minorHAnsi"/>
                <w:sz w:val="20"/>
                <w:szCs w:val="20"/>
              </w:rPr>
              <w:t>AISG</w:t>
            </w:r>
            <w:r w:rsidR="00323307" w:rsidRPr="007D108A">
              <w:rPr>
                <w:rFonts w:asciiTheme="minorHAnsi" w:hAnsiTheme="minorHAnsi" w:cstheme="minorHAnsi"/>
                <w:sz w:val="20"/>
                <w:szCs w:val="20"/>
              </w:rPr>
              <w:t xml:space="preserve"> </w:t>
            </w:r>
            <w:r w:rsidRPr="007D108A">
              <w:rPr>
                <w:rFonts w:asciiTheme="minorHAnsi" w:hAnsiTheme="minorHAnsi" w:cstheme="minorHAnsi"/>
                <w:sz w:val="20"/>
                <w:szCs w:val="20"/>
              </w:rPr>
              <w:t xml:space="preserve">podporuje </w:t>
            </w:r>
            <w:r w:rsidR="007D108A" w:rsidRPr="007D108A">
              <w:rPr>
                <w:rFonts w:asciiTheme="minorHAnsi" w:hAnsiTheme="minorHAnsi" w:cstheme="minorHAnsi"/>
                <w:sz w:val="20"/>
                <w:szCs w:val="20"/>
              </w:rPr>
              <w:t xml:space="preserve">3 </w:t>
            </w:r>
            <w:r w:rsidRPr="007D108A">
              <w:rPr>
                <w:rFonts w:asciiTheme="minorHAnsi" w:hAnsiTheme="minorHAnsi" w:cstheme="minorHAnsi"/>
                <w:sz w:val="20"/>
                <w:szCs w:val="20"/>
              </w:rPr>
              <w:t>proces</w:t>
            </w:r>
            <w:r w:rsidR="007D108A" w:rsidRPr="007D108A">
              <w:rPr>
                <w:rFonts w:asciiTheme="minorHAnsi" w:hAnsiTheme="minorHAnsi" w:cstheme="minorHAnsi"/>
                <w:sz w:val="20"/>
                <w:szCs w:val="20"/>
              </w:rPr>
              <w:t>y</w:t>
            </w:r>
            <w:r w:rsidRPr="007D108A">
              <w:rPr>
                <w:rFonts w:asciiTheme="minorHAnsi" w:hAnsiTheme="minorHAnsi" w:cstheme="minorHAnsi"/>
                <w:sz w:val="20"/>
                <w:szCs w:val="20"/>
              </w:rPr>
              <w:t>,</w:t>
            </w:r>
            <w:r w:rsidR="007D108A" w:rsidRPr="007D108A">
              <w:rPr>
                <w:rFonts w:asciiTheme="minorHAnsi" w:hAnsiTheme="minorHAnsi" w:cstheme="minorHAnsi"/>
                <w:sz w:val="20"/>
                <w:szCs w:val="20"/>
              </w:rPr>
              <w:t xml:space="preserve"> </w:t>
            </w:r>
            <w:r w:rsidRPr="007D108A">
              <w:rPr>
                <w:rFonts w:asciiTheme="minorHAnsi" w:hAnsiTheme="minorHAnsi" w:cstheme="minorHAnsi"/>
                <w:sz w:val="20"/>
                <w:szCs w:val="20"/>
              </w:rPr>
              <w:t>které MF nevyužívá.</w:t>
            </w:r>
          </w:p>
          <w:p w14:paraId="464643DB" w14:textId="298CBE62" w:rsidR="002236F3" w:rsidRPr="007D108A" w:rsidRDefault="002236F3" w:rsidP="00AB271D">
            <w:pPr>
              <w:pStyle w:val="Default"/>
              <w:keepNext/>
              <w:rPr>
                <w:rFonts w:asciiTheme="minorHAnsi" w:hAnsiTheme="minorHAnsi" w:cstheme="minorHAnsi"/>
                <w:sz w:val="20"/>
                <w:szCs w:val="20"/>
              </w:rPr>
            </w:pPr>
            <w:r w:rsidRPr="007D108A">
              <w:rPr>
                <w:rFonts w:asciiTheme="minorHAnsi" w:hAnsiTheme="minorHAnsi" w:cstheme="minorHAnsi"/>
                <w:sz w:val="20"/>
                <w:szCs w:val="20"/>
              </w:rPr>
              <w:t xml:space="preserve">IS SDSL </w:t>
            </w:r>
            <w:r w:rsidR="007D108A" w:rsidRPr="007D108A">
              <w:rPr>
                <w:rFonts w:asciiTheme="minorHAnsi" w:hAnsiTheme="minorHAnsi" w:cstheme="minorHAnsi"/>
                <w:sz w:val="20"/>
                <w:szCs w:val="20"/>
              </w:rPr>
              <w:t xml:space="preserve">v provozu, </w:t>
            </w:r>
            <w:r w:rsidRPr="007D108A">
              <w:rPr>
                <w:rFonts w:asciiTheme="minorHAnsi" w:hAnsiTheme="minorHAnsi" w:cstheme="minorHAnsi"/>
                <w:sz w:val="20"/>
                <w:szCs w:val="20"/>
              </w:rPr>
              <w:t>částečná náhrada SM</w:t>
            </w:r>
            <w:r w:rsidR="00323307">
              <w:rPr>
                <w:rFonts w:asciiTheme="minorHAnsi" w:hAnsiTheme="minorHAnsi" w:cstheme="minorHAnsi"/>
                <w:sz w:val="20"/>
                <w:szCs w:val="20"/>
              </w:rPr>
              <w:t xml:space="preserve"> AISG</w:t>
            </w:r>
            <w:r w:rsidRPr="007D108A">
              <w:rPr>
                <w:rFonts w:asciiTheme="minorHAnsi" w:hAnsiTheme="minorHAnsi" w:cstheme="minorHAnsi"/>
                <w:sz w:val="20"/>
                <w:szCs w:val="20"/>
              </w:rPr>
              <w:t>.</w:t>
            </w:r>
          </w:p>
        </w:tc>
      </w:tr>
      <w:tr w:rsidR="002236F3" w:rsidRPr="007D108A" w14:paraId="11B4D978" w14:textId="77777777" w:rsidTr="00247CAB">
        <w:tc>
          <w:tcPr>
            <w:tcW w:w="1474" w:type="dxa"/>
            <w:tcBorders>
              <w:top w:val="outset" w:sz="6" w:space="0" w:color="auto"/>
              <w:left w:val="single" w:sz="6" w:space="0" w:color="auto"/>
              <w:bottom w:val="single" w:sz="6" w:space="0" w:color="auto"/>
              <w:right w:val="single" w:sz="6" w:space="0" w:color="auto"/>
            </w:tcBorders>
            <w:shd w:val="clear" w:color="auto" w:fill="F2C6C9"/>
            <w:hideMark/>
          </w:tcPr>
          <w:p w14:paraId="4A7D82D3" w14:textId="177082DB" w:rsidR="002236F3" w:rsidRPr="008142C5" w:rsidRDefault="002236F3" w:rsidP="00AB271D">
            <w:pPr>
              <w:keepNext/>
              <w:spacing w:after="0" w:line="240" w:lineRule="auto"/>
              <w:jc w:val="left"/>
              <w:textAlignment w:val="baseline"/>
              <w:rPr>
                <w:rFonts w:asciiTheme="minorHAnsi" w:hAnsiTheme="minorHAnsi"/>
                <w:b/>
                <w:color w:val="000000"/>
                <w:sz w:val="20"/>
                <w:szCs w:val="20"/>
              </w:rPr>
            </w:pPr>
            <w:r w:rsidRPr="008142C5">
              <w:rPr>
                <w:rFonts w:asciiTheme="minorHAnsi" w:hAnsiTheme="minorHAnsi"/>
                <w:b/>
                <w:color w:val="000000"/>
                <w:sz w:val="20"/>
                <w:szCs w:val="20"/>
              </w:rPr>
              <w:t>Pořizovací náklady  </w:t>
            </w:r>
          </w:p>
        </w:tc>
        <w:tc>
          <w:tcPr>
            <w:tcW w:w="3338" w:type="dxa"/>
            <w:tcBorders>
              <w:top w:val="outset" w:sz="6" w:space="0" w:color="auto"/>
              <w:left w:val="outset" w:sz="6" w:space="0" w:color="auto"/>
              <w:bottom w:val="single" w:sz="6" w:space="0" w:color="auto"/>
              <w:right w:val="single" w:sz="6" w:space="0" w:color="auto"/>
            </w:tcBorders>
            <w:shd w:val="clear" w:color="auto" w:fill="auto"/>
            <w:hideMark/>
          </w:tcPr>
          <w:p w14:paraId="35DED17E" w14:textId="5258C973" w:rsidR="002236F3" w:rsidRPr="008142C5" w:rsidRDefault="002236F3" w:rsidP="00AB271D">
            <w:pPr>
              <w:keepNext/>
              <w:spacing w:after="0" w:line="240" w:lineRule="auto"/>
              <w:jc w:val="left"/>
              <w:textAlignment w:val="baseline"/>
              <w:rPr>
                <w:rFonts w:asciiTheme="minorHAnsi" w:hAnsiTheme="minorHAnsi"/>
                <w:color w:val="000000"/>
                <w:sz w:val="20"/>
                <w:szCs w:val="20"/>
              </w:rPr>
            </w:pPr>
            <w:r w:rsidRPr="008142C5">
              <w:rPr>
                <w:rFonts w:asciiTheme="minorHAnsi" w:hAnsiTheme="minorHAnsi"/>
                <w:color w:val="000000"/>
                <w:sz w:val="20"/>
                <w:szCs w:val="20"/>
              </w:rPr>
              <w:t>DM + SM AISG: 24 114 816</w:t>
            </w:r>
            <w:r w:rsidR="00323307">
              <w:rPr>
                <w:rFonts w:asciiTheme="minorHAnsi" w:hAnsiTheme="minorHAnsi"/>
                <w:color w:val="000000"/>
                <w:sz w:val="20"/>
                <w:szCs w:val="20"/>
              </w:rPr>
              <w:t xml:space="preserve"> Kč</w:t>
            </w:r>
          </w:p>
          <w:p w14:paraId="051CFF09" w14:textId="77777777" w:rsidR="007D108A" w:rsidRPr="008142C5" w:rsidRDefault="007D108A" w:rsidP="00AB271D">
            <w:pPr>
              <w:keepNext/>
              <w:spacing w:after="0" w:line="240" w:lineRule="auto"/>
              <w:jc w:val="left"/>
              <w:textAlignment w:val="baseline"/>
              <w:rPr>
                <w:rFonts w:asciiTheme="minorHAnsi" w:hAnsiTheme="minorHAnsi"/>
                <w:color w:val="000000"/>
                <w:sz w:val="20"/>
                <w:szCs w:val="20"/>
              </w:rPr>
            </w:pPr>
          </w:p>
          <w:p w14:paraId="45711D63" w14:textId="177EAEBF" w:rsidR="002236F3" w:rsidRPr="008142C5" w:rsidRDefault="002236F3" w:rsidP="00AB271D">
            <w:pPr>
              <w:keepNext/>
              <w:spacing w:after="0" w:line="240" w:lineRule="auto"/>
              <w:jc w:val="left"/>
              <w:textAlignment w:val="baseline"/>
              <w:rPr>
                <w:rFonts w:asciiTheme="minorHAnsi" w:hAnsiTheme="minorHAnsi"/>
                <w:color w:val="000000"/>
                <w:sz w:val="20"/>
                <w:szCs w:val="20"/>
              </w:rPr>
            </w:pPr>
            <w:r w:rsidRPr="008142C5">
              <w:rPr>
                <w:rFonts w:asciiTheme="minorHAnsi" w:hAnsiTheme="minorHAnsi"/>
                <w:color w:val="000000"/>
                <w:sz w:val="20"/>
                <w:szCs w:val="20"/>
              </w:rPr>
              <w:t>AM AISG 16 380</w:t>
            </w:r>
            <w:r w:rsidR="00323307">
              <w:rPr>
                <w:rFonts w:asciiTheme="minorHAnsi" w:hAnsiTheme="minorHAnsi"/>
                <w:color w:val="000000"/>
                <w:sz w:val="20"/>
                <w:szCs w:val="20"/>
              </w:rPr>
              <w:t> </w:t>
            </w:r>
            <w:r w:rsidRPr="008142C5">
              <w:rPr>
                <w:rFonts w:asciiTheme="minorHAnsi" w:hAnsiTheme="minorHAnsi"/>
                <w:color w:val="000000"/>
                <w:sz w:val="20"/>
                <w:szCs w:val="20"/>
              </w:rPr>
              <w:t>246</w:t>
            </w:r>
            <w:r w:rsidR="00323307">
              <w:rPr>
                <w:rFonts w:asciiTheme="minorHAnsi" w:hAnsiTheme="minorHAnsi"/>
                <w:color w:val="000000"/>
                <w:sz w:val="20"/>
                <w:szCs w:val="20"/>
              </w:rPr>
              <w:t xml:space="preserve"> Kč</w:t>
            </w:r>
          </w:p>
        </w:tc>
        <w:tc>
          <w:tcPr>
            <w:tcW w:w="4433" w:type="dxa"/>
            <w:tcBorders>
              <w:top w:val="outset" w:sz="6" w:space="0" w:color="auto"/>
              <w:left w:val="outset" w:sz="6" w:space="0" w:color="auto"/>
              <w:bottom w:val="single" w:sz="6" w:space="0" w:color="auto"/>
              <w:right w:val="single" w:sz="6" w:space="0" w:color="auto"/>
            </w:tcBorders>
            <w:shd w:val="clear" w:color="auto" w:fill="auto"/>
            <w:hideMark/>
          </w:tcPr>
          <w:p w14:paraId="32D8DCD7" w14:textId="72028AF5" w:rsidR="0061220F" w:rsidRPr="007D108A" w:rsidRDefault="000A305C" w:rsidP="00AB271D">
            <w:pPr>
              <w:pStyle w:val="Default"/>
              <w:keepNext/>
              <w:rPr>
                <w:rFonts w:asciiTheme="minorHAnsi" w:hAnsiTheme="minorHAnsi" w:cstheme="minorHAnsi"/>
                <w:sz w:val="20"/>
                <w:szCs w:val="20"/>
              </w:rPr>
            </w:pPr>
            <w:r w:rsidRPr="008142C5">
              <w:rPr>
                <w:rFonts w:asciiTheme="minorHAnsi" w:hAnsiTheme="minorHAnsi" w:cstheme="minorHAnsi"/>
                <w:sz w:val="20"/>
                <w:szCs w:val="20"/>
              </w:rPr>
              <w:t>D</w:t>
            </w:r>
            <w:r w:rsidR="002236F3" w:rsidRPr="008142C5">
              <w:rPr>
                <w:rFonts w:asciiTheme="minorHAnsi" w:hAnsiTheme="minorHAnsi" w:cstheme="minorHAnsi"/>
                <w:sz w:val="20"/>
                <w:szCs w:val="20"/>
              </w:rPr>
              <w:t>M + SM AISG</w:t>
            </w:r>
            <w:r w:rsidR="007D108A" w:rsidRPr="008142C5">
              <w:rPr>
                <w:rFonts w:asciiTheme="minorHAnsi" w:hAnsiTheme="minorHAnsi" w:cstheme="minorHAnsi"/>
                <w:sz w:val="20"/>
                <w:szCs w:val="20"/>
              </w:rPr>
              <w:t xml:space="preserve"> </w:t>
            </w:r>
            <w:r w:rsidR="00100821" w:rsidRPr="00100821">
              <w:rPr>
                <w:rFonts w:asciiTheme="minorHAnsi" w:hAnsiTheme="minorHAnsi" w:cstheme="minorHAnsi"/>
                <w:sz w:val="20"/>
                <w:szCs w:val="20"/>
              </w:rPr>
              <w:t>19</w:t>
            </w:r>
            <w:r w:rsidR="00100821">
              <w:rPr>
                <w:rFonts w:asciiTheme="minorHAnsi" w:hAnsiTheme="minorHAnsi" w:cstheme="minorHAnsi"/>
                <w:sz w:val="20"/>
                <w:szCs w:val="20"/>
              </w:rPr>
              <w:t> </w:t>
            </w:r>
            <w:r w:rsidR="00100821" w:rsidRPr="00100821">
              <w:rPr>
                <w:rFonts w:asciiTheme="minorHAnsi" w:hAnsiTheme="minorHAnsi" w:cstheme="minorHAnsi"/>
                <w:sz w:val="20"/>
                <w:szCs w:val="20"/>
              </w:rPr>
              <w:t>909</w:t>
            </w:r>
            <w:r w:rsidR="00323307">
              <w:rPr>
                <w:rFonts w:asciiTheme="minorHAnsi" w:hAnsiTheme="minorHAnsi" w:cstheme="minorHAnsi"/>
                <w:sz w:val="20"/>
                <w:szCs w:val="20"/>
              </w:rPr>
              <w:t> </w:t>
            </w:r>
            <w:r w:rsidR="00100821" w:rsidRPr="00100821">
              <w:rPr>
                <w:rFonts w:asciiTheme="minorHAnsi" w:hAnsiTheme="minorHAnsi" w:cstheme="minorHAnsi"/>
                <w:sz w:val="20"/>
                <w:szCs w:val="20"/>
              </w:rPr>
              <w:t>630</w:t>
            </w:r>
            <w:r w:rsidR="00323307">
              <w:rPr>
                <w:rFonts w:asciiTheme="minorHAnsi" w:hAnsiTheme="minorHAnsi" w:cstheme="minorHAnsi"/>
                <w:sz w:val="20"/>
                <w:szCs w:val="20"/>
              </w:rPr>
              <w:t xml:space="preserve"> Kč</w:t>
            </w:r>
            <w:r w:rsidR="00100821" w:rsidRPr="008142C5" w:rsidDel="007D108A">
              <w:rPr>
                <w:rFonts w:asciiTheme="minorHAnsi" w:hAnsiTheme="minorHAnsi" w:cstheme="minorHAnsi"/>
                <w:sz w:val="20"/>
                <w:szCs w:val="20"/>
              </w:rPr>
              <w:t xml:space="preserve"> </w:t>
            </w:r>
            <w:r w:rsidR="0061220F" w:rsidRPr="00C133AE">
              <w:rPr>
                <w:rFonts w:asciiTheme="minorHAnsi" w:hAnsiTheme="minorHAnsi" w:cstheme="minorHAnsi"/>
                <w:sz w:val="20"/>
                <w:szCs w:val="20"/>
              </w:rPr>
              <w:t>(snížený rozsah</w:t>
            </w:r>
            <w:r w:rsidR="0061220F">
              <w:rPr>
                <w:rFonts w:asciiTheme="minorHAnsi" w:hAnsiTheme="minorHAnsi" w:cstheme="minorHAnsi"/>
                <w:sz w:val="20"/>
                <w:szCs w:val="20"/>
              </w:rPr>
              <w:t>, snížená cena</w:t>
            </w:r>
            <w:r w:rsidR="0061220F" w:rsidRPr="00C133AE">
              <w:rPr>
                <w:rFonts w:asciiTheme="minorHAnsi" w:hAnsiTheme="minorHAnsi" w:cstheme="minorHAnsi"/>
                <w:sz w:val="20"/>
                <w:szCs w:val="20"/>
              </w:rPr>
              <w:t>)</w:t>
            </w:r>
          </w:p>
          <w:p w14:paraId="3B06DF64" w14:textId="5B34E763" w:rsidR="002236F3" w:rsidRPr="007D108A" w:rsidRDefault="002236F3" w:rsidP="00671A1E">
            <w:pPr>
              <w:pStyle w:val="Default"/>
              <w:keepNext/>
              <w:rPr>
                <w:rFonts w:asciiTheme="minorHAnsi" w:hAnsiTheme="minorHAnsi" w:cstheme="minorHAnsi"/>
                <w:sz w:val="20"/>
                <w:szCs w:val="20"/>
              </w:rPr>
            </w:pPr>
            <w:r w:rsidRPr="008142C5">
              <w:rPr>
                <w:rFonts w:asciiTheme="minorHAnsi" w:hAnsiTheme="minorHAnsi" w:cstheme="minorHAnsi"/>
                <w:sz w:val="20"/>
                <w:szCs w:val="20"/>
              </w:rPr>
              <w:t>AM AISG </w:t>
            </w:r>
            <w:r w:rsidRPr="007D108A">
              <w:rPr>
                <w:rFonts w:asciiTheme="minorHAnsi" w:hAnsiTheme="minorHAnsi" w:cstheme="minorHAnsi"/>
                <w:sz w:val="20"/>
                <w:szCs w:val="20"/>
              </w:rPr>
              <w:t>29 230</w:t>
            </w:r>
            <w:r w:rsidR="00323307">
              <w:rPr>
                <w:rFonts w:asciiTheme="minorHAnsi" w:hAnsiTheme="minorHAnsi" w:cstheme="minorHAnsi"/>
                <w:sz w:val="20"/>
                <w:szCs w:val="20"/>
              </w:rPr>
              <w:t> </w:t>
            </w:r>
            <w:r w:rsidRPr="007D108A">
              <w:rPr>
                <w:rFonts w:asciiTheme="minorHAnsi" w:hAnsiTheme="minorHAnsi" w:cstheme="minorHAnsi"/>
                <w:sz w:val="20"/>
                <w:szCs w:val="20"/>
              </w:rPr>
              <w:t>446</w:t>
            </w:r>
            <w:r w:rsidR="00323307">
              <w:rPr>
                <w:rFonts w:asciiTheme="minorHAnsi" w:hAnsiTheme="minorHAnsi" w:cstheme="minorHAnsi"/>
                <w:sz w:val="20"/>
                <w:szCs w:val="20"/>
              </w:rPr>
              <w:t xml:space="preserve"> Kč</w:t>
            </w:r>
          </w:p>
        </w:tc>
      </w:tr>
      <w:tr w:rsidR="002236F3" w:rsidRPr="007D108A" w14:paraId="4D9B7790" w14:textId="77777777" w:rsidTr="00247CAB">
        <w:tc>
          <w:tcPr>
            <w:tcW w:w="1474" w:type="dxa"/>
            <w:tcBorders>
              <w:top w:val="outset" w:sz="6" w:space="0" w:color="auto"/>
              <w:left w:val="single" w:sz="6" w:space="0" w:color="auto"/>
              <w:bottom w:val="single" w:sz="6" w:space="0" w:color="auto"/>
              <w:right w:val="single" w:sz="6" w:space="0" w:color="auto"/>
            </w:tcBorders>
            <w:shd w:val="clear" w:color="auto" w:fill="F2C6C9"/>
            <w:hideMark/>
          </w:tcPr>
          <w:p w14:paraId="620797C6" w14:textId="7F32EAF4" w:rsidR="002236F3" w:rsidRPr="008142C5" w:rsidRDefault="002236F3" w:rsidP="00AB271D">
            <w:pPr>
              <w:keepNext/>
              <w:spacing w:after="0" w:line="240" w:lineRule="auto"/>
              <w:jc w:val="left"/>
              <w:textAlignment w:val="baseline"/>
              <w:rPr>
                <w:rFonts w:asciiTheme="minorHAnsi" w:hAnsiTheme="minorHAnsi"/>
                <w:b/>
                <w:color w:val="000000"/>
                <w:sz w:val="20"/>
                <w:szCs w:val="20"/>
              </w:rPr>
            </w:pPr>
            <w:r w:rsidRPr="008142C5">
              <w:rPr>
                <w:rFonts w:asciiTheme="minorHAnsi" w:hAnsiTheme="minorHAnsi"/>
                <w:b/>
                <w:color w:val="000000"/>
                <w:sz w:val="20"/>
                <w:szCs w:val="20"/>
              </w:rPr>
              <w:t>Měsíční provozní</w:t>
            </w:r>
            <w:r w:rsidR="00F303E0">
              <w:rPr>
                <w:rFonts w:asciiTheme="minorHAnsi" w:hAnsiTheme="minorHAnsi"/>
                <w:b/>
                <w:color w:val="000000"/>
                <w:sz w:val="20"/>
                <w:szCs w:val="20"/>
              </w:rPr>
              <w:t xml:space="preserve"> </w:t>
            </w:r>
          </w:p>
          <w:p w14:paraId="58567632" w14:textId="179DA8E5" w:rsidR="002236F3" w:rsidRPr="008142C5" w:rsidRDefault="002236F3" w:rsidP="00AB271D">
            <w:pPr>
              <w:keepNext/>
              <w:spacing w:after="0" w:line="240" w:lineRule="auto"/>
              <w:jc w:val="left"/>
              <w:textAlignment w:val="baseline"/>
              <w:rPr>
                <w:rFonts w:asciiTheme="minorHAnsi" w:hAnsiTheme="minorHAnsi"/>
                <w:b/>
                <w:color w:val="000000"/>
                <w:sz w:val="20"/>
                <w:szCs w:val="20"/>
              </w:rPr>
            </w:pPr>
            <w:r w:rsidRPr="008142C5">
              <w:rPr>
                <w:rFonts w:asciiTheme="minorHAnsi" w:hAnsiTheme="minorHAnsi"/>
                <w:b/>
                <w:color w:val="000000"/>
                <w:sz w:val="20"/>
                <w:szCs w:val="20"/>
              </w:rPr>
              <w:t>náklady  </w:t>
            </w:r>
          </w:p>
        </w:tc>
        <w:tc>
          <w:tcPr>
            <w:tcW w:w="3338" w:type="dxa"/>
            <w:tcBorders>
              <w:top w:val="outset" w:sz="6" w:space="0" w:color="auto"/>
              <w:left w:val="outset" w:sz="6" w:space="0" w:color="auto"/>
              <w:bottom w:val="single" w:sz="6" w:space="0" w:color="auto"/>
              <w:right w:val="single" w:sz="6" w:space="0" w:color="auto"/>
            </w:tcBorders>
            <w:shd w:val="clear" w:color="auto" w:fill="auto"/>
            <w:hideMark/>
          </w:tcPr>
          <w:p w14:paraId="35BD4548" w14:textId="16650A33" w:rsidR="002236F3" w:rsidRDefault="002236F3" w:rsidP="00AB271D">
            <w:pPr>
              <w:keepNext/>
              <w:spacing w:after="0" w:line="240" w:lineRule="auto"/>
              <w:jc w:val="left"/>
              <w:textAlignment w:val="baseline"/>
              <w:rPr>
                <w:rFonts w:asciiTheme="minorHAnsi" w:hAnsiTheme="minorHAnsi"/>
                <w:color w:val="000000"/>
                <w:sz w:val="20"/>
                <w:szCs w:val="20"/>
                <w:vertAlign w:val="superscript"/>
              </w:rPr>
            </w:pPr>
            <w:r w:rsidRPr="008142C5">
              <w:rPr>
                <w:rFonts w:asciiTheme="minorHAnsi" w:hAnsiTheme="minorHAnsi"/>
                <w:color w:val="000000"/>
                <w:sz w:val="20"/>
                <w:szCs w:val="20"/>
              </w:rPr>
              <w:t>DM + SM AISG:</w:t>
            </w:r>
            <w:r w:rsidR="007D108A" w:rsidRPr="008142C5">
              <w:rPr>
                <w:rFonts w:asciiTheme="minorHAnsi" w:hAnsiTheme="minorHAnsi"/>
                <w:color w:val="000000"/>
                <w:sz w:val="20"/>
                <w:szCs w:val="20"/>
              </w:rPr>
              <w:t xml:space="preserve"> </w:t>
            </w:r>
            <w:r w:rsidRPr="008142C5">
              <w:rPr>
                <w:rFonts w:asciiTheme="minorHAnsi" w:hAnsiTheme="minorHAnsi"/>
                <w:color w:val="000000"/>
                <w:sz w:val="20"/>
                <w:szCs w:val="20"/>
              </w:rPr>
              <w:t>758 657</w:t>
            </w:r>
            <w:r w:rsidR="00323307">
              <w:rPr>
                <w:rFonts w:asciiTheme="minorHAnsi" w:hAnsiTheme="minorHAnsi"/>
                <w:color w:val="000000"/>
                <w:sz w:val="20"/>
                <w:szCs w:val="20"/>
              </w:rPr>
              <w:t xml:space="preserve"> Kč</w:t>
            </w:r>
            <w:r w:rsidR="007552F4" w:rsidRPr="00247CAB">
              <w:rPr>
                <w:rFonts w:asciiTheme="minorHAnsi" w:hAnsiTheme="minorHAnsi"/>
                <w:color w:val="000000"/>
                <w:sz w:val="20"/>
                <w:szCs w:val="20"/>
              </w:rPr>
              <w:t>*</w:t>
            </w:r>
          </w:p>
          <w:p w14:paraId="36D7C45E" w14:textId="77777777" w:rsidR="00323307" w:rsidRPr="008142C5" w:rsidRDefault="00323307" w:rsidP="00AB271D">
            <w:pPr>
              <w:keepNext/>
              <w:spacing w:after="0" w:line="240" w:lineRule="auto"/>
              <w:jc w:val="left"/>
              <w:textAlignment w:val="baseline"/>
              <w:rPr>
                <w:rFonts w:asciiTheme="minorHAnsi" w:hAnsiTheme="minorHAnsi"/>
                <w:color w:val="000000"/>
                <w:sz w:val="20"/>
                <w:szCs w:val="20"/>
              </w:rPr>
            </w:pPr>
          </w:p>
          <w:p w14:paraId="4188F6A0" w14:textId="3D44F210" w:rsidR="002236F3" w:rsidRPr="008142C5" w:rsidRDefault="002236F3" w:rsidP="00AB271D">
            <w:pPr>
              <w:keepNext/>
              <w:spacing w:after="0" w:line="240" w:lineRule="auto"/>
              <w:jc w:val="left"/>
              <w:textAlignment w:val="baseline"/>
              <w:rPr>
                <w:rFonts w:asciiTheme="minorHAnsi" w:hAnsiTheme="minorHAnsi"/>
                <w:color w:val="000000"/>
                <w:sz w:val="20"/>
                <w:szCs w:val="20"/>
              </w:rPr>
            </w:pPr>
            <w:r w:rsidRPr="008142C5">
              <w:rPr>
                <w:rFonts w:asciiTheme="minorHAnsi" w:hAnsiTheme="minorHAnsi"/>
                <w:color w:val="000000"/>
                <w:sz w:val="20"/>
                <w:szCs w:val="20"/>
              </w:rPr>
              <w:t>AM AISG: 885</w:t>
            </w:r>
            <w:r w:rsidR="00323307">
              <w:rPr>
                <w:rFonts w:asciiTheme="minorHAnsi" w:hAnsiTheme="minorHAnsi"/>
                <w:color w:val="000000"/>
                <w:sz w:val="20"/>
                <w:szCs w:val="20"/>
              </w:rPr>
              <w:t> </w:t>
            </w:r>
            <w:r w:rsidRPr="008142C5">
              <w:rPr>
                <w:rFonts w:asciiTheme="minorHAnsi" w:hAnsiTheme="minorHAnsi"/>
                <w:color w:val="000000"/>
                <w:sz w:val="20"/>
                <w:szCs w:val="20"/>
              </w:rPr>
              <w:t>756</w:t>
            </w:r>
            <w:r w:rsidR="00323307">
              <w:rPr>
                <w:rFonts w:asciiTheme="minorHAnsi" w:hAnsiTheme="minorHAnsi"/>
                <w:color w:val="000000"/>
                <w:sz w:val="20"/>
                <w:szCs w:val="20"/>
              </w:rPr>
              <w:t xml:space="preserve"> Kč</w:t>
            </w:r>
          </w:p>
        </w:tc>
        <w:tc>
          <w:tcPr>
            <w:tcW w:w="4433" w:type="dxa"/>
            <w:tcBorders>
              <w:top w:val="outset" w:sz="6" w:space="0" w:color="auto"/>
              <w:left w:val="outset" w:sz="6" w:space="0" w:color="auto"/>
              <w:bottom w:val="single" w:sz="6" w:space="0" w:color="auto"/>
              <w:right w:val="single" w:sz="6" w:space="0" w:color="auto"/>
            </w:tcBorders>
            <w:shd w:val="clear" w:color="auto" w:fill="auto"/>
            <w:hideMark/>
          </w:tcPr>
          <w:p w14:paraId="0BE61894" w14:textId="190717BF" w:rsidR="002236F3" w:rsidRPr="007D108A" w:rsidRDefault="002236F3" w:rsidP="00AB271D">
            <w:pPr>
              <w:pStyle w:val="Default"/>
              <w:keepNext/>
              <w:rPr>
                <w:rFonts w:asciiTheme="minorHAnsi" w:hAnsiTheme="minorHAnsi" w:cstheme="minorHAnsi"/>
                <w:sz w:val="20"/>
                <w:szCs w:val="20"/>
              </w:rPr>
            </w:pPr>
            <w:r w:rsidRPr="008142C5">
              <w:rPr>
                <w:rFonts w:asciiTheme="minorHAnsi" w:hAnsiTheme="minorHAnsi" w:cstheme="minorHAnsi"/>
                <w:sz w:val="20"/>
                <w:szCs w:val="20"/>
              </w:rPr>
              <w:t>DM + SM AISG:</w:t>
            </w:r>
            <w:r w:rsidR="007D108A" w:rsidRPr="007D108A">
              <w:rPr>
                <w:rFonts w:asciiTheme="minorHAnsi" w:hAnsiTheme="minorHAnsi" w:cstheme="minorHAnsi"/>
                <w:sz w:val="20"/>
                <w:szCs w:val="20"/>
              </w:rPr>
              <w:t xml:space="preserve"> </w:t>
            </w:r>
            <w:r w:rsidRPr="007D108A">
              <w:rPr>
                <w:rFonts w:asciiTheme="minorHAnsi" w:hAnsiTheme="minorHAnsi" w:cstheme="minorHAnsi"/>
                <w:sz w:val="20"/>
                <w:szCs w:val="20"/>
              </w:rPr>
              <w:t>461 338</w:t>
            </w:r>
            <w:r w:rsidR="00323307">
              <w:rPr>
                <w:rFonts w:asciiTheme="minorHAnsi" w:hAnsiTheme="minorHAnsi" w:cstheme="minorHAnsi"/>
                <w:sz w:val="20"/>
                <w:szCs w:val="20"/>
              </w:rPr>
              <w:t xml:space="preserve"> Kč</w:t>
            </w:r>
            <w:r w:rsidR="007552F4" w:rsidRPr="00247CAB">
              <w:rPr>
                <w:rFonts w:asciiTheme="minorHAnsi" w:hAnsiTheme="minorHAnsi" w:cstheme="minorHAnsi"/>
                <w:sz w:val="20"/>
                <w:szCs w:val="20"/>
              </w:rPr>
              <w:t>**</w:t>
            </w:r>
            <w:r w:rsidRPr="007D108A">
              <w:rPr>
                <w:rFonts w:asciiTheme="minorHAnsi" w:hAnsiTheme="minorHAnsi" w:cstheme="minorHAnsi"/>
                <w:sz w:val="20"/>
                <w:szCs w:val="20"/>
              </w:rPr>
              <w:t xml:space="preserve"> </w:t>
            </w:r>
            <w:r w:rsidR="007D108A">
              <w:rPr>
                <w:rFonts w:asciiTheme="minorHAnsi" w:hAnsiTheme="minorHAnsi" w:cstheme="minorHAnsi"/>
                <w:sz w:val="20"/>
                <w:szCs w:val="20"/>
              </w:rPr>
              <w:t>(</w:t>
            </w:r>
            <w:r w:rsidR="00772A90" w:rsidRPr="00137F76">
              <w:rPr>
                <w:rFonts w:asciiTheme="minorHAnsi" w:hAnsiTheme="minorHAnsi" w:cstheme="minorHAnsi"/>
                <w:sz w:val="20"/>
                <w:szCs w:val="20"/>
              </w:rPr>
              <w:t>snížený rozsah</w:t>
            </w:r>
            <w:r w:rsidR="00772A90">
              <w:rPr>
                <w:rFonts w:asciiTheme="minorHAnsi" w:hAnsiTheme="minorHAnsi" w:cstheme="minorHAnsi"/>
                <w:sz w:val="20"/>
                <w:szCs w:val="20"/>
              </w:rPr>
              <w:t>,</w:t>
            </w:r>
            <w:r w:rsidR="00772A90" w:rsidRPr="007D108A" w:rsidDel="007D108A">
              <w:rPr>
                <w:rFonts w:asciiTheme="minorHAnsi" w:hAnsiTheme="minorHAnsi" w:cstheme="minorHAnsi"/>
                <w:sz w:val="20"/>
                <w:szCs w:val="20"/>
              </w:rPr>
              <w:t xml:space="preserve"> </w:t>
            </w:r>
            <w:r w:rsidRPr="007D108A">
              <w:rPr>
                <w:rFonts w:asciiTheme="minorHAnsi" w:hAnsiTheme="minorHAnsi" w:cstheme="minorHAnsi"/>
                <w:sz w:val="20"/>
                <w:szCs w:val="20"/>
              </w:rPr>
              <w:t>snížená cena</w:t>
            </w:r>
            <w:r w:rsidR="007D108A">
              <w:rPr>
                <w:rFonts w:asciiTheme="minorHAnsi" w:hAnsiTheme="minorHAnsi" w:cstheme="minorHAnsi"/>
                <w:sz w:val="20"/>
                <w:szCs w:val="20"/>
              </w:rPr>
              <w:t>)</w:t>
            </w:r>
          </w:p>
          <w:p w14:paraId="29416A65" w14:textId="4026BC40" w:rsidR="002236F3" w:rsidRPr="007D108A" w:rsidRDefault="002236F3" w:rsidP="00AB271D">
            <w:pPr>
              <w:pStyle w:val="Default"/>
              <w:keepNext/>
              <w:rPr>
                <w:rFonts w:asciiTheme="minorHAnsi" w:hAnsiTheme="minorHAnsi" w:cstheme="minorHAnsi"/>
                <w:sz w:val="20"/>
                <w:szCs w:val="20"/>
              </w:rPr>
            </w:pPr>
            <w:r w:rsidRPr="008142C5">
              <w:rPr>
                <w:rFonts w:asciiTheme="minorHAnsi" w:hAnsiTheme="minorHAnsi" w:cstheme="minorHAnsi"/>
                <w:sz w:val="20"/>
                <w:szCs w:val="20"/>
              </w:rPr>
              <w:t>AM AISG: </w:t>
            </w:r>
            <w:r w:rsidRPr="007D108A">
              <w:rPr>
                <w:rFonts w:asciiTheme="minorHAnsi" w:hAnsiTheme="minorHAnsi" w:cstheme="minorHAnsi"/>
                <w:sz w:val="20"/>
                <w:szCs w:val="20"/>
              </w:rPr>
              <w:t>885</w:t>
            </w:r>
            <w:r w:rsidR="00323307">
              <w:rPr>
                <w:rFonts w:asciiTheme="minorHAnsi" w:hAnsiTheme="minorHAnsi" w:cstheme="minorHAnsi"/>
                <w:sz w:val="20"/>
                <w:szCs w:val="20"/>
              </w:rPr>
              <w:t> </w:t>
            </w:r>
            <w:r w:rsidRPr="007D108A">
              <w:rPr>
                <w:rFonts w:asciiTheme="minorHAnsi" w:hAnsiTheme="minorHAnsi" w:cstheme="minorHAnsi"/>
                <w:sz w:val="20"/>
                <w:szCs w:val="20"/>
              </w:rPr>
              <w:t>756</w:t>
            </w:r>
            <w:r w:rsidR="00323307">
              <w:rPr>
                <w:rFonts w:asciiTheme="minorHAnsi" w:hAnsiTheme="minorHAnsi" w:cstheme="minorHAnsi"/>
                <w:sz w:val="20"/>
                <w:szCs w:val="20"/>
              </w:rPr>
              <w:t xml:space="preserve"> Kč</w:t>
            </w:r>
          </w:p>
        </w:tc>
      </w:tr>
      <w:tr w:rsidR="002236F3" w:rsidRPr="007D108A" w14:paraId="68965D5D" w14:textId="77777777" w:rsidTr="00247CAB">
        <w:tc>
          <w:tcPr>
            <w:tcW w:w="1474" w:type="dxa"/>
            <w:tcBorders>
              <w:top w:val="outset" w:sz="6" w:space="0" w:color="auto"/>
              <w:left w:val="single" w:sz="6" w:space="0" w:color="auto"/>
              <w:bottom w:val="single" w:sz="6" w:space="0" w:color="auto"/>
              <w:right w:val="single" w:sz="6" w:space="0" w:color="auto"/>
            </w:tcBorders>
            <w:shd w:val="clear" w:color="auto" w:fill="F2C6C9"/>
            <w:hideMark/>
          </w:tcPr>
          <w:p w14:paraId="6046A51B" w14:textId="77777777" w:rsidR="002236F3" w:rsidRPr="008142C5" w:rsidRDefault="002236F3" w:rsidP="00AB271D">
            <w:pPr>
              <w:keepNext/>
              <w:spacing w:after="0" w:line="240" w:lineRule="auto"/>
              <w:jc w:val="left"/>
              <w:textAlignment w:val="baseline"/>
              <w:rPr>
                <w:rFonts w:asciiTheme="minorHAnsi" w:hAnsiTheme="minorHAnsi"/>
                <w:b/>
                <w:color w:val="000000"/>
                <w:sz w:val="20"/>
                <w:szCs w:val="20"/>
              </w:rPr>
            </w:pPr>
            <w:r w:rsidRPr="008142C5">
              <w:rPr>
                <w:rFonts w:asciiTheme="minorHAnsi" w:hAnsiTheme="minorHAnsi"/>
                <w:b/>
                <w:color w:val="000000"/>
                <w:sz w:val="20"/>
                <w:szCs w:val="20"/>
              </w:rPr>
              <w:t>Termíny dodání </w:t>
            </w:r>
          </w:p>
        </w:tc>
        <w:tc>
          <w:tcPr>
            <w:tcW w:w="3338" w:type="dxa"/>
            <w:tcBorders>
              <w:top w:val="outset" w:sz="6" w:space="0" w:color="auto"/>
              <w:left w:val="outset" w:sz="6" w:space="0" w:color="auto"/>
              <w:bottom w:val="single" w:sz="6" w:space="0" w:color="auto"/>
              <w:right w:val="single" w:sz="6" w:space="0" w:color="auto"/>
            </w:tcBorders>
            <w:shd w:val="clear" w:color="auto" w:fill="auto"/>
            <w:hideMark/>
          </w:tcPr>
          <w:p w14:paraId="4C6FD166" w14:textId="2910B021" w:rsidR="002236F3" w:rsidRPr="008142C5" w:rsidRDefault="002236F3" w:rsidP="00AB271D">
            <w:pPr>
              <w:keepNext/>
              <w:spacing w:after="0" w:line="240" w:lineRule="auto"/>
              <w:jc w:val="left"/>
              <w:textAlignment w:val="baseline"/>
              <w:rPr>
                <w:rFonts w:asciiTheme="minorHAnsi" w:hAnsiTheme="minorHAnsi"/>
                <w:color w:val="000000"/>
                <w:sz w:val="20"/>
                <w:szCs w:val="20"/>
              </w:rPr>
            </w:pPr>
            <w:r w:rsidRPr="008142C5">
              <w:rPr>
                <w:rFonts w:asciiTheme="minorHAnsi" w:hAnsiTheme="minorHAnsi"/>
                <w:color w:val="000000"/>
                <w:sz w:val="20"/>
                <w:szCs w:val="20"/>
              </w:rPr>
              <w:t>SM AISG</w:t>
            </w:r>
            <w:r w:rsidR="007D108A" w:rsidRPr="008142C5">
              <w:rPr>
                <w:rFonts w:asciiTheme="minorHAnsi" w:hAnsiTheme="minorHAnsi"/>
                <w:color w:val="000000"/>
                <w:sz w:val="20"/>
                <w:szCs w:val="20"/>
              </w:rPr>
              <w:t>:</w:t>
            </w:r>
            <w:r w:rsidRPr="008142C5">
              <w:rPr>
                <w:rFonts w:asciiTheme="minorHAnsi" w:hAnsiTheme="minorHAnsi"/>
                <w:color w:val="000000"/>
                <w:sz w:val="20"/>
                <w:szCs w:val="20"/>
              </w:rPr>
              <w:t> 17. 12. 2019</w:t>
            </w:r>
          </w:p>
          <w:p w14:paraId="2285AA9D" w14:textId="77777777" w:rsidR="002236F3" w:rsidRPr="008142C5" w:rsidRDefault="002236F3" w:rsidP="00AB271D">
            <w:pPr>
              <w:keepNext/>
              <w:spacing w:after="0" w:line="240" w:lineRule="auto"/>
              <w:jc w:val="left"/>
              <w:textAlignment w:val="baseline"/>
              <w:rPr>
                <w:rFonts w:asciiTheme="minorHAnsi" w:hAnsiTheme="minorHAnsi"/>
                <w:color w:val="000000"/>
                <w:sz w:val="20"/>
                <w:szCs w:val="20"/>
              </w:rPr>
            </w:pPr>
          </w:p>
          <w:p w14:paraId="7B0E9495" w14:textId="0041A368" w:rsidR="002236F3" w:rsidRPr="008142C5" w:rsidRDefault="002236F3" w:rsidP="00AB271D">
            <w:pPr>
              <w:keepNext/>
              <w:spacing w:after="0" w:line="240" w:lineRule="auto"/>
              <w:jc w:val="left"/>
              <w:textAlignment w:val="baseline"/>
              <w:rPr>
                <w:rFonts w:asciiTheme="minorHAnsi" w:hAnsiTheme="minorHAnsi"/>
                <w:color w:val="000000"/>
                <w:sz w:val="20"/>
                <w:szCs w:val="20"/>
              </w:rPr>
            </w:pPr>
            <w:r w:rsidRPr="008142C5">
              <w:rPr>
                <w:rFonts w:asciiTheme="minorHAnsi" w:hAnsiTheme="minorHAnsi"/>
                <w:color w:val="000000"/>
                <w:sz w:val="20"/>
                <w:szCs w:val="20"/>
              </w:rPr>
              <w:t>DM AISG</w:t>
            </w:r>
            <w:r w:rsidR="007D108A" w:rsidRPr="008142C5">
              <w:rPr>
                <w:rFonts w:asciiTheme="minorHAnsi" w:hAnsiTheme="minorHAnsi"/>
                <w:color w:val="000000"/>
                <w:sz w:val="20"/>
                <w:szCs w:val="20"/>
              </w:rPr>
              <w:t xml:space="preserve"> </w:t>
            </w:r>
            <w:r w:rsidRPr="008142C5">
              <w:rPr>
                <w:rFonts w:asciiTheme="minorHAnsi" w:hAnsiTheme="minorHAnsi"/>
                <w:color w:val="000000"/>
                <w:sz w:val="20"/>
                <w:szCs w:val="20"/>
              </w:rPr>
              <w:t>17. 5. 2020</w:t>
            </w:r>
          </w:p>
          <w:p w14:paraId="6C41AA5C" w14:textId="71266FD8" w:rsidR="002236F3" w:rsidRPr="008142C5" w:rsidRDefault="002236F3" w:rsidP="00AB271D">
            <w:pPr>
              <w:keepNext/>
              <w:spacing w:after="0" w:line="240" w:lineRule="auto"/>
              <w:jc w:val="left"/>
              <w:textAlignment w:val="baseline"/>
              <w:rPr>
                <w:rFonts w:asciiTheme="minorHAnsi" w:hAnsiTheme="minorHAnsi"/>
                <w:color w:val="000000"/>
                <w:sz w:val="20"/>
                <w:szCs w:val="20"/>
              </w:rPr>
            </w:pPr>
            <w:r w:rsidRPr="008142C5">
              <w:rPr>
                <w:rFonts w:asciiTheme="minorHAnsi" w:hAnsiTheme="minorHAnsi"/>
                <w:color w:val="000000"/>
                <w:sz w:val="20"/>
                <w:szCs w:val="20"/>
              </w:rPr>
              <w:t>AM AISG 16. 7. 2019</w:t>
            </w:r>
          </w:p>
        </w:tc>
        <w:tc>
          <w:tcPr>
            <w:tcW w:w="4433" w:type="dxa"/>
            <w:tcBorders>
              <w:top w:val="outset" w:sz="6" w:space="0" w:color="auto"/>
              <w:left w:val="outset" w:sz="6" w:space="0" w:color="auto"/>
              <w:bottom w:val="single" w:sz="6" w:space="0" w:color="auto"/>
              <w:right w:val="single" w:sz="6" w:space="0" w:color="auto"/>
            </w:tcBorders>
            <w:shd w:val="clear" w:color="auto" w:fill="auto"/>
            <w:hideMark/>
          </w:tcPr>
          <w:p w14:paraId="3AB599A4" w14:textId="6A9DB1F8" w:rsidR="002236F3" w:rsidRPr="007D108A" w:rsidRDefault="002236F3" w:rsidP="00AB271D">
            <w:pPr>
              <w:pStyle w:val="Default"/>
              <w:keepNext/>
              <w:rPr>
                <w:rFonts w:asciiTheme="minorHAnsi" w:hAnsiTheme="minorHAnsi" w:cstheme="minorHAnsi"/>
                <w:sz w:val="20"/>
                <w:szCs w:val="20"/>
              </w:rPr>
            </w:pPr>
            <w:r w:rsidRPr="008142C5">
              <w:rPr>
                <w:rFonts w:asciiTheme="minorHAnsi" w:hAnsiTheme="minorHAnsi" w:cstheme="minorHAnsi"/>
                <w:sz w:val="20"/>
                <w:szCs w:val="20"/>
              </w:rPr>
              <w:t>SM AISG (</w:t>
            </w:r>
            <w:r w:rsidR="00772A90">
              <w:rPr>
                <w:rFonts w:asciiTheme="minorHAnsi" w:hAnsiTheme="minorHAnsi" w:cstheme="minorHAnsi"/>
                <w:sz w:val="20"/>
                <w:szCs w:val="20"/>
              </w:rPr>
              <w:t xml:space="preserve">snížený </w:t>
            </w:r>
            <w:r w:rsidRPr="008142C5">
              <w:rPr>
                <w:rFonts w:asciiTheme="minorHAnsi" w:hAnsiTheme="minorHAnsi" w:cstheme="minorHAnsi"/>
                <w:sz w:val="20"/>
                <w:szCs w:val="20"/>
              </w:rPr>
              <w:t>rozsah)</w:t>
            </w:r>
            <w:r w:rsidR="007D108A">
              <w:rPr>
                <w:rFonts w:asciiTheme="minorHAnsi" w:hAnsiTheme="minorHAnsi" w:cstheme="minorHAnsi"/>
                <w:sz w:val="20"/>
                <w:szCs w:val="20"/>
              </w:rPr>
              <w:t>:</w:t>
            </w:r>
            <w:r w:rsidR="007D108A" w:rsidRPr="008142C5">
              <w:rPr>
                <w:rFonts w:asciiTheme="minorHAnsi" w:hAnsiTheme="minorHAnsi" w:cstheme="minorHAnsi"/>
                <w:sz w:val="20"/>
                <w:szCs w:val="20"/>
              </w:rPr>
              <w:t xml:space="preserve"> </w:t>
            </w:r>
            <w:r w:rsidRPr="008142C5">
              <w:rPr>
                <w:rFonts w:asciiTheme="minorHAnsi" w:hAnsiTheme="minorHAnsi" w:cstheme="minorHAnsi"/>
                <w:sz w:val="20"/>
                <w:szCs w:val="20"/>
              </w:rPr>
              <w:t>31. 8. 2020 s výhradami</w:t>
            </w:r>
          </w:p>
          <w:p w14:paraId="63D40D6E" w14:textId="3EC1731A" w:rsidR="002236F3" w:rsidRPr="007D108A" w:rsidRDefault="002236F3" w:rsidP="005D3919">
            <w:pPr>
              <w:pStyle w:val="Default"/>
              <w:keepNext/>
              <w:ind w:left="2155"/>
              <w:rPr>
                <w:rFonts w:asciiTheme="minorHAnsi" w:hAnsiTheme="minorHAnsi" w:cstheme="minorHAnsi"/>
                <w:sz w:val="20"/>
                <w:szCs w:val="20"/>
              </w:rPr>
            </w:pPr>
            <w:r w:rsidRPr="007D108A">
              <w:rPr>
                <w:rFonts w:asciiTheme="minorHAnsi" w:hAnsiTheme="minorHAnsi" w:cstheme="minorHAnsi"/>
                <w:sz w:val="20"/>
                <w:szCs w:val="20"/>
              </w:rPr>
              <w:t>30. 9. 2020 bez výhrad</w:t>
            </w:r>
          </w:p>
          <w:p w14:paraId="5237ED7F" w14:textId="1E697787" w:rsidR="002236F3" w:rsidRPr="007D108A" w:rsidRDefault="002236F3" w:rsidP="00AB271D">
            <w:pPr>
              <w:pStyle w:val="Default"/>
              <w:keepNext/>
              <w:rPr>
                <w:rFonts w:asciiTheme="minorHAnsi" w:hAnsiTheme="minorHAnsi" w:cstheme="minorHAnsi"/>
                <w:sz w:val="20"/>
                <w:szCs w:val="20"/>
              </w:rPr>
            </w:pPr>
            <w:r w:rsidRPr="008142C5">
              <w:rPr>
                <w:rFonts w:asciiTheme="minorHAnsi" w:hAnsiTheme="minorHAnsi" w:cstheme="minorHAnsi"/>
                <w:sz w:val="20"/>
                <w:szCs w:val="20"/>
              </w:rPr>
              <w:t>DM AISG</w:t>
            </w:r>
            <w:r w:rsidR="00772A90">
              <w:rPr>
                <w:rFonts w:asciiTheme="minorHAnsi" w:hAnsiTheme="minorHAnsi" w:cstheme="minorHAnsi"/>
                <w:sz w:val="20"/>
                <w:szCs w:val="20"/>
              </w:rPr>
              <w:t xml:space="preserve">: </w:t>
            </w:r>
            <w:r w:rsidRPr="007D108A">
              <w:rPr>
                <w:rFonts w:asciiTheme="minorHAnsi" w:hAnsiTheme="minorHAnsi" w:cstheme="minorHAnsi"/>
                <w:sz w:val="20"/>
                <w:szCs w:val="20"/>
              </w:rPr>
              <w:t>18. 5. 2020</w:t>
            </w:r>
          </w:p>
          <w:p w14:paraId="4E45F54A" w14:textId="4F1B29AB" w:rsidR="002236F3" w:rsidRPr="007D108A" w:rsidRDefault="002236F3" w:rsidP="00AB271D">
            <w:pPr>
              <w:pStyle w:val="Default"/>
              <w:keepNext/>
              <w:rPr>
                <w:rFonts w:asciiTheme="minorHAnsi" w:hAnsiTheme="minorHAnsi" w:cstheme="minorHAnsi"/>
                <w:sz w:val="20"/>
                <w:szCs w:val="20"/>
              </w:rPr>
            </w:pPr>
            <w:r w:rsidRPr="008142C5">
              <w:rPr>
                <w:rFonts w:asciiTheme="minorHAnsi" w:hAnsiTheme="minorHAnsi" w:cstheme="minorHAnsi"/>
                <w:sz w:val="20"/>
                <w:szCs w:val="20"/>
              </w:rPr>
              <w:t>AM AISG</w:t>
            </w:r>
            <w:r w:rsidR="00772A90">
              <w:rPr>
                <w:rFonts w:asciiTheme="minorHAnsi" w:hAnsiTheme="minorHAnsi" w:cstheme="minorHAnsi"/>
                <w:sz w:val="20"/>
                <w:szCs w:val="20"/>
              </w:rPr>
              <w:t>:</w:t>
            </w:r>
            <w:r w:rsidR="007D108A" w:rsidRPr="007D108A">
              <w:rPr>
                <w:rFonts w:asciiTheme="minorHAnsi" w:hAnsiTheme="minorHAnsi" w:cstheme="minorHAnsi"/>
                <w:sz w:val="20"/>
                <w:szCs w:val="20"/>
              </w:rPr>
              <w:t xml:space="preserve"> </w:t>
            </w:r>
            <w:r w:rsidRPr="007D108A">
              <w:rPr>
                <w:rFonts w:asciiTheme="minorHAnsi" w:hAnsiTheme="minorHAnsi" w:cstheme="minorHAnsi"/>
                <w:sz w:val="20"/>
                <w:szCs w:val="20"/>
              </w:rPr>
              <w:t>19. 12. 2019 s výhradami</w:t>
            </w:r>
          </w:p>
          <w:p w14:paraId="6CE00114" w14:textId="601A64BA" w:rsidR="002236F3" w:rsidRPr="007D108A" w:rsidRDefault="002236F3" w:rsidP="005D3919">
            <w:pPr>
              <w:pStyle w:val="Default"/>
              <w:keepNext/>
              <w:ind w:left="850"/>
              <w:rPr>
                <w:rFonts w:asciiTheme="minorHAnsi" w:hAnsiTheme="minorHAnsi" w:cstheme="minorHAnsi"/>
                <w:sz w:val="20"/>
                <w:szCs w:val="20"/>
              </w:rPr>
            </w:pPr>
            <w:r w:rsidRPr="007D108A">
              <w:rPr>
                <w:rFonts w:asciiTheme="minorHAnsi" w:hAnsiTheme="minorHAnsi" w:cstheme="minorHAnsi"/>
                <w:sz w:val="20"/>
                <w:szCs w:val="20"/>
              </w:rPr>
              <w:t>7. 8. 2020 bez výhrad</w:t>
            </w:r>
          </w:p>
        </w:tc>
      </w:tr>
    </w:tbl>
    <w:p w14:paraId="2DE7D14B" w14:textId="0EC48F12" w:rsidR="005D3919" w:rsidRPr="00C40602" w:rsidRDefault="005D3919" w:rsidP="00247CAB">
      <w:pPr>
        <w:keepNext/>
        <w:spacing w:after="0" w:line="240" w:lineRule="auto"/>
        <w:rPr>
          <w:rFonts w:asciiTheme="minorHAnsi" w:hAnsiTheme="minorHAnsi"/>
          <w:sz w:val="20"/>
          <w:szCs w:val="20"/>
        </w:rPr>
      </w:pPr>
      <w:r w:rsidRPr="00C40602">
        <w:rPr>
          <w:rFonts w:asciiTheme="minorHAnsi" w:hAnsiTheme="minorHAnsi"/>
          <w:b/>
          <w:sz w:val="20"/>
          <w:szCs w:val="20"/>
        </w:rPr>
        <w:t>Zdroj:</w:t>
      </w:r>
      <w:r w:rsidRPr="00C40602">
        <w:rPr>
          <w:rFonts w:asciiTheme="minorHAnsi" w:hAnsiTheme="minorHAnsi"/>
          <w:sz w:val="20"/>
          <w:szCs w:val="20"/>
        </w:rPr>
        <w:t xml:space="preserve"> </w:t>
      </w:r>
      <w:r w:rsidR="00323307">
        <w:rPr>
          <w:rFonts w:asciiTheme="minorHAnsi" w:hAnsiTheme="minorHAnsi"/>
          <w:sz w:val="20"/>
          <w:szCs w:val="20"/>
        </w:rPr>
        <w:t xml:space="preserve">informace MF; </w:t>
      </w:r>
      <w:r w:rsidRPr="00C40602">
        <w:rPr>
          <w:rFonts w:asciiTheme="minorHAnsi" w:hAnsiTheme="minorHAnsi"/>
          <w:sz w:val="20"/>
          <w:szCs w:val="20"/>
        </w:rPr>
        <w:t>vlastní zpracování NKÚ.</w:t>
      </w:r>
    </w:p>
    <w:p w14:paraId="5E6711C0" w14:textId="116065AC" w:rsidR="007552F4" w:rsidRPr="00247CAB" w:rsidRDefault="007552F4" w:rsidP="00247CAB">
      <w:pPr>
        <w:keepNext/>
        <w:spacing w:after="0" w:line="240" w:lineRule="auto"/>
        <w:ind w:left="284" w:hanging="284"/>
        <w:rPr>
          <w:rFonts w:asciiTheme="minorHAnsi" w:hAnsiTheme="minorHAnsi"/>
          <w:sz w:val="20"/>
          <w:szCs w:val="20"/>
        </w:rPr>
      </w:pPr>
      <w:r w:rsidRPr="00247CAB">
        <w:rPr>
          <w:rFonts w:asciiTheme="minorHAnsi" w:hAnsiTheme="minorHAnsi"/>
          <w:sz w:val="20"/>
          <w:szCs w:val="20"/>
        </w:rPr>
        <w:t xml:space="preserve">* </w:t>
      </w:r>
      <w:r w:rsidR="005D3919">
        <w:rPr>
          <w:rFonts w:asciiTheme="minorHAnsi" w:hAnsiTheme="minorHAnsi"/>
          <w:sz w:val="20"/>
          <w:szCs w:val="20"/>
        </w:rPr>
        <w:tab/>
      </w:r>
      <w:r w:rsidRPr="00247CAB">
        <w:rPr>
          <w:rFonts w:asciiTheme="minorHAnsi" w:hAnsiTheme="minorHAnsi"/>
          <w:sz w:val="20"/>
          <w:szCs w:val="20"/>
        </w:rPr>
        <w:t>Z toho 286 012,00 Kč za servisní služby, 472 645,36 Kč za provozní služby</w:t>
      </w:r>
      <w:r w:rsidR="008A5694" w:rsidRPr="00247CAB">
        <w:rPr>
          <w:rFonts w:asciiTheme="minorHAnsi" w:hAnsiTheme="minorHAnsi"/>
          <w:sz w:val="20"/>
          <w:szCs w:val="20"/>
        </w:rPr>
        <w:t>.</w:t>
      </w:r>
      <w:r w:rsidRPr="00247CAB">
        <w:rPr>
          <w:rFonts w:asciiTheme="minorHAnsi" w:hAnsiTheme="minorHAnsi"/>
          <w:sz w:val="20"/>
          <w:szCs w:val="20"/>
        </w:rPr>
        <w:t xml:space="preserve"> </w:t>
      </w:r>
    </w:p>
    <w:p w14:paraId="5076C503" w14:textId="69C04D3F" w:rsidR="007552F4" w:rsidRPr="00247CAB" w:rsidRDefault="007552F4" w:rsidP="00247CAB">
      <w:pPr>
        <w:keepNext/>
        <w:spacing w:after="0" w:line="240" w:lineRule="auto"/>
        <w:ind w:left="284" w:hanging="284"/>
        <w:rPr>
          <w:rFonts w:asciiTheme="minorHAnsi" w:hAnsiTheme="minorHAnsi"/>
          <w:sz w:val="20"/>
          <w:szCs w:val="20"/>
        </w:rPr>
      </w:pPr>
      <w:r w:rsidRPr="00247CAB">
        <w:rPr>
          <w:rFonts w:asciiTheme="minorHAnsi" w:hAnsiTheme="minorHAnsi"/>
          <w:sz w:val="20"/>
          <w:szCs w:val="20"/>
        </w:rPr>
        <w:t xml:space="preserve">** </w:t>
      </w:r>
      <w:r w:rsidR="005D3919">
        <w:rPr>
          <w:rFonts w:asciiTheme="minorHAnsi" w:hAnsiTheme="minorHAnsi"/>
          <w:sz w:val="20"/>
          <w:szCs w:val="20"/>
        </w:rPr>
        <w:tab/>
      </w:r>
      <w:r w:rsidRPr="00247CAB">
        <w:rPr>
          <w:rFonts w:asciiTheme="minorHAnsi" w:hAnsiTheme="minorHAnsi"/>
          <w:sz w:val="20"/>
          <w:szCs w:val="20"/>
        </w:rPr>
        <w:t>Z toho 200 908,40 Kč za servisní služby, 260 430,26 Kč za provozní služby</w:t>
      </w:r>
      <w:r w:rsidR="008A5694" w:rsidRPr="00247CAB">
        <w:rPr>
          <w:rFonts w:asciiTheme="minorHAnsi" w:hAnsiTheme="minorHAnsi"/>
          <w:sz w:val="20"/>
          <w:szCs w:val="20"/>
        </w:rPr>
        <w:t>.</w:t>
      </w:r>
    </w:p>
    <w:p w14:paraId="7FF775BF" w14:textId="61609367" w:rsidR="00CF2802" w:rsidRDefault="00C90D00" w:rsidP="001E51C9">
      <w:pPr>
        <w:pStyle w:val="Odstavecseseznamem"/>
        <w:numPr>
          <w:ilvl w:val="1"/>
          <w:numId w:val="17"/>
        </w:numPr>
        <w:spacing w:before="240" w:after="120"/>
        <w:ind w:left="0" w:firstLine="0"/>
        <w:contextualSpacing w:val="0"/>
        <w:rPr>
          <w:rFonts w:asciiTheme="minorHAnsi" w:hAnsiTheme="minorHAnsi" w:cstheme="minorHAnsi"/>
          <w:sz w:val="24"/>
          <w:szCs w:val="24"/>
        </w:rPr>
      </w:pPr>
      <w:r w:rsidRPr="00E7334F">
        <w:rPr>
          <w:rFonts w:asciiTheme="minorHAnsi" w:hAnsiTheme="minorHAnsi" w:cstheme="minorHAnsi"/>
          <w:sz w:val="24"/>
          <w:szCs w:val="24"/>
        </w:rPr>
        <w:t>Zákon o hazardních hrách vstoupil v platnost 15. 6. 2016. Souběžný provoz IS SDSL</w:t>
      </w:r>
      <w:r w:rsidR="00C723FF">
        <w:rPr>
          <w:rFonts w:asciiTheme="minorHAnsi" w:hAnsiTheme="minorHAnsi" w:cstheme="minorHAnsi"/>
          <w:sz w:val="24"/>
          <w:szCs w:val="24"/>
        </w:rPr>
        <w:t xml:space="preserve"> </w:t>
      </w:r>
      <w:r w:rsidR="00767620">
        <w:rPr>
          <w:rFonts w:asciiTheme="minorHAnsi" w:hAnsiTheme="minorHAnsi" w:cstheme="minorHAnsi"/>
          <w:sz w:val="24"/>
          <w:szCs w:val="24"/>
        </w:rPr>
        <w:br/>
      </w:r>
      <w:r w:rsidRPr="00E7334F">
        <w:rPr>
          <w:rFonts w:asciiTheme="minorHAnsi" w:hAnsiTheme="minorHAnsi" w:cstheme="minorHAnsi"/>
          <w:sz w:val="24"/>
          <w:szCs w:val="24"/>
        </w:rPr>
        <w:t xml:space="preserve">a AISG, vyvolaný nedokončením </w:t>
      </w:r>
      <w:r w:rsidR="0082137F" w:rsidRPr="00E7334F">
        <w:rPr>
          <w:rFonts w:asciiTheme="minorHAnsi" w:hAnsiTheme="minorHAnsi" w:cstheme="minorHAnsi"/>
          <w:sz w:val="24"/>
          <w:szCs w:val="24"/>
        </w:rPr>
        <w:t>SM</w:t>
      </w:r>
      <w:r w:rsidR="00B9257C" w:rsidRPr="00E7334F">
        <w:rPr>
          <w:rFonts w:asciiTheme="minorHAnsi" w:hAnsiTheme="minorHAnsi" w:cstheme="minorHAnsi"/>
          <w:sz w:val="24"/>
          <w:szCs w:val="24"/>
        </w:rPr>
        <w:t xml:space="preserve"> AISG</w:t>
      </w:r>
      <w:r w:rsidRPr="00E7334F">
        <w:rPr>
          <w:rFonts w:asciiTheme="minorHAnsi" w:hAnsiTheme="minorHAnsi" w:cstheme="minorHAnsi"/>
          <w:sz w:val="24"/>
          <w:szCs w:val="24"/>
        </w:rPr>
        <w:t xml:space="preserve">, trval i ke dni ukončení kontroly, tedy více než šest let od </w:t>
      </w:r>
      <w:r w:rsidR="00AC0D82" w:rsidRPr="00E7334F">
        <w:rPr>
          <w:rFonts w:asciiTheme="minorHAnsi" w:hAnsiTheme="minorHAnsi" w:cstheme="minorHAnsi"/>
          <w:sz w:val="24"/>
          <w:szCs w:val="24"/>
        </w:rPr>
        <w:t>platnosti</w:t>
      </w:r>
      <w:r w:rsidR="0064646C" w:rsidRPr="00E7334F">
        <w:rPr>
          <w:rFonts w:asciiTheme="minorHAnsi" w:hAnsiTheme="minorHAnsi" w:cstheme="minorHAnsi"/>
          <w:sz w:val="24"/>
          <w:szCs w:val="24"/>
        </w:rPr>
        <w:t xml:space="preserve"> </w:t>
      </w:r>
      <w:r w:rsidRPr="00E7334F">
        <w:rPr>
          <w:rFonts w:asciiTheme="minorHAnsi" w:hAnsiTheme="minorHAnsi" w:cstheme="minorHAnsi"/>
          <w:sz w:val="24"/>
          <w:szCs w:val="24"/>
        </w:rPr>
        <w:t xml:space="preserve">ZHH. </w:t>
      </w:r>
      <w:r w:rsidR="00CF2802" w:rsidRPr="00E7334F">
        <w:rPr>
          <w:rFonts w:asciiTheme="minorHAnsi" w:hAnsiTheme="minorHAnsi" w:cstheme="minorHAnsi"/>
          <w:sz w:val="24"/>
          <w:szCs w:val="24"/>
        </w:rPr>
        <w:t xml:space="preserve">Celkové náklady související s </w:t>
      </w:r>
      <w:r w:rsidR="00C723FF">
        <w:rPr>
          <w:rFonts w:asciiTheme="minorHAnsi" w:hAnsiTheme="minorHAnsi" w:cstheme="minorHAnsi"/>
          <w:sz w:val="24"/>
          <w:szCs w:val="24"/>
        </w:rPr>
        <w:t>IS</w:t>
      </w:r>
      <w:r w:rsidR="00CF2802" w:rsidRPr="00E7334F">
        <w:rPr>
          <w:rFonts w:asciiTheme="minorHAnsi" w:hAnsiTheme="minorHAnsi" w:cstheme="minorHAnsi"/>
          <w:sz w:val="24"/>
          <w:szCs w:val="24"/>
        </w:rPr>
        <w:t xml:space="preserve"> SDSL a AISG </w:t>
      </w:r>
      <w:r w:rsidR="00C723FF" w:rsidRPr="00E7334F">
        <w:rPr>
          <w:rFonts w:asciiTheme="minorHAnsi" w:hAnsiTheme="minorHAnsi" w:cstheme="minorHAnsi"/>
          <w:sz w:val="24"/>
          <w:szCs w:val="24"/>
        </w:rPr>
        <w:t xml:space="preserve">přesáhly </w:t>
      </w:r>
      <w:r w:rsidR="00CF2802" w:rsidRPr="00E7334F">
        <w:rPr>
          <w:rFonts w:asciiTheme="minorHAnsi" w:hAnsiTheme="minorHAnsi" w:cstheme="minorHAnsi"/>
          <w:sz w:val="24"/>
          <w:szCs w:val="24"/>
        </w:rPr>
        <w:t xml:space="preserve">v kontrolovaném období 174,1 mil. Kč, z toho byly náklady na rozvoj IS SDSL 6 mil. Kč, provozní náklady IS SDSL 7 mil. Kč, ostatní náklady IS SDSL 0,5 mil. Kč, náklady na zadání AISG 7,7 mil. Kč, náklady související s rozvojem AISG 85,4 mil. Kč a provozní náklady AISG 67,5 mil. Kč. </w:t>
      </w:r>
    </w:p>
    <w:p w14:paraId="2AB2BDC2" w14:textId="03834BF6" w:rsidR="00C90D00" w:rsidRPr="008142C5" w:rsidRDefault="0095036A" w:rsidP="00C723FF">
      <w:pPr>
        <w:pStyle w:val="Nadpis2"/>
        <w:spacing w:before="360"/>
        <w:rPr>
          <w:rFonts w:asciiTheme="minorHAnsi" w:eastAsiaTheme="majorEastAsia" w:hAnsiTheme="minorHAnsi"/>
        </w:rPr>
      </w:pPr>
      <w:bookmarkStart w:id="17" w:name="_Hlk132278561"/>
      <w:r w:rsidRPr="008142C5">
        <w:rPr>
          <w:rFonts w:asciiTheme="minorHAnsi" w:eastAsiaTheme="majorEastAsia" w:hAnsiTheme="minorHAnsi"/>
        </w:rPr>
        <w:t>Informační systémy neposkytují o</w:t>
      </w:r>
      <w:r w:rsidR="00F837D6" w:rsidRPr="008142C5">
        <w:rPr>
          <w:rFonts w:asciiTheme="minorHAnsi" w:eastAsiaTheme="majorEastAsia" w:hAnsiTheme="minorHAnsi"/>
        </w:rPr>
        <w:t>rgán</w:t>
      </w:r>
      <w:r w:rsidRPr="008142C5">
        <w:rPr>
          <w:rFonts w:asciiTheme="minorHAnsi" w:eastAsiaTheme="majorEastAsia" w:hAnsiTheme="minorHAnsi"/>
        </w:rPr>
        <w:t>ům</w:t>
      </w:r>
      <w:r w:rsidR="00F837D6" w:rsidRPr="008142C5">
        <w:rPr>
          <w:rFonts w:asciiTheme="minorHAnsi" w:eastAsiaTheme="majorEastAsia" w:hAnsiTheme="minorHAnsi"/>
        </w:rPr>
        <w:t xml:space="preserve"> státní správy </w:t>
      </w:r>
      <w:r w:rsidRPr="008142C5">
        <w:rPr>
          <w:rFonts w:asciiTheme="minorHAnsi" w:eastAsiaTheme="majorEastAsia" w:hAnsiTheme="minorHAnsi"/>
        </w:rPr>
        <w:t>úplná a spolehlivá data</w:t>
      </w:r>
      <w:r w:rsidR="00C90D00" w:rsidRPr="008142C5">
        <w:rPr>
          <w:rFonts w:asciiTheme="minorHAnsi" w:eastAsiaTheme="majorEastAsia" w:hAnsiTheme="minorHAnsi"/>
        </w:rPr>
        <w:t xml:space="preserve"> </w:t>
      </w:r>
    </w:p>
    <w:bookmarkEnd w:id="17"/>
    <w:p w14:paraId="26267938" w14:textId="73CA1E84" w:rsidR="00C90D00" w:rsidRPr="00247CAB" w:rsidRDefault="00C723FF" w:rsidP="001E51C9">
      <w:pPr>
        <w:pStyle w:val="Odstavecseseznamem"/>
        <w:numPr>
          <w:ilvl w:val="1"/>
          <w:numId w:val="17"/>
        </w:numPr>
        <w:spacing w:before="240" w:after="120"/>
        <w:ind w:left="0" w:firstLine="0"/>
        <w:contextualSpacing w:val="0"/>
        <w:rPr>
          <w:rFonts w:asciiTheme="minorHAnsi" w:hAnsiTheme="minorHAnsi" w:cstheme="minorHAnsi"/>
          <w:color w:val="auto"/>
          <w:sz w:val="24"/>
          <w:szCs w:val="24"/>
        </w:rPr>
      </w:pPr>
      <w:r w:rsidRPr="00247CAB">
        <w:rPr>
          <w:rFonts w:asciiTheme="minorHAnsi" w:hAnsiTheme="minorHAnsi" w:cstheme="minorHAnsi"/>
          <w:color w:val="auto"/>
          <w:sz w:val="24"/>
          <w:szCs w:val="24"/>
        </w:rPr>
        <w:t>S</w:t>
      </w:r>
      <w:r w:rsidR="00C90D00" w:rsidRPr="00247CAB">
        <w:rPr>
          <w:rFonts w:asciiTheme="minorHAnsi" w:hAnsiTheme="minorHAnsi" w:cstheme="minorHAnsi"/>
          <w:color w:val="auto"/>
          <w:sz w:val="24"/>
          <w:szCs w:val="24"/>
        </w:rPr>
        <w:t xml:space="preserve">právce daně využívá </w:t>
      </w:r>
      <w:r w:rsidRPr="00247CAB">
        <w:rPr>
          <w:rFonts w:asciiTheme="minorHAnsi" w:hAnsiTheme="minorHAnsi" w:cstheme="minorHAnsi"/>
          <w:color w:val="auto"/>
          <w:sz w:val="24"/>
          <w:szCs w:val="24"/>
        </w:rPr>
        <w:t xml:space="preserve">IS SDSL </w:t>
      </w:r>
      <w:r w:rsidR="00C90D00" w:rsidRPr="00247CAB">
        <w:rPr>
          <w:rFonts w:asciiTheme="minorHAnsi" w:hAnsiTheme="minorHAnsi" w:cstheme="minorHAnsi"/>
          <w:color w:val="auto"/>
          <w:sz w:val="24"/>
          <w:szCs w:val="24"/>
        </w:rPr>
        <w:t>jako informační zdroj o vydaných základních povoleních k provozování hazardních her a o vydaných povoleních k umístění herního prostoru. Dále je</w:t>
      </w:r>
      <w:r w:rsidRPr="00247CAB">
        <w:rPr>
          <w:rFonts w:asciiTheme="minorHAnsi" w:hAnsiTheme="minorHAnsi" w:cstheme="minorHAnsi"/>
          <w:color w:val="auto"/>
          <w:sz w:val="24"/>
          <w:szCs w:val="24"/>
        </w:rPr>
        <w:t>j</w:t>
      </w:r>
      <w:r w:rsidR="00C90D00" w:rsidRPr="00247CAB">
        <w:rPr>
          <w:rFonts w:asciiTheme="minorHAnsi" w:hAnsiTheme="minorHAnsi" w:cstheme="minorHAnsi"/>
          <w:color w:val="auto"/>
          <w:sz w:val="24"/>
          <w:szCs w:val="24"/>
        </w:rPr>
        <w:t xml:space="preserve"> využívá mj. pro kontrolu provozovatelů hazardních her a jim povolených druhů hazardních her či k ověřování počtu povolených herních míst při kontrole stanovení minimální dílčí daně z</w:t>
      </w:r>
      <w:r w:rsidR="004A20DC" w:rsidRPr="00247CAB">
        <w:rPr>
          <w:rFonts w:asciiTheme="minorHAnsi" w:hAnsiTheme="minorHAnsi" w:cstheme="minorHAnsi"/>
          <w:color w:val="auto"/>
          <w:sz w:val="24"/>
          <w:szCs w:val="24"/>
        </w:rPr>
        <w:t> </w:t>
      </w:r>
      <w:r w:rsidR="00C90D00" w:rsidRPr="00247CAB">
        <w:rPr>
          <w:rFonts w:asciiTheme="minorHAnsi" w:hAnsiTheme="minorHAnsi" w:cstheme="minorHAnsi"/>
          <w:color w:val="auto"/>
          <w:sz w:val="24"/>
          <w:szCs w:val="24"/>
        </w:rPr>
        <w:t>technických her.</w:t>
      </w:r>
      <w:r w:rsidR="0016083C" w:rsidRPr="00247CAB">
        <w:rPr>
          <w:color w:val="auto"/>
          <w:sz w:val="24"/>
          <w:szCs w:val="24"/>
        </w:rPr>
        <w:t xml:space="preserve"> </w:t>
      </w:r>
      <w:r w:rsidR="0053192B" w:rsidRPr="00247CAB">
        <w:rPr>
          <w:color w:val="auto"/>
          <w:sz w:val="24"/>
          <w:szCs w:val="24"/>
        </w:rPr>
        <w:t>Pro správu kaucí a jist</w:t>
      </w:r>
      <w:r w:rsidR="00A67B48" w:rsidRPr="00247CAB">
        <w:rPr>
          <w:color w:val="auto"/>
          <w:sz w:val="24"/>
          <w:szCs w:val="24"/>
        </w:rPr>
        <w:t>o</w:t>
      </w:r>
      <w:r w:rsidR="0053192B" w:rsidRPr="00247CAB">
        <w:rPr>
          <w:color w:val="auto"/>
          <w:sz w:val="24"/>
          <w:szCs w:val="24"/>
        </w:rPr>
        <w:t xml:space="preserve">t poskytuje </w:t>
      </w:r>
      <w:r w:rsidRPr="00247CAB">
        <w:rPr>
          <w:color w:val="auto"/>
          <w:sz w:val="24"/>
          <w:szCs w:val="24"/>
        </w:rPr>
        <w:t xml:space="preserve">tento systém </w:t>
      </w:r>
      <w:r w:rsidR="0053192B" w:rsidRPr="00247CAB">
        <w:rPr>
          <w:color w:val="auto"/>
          <w:sz w:val="24"/>
          <w:szCs w:val="24"/>
        </w:rPr>
        <w:t xml:space="preserve">pouze omezenou funkčnost. </w:t>
      </w:r>
      <w:r w:rsidR="0016083C" w:rsidRPr="00247CAB">
        <w:rPr>
          <w:color w:val="auto"/>
          <w:sz w:val="24"/>
          <w:szCs w:val="24"/>
        </w:rPr>
        <w:t xml:space="preserve">Ke dni 1. 8. 2022 činil objem </w:t>
      </w:r>
      <w:r w:rsidRPr="00247CAB">
        <w:rPr>
          <w:color w:val="auto"/>
          <w:sz w:val="24"/>
          <w:szCs w:val="24"/>
        </w:rPr>
        <w:t xml:space="preserve">kaucí </w:t>
      </w:r>
      <w:r w:rsidR="0016083C" w:rsidRPr="00247CAB">
        <w:rPr>
          <w:color w:val="auto"/>
          <w:sz w:val="24"/>
          <w:szCs w:val="24"/>
        </w:rPr>
        <w:t xml:space="preserve">spravovaných </w:t>
      </w:r>
      <w:r w:rsidRPr="00247CAB">
        <w:rPr>
          <w:color w:val="auto"/>
          <w:sz w:val="24"/>
          <w:szCs w:val="24"/>
        </w:rPr>
        <w:t>Ministerstvem financí</w:t>
      </w:r>
      <w:r w:rsidR="0016083C" w:rsidRPr="00247CAB">
        <w:rPr>
          <w:color w:val="auto"/>
          <w:sz w:val="24"/>
          <w:szCs w:val="24"/>
        </w:rPr>
        <w:t xml:space="preserve"> </w:t>
      </w:r>
      <w:r w:rsidRPr="00247CAB">
        <w:rPr>
          <w:color w:val="auto"/>
          <w:sz w:val="24"/>
          <w:szCs w:val="24"/>
        </w:rPr>
        <w:t>celkem 3,84</w:t>
      </w:r>
      <w:r w:rsidR="004A20DC" w:rsidRPr="00247CAB">
        <w:rPr>
          <w:color w:val="auto"/>
          <w:sz w:val="24"/>
          <w:szCs w:val="24"/>
        </w:rPr>
        <w:t> </w:t>
      </w:r>
      <w:r w:rsidRPr="00247CAB">
        <w:rPr>
          <w:color w:val="auto"/>
          <w:sz w:val="24"/>
          <w:szCs w:val="24"/>
        </w:rPr>
        <w:t>mld. Kč (dle</w:t>
      </w:r>
      <w:r w:rsidR="0016083C" w:rsidRPr="00247CAB">
        <w:rPr>
          <w:color w:val="auto"/>
          <w:sz w:val="24"/>
          <w:szCs w:val="24"/>
        </w:rPr>
        <w:t xml:space="preserve"> evidence MF</w:t>
      </w:r>
      <w:r w:rsidRPr="00247CAB">
        <w:rPr>
          <w:color w:val="auto"/>
          <w:sz w:val="24"/>
          <w:szCs w:val="24"/>
        </w:rPr>
        <w:t>)</w:t>
      </w:r>
      <w:r w:rsidR="0016083C" w:rsidRPr="00247CAB">
        <w:rPr>
          <w:color w:val="auto"/>
          <w:sz w:val="24"/>
          <w:szCs w:val="24"/>
        </w:rPr>
        <w:t xml:space="preserve">. NKÚ zjistil, že MF evidovalo kauci </w:t>
      </w:r>
      <w:r w:rsidRPr="00247CAB">
        <w:rPr>
          <w:color w:val="auto"/>
          <w:sz w:val="24"/>
          <w:szCs w:val="24"/>
        </w:rPr>
        <w:t xml:space="preserve">kasina </w:t>
      </w:r>
      <w:r w:rsidR="0016083C" w:rsidRPr="00247CAB">
        <w:rPr>
          <w:color w:val="auto"/>
          <w:sz w:val="24"/>
          <w:szCs w:val="24"/>
        </w:rPr>
        <w:t xml:space="preserve">ve výši 50 mil. Kč </w:t>
      </w:r>
      <w:r w:rsidRPr="00247CAB">
        <w:rPr>
          <w:color w:val="auto"/>
          <w:sz w:val="24"/>
          <w:szCs w:val="24"/>
        </w:rPr>
        <w:t>ve</w:t>
      </w:r>
      <w:r w:rsidR="0016083C" w:rsidRPr="00247CAB">
        <w:rPr>
          <w:color w:val="auto"/>
          <w:sz w:val="24"/>
          <w:szCs w:val="24"/>
        </w:rPr>
        <w:t xml:space="preserve"> form</w:t>
      </w:r>
      <w:r w:rsidRPr="00247CAB">
        <w:rPr>
          <w:color w:val="auto"/>
          <w:sz w:val="24"/>
          <w:szCs w:val="24"/>
        </w:rPr>
        <w:t>ě</w:t>
      </w:r>
      <w:r w:rsidR="0016083C" w:rsidRPr="00247CAB">
        <w:rPr>
          <w:color w:val="auto"/>
          <w:sz w:val="24"/>
          <w:szCs w:val="24"/>
        </w:rPr>
        <w:t xml:space="preserve"> bankovní záruky ještě 5 měsíců po skončení její platnosti. MF v tomto případě zaslalo chybné informace o kauci </w:t>
      </w:r>
      <w:r w:rsidRPr="00247CAB">
        <w:rPr>
          <w:color w:val="auto"/>
          <w:sz w:val="24"/>
          <w:szCs w:val="24"/>
        </w:rPr>
        <w:t>Specializovanému finančnímu úřadu</w:t>
      </w:r>
      <w:r w:rsidR="0016083C" w:rsidRPr="00247CAB">
        <w:rPr>
          <w:color w:val="auto"/>
          <w:sz w:val="24"/>
          <w:szCs w:val="24"/>
        </w:rPr>
        <w:t>. NKÚ také zjistil nesoulad mezi touto evidencí</w:t>
      </w:r>
      <w:r w:rsidRPr="00247CAB">
        <w:rPr>
          <w:color w:val="auto"/>
          <w:sz w:val="24"/>
          <w:szCs w:val="24"/>
        </w:rPr>
        <w:t xml:space="preserve"> </w:t>
      </w:r>
      <w:r w:rsidR="0016083C" w:rsidRPr="00247CAB">
        <w:rPr>
          <w:color w:val="auto"/>
          <w:sz w:val="24"/>
          <w:szCs w:val="24"/>
        </w:rPr>
        <w:t>a zůstatkem na zvláštním účtu</w:t>
      </w:r>
      <w:r w:rsidR="004A20DC">
        <w:rPr>
          <w:rStyle w:val="Znakapoznpodarou"/>
          <w:color w:val="auto"/>
          <w:sz w:val="24"/>
          <w:szCs w:val="24"/>
        </w:rPr>
        <w:footnoteReference w:id="24"/>
      </w:r>
      <w:r w:rsidR="0016083C" w:rsidRPr="00247CAB">
        <w:rPr>
          <w:color w:val="auto"/>
          <w:sz w:val="24"/>
          <w:szCs w:val="24"/>
        </w:rPr>
        <w:t xml:space="preserve"> MF ve výši 200</w:t>
      </w:r>
      <w:r w:rsidR="004A20DC" w:rsidRPr="00247CAB">
        <w:rPr>
          <w:color w:val="auto"/>
          <w:sz w:val="24"/>
          <w:szCs w:val="24"/>
        </w:rPr>
        <w:t> </w:t>
      </w:r>
      <w:r w:rsidR="0016083C" w:rsidRPr="00247CAB">
        <w:rPr>
          <w:color w:val="auto"/>
          <w:sz w:val="24"/>
          <w:szCs w:val="24"/>
        </w:rPr>
        <w:t>mil.</w:t>
      </w:r>
      <w:r w:rsidR="004A20DC" w:rsidRPr="00247CAB">
        <w:rPr>
          <w:color w:val="auto"/>
          <w:sz w:val="24"/>
          <w:szCs w:val="24"/>
        </w:rPr>
        <w:t> </w:t>
      </w:r>
      <w:r w:rsidR="0016083C" w:rsidRPr="00247CAB">
        <w:rPr>
          <w:color w:val="auto"/>
          <w:sz w:val="24"/>
          <w:szCs w:val="24"/>
        </w:rPr>
        <w:t xml:space="preserve">Kč. Uvedený rozpor byl částečně objasněn jednak nesprávným uvedením způsobu složení kauce u dvou provozovatelů </w:t>
      </w:r>
      <w:r w:rsidR="004A20DC" w:rsidRPr="00247CAB">
        <w:rPr>
          <w:color w:val="auto"/>
          <w:sz w:val="24"/>
          <w:szCs w:val="24"/>
        </w:rPr>
        <w:t xml:space="preserve">hazardních her </w:t>
      </w:r>
      <w:r w:rsidR="0016083C" w:rsidRPr="00247CAB">
        <w:rPr>
          <w:color w:val="auto"/>
          <w:sz w:val="24"/>
          <w:szCs w:val="24"/>
        </w:rPr>
        <w:t>a nezaevidováním dvou plateb jako kauce z</w:t>
      </w:r>
      <w:r w:rsidR="008042A6">
        <w:rPr>
          <w:color w:val="auto"/>
          <w:sz w:val="24"/>
          <w:szCs w:val="24"/>
        </w:rPr>
        <w:t xml:space="preserve"> </w:t>
      </w:r>
      <w:r w:rsidR="0016083C" w:rsidRPr="00247CAB">
        <w:rPr>
          <w:color w:val="auto"/>
          <w:sz w:val="24"/>
          <w:szCs w:val="24"/>
        </w:rPr>
        <w:t xml:space="preserve">důvodu prokázání peněžních prostředků až k pozdějšímu datu. MF nemá správný a úplný přehled o </w:t>
      </w:r>
      <w:r w:rsidR="004A20DC" w:rsidRPr="00247CAB">
        <w:rPr>
          <w:color w:val="auto"/>
          <w:sz w:val="24"/>
          <w:szCs w:val="24"/>
        </w:rPr>
        <w:t xml:space="preserve">kaucích </w:t>
      </w:r>
      <w:r w:rsidR="0016083C" w:rsidRPr="00247CAB">
        <w:rPr>
          <w:color w:val="auto"/>
          <w:sz w:val="24"/>
          <w:szCs w:val="24"/>
        </w:rPr>
        <w:t xml:space="preserve">přijatých od provozovatelů. MF navíc v pomocné evidenci kaucí v MS Excel neeviduje dobu platnosti bankovní záruky. Existuje riziko, že MF z důvodu chybné a nepřesné evidence nevyužije kauci od provozovatelů </w:t>
      </w:r>
      <w:r w:rsidR="004A20DC" w:rsidRPr="00247CAB">
        <w:rPr>
          <w:color w:val="auto"/>
          <w:sz w:val="24"/>
          <w:szCs w:val="24"/>
        </w:rPr>
        <w:t xml:space="preserve">hazardních her </w:t>
      </w:r>
      <w:r w:rsidR="0016083C" w:rsidRPr="00247CAB">
        <w:rPr>
          <w:color w:val="auto"/>
          <w:sz w:val="24"/>
          <w:szCs w:val="24"/>
        </w:rPr>
        <w:t>a vzniklé pohledávky státu zůstanou nezajištěné.</w:t>
      </w:r>
    </w:p>
    <w:p w14:paraId="2D052699" w14:textId="02928A7E" w:rsidR="00C90D00" w:rsidRPr="008142C5" w:rsidRDefault="005F3A0B" w:rsidP="00A36482">
      <w:pPr>
        <w:pStyle w:val="Odstavecseseznamem"/>
        <w:numPr>
          <w:ilvl w:val="1"/>
          <w:numId w:val="17"/>
        </w:numPr>
        <w:spacing w:after="120"/>
        <w:ind w:left="0" w:firstLine="0"/>
        <w:contextualSpacing w:val="0"/>
        <w:rPr>
          <w:rFonts w:asciiTheme="minorHAnsi" w:hAnsiTheme="minorHAnsi" w:cstheme="minorHAnsi"/>
          <w:sz w:val="24"/>
          <w:szCs w:val="24"/>
        </w:rPr>
      </w:pPr>
      <w:r w:rsidRPr="00BC072B">
        <w:rPr>
          <w:rFonts w:asciiTheme="minorHAnsi" w:hAnsiTheme="minorHAnsi" w:cstheme="minorHAnsi"/>
          <w:sz w:val="24"/>
          <w:szCs w:val="24"/>
        </w:rPr>
        <w:lastRenderedPageBreak/>
        <w:t>Informace o</w:t>
      </w:r>
      <w:r w:rsidR="00C90D00" w:rsidRPr="00BC072B">
        <w:rPr>
          <w:rFonts w:asciiTheme="minorHAnsi" w:hAnsiTheme="minorHAnsi" w:cstheme="minorHAnsi"/>
          <w:sz w:val="24"/>
          <w:szCs w:val="24"/>
        </w:rPr>
        <w:t xml:space="preserve"> </w:t>
      </w:r>
      <w:r w:rsidR="00976EFA" w:rsidRPr="00BC072B">
        <w:rPr>
          <w:rFonts w:asciiTheme="minorHAnsi" w:hAnsiTheme="minorHAnsi" w:cstheme="minorHAnsi"/>
          <w:sz w:val="24"/>
          <w:szCs w:val="24"/>
        </w:rPr>
        <w:t>zahájení nebo ukončení provozu herního prostoru</w:t>
      </w:r>
      <w:r w:rsidR="00976EFA" w:rsidRPr="00DD27FA">
        <w:rPr>
          <w:rFonts w:asciiTheme="minorHAnsi" w:hAnsiTheme="minorHAnsi" w:cstheme="minorHAnsi"/>
          <w:sz w:val="24"/>
          <w:szCs w:val="24"/>
        </w:rPr>
        <w:t xml:space="preserve"> </w:t>
      </w:r>
      <w:r w:rsidR="00074C5A" w:rsidRPr="00BC072B">
        <w:rPr>
          <w:rFonts w:asciiTheme="minorHAnsi" w:hAnsiTheme="minorHAnsi" w:cstheme="minorHAnsi"/>
          <w:sz w:val="24"/>
          <w:szCs w:val="24"/>
        </w:rPr>
        <w:t>měl</w:t>
      </w:r>
      <w:r w:rsidRPr="00BC072B">
        <w:rPr>
          <w:rFonts w:asciiTheme="minorHAnsi" w:hAnsiTheme="minorHAnsi" w:cstheme="minorHAnsi"/>
          <w:sz w:val="24"/>
          <w:szCs w:val="24"/>
        </w:rPr>
        <w:t>i</w:t>
      </w:r>
      <w:r w:rsidR="00074C5A" w:rsidRPr="00BC072B">
        <w:rPr>
          <w:rFonts w:asciiTheme="minorHAnsi" w:hAnsiTheme="minorHAnsi" w:cstheme="minorHAnsi"/>
          <w:sz w:val="24"/>
          <w:szCs w:val="24"/>
        </w:rPr>
        <w:t xml:space="preserve"> </w:t>
      </w:r>
      <w:r w:rsidR="002E6FF2" w:rsidRPr="00DD27FA">
        <w:rPr>
          <w:rFonts w:asciiTheme="minorHAnsi" w:hAnsiTheme="minorHAnsi" w:cstheme="minorHAnsi"/>
          <w:sz w:val="24"/>
          <w:szCs w:val="24"/>
        </w:rPr>
        <w:t xml:space="preserve">podle projektové dokumentace </w:t>
      </w:r>
      <w:r w:rsidR="00C90D00" w:rsidRPr="00BC072B">
        <w:rPr>
          <w:rFonts w:asciiTheme="minorHAnsi" w:hAnsiTheme="minorHAnsi" w:cstheme="minorHAnsi"/>
          <w:sz w:val="24"/>
          <w:szCs w:val="24"/>
        </w:rPr>
        <w:t>AISG</w:t>
      </w:r>
      <w:r w:rsidRPr="00BC072B">
        <w:rPr>
          <w:rFonts w:asciiTheme="minorHAnsi" w:hAnsiTheme="minorHAnsi" w:cstheme="minorHAnsi"/>
          <w:sz w:val="24"/>
          <w:szCs w:val="24"/>
        </w:rPr>
        <w:t xml:space="preserve"> </w:t>
      </w:r>
      <w:r w:rsidR="004432A7">
        <w:rPr>
          <w:rFonts w:asciiTheme="minorHAnsi" w:hAnsiTheme="minorHAnsi" w:cstheme="minorHAnsi"/>
          <w:sz w:val="24"/>
          <w:szCs w:val="24"/>
        </w:rPr>
        <w:t>i</w:t>
      </w:r>
      <w:r w:rsidR="002E6FF2" w:rsidRPr="00DD27FA">
        <w:rPr>
          <w:rFonts w:asciiTheme="minorHAnsi" w:hAnsiTheme="minorHAnsi" w:cstheme="minorHAnsi"/>
          <w:sz w:val="24"/>
          <w:szCs w:val="24"/>
        </w:rPr>
        <w:t xml:space="preserve"> uzavřené smlouvy s dodavatelem </w:t>
      </w:r>
      <w:r w:rsidRPr="00DD27FA">
        <w:rPr>
          <w:rFonts w:asciiTheme="minorHAnsi" w:hAnsiTheme="minorHAnsi" w:cstheme="minorHAnsi"/>
          <w:sz w:val="24"/>
          <w:szCs w:val="24"/>
        </w:rPr>
        <w:t xml:space="preserve">vkládat </w:t>
      </w:r>
      <w:r w:rsidR="002E6FF2" w:rsidRPr="009A7D75">
        <w:rPr>
          <w:rFonts w:asciiTheme="minorHAnsi" w:hAnsiTheme="minorHAnsi" w:cstheme="minorHAnsi"/>
          <w:sz w:val="24"/>
          <w:szCs w:val="24"/>
        </w:rPr>
        <w:t xml:space="preserve">do systému </w:t>
      </w:r>
      <w:r w:rsidRPr="00DD27FA">
        <w:rPr>
          <w:rFonts w:asciiTheme="minorHAnsi" w:hAnsiTheme="minorHAnsi" w:cstheme="minorHAnsi"/>
          <w:sz w:val="24"/>
          <w:szCs w:val="24"/>
        </w:rPr>
        <w:t>provozovatelé.</w:t>
      </w:r>
      <w:r w:rsidR="00C90D00" w:rsidRPr="008142C5">
        <w:rPr>
          <w:rFonts w:asciiTheme="minorHAnsi" w:hAnsiTheme="minorHAnsi" w:cstheme="minorHAnsi"/>
          <w:sz w:val="24"/>
          <w:szCs w:val="24"/>
        </w:rPr>
        <w:t xml:space="preserve"> </w:t>
      </w:r>
      <w:r w:rsidRPr="008142C5">
        <w:rPr>
          <w:rFonts w:asciiTheme="minorHAnsi" w:hAnsiTheme="minorHAnsi" w:cstheme="minorHAnsi"/>
          <w:sz w:val="24"/>
          <w:szCs w:val="24"/>
        </w:rPr>
        <w:t>V</w:t>
      </w:r>
      <w:r w:rsidR="00BD5D1A">
        <w:rPr>
          <w:rFonts w:asciiTheme="minorHAnsi" w:hAnsiTheme="minorHAnsi" w:cstheme="minorHAnsi"/>
          <w:sz w:val="24"/>
          <w:szCs w:val="24"/>
        </w:rPr>
        <w:t> </w:t>
      </w:r>
      <w:r w:rsidR="00C90D00" w:rsidRPr="008142C5">
        <w:rPr>
          <w:rFonts w:asciiTheme="minorHAnsi" w:hAnsiTheme="minorHAnsi" w:cstheme="minorHAnsi"/>
          <w:sz w:val="24"/>
          <w:szCs w:val="24"/>
        </w:rPr>
        <w:t xml:space="preserve">důsledku </w:t>
      </w:r>
      <w:r w:rsidR="00074C5A" w:rsidRPr="008142C5">
        <w:rPr>
          <w:rFonts w:asciiTheme="minorHAnsi" w:hAnsiTheme="minorHAnsi" w:cstheme="minorHAnsi"/>
          <w:sz w:val="24"/>
          <w:szCs w:val="24"/>
        </w:rPr>
        <w:t xml:space="preserve">ukončení rozvoje </w:t>
      </w:r>
      <w:r w:rsidR="00034C84" w:rsidRPr="008142C5">
        <w:rPr>
          <w:rFonts w:asciiTheme="minorHAnsi" w:hAnsiTheme="minorHAnsi" w:cstheme="minorHAnsi"/>
          <w:sz w:val="24"/>
          <w:szCs w:val="24"/>
        </w:rPr>
        <w:t xml:space="preserve">AISG </w:t>
      </w:r>
      <w:r w:rsidR="00C90D00" w:rsidRPr="008142C5">
        <w:rPr>
          <w:rFonts w:asciiTheme="minorHAnsi" w:hAnsiTheme="minorHAnsi" w:cstheme="minorHAnsi"/>
          <w:sz w:val="24"/>
          <w:szCs w:val="24"/>
        </w:rPr>
        <w:t xml:space="preserve">nebyla </w:t>
      </w:r>
      <w:r w:rsidRPr="008142C5">
        <w:rPr>
          <w:rFonts w:asciiTheme="minorHAnsi" w:hAnsiTheme="minorHAnsi" w:cstheme="minorHAnsi"/>
          <w:sz w:val="24"/>
          <w:szCs w:val="24"/>
        </w:rPr>
        <w:t xml:space="preserve">tato funkce </w:t>
      </w:r>
      <w:r w:rsidR="00C90D00" w:rsidRPr="008142C5">
        <w:rPr>
          <w:rFonts w:asciiTheme="minorHAnsi" w:hAnsiTheme="minorHAnsi" w:cstheme="minorHAnsi"/>
          <w:sz w:val="24"/>
          <w:szCs w:val="24"/>
        </w:rPr>
        <w:t xml:space="preserve">realizována. </w:t>
      </w:r>
      <w:r w:rsidRPr="008142C5">
        <w:rPr>
          <w:rFonts w:asciiTheme="minorHAnsi" w:hAnsiTheme="minorHAnsi" w:cstheme="minorHAnsi"/>
          <w:sz w:val="24"/>
          <w:szCs w:val="24"/>
        </w:rPr>
        <w:t xml:space="preserve">Pro ukládání </w:t>
      </w:r>
      <w:r w:rsidR="00AE7F78" w:rsidRPr="008142C5">
        <w:rPr>
          <w:rFonts w:asciiTheme="minorHAnsi" w:hAnsiTheme="minorHAnsi" w:cstheme="minorHAnsi"/>
          <w:sz w:val="24"/>
          <w:szCs w:val="24"/>
        </w:rPr>
        <w:t xml:space="preserve">těchto </w:t>
      </w:r>
      <w:r w:rsidRPr="008142C5">
        <w:rPr>
          <w:rFonts w:asciiTheme="minorHAnsi" w:hAnsiTheme="minorHAnsi" w:cstheme="minorHAnsi"/>
          <w:sz w:val="24"/>
          <w:szCs w:val="24"/>
        </w:rPr>
        <w:t>informací a jejich zpracování stále</w:t>
      </w:r>
      <w:r w:rsidR="00AE7F78" w:rsidRPr="008142C5">
        <w:rPr>
          <w:rFonts w:asciiTheme="minorHAnsi" w:hAnsiTheme="minorHAnsi" w:cstheme="minorHAnsi"/>
          <w:sz w:val="24"/>
          <w:szCs w:val="24"/>
        </w:rPr>
        <w:t xml:space="preserve"> </w:t>
      </w:r>
      <w:r w:rsidRPr="008142C5">
        <w:rPr>
          <w:rFonts w:asciiTheme="minorHAnsi" w:hAnsiTheme="minorHAnsi" w:cstheme="minorHAnsi"/>
          <w:sz w:val="24"/>
          <w:szCs w:val="24"/>
        </w:rPr>
        <w:t xml:space="preserve">slouží IS SDSL, do něhož je vkládají obce. Správnost </w:t>
      </w:r>
      <w:r w:rsidR="00C90D00" w:rsidRPr="008142C5">
        <w:rPr>
          <w:rFonts w:asciiTheme="minorHAnsi" w:hAnsiTheme="minorHAnsi" w:cstheme="minorHAnsi"/>
          <w:sz w:val="24"/>
          <w:szCs w:val="24"/>
        </w:rPr>
        <w:t>údaj</w:t>
      </w:r>
      <w:r w:rsidRPr="008142C5">
        <w:rPr>
          <w:rFonts w:asciiTheme="minorHAnsi" w:hAnsiTheme="minorHAnsi" w:cstheme="minorHAnsi"/>
          <w:sz w:val="24"/>
          <w:szCs w:val="24"/>
        </w:rPr>
        <w:t>ů</w:t>
      </w:r>
      <w:r w:rsidR="00183040">
        <w:rPr>
          <w:rFonts w:asciiTheme="minorHAnsi" w:hAnsiTheme="minorHAnsi" w:cstheme="minorHAnsi"/>
          <w:sz w:val="24"/>
          <w:szCs w:val="24"/>
        </w:rPr>
        <w:t xml:space="preserve"> </w:t>
      </w:r>
      <w:r w:rsidR="00767620">
        <w:rPr>
          <w:rFonts w:asciiTheme="minorHAnsi" w:hAnsiTheme="minorHAnsi" w:cstheme="minorHAnsi"/>
          <w:sz w:val="24"/>
          <w:szCs w:val="24"/>
        </w:rPr>
        <w:br/>
      </w:r>
      <w:r w:rsidR="00C90D00" w:rsidRPr="008142C5">
        <w:rPr>
          <w:rFonts w:asciiTheme="minorHAnsi" w:hAnsiTheme="minorHAnsi" w:cstheme="minorHAnsi"/>
          <w:sz w:val="24"/>
          <w:szCs w:val="24"/>
        </w:rPr>
        <w:t>a dokument</w:t>
      </w:r>
      <w:r w:rsidRPr="008142C5">
        <w:rPr>
          <w:rFonts w:asciiTheme="minorHAnsi" w:hAnsiTheme="minorHAnsi" w:cstheme="minorHAnsi"/>
          <w:sz w:val="24"/>
          <w:szCs w:val="24"/>
        </w:rPr>
        <w:t>ů</w:t>
      </w:r>
      <w:r w:rsidR="00C90D00" w:rsidRPr="008142C5">
        <w:rPr>
          <w:rFonts w:asciiTheme="minorHAnsi" w:hAnsiTheme="minorHAnsi" w:cstheme="minorHAnsi"/>
          <w:sz w:val="24"/>
          <w:szCs w:val="24"/>
        </w:rPr>
        <w:t xml:space="preserve"> příslušných rozhodnutí v IS SDSL má dopady i na výkon dozoru nad dodržováním podmínek stanovených v povolení k umístění herního prostoru. </w:t>
      </w:r>
      <w:r w:rsidR="003C723E" w:rsidRPr="008142C5">
        <w:rPr>
          <w:rFonts w:asciiTheme="minorHAnsi" w:hAnsiTheme="minorHAnsi" w:cstheme="minorHAnsi"/>
          <w:sz w:val="24"/>
          <w:szCs w:val="24"/>
        </w:rPr>
        <w:t xml:space="preserve">Postupy </w:t>
      </w:r>
      <w:r w:rsidR="00C90D00" w:rsidRPr="008142C5">
        <w:rPr>
          <w:rFonts w:asciiTheme="minorHAnsi" w:hAnsiTheme="minorHAnsi" w:cstheme="minorHAnsi"/>
          <w:sz w:val="24"/>
          <w:szCs w:val="24"/>
        </w:rPr>
        <w:t xml:space="preserve">pro kontrolu </w:t>
      </w:r>
      <w:r w:rsidR="0089287B" w:rsidRPr="008142C5">
        <w:rPr>
          <w:rFonts w:asciiTheme="minorHAnsi" w:hAnsiTheme="minorHAnsi" w:cstheme="minorHAnsi"/>
          <w:sz w:val="24"/>
          <w:szCs w:val="24"/>
        </w:rPr>
        <w:t xml:space="preserve">údajů </w:t>
      </w:r>
      <w:r w:rsidR="00C90D00" w:rsidRPr="008142C5">
        <w:rPr>
          <w:rFonts w:asciiTheme="minorHAnsi" w:hAnsiTheme="minorHAnsi" w:cstheme="minorHAnsi"/>
          <w:sz w:val="24"/>
          <w:szCs w:val="24"/>
        </w:rPr>
        <w:t>zadávaných obc</w:t>
      </w:r>
      <w:r w:rsidR="005969D8">
        <w:rPr>
          <w:rFonts w:asciiTheme="minorHAnsi" w:hAnsiTheme="minorHAnsi" w:cstheme="minorHAnsi"/>
          <w:sz w:val="24"/>
          <w:szCs w:val="24"/>
        </w:rPr>
        <w:t>emi</w:t>
      </w:r>
      <w:r w:rsidR="00C90D00" w:rsidRPr="008142C5">
        <w:rPr>
          <w:rFonts w:asciiTheme="minorHAnsi" w:hAnsiTheme="minorHAnsi" w:cstheme="minorHAnsi"/>
          <w:sz w:val="24"/>
          <w:szCs w:val="24"/>
        </w:rPr>
        <w:t xml:space="preserve"> do IS SDSL </w:t>
      </w:r>
      <w:r w:rsidR="003C723E" w:rsidRPr="008142C5">
        <w:rPr>
          <w:rFonts w:asciiTheme="minorHAnsi" w:hAnsiTheme="minorHAnsi" w:cstheme="minorHAnsi"/>
          <w:sz w:val="24"/>
          <w:szCs w:val="24"/>
        </w:rPr>
        <w:t xml:space="preserve">nemá MF </w:t>
      </w:r>
      <w:r w:rsidR="003C5751" w:rsidRPr="008142C5">
        <w:rPr>
          <w:rFonts w:asciiTheme="minorHAnsi" w:hAnsiTheme="minorHAnsi" w:cstheme="minorHAnsi"/>
          <w:sz w:val="24"/>
          <w:szCs w:val="24"/>
        </w:rPr>
        <w:t xml:space="preserve">písemně </w:t>
      </w:r>
      <w:r w:rsidR="003C723E" w:rsidRPr="008142C5">
        <w:rPr>
          <w:rFonts w:asciiTheme="minorHAnsi" w:hAnsiTheme="minorHAnsi" w:cstheme="minorHAnsi"/>
          <w:sz w:val="24"/>
          <w:szCs w:val="24"/>
        </w:rPr>
        <w:t>nastaveny</w:t>
      </w:r>
      <w:r w:rsidR="003C5751" w:rsidRPr="008142C5">
        <w:rPr>
          <w:rFonts w:asciiTheme="minorHAnsi" w:hAnsiTheme="minorHAnsi" w:cstheme="minorHAnsi"/>
          <w:sz w:val="24"/>
          <w:szCs w:val="24"/>
        </w:rPr>
        <w:t>.</w:t>
      </w:r>
    </w:p>
    <w:p w14:paraId="00EC5175" w14:textId="18062B07" w:rsidR="00C90D00" w:rsidRDefault="00C90D00" w:rsidP="00A36482">
      <w:pPr>
        <w:pStyle w:val="Odstavecseseznamem"/>
        <w:numPr>
          <w:ilvl w:val="1"/>
          <w:numId w:val="17"/>
        </w:numPr>
        <w:spacing w:after="120"/>
        <w:ind w:left="0" w:firstLine="0"/>
        <w:contextualSpacing w:val="0"/>
        <w:rPr>
          <w:rFonts w:asciiTheme="minorHAnsi" w:hAnsiTheme="minorHAnsi" w:cstheme="minorHAnsi"/>
          <w:sz w:val="24"/>
          <w:szCs w:val="24"/>
        </w:rPr>
      </w:pPr>
      <w:r w:rsidRPr="008142C5">
        <w:rPr>
          <w:rFonts w:asciiTheme="minorHAnsi" w:hAnsiTheme="minorHAnsi" w:cstheme="minorHAnsi"/>
          <w:sz w:val="24"/>
          <w:szCs w:val="24"/>
        </w:rPr>
        <w:t xml:space="preserve">NKÚ na vzorku spisové dokumentace provedených 12 daňových kontrol ověřoval administrativní </w:t>
      </w:r>
      <w:r w:rsidR="008C111A">
        <w:rPr>
          <w:rFonts w:asciiTheme="minorHAnsi" w:hAnsiTheme="minorHAnsi" w:cstheme="minorHAnsi"/>
          <w:sz w:val="24"/>
          <w:szCs w:val="24"/>
        </w:rPr>
        <w:t>náročnost</w:t>
      </w:r>
      <w:r w:rsidRPr="008142C5">
        <w:rPr>
          <w:rFonts w:asciiTheme="minorHAnsi" w:hAnsiTheme="minorHAnsi" w:cstheme="minorHAnsi"/>
          <w:sz w:val="24"/>
          <w:szCs w:val="24"/>
        </w:rPr>
        <w:t xml:space="preserve"> kontrolní činnosti SFÚ </w:t>
      </w:r>
      <w:r w:rsidR="00AF6F42" w:rsidRPr="008142C5">
        <w:rPr>
          <w:rFonts w:asciiTheme="minorHAnsi" w:hAnsiTheme="minorHAnsi" w:cstheme="minorHAnsi"/>
          <w:sz w:val="24"/>
          <w:szCs w:val="24"/>
        </w:rPr>
        <w:t>v souvislosti s</w:t>
      </w:r>
      <w:r w:rsidRPr="008142C5">
        <w:rPr>
          <w:rFonts w:asciiTheme="minorHAnsi" w:hAnsiTheme="minorHAnsi" w:cstheme="minorHAnsi"/>
          <w:sz w:val="24"/>
          <w:szCs w:val="24"/>
        </w:rPr>
        <w:t xml:space="preserve"> </w:t>
      </w:r>
      <w:r w:rsidR="00AF6F42" w:rsidRPr="008142C5">
        <w:rPr>
          <w:rFonts w:asciiTheme="minorHAnsi" w:hAnsiTheme="minorHAnsi" w:cstheme="minorHAnsi"/>
          <w:sz w:val="24"/>
          <w:szCs w:val="24"/>
        </w:rPr>
        <w:t xml:space="preserve">využitím </w:t>
      </w:r>
      <w:r w:rsidRPr="008142C5">
        <w:rPr>
          <w:rFonts w:asciiTheme="minorHAnsi" w:hAnsiTheme="minorHAnsi" w:cstheme="minorHAnsi"/>
          <w:sz w:val="24"/>
          <w:szCs w:val="24"/>
        </w:rPr>
        <w:t>IS SDSL. SFÚ zaslal</w:t>
      </w:r>
      <w:r w:rsidR="00183040">
        <w:rPr>
          <w:rFonts w:asciiTheme="minorHAnsi" w:hAnsiTheme="minorHAnsi" w:cstheme="minorHAnsi"/>
          <w:sz w:val="24"/>
          <w:szCs w:val="24"/>
        </w:rPr>
        <w:t xml:space="preserve"> </w:t>
      </w:r>
      <w:r w:rsidRPr="008142C5">
        <w:rPr>
          <w:rFonts w:asciiTheme="minorHAnsi" w:hAnsiTheme="minorHAnsi" w:cstheme="minorHAnsi"/>
          <w:sz w:val="24"/>
          <w:szCs w:val="24"/>
        </w:rPr>
        <w:t>v</w:t>
      </w:r>
      <w:r w:rsidR="002D16AE">
        <w:rPr>
          <w:rFonts w:asciiTheme="minorHAnsi" w:hAnsiTheme="minorHAnsi" w:cstheme="minorHAnsi"/>
          <w:sz w:val="24"/>
          <w:szCs w:val="24"/>
        </w:rPr>
        <w:t> </w:t>
      </w:r>
      <w:r w:rsidRPr="008142C5">
        <w:rPr>
          <w:rFonts w:asciiTheme="minorHAnsi" w:hAnsiTheme="minorHAnsi" w:cstheme="minorHAnsi"/>
          <w:sz w:val="24"/>
          <w:szCs w:val="24"/>
        </w:rPr>
        <w:t>sedmi případech celkem 65 výzev obecním a celním úřadům k poskytnutí údajů za účelem zjišťování či ověřování údajů týkajících se povolení k provozování hazardních her a k umístění herního prostoru, a</w:t>
      </w:r>
      <w:r w:rsidR="00933AC0">
        <w:rPr>
          <w:rFonts w:asciiTheme="minorHAnsi" w:hAnsiTheme="minorHAnsi" w:cstheme="minorHAnsi"/>
          <w:sz w:val="24"/>
          <w:szCs w:val="24"/>
        </w:rPr>
        <w:t>čkoli</w:t>
      </w:r>
      <w:r w:rsidRPr="008142C5">
        <w:rPr>
          <w:rFonts w:asciiTheme="minorHAnsi" w:hAnsiTheme="minorHAnsi" w:cstheme="minorHAnsi"/>
          <w:sz w:val="24"/>
          <w:szCs w:val="24"/>
        </w:rPr>
        <w:t xml:space="preserve"> tyto údaje byly dostupné v IS SDSL. </w:t>
      </w:r>
      <w:r w:rsidR="009A298C">
        <w:rPr>
          <w:rFonts w:asciiTheme="minorHAnsi" w:hAnsiTheme="minorHAnsi" w:cstheme="minorHAnsi"/>
          <w:sz w:val="24"/>
          <w:szCs w:val="24"/>
        </w:rPr>
        <w:t xml:space="preserve">SFÚ není správcem IS SDSL, ale pouze jeho uživatelem. </w:t>
      </w:r>
      <w:r w:rsidRPr="008142C5">
        <w:rPr>
          <w:rFonts w:asciiTheme="minorHAnsi" w:hAnsiTheme="minorHAnsi" w:cstheme="minorHAnsi"/>
          <w:sz w:val="24"/>
          <w:szCs w:val="24"/>
        </w:rPr>
        <w:t xml:space="preserve">Relevantnost dat a údajů vkládaných do IS SDSL třetími stranami </w:t>
      </w:r>
      <w:r w:rsidR="00B508EC" w:rsidRPr="008142C5">
        <w:rPr>
          <w:rFonts w:asciiTheme="minorHAnsi" w:hAnsiTheme="minorHAnsi" w:cstheme="minorHAnsi"/>
          <w:sz w:val="24"/>
          <w:szCs w:val="24"/>
        </w:rPr>
        <w:t xml:space="preserve">ověřoval </w:t>
      </w:r>
      <w:r w:rsidRPr="008142C5">
        <w:rPr>
          <w:rFonts w:asciiTheme="minorHAnsi" w:hAnsiTheme="minorHAnsi" w:cstheme="minorHAnsi"/>
          <w:sz w:val="24"/>
          <w:szCs w:val="24"/>
        </w:rPr>
        <w:t xml:space="preserve">dodatečně </w:t>
      </w:r>
      <w:r w:rsidR="00B508EC" w:rsidRPr="008142C5">
        <w:rPr>
          <w:rFonts w:asciiTheme="minorHAnsi" w:hAnsiTheme="minorHAnsi" w:cstheme="minorHAnsi"/>
          <w:sz w:val="24"/>
          <w:szCs w:val="24"/>
        </w:rPr>
        <w:t xml:space="preserve">SFÚ </w:t>
      </w:r>
      <w:r w:rsidRPr="008142C5">
        <w:rPr>
          <w:rFonts w:asciiTheme="minorHAnsi" w:hAnsiTheme="minorHAnsi" w:cstheme="minorHAnsi"/>
          <w:sz w:val="24"/>
          <w:szCs w:val="24"/>
        </w:rPr>
        <w:t xml:space="preserve">pro účely daňového řízení postupy podle </w:t>
      </w:r>
      <w:r w:rsidR="004F07F6">
        <w:rPr>
          <w:rFonts w:asciiTheme="minorHAnsi" w:hAnsiTheme="minorHAnsi" w:cstheme="minorHAnsi"/>
          <w:sz w:val="24"/>
          <w:szCs w:val="24"/>
        </w:rPr>
        <w:t>DŘ</w:t>
      </w:r>
      <w:r w:rsidRPr="008142C5">
        <w:rPr>
          <w:rFonts w:asciiTheme="minorHAnsi" w:hAnsiTheme="minorHAnsi" w:cstheme="minorHAnsi"/>
          <w:sz w:val="24"/>
          <w:szCs w:val="24"/>
        </w:rPr>
        <w:t>. Neúplnost a</w:t>
      </w:r>
      <w:r w:rsidR="001F08B2">
        <w:rPr>
          <w:rFonts w:asciiTheme="minorHAnsi" w:hAnsiTheme="minorHAnsi" w:cstheme="minorHAnsi"/>
          <w:sz w:val="24"/>
          <w:szCs w:val="24"/>
        </w:rPr>
        <w:t> </w:t>
      </w:r>
      <w:r w:rsidRPr="008142C5">
        <w:rPr>
          <w:rFonts w:asciiTheme="minorHAnsi" w:hAnsiTheme="minorHAnsi" w:cstheme="minorHAnsi"/>
          <w:sz w:val="24"/>
          <w:szCs w:val="24"/>
        </w:rPr>
        <w:t xml:space="preserve">nespolehlivost dat v IS SDSL byly příčinou </w:t>
      </w:r>
      <w:r w:rsidR="00220C75" w:rsidRPr="008142C5">
        <w:rPr>
          <w:rFonts w:asciiTheme="minorHAnsi" w:hAnsiTheme="minorHAnsi" w:cstheme="minorHAnsi"/>
          <w:sz w:val="24"/>
          <w:szCs w:val="24"/>
        </w:rPr>
        <w:t xml:space="preserve">snížené </w:t>
      </w:r>
      <w:r w:rsidRPr="008142C5">
        <w:rPr>
          <w:rFonts w:asciiTheme="minorHAnsi" w:hAnsiTheme="minorHAnsi" w:cstheme="minorHAnsi"/>
          <w:sz w:val="24"/>
          <w:szCs w:val="24"/>
        </w:rPr>
        <w:t xml:space="preserve">efektivnosti </w:t>
      </w:r>
      <w:r w:rsidR="006B2946">
        <w:rPr>
          <w:rFonts w:asciiTheme="minorHAnsi" w:hAnsiTheme="minorHAnsi" w:cstheme="minorHAnsi"/>
          <w:sz w:val="24"/>
          <w:szCs w:val="24"/>
        </w:rPr>
        <w:t xml:space="preserve">výkonu </w:t>
      </w:r>
      <w:r w:rsidRPr="008142C5">
        <w:rPr>
          <w:rFonts w:asciiTheme="minorHAnsi" w:hAnsiTheme="minorHAnsi" w:cstheme="minorHAnsi"/>
          <w:sz w:val="24"/>
          <w:szCs w:val="24"/>
        </w:rPr>
        <w:t xml:space="preserve">kontrolní činnosti </w:t>
      </w:r>
      <w:r w:rsidR="00AF6F42" w:rsidRPr="008142C5">
        <w:rPr>
          <w:rFonts w:asciiTheme="minorHAnsi" w:hAnsiTheme="minorHAnsi" w:cstheme="minorHAnsi"/>
          <w:sz w:val="24"/>
          <w:szCs w:val="24"/>
        </w:rPr>
        <w:t>SFÚ</w:t>
      </w:r>
      <w:r w:rsidRPr="008142C5">
        <w:rPr>
          <w:rFonts w:asciiTheme="minorHAnsi" w:hAnsiTheme="minorHAnsi" w:cstheme="minorHAnsi"/>
          <w:sz w:val="24"/>
          <w:szCs w:val="24"/>
        </w:rPr>
        <w:t>.</w:t>
      </w:r>
    </w:p>
    <w:p w14:paraId="41DE8D1F" w14:textId="3FAD59ED" w:rsidR="00C90D00" w:rsidRPr="008142C5" w:rsidRDefault="00EE6D7D" w:rsidP="00A36482">
      <w:pPr>
        <w:pStyle w:val="Odstavecseseznamem"/>
        <w:numPr>
          <w:ilvl w:val="1"/>
          <w:numId w:val="17"/>
        </w:numPr>
        <w:spacing w:after="120"/>
        <w:ind w:left="0" w:firstLine="0"/>
        <w:contextualSpacing w:val="0"/>
        <w:rPr>
          <w:rFonts w:asciiTheme="minorHAnsi" w:hAnsiTheme="minorHAnsi" w:cstheme="minorHAnsi"/>
          <w:sz w:val="24"/>
          <w:szCs w:val="24"/>
        </w:rPr>
      </w:pPr>
      <w:r w:rsidRPr="008142C5">
        <w:rPr>
          <w:rFonts w:asciiTheme="minorHAnsi" w:hAnsiTheme="minorHAnsi" w:cstheme="minorHAnsi"/>
          <w:sz w:val="24"/>
          <w:szCs w:val="24"/>
        </w:rPr>
        <w:t>AM</w:t>
      </w:r>
      <w:r w:rsidR="00C90D00" w:rsidRPr="008142C5">
        <w:rPr>
          <w:rFonts w:asciiTheme="minorHAnsi" w:hAnsiTheme="minorHAnsi" w:cstheme="minorHAnsi"/>
          <w:sz w:val="24"/>
          <w:szCs w:val="24"/>
        </w:rPr>
        <w:t xml:space="preserve"> AISG </w:t>
      </w:r>
      <w:r w:rsidR="00494CEB" w:rsidRPr="008142C5">
        <w:rPr>
          <w:rFonts w:asciiTheme="minorHAnsi" w:hAnsiTheme="minorHAnsi" w:cstheme="minorHAnsi"/>
          <w:sz w:val="24"/>
          <w:szCs w:val="24"/>
        </w:rPr>
        <w:t>má d</w:t>
      </w:r>
      <w:r w:rsidR="00C90D00" w:rsidRPr="008142C5">
        <w:rPr>
          <w:rFonts w:asciiTheme="minorHAnsi" w:hAnsiTheme="minorHAnsi" w:cstheme="minorHAnsi"/>
          <w:sz w:val="24"/>
          <w:szCs w:val="24"/>
        </w:rPr>
        <w:t>le ustanovení § 131 ZHH obsahovat herní a finanční data zasílaná provozovatel</w:t>
      </w:r>
      <w:r w:rsidR="008D7A52">
        <w:rPr>
          <w:rFonts w:asciiTheme="minorHAnsi" w:hAnsiTheme="minorHAnsi" w:cstheme="minorHAnsi"/>
          <w:sz w:val="24"/>
          <w:szCs w:val="24"/>
        </w:rPr>
        <w:t>em</w:t>
      </w:r>
      <w:r w:rsidR="00C90D00" w:rsidRPr="008142C5">
        <w:rPr>
          <w:rFonts w:asciiTheme="minorHAnsi" w:hAnsiTheme="minorHAnsi" w:cstheme="minorHAnsi"/>
          <w:sz w:val="24"/>
          <w:szCs w:val="24"/>
        </w:rPr>
        <w:t xml:space="preserve"> hazardních her</w:t>
      </w:r>
      <w:r w:rsidR="00AE7F78" w:rsidRPr="008142C5">
        <w:rPr>
          <w:rFonts w:asciiTheme="minorHAnsi" w:hAnsiTheme="minorHAnsi" w:cstheme="minorHAnsi"/>
          <w:sz w:val="24"/>
          <w:szCs w:val="24"/>
        </w:rPr>
        <w:t>.</w:t>
      </w:r>
      <w:r w:rsidR="00135A7D">
        <w:rPr>
          <w:rFonts w:asciiTheme="minorHAnsi" w:hAnsiTheme="minorHAnsi" w:cstheme="minorHAnsi"/>
          <w:sz w:val="24"/>
          <w:szCs w:val="24"/>
        </w:rPr>
        <w:t xml:space="preserve"> </w:t>
      </w:r>
      <w:r w:rsidR="005215BA">
        <w:rPr>
          <w:rFonts w:asciiTheme="minorHAnsi" w:hAnsiTheme="minorHAnsi" w:cstheme="minorHAnsi"/>
          <w:sz w:val="24"/>
          <w:szCs w:val="24"/>
        </w:rPr>
        <w:t xml:space="preserve">Provozovatelé </w:t>
      </w:r>
      <w:r w:rsidR="0044324B">
        <w:rPr>
          <w:rFonts w:asciiTheme="minorHAnsi" w:hAnsiTheme="minorHAnsi" w:cstheme="minorHAnsi"/>
          <w:sz w:val="24"/>
          <w:szCs w:val="24"/>
        </w:rPr>
        <w:t xml:space="preserve">však v praxi </w:t>
      </w:r>
      <w:r w:rsidR="005215BA">
        <w:rPr>
          <w:rFonts w:asciiTheme="minorHAnsi" w:hAnsiTheme="minorHAnsi" w:cstheme="minorHAnsi"/>
          <w:sz w:val="24"/>
          <w:szCs w:val="24"/>
        </w:rPr>
        <w:t>zadáva</w:t>
      </w:r>
      <w:r w:rsidR="0044324B">
        <w:rPr>
          <w:rFonts w:asciiTheme="minorHAnsi" w:hAnsiTheme="minorHAnsi" w:cstheme="minorHAnsi"/>
          <w:sz w:val="24"/>
          <w:szCs w:val="24"/>
        </w:rPr>
        <w:t>jí</w:t>
      </w:r>
      <w:r w:rsidR="00DC4D8A">
        <w:rPr>
          <w:rFonts w:asciiTheme="minorHAnsi" w:hAnsiTheme="minorHAnsi" w:cstheme="minorHAnsi"/>
          <w:sz w:val="24"/>
          <w:szCs w:val="24"/>
        </w:rPr>
        <w:t xml:space="preserve"> do AM AISG nesprávné údaje. </w:t>
      </w:r>
      <w:r w:rsidR="0044324B">
        <w:rPr>
          <w:rFonts w:asciiTheme="minorHAnsi" w:hAnsiTheme="minorHAnsi" w:cstheme="minorHAnsi"/>
          <w:sz w:val="24"/>
          <w:szCs w:val="24"/>
        </w:rPr>
        <w:t xml:space="preserve">NKÚ např. zjistil případy, kdy </w:t>
      </w:r>
      <w:r w:rsidR="00AD3F9F" w:rsidRPr="009A047B">
        <w:rPr>
          <w:rFonts w:asciiTheme="minorHAnsi" w:hAnsiTheme="minorHAnsi" w:cstheme="minorHAnsi"/>
          <w:sz w:val="24"/>
          <w:szCs w:val="24"/>
        </w:rPr>
        <w:t xml:space="preserve">provozovatelé vykazovali </w:t>
      </w:r>
      <w:r w:rsidR="004649BB" w:rsidRPr="009A047B">
        <w:rPr>
          <w:rFonts w:asciiTheme="minorHAnsi" w:hAnsiTheme="minorHAnsi" w:cstheme="minorHAnsi"/>
          <w:sz w:val="24"/>
          <w:szCs w:val="24"/>
        </w:rPr>
        <w:t xml:space="preserve">dílčí základ daně z </w:t>
      </w:r>
      <w:r w:rsidR="00AD3F9F" w:rsidRPr="009A047B">
        <w:rPr>
          <w:rFonts w:asciiTheme="minorHAnsi" w:hAnsiTheme="minorHAnsi" w:cstheme="minorHAnsi"/>
          <w:sz w:val="24"/>
          <w:szCs w:val="24"/>
        </w:rPr>
        <w:t xml:space="preserve">internetové hry, </w:t>
      </w:r>
      <w:r w:rsidR="00AD6B15" w:rsidRPr="009A047B">
        <w:rPr>
          <w:rFonts w:asciiTheme="minorHAnsi" w:hAnsiTheme="minorHAnsi" w:cstheme="minorHAnsi"/>
          <w:sz w:val="24"/>
          <w:szCs w:val="24"/>
        </w:rPr>
        <w:t>ačkoliv</w:t>
      </w:r>
      <w:r w:rsidR="007A3F31" w:rsidRPr="009A047B">
        <w:rPr>
          <w:rFonts w:asciiTheme="minorHAnsi" w:hAnsiTheme="minorHAnsi" w:cstheme="minorHAnsi"/>
          <w:sz w:val="24"/>
          <w:szCs w:val="24"/>
        </w:rPr>
        <w:t xml:space="preserve"> k provozování internetových hazardních her</w:t>
      </w:r>
      <w:r w:rsidR="004649BB" w:rsidRPr="009A047B">
        <w:rPr>
          <w:rFonts w:asciiTheme="minorHAnsi" w:hAnsiTheme="minorHAnsi" w:cstheme="minorHAnsi"/>
          <w:sz w:val="24"/>
          <w:szCs w:val="24"/>
        </w:rPr>
        <w:t xml:space="preserve"> neměli základní povolení</w:t>
      </w:r>
      <w:r w:rsidR="00AD3F9F" w:rsidRPr="009A047B">
        <w:rPr>
          <w:rFonts w:asciiTheme="minorHAnsi" w:hAnsiTheme="minorHAnsi" w:cstheme="minorHAnsi"/>
          <w:sz w:val="24"/>
          <w:szCs w:val="24"/>
        </w:rPr>
        <w:t>.</w:t>
      </w:r>
      <w:r w:rsidR="0053192B" w:rsidRPr="0053192B">
        <w:rPr>
          <w:rFonts w:cstheme="minorHAnsi"/>
          <w:sz w:val="24"/>
          <w:szCs w:val="24"/>
        </w:rPr>
        <w:t xml:space="preserve"> </w:t>
      </w:r>
      <w:r w:rsidR="0053192B" w:rsidRPr="00B65895">
        <w:rPr>
          <w:rFonts w:cstheme="minorHAnsi"/>
          <w:sz w:val="24"/>
          <w:szCs w:val="24"/>
        </w:rPr>
        <w:t>NKÚ dále na kontrolním vzorku 15 přiznání k dani z hazardních her zjistil, že v osmi daňových přiznání</w:t>
      </w:r>
      <w:r w:rsidR="00097760">
        <w:rPr>
          <w:rFonts w:cstheme="minorHAnsi"/>
          <w:sz w:val="24"/>
          <w:szCs w:val="24"/>
        </w:rPr>
        <w:t>ch</w:t>
      </w:r>
      <w:r w:rsidR="0053192B" w:rsidRPr="00B65895">
        <w:rPr>
          <w:rFonts w:cstheme="minorHAnsi"/>
          <w:sz w:val="24"/>
          <w:szCs w:val="24"/>
        </w:rPr>
        <w:t xml:space="preserve"> byla uvedena částka dílčího základu daně z technické hry nižší než v reportech z AM AISG</w:t>
      </w:r>
      <w:r w:rsidR="00573D4B">
        <w:rPr>
          <w:rFonts w:cstheme="minorHAnsi"/>
          <w:sz w:val="24"/>
          <w:szCs w:val="24"/>
        </w:rPr>
        <w:t xml:space="preserve"> </w:t>
      </w:r>
      <w:r w:rsidR="0053192B" w:rsidRPr="00B65895">
        <w:rPr>
          <w:rFonts w:cstheme="minorHAnsi"/>
          <w:sz w:val="24"/>
          <w:szCs w:val="24"/>
        </w:rPr>
        <w:t>o</w:t>
      </w:r>
      <w:r w:rsidR="002D16AE">
        <w:rPr>
          <w:rFonts w:cstheme="minorHAnsi"/>
          <w:sz w:val="24"/>
          <w:szCs w:val="24"/>
        </w:rPr>
        <w:t> </w:t>
      </w:r>
      <w:r w:rsidR="0053192B" w:rsidRPr="00B65895">
        <w:rPr>
          <w:rFonts w:cstheme="minorHAnsi"/>
          <w:sz w:val="24"/>
          <w:szCs w:val="24"/>
        </w:rPr>
        <w:t>celkovou částku 21,84 mil. Kč. V ostatních případech byla tvrzená částka dílčího základu daně z technické hry v daňovém přiznání vyšší než v reportech z AM AISG, a to o celkovou částku 8,65 mil. Kč. Pouze v jediném případě z kontrolovaného vzorku správce daně zahájil na základě zjištěného nesouladu úkony vedoucí k podání dodatečného daňového přiznání a doměření daně z technické hry. SFÚ tak ve výše uvedených případech do doby ukončení kontroly NKÚ využil data v AM AISG pouze jako zdroj formální kontroly tvrzené daně z hazardních her, nikoliv pro účely doměřovacího řízení</w:t>
      </w:r>
      <w:r w:rsidR="00E30B10">
        <w:rPr>
          <w:rFonts w:cstheme="minorHAnsi"/>
          <w:sz w:val="24"/>
          <w:szCs w:val="24"/>
        </w:rPr>
        <w:t>.</w:t>
      </w:r>
    </w:p>
    <w:p w14:paraId="3550E83B" w14:textId="4E85966A" w:rsidR="00C90D00" w:rsidRPr="008142C5" w:rsidRDefault="00C90D00" w:rsidP="00A36482">
      <w:pPr>
        <w:pStyle w:val="Odstavecseseznamem"/>
        <w:numPr>
          <w:ilvl w:val="1"/>
          <w:numId w:val="17"/>
        </w:numPr>
        <w:spacing w:after="120"/>
        <w:ind w:left="0" w:firstLine="0"/>
        <w:contextualSpacing w:val="0"/>
        <w:rPr>
          <w:rFonts w:asciiTheme="minorHAnsi" w:hAnsiTheme="minorHAnsi" w:cstheme="minorHAnsi"/>
          <w:sz w:val="24"/>
          <w:szCs w:val="24"/>
        </w:rPr>
      </w:pPr>
      <w:r w:rsidRPr="008142C5">
        <w:rPr>
          <w:rFonts w:asciiTheme="minorHAnsi" w:hAnsiTheme="minorHAnsi" w:cstheme="minorHAnsi"/>
          <w:sz w:val="24"/>
          <w:szCs w:val="24"/>
        </w:rPr>
        <w:t xml:space="preserve">CS ČR </w:t>
      </w:r>
      <w:r w:rsidR="00EF1CF9" w:rsidRPr="008142C5">
        <w:rPr>
          <w:rFonts w:asciiTheme="minorHAnsi" w:hAnsiTheme="minorHAnsi" w:cstheme="minorHAnsi"/>
          <w:sz w:val="24"/>
          <w:szCs w:val="24"/>
        </w:rPr>
        <w:t xml:space="preserve">také prováděla </w:t>
      </w:r>
      <w:r w:rsidRPr="008142C5">
        <w:rPr>
          <w:rFonts w:asciiTheme="minorHAnsi" w:hAnsiTheme="minorHAnsi" w:cstheme="minorHAnsi"/>
          <w:sz w:val="24"/>
          <w:szCs w:val="24"/>
        </w:rPr>
        <w:t>kontroly u provozovatelů zaměřen</w:t>
      </w:r>
      <w:r w:rsidR="00EF1CF9" w:rsidRPr="008142C5">
        <w:rPr>
          <w:rFonts w:asciiTheme="minorHAnsi" w:hAnsiTheme="minorHAnsi" w:cstheme="minorHAnsi"/>
          <w:sz w:val="24"/>
          <w:szCs w:val="24"/>
        </w:rPr>
        <w:t>é na poskytování dat do AM</w:t>
      </w:r>
      <w:r w:rsidR="00997997">
        <w:rPr>
          <w:rFonts w:asciiTheme="minorHAnsi" w:hAnsiTheme="minorHAnsi" w:cstheme="minorHAnsi"/>
          <w:sz w:val="24"/>
          <w:szCs w:val="24"/>
        </w:rPr>
        <w:t> </w:t>
      </w:r>
      <w:r w:rsidR="00EF1CF9" w:rsidRPr="008142C5">
        <w:rPr>
          <w:rFonts w:asciiTheme="minorHAnsi" w:hAnsiTheme="minorHAnsi" w:cstheme="minorHAnsi"/>
          <w:sz w:val="24"/>
          <w:szCs w:val="24"/>
        </w:rPr>
        <w:t xml:space="preserve">AISG. </w:t>
      </w:r>
      <w:r w:rsidRPr="008142C5">
        <w:rPr>
          <w:rFonts w:asciiTheme="minorHAnsi" w:hAnsiTheme="minorHAnsi" w:cstheme="minorHAnsi"/>
          <w:sz w:val="24"/>
          <w:szCs w:val="24"/>
        </w:rPr>
        <w:t>Z výsledk</w:t>
      </w:r>
      <w:r w:rsidR="001D5213" w:rsidRPr="008142C5">
        <w:rPr>
          <w:rFonts w:asciiTheme="minorHAnsi" w:hAnsiTheme="minorHAnsi" w:cstheme="minorHAnsi"/>
          <w:sz w:val="24"/>
          <w:szCs w:val="24"/>
        </w:rPr>
        <w:t>ů</w:t>
      </w:r>
      <w:r w:rsidRPr="008142C5">
        <w:rPr>
          <w:rFonts w:asciiTheme="minorHAnsi" w:hAnsiTheme="minorHAnsi" w:cstheme="minorHAnsi"/>
          <w:sz w:val="24"/>
          <w:szCs w:val="24"/>
        </w:rPr>
        <w:t xml:space="preserve"> kontrol</w:t>
      </w:r>
      <w:r w:rsidR="001D5213" w:rsidRPr="008142C5">
        <w:rPr>
          <w:rFonts w:asciiTheme="minorHAnsi" w:hAnsiTheme="minorHAnsi" w:cstheme="minorHAnsi"/>
          <w:sz w:val="24"/>
          <w:szCs w:val="24"/>
        </w:rPr>
        <w:t xml:space="preserve"> formální správnosti</w:t>
      </w:r>
      <w:r w:rsidRPr="008142C5">
        <w:rPr>
          <w:rFonts w:asciiTheme="minorHAnsi" w:hAnsiTheme="minorHAnsi" w:cstheme="minorHAnsi"/>
          <w:sz w:val="24"/>
          <w:szCs w:val="24"/>
        </w:rPr>
        <w:t xml:space="preserve"> vyplynulo, že v roce 2020 pochybilo 23</w:t>
      </w:r>
      <w:r w:rsidR="005F094E">
        <w:rPr>
          <w:rFonts w:asciiTheme="minorHAnsi" w:hAnsiTheme="minorHAnsi" w:cstheme="minorHAnsi"/>
          <w:sz w:val="24"/>
          <w:szCs w:val="24"/>
        </w:rPr>
        <w:t> </w:t>
      </w:r>
      <w:r w:rsidRPr="008142C5">
        <w:rPr>
          <w:rFonts w:asciiTheme="minorHAnsi" w:hAnsiTheme="minorHAnsi" w:cstheme="minorHAnsi"/>
          <w:sz w:val="24"/>
          <w:szCs w:val="24"/>
        </w:rPr>
        <w:t xml:space="preserve">provozovatelů z celkových 49 a v roce 2021 pochybilo 25 provozovatelů z celkových 52. </w:t>
      </w:r>
      <w:r w:rsidR="004E353F" w:rsidRPr="008142C5">
        <w:rPr>
          <w:rFonts w:asciiTheme="minorHAnsi" w:hAnsiTheme="minorHAnsi" w:cstheme="minorHAnsi"/>
          <w:sz w:val="24"/>
          <w:szCs w:val="24"/>
        </w:rPr>
        <w:t>V</w:t>
      </w:r>
      <w:r w:rsidR="00CA19ED">
        <w:rPr>
          <w:rFonts w:asciiTheme="minorHAnsi" w:hAnsiTheme="minorHAnsi" w:cstheme="minorHAnsi"/>
          <w:sz w:val="24"/>
          <w:szCs w:val="24"/>
        </w:rPr>
        <w:t> </w:t>
      </w:r>
      <w:r w:rsidRPr="008142C5">
        <w:rPr>
          <w:rFonts w:asciiTheme="minorHAnsi" w:hAnsiTheme="minorHAnsi" w:cstheme="minorHAnsi"/>
          <w:sz w:val="24"/>
          <w:szCs w:val="24"/>
        </w:rPr>
        <w:t xml:space="preserve">roce 2022 provozovatelé již </w:t>
      </w:r>
      <w:r w:rsidR="004E353F" w:rsidRPr="008142C5">
        <w:rPr>
          <w:rFonts w:asciiTheme="minorHAnsi" w:hAnsiTheme="minorHAnsi" w:cstheme="minorHAnsi"/>
          <w:sz w:val="24"/>
          <w:szCs w:val="24"/>
        </w:rPr>
        <w:t>posk</w:t>
      </w:r>
      <w:r w:rsidR="00BC17EE" w:rsidRPr="008142C5">
        <w:rPr>
          <w:rFonts w:asciiTheme="minorHAnsi" w:hAnsiTheme="minorHAnsi" w:cstheme="minorHAnsi"/>
          <w:sz w:val="24"/>
          <w:szCs w:val="24"/>
        </w:rPr>
        <w:t>yto</w:t>
      </w:r>
      <w:r w:rsidR="004E353F" w:rsidRPr="008142C5">
        <w:rPr>
          <w:rFonts w:asciiTheme="minorHAnsi" w:hAnsiTheme="minorHAnsi" w:cstheme="minorHAnsi"/>
          <w:sz w:val="24"/>
          <w:szCs w:val="24"/>
        </w:rPr>
        <w:t>val</w:t>
      </w:r>
      <w:r w:rsidR="005B19CF">
        <w:rPr>
          <w:rFonts w:asciiTheme="minorHAnsi" w:hAnsiTheme="minorHAnsi" w:cstheme="minorHAnsi"/>
          <w:sz w:val="24"/>
          <w:szCs w:val="24"/>
        </w:rPr>
        <w:t>i</w:t>
      </w:r>
      <w:r w:rsidR="004E353F" w:rsidRPr="008142C5">
        <w:rPr>
          <w:rFonts w:asciiTheme="minorHAnsi" w:hAnsiTheme="minorHAnsi" w:cstheme="minorHAnsi"/>
          <w:sz w:val="24"/>
          <w:szCs w:val="24"/>
        </w:rPr>
        <w:t xml:space="preserve"> </w:t>
      </w:r>
      <w:r w:rsidRPr="008142C5">
        <w:rPr>
          <w:rFonts w:asciiTheme="minorHAnsi" w:hAnsiTheme="minorHAnsi" w:cstheme="minorHAnsi"/>
          <w:sz w:val="24"/>
          <w:szCs w:val="24"/>
        </w:rPr>
        <w:t>výkaznictví formálně správné. Orgány CS ČR dále kontrol</w:t>
      </w:r>
      <w:r w:rsidR="006221F2" w:rsidRPr="008142C5">
        <w:rPr>
          <w:rFonts w:asciiTheme="minorHAnsi" w:hAnsiTheme="minorHAnsi" w:cstheme="minorHAnsi"/>
          <w:sz w:val="24"/>
          <w:szCs w:val="24"/>
        </w:rPr>
        <w:t>ovaly</w:t>
      </w:r>
      <w:r w:rsidRPr="008142C5">
        <w:rPr>
          <w:rFonts w:asciiTheme="minorHAnsi" w:hAnsiTheme="minorHAnsi" w:cstheme="minorHAnsi"/>
          <w:sz w:val="24"/>
          <w:szCs w:val="24"/>
        </w:rPr>
        <w:t xml:space="preserve"> kvalitu </w:t>
      </w:r>
      <w:r w:rsidR="00325E3B" w:rsidRPr="008142C5">
        <w:rPr>
          <w:rFonts w:asciiTheme="minorHAnsi" w:hAnsiTheme="minorHAnsi" w:cstheme="minorHAnsi"/>
          <w:sz w:val="24"/>
          <w:szCs w:val="24"/>
        </w:rPr>
        <w:t xml:space="preserve">výkaznictví </w:t>
      </w:r>
      <w:r w:rsidRPr="008142C5">
        <w:rPr>
          <w:rFonts w:asciiTheme="minorHAnsi" w:hAnsiTheme="minorHAnsi" w:cstheme="minorHAnsi"/>
          <w:sz w:val="24"/>
          <w:szCs w:val="24"/>
        </w:rPr>
        <w:t>poskytnutého do AM AISG, kdy identifik</w:t>
      </w:r>
      <w:r w:rsidR="00D6314D">
        <w:rPr>
          <w:rFonts w:asciiTheme="minorHAnsi" w:hAnsiTheme="minorHAnsi" w:cstheme="minorHAnsi"/>
          <w:sz w:val="24"/>
          <w:szCs w:val="24"/>
        </w:rPr>
        <w:t>ovaly</w:t>
      </w:r>
      <w:r w:rsidRPr="008142C5">
        <w:rPr>
          <w:rFonts w:asciiTheme="minorHAnsi" w:hAnsiTheme="minorHAnsi" w:cstheme="minorHAnsi"/>
          <w:sz w:val="24"/>
          <w:szCs w:val="24"/>
        </w:rPr>
        <w:t xml:space="preserve"> případy, ve kterých provozovatel data neposkyt</w:t>
      </w:r>
      <w:r w:rsidR="00374CB8">
        <w:rPr>
          <w:rFonts w:asciiTheme="minorHAnsi" w:hAnsiTheme="minorHAnsi" w:cstheme="minorHAnsi"/>
          <w:sz w:val="24"/>
          <w:szCs w:val="24"/>
        </w:rPr>
        <w:t>l</w:t>
      </w:r>
      <w:r w:rsidRPr="008142C5">
        <w:rPr>
          <w:rFonts w:asciiTheme="minorHAnsi" w:hAnsiTheme="minorHAnsi" w:cstheme="minorHAnsi"/>
          <w:sz w:val="24"/>
          <w:szCs w:val="24"/>
        </w:rPr>
        <w:t xml:space="preserve"> ve stanoveném rozsahu nebo data poskyt</w:t>
      </w:r>
      <w:r w:rsidR="002D16AE">
        <w:rPr>
          <w:rFonts w:asciiTheme="minorHAnsi" w:hAnsiTheme="minorHAnsi" w:cstheme="minorHAnsi"/>
          <w:sz w:val="24"/>
          <w:szCs w:val="24"/>
        </w:rPr>
        <w:t>l</w:t>
      </w:r>
      <w:r w:rsidRPr="008142C5">
        <w:rPr>
          <w:rFonts w:asciiTheme="minorHAnsi" w:hAnsiTheme="minorHAnsi" w:cstheme="minorHAnsi"/>
          <w:sz w:val="24"/>
          <w:szCs w:val="24"/>
        </w:rPr>
        <w:t xml:space="preserve"> duplicitně.</w:t>
      </w:r>
      <w:r w:rsidR="00CB08F7">
        <w:rPr>
          <w:rFonts w:asciiTheme="minorHAnsi" w:hAnsiTheme="minorHAnsi" w:cstheme="minorHAnsi"/>
          <w:sz w:val="24"/>
          <w:szCs w:val="24"/>
        </w:rPr>
        <w:t xml:space="preserve"> </w:t>
      </w:r>
      <w:r w:rsidRPr="008142C5">
        <w:rPr>
          <w:rFonts w:asciiTheme="minorHAnsi" w:hAnsiTheme="minorHAnsi" w:cstheme="minorHAnsi"/>
          <w:sz w:val="24"/>
          <w:szCs w:val="24"/>
        </w:rPr>
        <w:t>V</w:t>
      </w:r>
      <w:r w:rsidR="00CA19ED">
        <w:rPr>
          <w:rFonts w:asciiTheme="minorHAnsi" w:hAnsiTheme="minorHAnsi" w:cstheme="minorHAnsi"/>
          <w:sz w:val="24"/>
          <w:szCs w:val="24"/>
        </w:rPr>
        <w:t> </w:t>
      </w:r>
      <w:r w:rsidRPr="008142C5">
        <w:rPr>
          <w:rFonts w:asciiTheme="minorHAnsi" w:hAnsiTheme="minorHAnsi" w:cstheme="minorHAnsi"/>
          <w:sz w:val="24"/>
          <w:szCs w:val="24"/>
        </w:rPr>
        <w:t>rámci kontrolních akcí v letech 2020</w:t>
      </w:r>
      <w:bookmarkStart w:id="18" w:name="_Hlk130908363"/>
      <w:r w:rsidRPr="008142C5">
        <w:rPr>
          <w:rFonts w:asciiTheme="minorHAnsi" w:hAnsiTheme="minorHAnsi" w:cstheme="minorHAnsi"/>
          <w:sz w:val="24"/>
          <w:szCs w:val="24"/>
        </w:rPr>
        <w:t>–</w:t>
      </w:r>
      <w:bookmarkEnd w:id="18"/>
      <w:r w:rsidRPr="008142C5">
        <w:rPr>
          <w:rFonts w:asciiTheme="minorHAnsi" w:hAnsiTheme="minorHAnsi" w:cstheme="minorHAnsi"/>
          <w:sz w:val="24"/>
          <w:szCs w:val="24"/>
        </w:rPr>
        <w:t>2022 poklesla chybovost u provozovatelů ze 100 %</w:t>
      </w:r>
      <w:r w:rsidR="00CB08F7">
        <w:rPr>
          <w:rFonts w:asciiTheme="minorHAnsi" w:hAnsiTheme="minorHAnsi" w:cstheme="minorHAnsi"/>
          <w:sz w:val="24"/>
          <w:szCs w:val="24"/>
        </w:rPr>
        <w:t xml:space="preserve"> </w:t>
      </w:r>
      <w:r w:rsidRPr="008142C5">
        <w:rPr>
          <w:rFonts w:asciiTheme="minorHAnsi" w:hAnsiTheme="minorHAnsi" w:cstheme="minorHAnsi"/>
          <w:sz w:val="24"/>
          <w:szCs w:val="24"/>
        </w:rPr>
        <w:t>na 42</w:t>
      </w:r>
      <w:r w:rsidR="005413D1">
        <w:rPr>
          <w:rFonts w:asciiTheme="minorHAnsi" w:hAnsiTheme="minorHAnsi" w:cstheme="minorHAnsi"/>
          <w:sz w:val="24"/>
          <w:szCs w:val="24"/>
        </w:rPr>
        <w:t> </w:t>
      </w:r>
      <w:r w:rsidRPr="008142C5">
        <w:rPr>
          <w:rFonts w:asciiTheme="minorHAnsi" w:hAnsiTheme="minorHAnsi" w:cstheme="minorHAnsi"/>
          <w:sz w:val="24"/>
          <w:szCs w:val="24"/>
        </w:rPr>
        <w:t>%.</w:t>
      </w:r>
      <w:r w:rsidR="008C111A">
        <w:rPr>
          <w:rFonts w:asciiTheme="minorHAnsi" w:hAnsiTheme="minorHAnsi" w:cstheme="minorHAnsi"/>
          <w:sz w:val="24"/>
          <w:szCs w:val="24"/>
        </w:rPr>
        <w:t xml:space="preserve"> </w:t>
      </w:r>
      <w:r w:rsidR="00273B4B" w:rsidRPr="00525034">
        <w:rPr>
          <w:rFonts w:asciiTheme="minorHAnsi" w:hAnsiTheme="minorHAnsi" w:cstheme="minorHAnsi"/>
          <w:sz w:val="24"/>
          <w:szCs w:val="24"/>
        </w:rPr>
        <w:t>Kontrolou bylo zjištěno, že průběžně dochází k dodatečným opravám dat vložených do AISG. Možnost oprav ze strany provozovatelů je uvedena v §</w:t>
      </w:r>
      <w:r w:rsidR="00273B4B">
        <w:rPr>
          <w:rFonts w:asciiTheme="minorHAnsi" w:hAnsiTheme="minorHAnsi" w:cstheme="minorHAnsi"/>
          <w:sz w:val="24"/>
          <w:szCs w:val="24"/>
        </w:rPr>
        <w:t xml:space="preserve"> </w:t>
      </w:r>
      <w:r w:rsidR="00273B4B" w:rsidRPr="00525034">
        <w:rPr>
          <w:rFonts w:asciiTheme="minorHAnsi" w:hAnsiTheme="minorHAnsi" w:cstheme="minorHAnsi"/>
          <w:sz w:val="24"/>
          <w:szCs w:val="24"/>
        </w:rPr>
        <w:t>108d ZHH a podmínky,</w:t>
      </w:r>
      <w:r w:rsidR="00CB08F7">
        <w:rPr>
          <w:rFonts w:asciiTheme="minorHAnsi" w:hAnsiTheme="minorHAnsi" w:cstheme="minorHAnsi"/>
          <w:sz w:val="24"/>
          <w:szCs w:val="24"/>
        </w:rPr>
        <w:t xml:space="preserve"> </w:t>
      </w:r>
      <w:r w:rsidR="00273B4B" w:rsidRPr="00525034">
        <w:rPr>
          <w:rFonts w:asciiTheme="minorHAnsi" w:hAnsiTheme="minorHAnsi" w:cstheme="minorHAnsi"/>
          <w:sz w:val="24"/>
          <w:szCs w:val="24"/>
        </w:rPr>
        <w:t>za kterých lze opravy provést</w:t>
      </w:r>
      <w:r w:rsidR="002D16AE">
        <w:rPr>
          <w:rFonts w:asciiTheme="minorHAnsi" w:hAnsiTheme="minorHAnsi" w:cstheme="minorHAnsi"/>
          <w:sz w:val="24"/>
          <w:szCs w:val="24"/>
        </w:rPr>
        <w:t>,</w:t>
      </w:r>
      <w:r w:rsidR="00273B4B" w:rsidRPr="00525034">
        <w:rPr>
          <w:rFonts w:asciiTheme="minorHAnsi" w:hAnsiTheme="minorHAnsi" w:cstheme="minorHAnsi"/>
          <w:sz w:val="24"/>
          <w:szCs w:val="24"/>
        </w:rPr>
        <w:t xml:space="preserve"> jsou uvedeny v reportingové vyhlášce</w:t>
      </w:r>
      <w:r w:rsidR="00331CC1">
        <w:rPr>
          <w:rStyle w:val="Znakapoznpodarou"/>
          <w:rFonts w:asciiTheme="minorHAnsi" w:hAnsiTheme="minorHAnsi" w:cstheme="minorHAnsi"/>
          <w:sz w:val="24"/>
          <w:szCs w:val="24"/>
        </w:rPr>
        <w:footnoteReference w:id="25"/>
      </w:r>
      <w:r w:rsidR="00273B4B" w:rsidRPr="00525034">
        <w:rPr>
          <w:rFonts w:asciiTheme="minorHAnsi" w:hAnsiTheme="minorHAnsi" w:cstheme="minorHAnsi"/>
          <w:sz w:val="24"/>
          <w:szCs w:val="24"/>
        </w:rPr>
        <w:t xml:space="preserve">. </w:t>
      </w:r>
      <w:r w:rsidR="008C111A">
        <w:rPr>
          <w:rFonts w:asciiTheme="minorHAnsi" w:hAnsiTheme="minorHAnsi" w:cstheme="minorHAnsi"/>
          <w:sz w:val="24"/>
          <w:szCs w:val="24"/>
        </w:rPr>
        <w:t>Vzhledem ke skutečnosti, že někteří provozovatelé i</w:t>
      </w:r>
      <w:r w:rsidR="00273B4B" w:rsidRPr="00525034">
        <w:rPr>
          <w:rFonts w:asciiTheme="minorHAnsi" w:hAnsiTheme="minorHAnsi" w:cstheme="minorHAnsi"/>
          <w:sz w:val="24"/>
          <w:szCs w:val="24"/>
        </w:rPr>
        <w:t xml:space="preserve"> po dvou letech od spuštění AISG stále uvádějí herní</w:t>
      </w:r>
      <w:r w:rsidR="002D16AE">
        <w:rPr>
          <w:rFonts w:asciiTheme="minorHAnsi" w:hAnsiTheme="minorHAnsi" w:cstheme="minorHAnsi"/>
          <w:sz w:val="24"/>
          <w:szCs w:val="24"/>
        </w:rPr>
        <w:t xml:space="preserve"> </w:t>
      </w:r>
      <w:r w:rsidR="00273B4B" w:rsidRPr="00525034">
        <w:rPr>
          <w:rFonts w:asciiTheme="minorHAnsi" w:hAnsiTheme="minorHAnsi" w:cstheme="minorHAnsi"/>
          <w:sz w:val="24"/>
          <w:szCs w:val="24"/>
        </w:rPr>
        <w:t>a finanční data v</w:t>
      </w:r>
      <w:r w:rsidR="002D16AE">
        <w:rPr>
          <w:rFonts w:asciiTheme="minorHAnsi" w:hAnsiTheme="minorHAnsi" w:cstheme="minorHAnsi"/>
          <w:sz w:val="24"/>
          <w:szCs w:val="24"/>
        </w:rPr>
        <w:t> </w:t>
      </w:r>
      <w:r w:rsidR="00273B4B" w:rsidRPr="00525034">
        <w:rPr>
          <w:rFonts w:asciiTheme="minorHAnsi" w:hAnsiTheme="minorHAnsi" w:cstheme="minorHAnsi"/>
          <w:sz w:val="24"/>
          <w:szCs w:val="24"/>
        </w:rPr>
        <w:t>rozporu s reportingovou vyhláškou</w:t>
      </w:r>
      <w:r w:rsidR="008C111A">
        <w:rPr>
          <w:rFonts w:asciiTheme="minorHAnsi" w:hAnsiTheme="minorHAnsi" w:cstheme="minorHAnsi"/>
          <w:sz w:val="24"/>
          <w:szCs w:val="24"/>
        </w:rPr>
        <w:t>,</w:t>
      </w:r>
      <w:r w:rsidR="00273B4B" w:rsidRPr="00525034">
        <w:rPr>
          <w:rFonts w:asciiTheme="minorHAnsi" w:hAnsiTheme="minorHAnsi" w:cstheme="minorHAnsi"/>
          <w:sz w:val="24"/>
          <w:szCs w:val="24"/>
        </w:rPr>
        <w:t xml:space="preserve"> MF z důvodu zvýšení datové kvality</w:t>
      </w:r>
      <w:r w:rsidR="002D16AE">
        <w:rPr>
          <w:rFonts w:asciiTheme="minorHAnsi" w:hAnsiTheme="minorHAnsi" w:cstheme="minorHAnsi"/>
          <w:sz w:val="24"/>
          <w:szCs w:val="24"/>
        </w:rPr>
        <w:t xml:space="preserve"> </w:t>
      </w:r>
      <w:r w:rsidR="002D16AE" w:rsidRPr="00525034">
        <w:rPr>
          <w:rFonts w:asciiTheme="minorHAnsi" w:hAnsiTheme="minorHAnsi" w:cstheme="minorHAnsi"/>
          <w:sz w:val="24"/>
          <w:szCs w:val="24"/>
        </w:rPr>
        <w:t xml:space="preserve">dovoluje </w:t>
      </w:r>
      <w:r w:rsidR="00273B4B" w:rsidRPr="00525034">
        <w:rPr>
          <w:rFonts w:asciiTheme="minorHAnsi" w:hAnsiTheme="minorHAnsi" w:cstheme="minorHAnsi"/>
          <w:sz w:val="24"/>
          <w:szCs w:val="24"/>
        </w:rPr>
        <w:t>v</w:t>
      </w:r>
      <w:r w:rsidR="002D16AE">
        <w:rPr>
          <w:rFonts w:asciiTheme="minorHAnsi" w:hAnsiTheme="minorHAnsi" w:cstheme="minorHAnsi"/>
          <w:sz w:val="24"/>
          <w:szCs w:val="24"/>
        </w:rPr>
        <w:t> </w:t>
      </w:r>
      <w:r w:rsidR="00273B4B" w:rsidRPr="00525034">
        <w:rPr>
          <w:rFonts w:asciiTheme="minorHAnsi" w:hAnsiTheme="minorHAnsi" w:cstheme="minorHAnsi"/>
          <w:sz w:val="24"/>
          <w:szCs w:val="24"/>
        </w:rPr>
        <w:t>individuálních případech úpravu dat i nad stanovený časový rámec</w:t>
      </w:r>
      <w:r w:rsidR="00273B4B">
        <w:rPr>
          <w:rFonts w:asciiTheme="minorHAnsi" w:hAnsiTheme="minorHAnsi" w:cstheme="minorHAnsi"/>
          <w:sz w:val="24"/>
          <w:szCs w:val="24"/>
        </w:rPr>
        <w:t>.</w:t>
      </w:r>
    </w:p>
    <w:p w14:paraId="561BD17E" w14:textId="68A5FEEB" w:rsidR="00C90D00" w:rsidRPr="008142C5" w:rsidRDefault="00C90D00" w:rsidP="00A36482">
      <w:pPr>
        <w:pStyle w:val="Odstavecseseznamem"/>
        <w:numPr>
          <w:ilvl w:val="1"/>
          <w:numId w:val="17"/>
        </w:numPr>
        <w:spacing w:after="120"/>
        <w:ind w:left="0" w:firstLine="0"/>
        <w:contextualSpacing w:val="0"/>
        <w:rPr>
          <w:rFonts w:asciiTheme="minorHAnsi" w:hAnsiTheme="minorHAnsi" w:cstheme="minorHAnsi"/>
          <w:sz w:val="24"/>
          <w:szCs w:val="24"/>
        </w:rPr>
      </w:pPr>
      <w:r w:rsidRPr="008142C5">
        <w:rPr>
          <w:rFonts w:asciiTheme="minorHAnsi" w:hAnsiTheme="minorHAnsi" w:cstheme="minorHAnsi"/>
          <w:sz w:val="24"/>
          <w:szCs w:val="24"/>
        </w:rPr>
        <w:lastRenderedPageBreak/>
        <w:t>NKÚ zjistil, že kontrola materiálních porušení ZHH</w:t>
      </w:r>
      <w:r w:rsidR="00331CC1">
        <w:rPr>
          <w:rStyle w:val="Znakapoznpodarou"/>
          <w:rFonts w:asciiTheme="minorHAnsi" w:hAnsiTheme="minorHAnsi" w:cstheme="minorHAnsi"/>
          <w:sz w:val="24"/>
          <w:szCs w:val="24"/>
        </w:rPr>
        <w:footnoteReference w:id="26"/>
      </w:r>
      <w:r w:rsidRPr="008142C5">
        <w:rPr>
          <w:rFonts w:asciiTheme="minorHAnsi" w:hAnsiTheme="minorHAnsi" w:cstheme="minorHAnsi"/>
          <w:sz w:val="24"/>
          <w:szCs w:val="24"/>
        </w:rPr>
        <w:t xml:space="preserve"> </w:t>
      </w:r>
      <w:r w:rsidR="00762F44" w:rsidRPr="008142C5">
        <w:rPr>
          <w:rFonts w:asciiTheme="minorHAnsi" w:hAnsiTheme="minorHAnsi" w:cstheme="minorHAnsi"/>
          <w:sz w:val="24"/>
          <w:szCs w:val="24"/>
        </w:rPr>
        <w:t xml:space="preserve">probíhala </w:t>
      </w:r>
      <w:r w:rsidRPr="008142C5">
        <w:rPr>
          <w:rFonts w:asciiTheme="minorHAnsi" w:hAnsiTheme="minorHAnsi" w:cstheme="minorHAnsi"/>
          <w:sz w:val="24"/>
          <w:szCs w:val="24"/>
        </w:rPr>
        <w:t xml:space="preserve">s využitím AM AISG ze strany orgánů CS ČR do </w:t>
      </w:r>
      <w:r w:rsidR="00856404" w:rsidRPr="008142C5">
        <w:rPr>
          <w:rFonts w:asciiTheme="minorHAnsi" w:hAnsiTheme="minorHAnsi" w:cstheme="minorHAnsi"/>
          <w:sz w:val="24"/>
          <w:szCs w:val="24"/>
        </w:rPr>
        <w:t xml:space="preserve">doby </w:t>
      </w:r>
      <w:r w:rsidRPr="008142C5">
        <w:rPr>
          <w:rFonts w:asciiTheme="minorHAnsi" w:hAnsiTheme="minorHAnsi" w:cstheme="minorHAnsi"/>
          <w:sz w:val="24"/>
          <w:szCs w:val="24"/>
        </w:rPr>
        <w:t xml:space="preserve">ukončení kontroly jen okrajově a data z AM AISG sloužila především při kontrole poskytování správného a úplného výkaznictví provozovatelů. Kromě </w:t>
      </w:r>
      <w:r w:rsidR="008211AB">
        <w:rPr>
          <w:rFonts w:asciiTheme="minorHAnsi" w:hAnsiTheme="minorHAnsi" w:cstheme="minorHAnsi"/>
          <w:sz w:val="24"/>
          <w:szCs w:val="24"/>
        </w:rPr>
        <w:t xml:space="preserve">nízké </w:t>
      </w:r>
      <w:r w:rsidRPr="008142C5">
        <w:rPr>
          <w:rFonts w:asciiTheme="minorHAnsi" w:hAnsiTheme="minorHAnsi" w:cstheme="minorHAnsi"/>
          <w:sz w:val="24"/>
          <w:szCs w:val="24"/>
        </w:rPr>
        <w:t>spolehlivosti dat byl</w:t>
      </w:r>
      <w:r w:rsidR="00BB427C">
        <w:rPr>
          <w:rFonts w:asciiTheme="minorHAnsi" w:hAnsiTheme="minorHAnsi" w:cstheme="minorHAnsi"/>
          <w:sz w:val="24"/>
          <w:szCs w:val="24"/>
        </w:rPr>
        <w:t>a</w:t>
      </w:r>
      <w:r w:rsidRPr="008142C5">
        <w:rPr>
          <w:rFonts w:asciiTheme="minorHAnsi" w:hAnsiTheme="minorHAnsi" w:cstheme="minorHAnsi"/>
          <w:sz w:val="24"/>
          <w:szCs w:val="24"/>
        </w:rPr>
        <w:t xml:space="preserve"> překážkou </w:t>
      </w:r>
      <w:r w:rsidR="0082646A" w:rsidRPr="008142C5">
        <w:rPr>
          <w:rFonts w:asciiTheme="minorHAnsi" w:hAnsiTheme="minorHAnsi" w:cstheme="minorHAnsi"/>
          <w:sz w:val="24"/>
          <w:szCs w:val="24"/>
        </w:rPr>
        <w:t xml:space="preserve">i </w:t>
      </w:r>
      <w:r w:rsidRPr="008142C5">
        <w:rPr>
          <w:rFonts w:asciiTheme="minorHAnsi" w:hAnsiTheme="minorHAnsi" w:cstheme="minorHAnsi"/>
          <w:sz w:val="24"/>
          <w:szCs w:val="24"/>
        </w:rPr>
        <w:t>omezen</w:t>
      </w:r>
      <w:r w:rsidR="00BB427C">
        <w:rPr>
          <w:rFonts w:asciiTheme="minorHAnsi" w:hAnsiTheme="minorHAnsi" w:cstheme="minorHAnsi"/>
          <w:sz w:val="24"/>
          <w:szCs w:val="24"/>
        </w:rPr>
        <w:t>á</w:t>
      </w:r>
      <w:r w:rsidRPr="008142C5">
        <w:rPr>
          <w:rFonts w:asciiTheme="minorHAnsi" w:hAnsiTheme="minorHAnsi" w:cstheme="minorHAnsi"/>
          <w:sz w:val="24"/>
          <w:szCs w:val="24"/>
        </w:rPr>
        <w:t xml:space="preserve"> využit</w:t>
      </w:r>
      <w:r w:rsidR="00BB427C">
        <w:rPr>
          <w:rFonts w:asciiTheme="minorHAnsi" w:hAnsiTheme="minorHAnsi" w:cstheme="minorHAnsi"/>
          <w:sz w:val="24"/>
          <w:szCs w:val="24"/>
        </w:rPr>
        <w:t>elnost</w:t>
      </w:r>
      <w:r w:rsidRPr="008142C5">
        <w:rPr>
          <w:rFonts w:asciiTheme="minorHAnsi" w:hAnsiTheme="minorHAnsi" w:cstheme="minorHAnsi"/>
          <w:sz w:val="24"/>
          <w:szCs w:val="24"/>
        </w:rPr>
        <w:t xml:space="preserve"> dat </w:t>
      </w:r>
      <w:r w:rsidR="00BB427C">
        <w:rPr>
          <w:rFonts w:asciiTheme="minorHAnsi" w:hAnsiTheme="minorHAnsi" w:cstheme="minorHAnsi"/>
          <w:sz w:val="24"/>
          <w:szCs w:val="24"/>
        </w:rPr>
        <w:t>–</w:t>
      </w:r>
      <w:r w:rsidRPr="008142C5">
        <w:rPr>
          <w:rFonts w:asciiTheme="minorHAnsi" w:hAnsiTheme="minorHAnsi" w:cstheme="minorHAnsi"/>
          <w:sz w:val="24"/>
          <w:szCs w:val="24"/>
        </w:rPr>
        <w:t xml:space="preserve"> </w:t>
      </w:r>
      <w:r w:rsidR="00C21D3A">
        <w:rPr>
          <w:rFonts w:asciiTheme="minorHAnsi" w:hAnsiTheme="minorHAnsi" w:cstheme="minorHAnsi"/>
          <w:sz w:val="24"/>
          <w:szCs w:val="24"/>
        </w:rPr>
        <w:t xml:space="preserve">CS ČR </w:t>
      </w:r>
      <w:r w:rsidR="00595AAA">
        <w:rPr>
          <w:rFonts w:asciiTheme="minorHAnsi" w:hAnsiTheme="minorHAnsi" w:cstheme="minorHAnsi"/>
          <w:sz w:val="24"/>
          <w:szCs w:val="24"/>
        </w:rPr>
        <w:t>identifikované nedostatky ověřuje také jiným</w:t>
      </w:r>
      <w:r w:rsidR="00762F44">
        <w:rPr>
          <w:rFonts w:asciiTheme="minorHAnsi" w:hAnsiTheme="minorHAnsi" w:cstheme="minorHAnsi"/>
          <w:sz w:val="24"/>
          <w:szCs w:val="24"/>
        </w:rPr>
        <w:t>i</w:t>
      </w:r>
      <w:r w:rsidR="00595AAA">
        <w:rPr>
          <w:rFonts w:asciiTheme="minorHAnsi" w:hAnsiTheme="minorHAnsi" w:cstheme="minorHAnsi"/>
          <w:sz w:val="24"/>
          <w:szCs w:val="24"/>
        </w:rPr>
        <w:t xml:space="preserve"> způsob</w:t>
      </w:r>
      <w:r w:rsidR="00762F44">
        <w:rPr>
          <w:rFonts w:asciiTheme="minorHAnsi" w:hAnsiTheme="minorHAnsi" w:cstheme="minorHAnsi"/>
          <w:sz w:val="24"/>
          <w:szCs w:val="24"/>
        </w:rPr>
        <w:t>y</w:t>
      </w:r>
      <w:r w:rsidR="00595AAA">
        <w:rPr>
          <w:rFonts w:asciiTheme="minorHAnsi" w:hAnsiTheme="minorHAnsi" w:cstheme="minorHAnsi"/>
          <w:sz w:val="24"/>
          <w:szCs w:val="24"/>
        </w:rPr>
        <w:t>, např. kontrolním nákupem nebo záznamem</w:t>
      </w:r>
      <w:r w:rsidR="00762F44">
        <w:rPr>
          <w:rFonts w:asciiTheme="minorHAnsi" w:hAnsiTheme="minorHAnsi" w:cstheme="minorHAnsi"/>
          <w:sz w:val="24"/>
          <w:szCs w:val="24"/>
        </w:rPr>
        <w:t xml:space="preserve"> </w:t>
      </w:r>
      <w:r w:rsidR="00595AAA">
        <w:rPr>
          <w:rFonts w:asciiTheme="minorHAnsi" w:hAnsiTheme="minorHAnsi" w:cstheme="minorHAnsi"/>
          <w:sz w:val="24"/>
          <w:szCs w:val="24"/>
        </w:rPr>
        <w:t>z kamer</w:t>
      </w:r>
      <w:r w:rsidR="00F0001D" w:rsidRPr="008142C5">
        <w:rPr>
          <w:rFonts w:asciiTheme="minorHAnsi" w:hAnsiTheme="minorHAnsi" w:cstheme="minorHAnsi"/>
          <w:sz w:val="24"/>
          <w:szCs w:val="24"/>
        </w:rPr>
        <w:t>.</w:t>
      </w:r>
    </w:p>
    <w:p w14:paraId="4390B2AB" w14:textId="1D362A8B" w:rsidR="00C90D00" w:rsidRPr="008142C5" w:rsidRDefault="00762F44" w:rsidP="00A36482">
      <w:pPr>
        <w:pStyle w:val="Odstavecseseznamem"/>
        <w:numPr>
          <w:ilvl w:val="1"/>
          <w:numId w:val="17"/>
        </w:numPr>
        <w:spacing w:after="120"/>
        <w:ind w:left="0" w:firstLine="0"/>
        <w:contextualSpacing w:val="0"/>
        <w:rPr>
          <w:rFonts w:asciiTheme="minorHAnsi" w:hAnsiTheme="minorHAnsi" w:cstheme="minorHAnsi"/>
          <w:sz w:val="24"/>
          <w:szCs w:val="24"/>
        </w:rPr>
      </w:pPr>
      <w:r>
        <w:rPr>
          <w:rFonts w:asciiTheme="minorHAnsi" w:hAnsiTheme="minorHAnsi" w:cstheme="minorHAnsi"/>
          <w:sz w:val="24"/>
          <w:szCs w:val="24"/>
        </w:rPr>
        <w:t xml:space="preserve">Kontrola </w:t>
      </w:r>
      <w:r w:rsidR="00C90D00" w:rsidRPr="008142C5">
        <w:rPr>
          <w:rFonts w:asciiTheme="minorHAnsi" w:hAnsiTheme="minorHAnsi" w:cstheme="minorHAnsi"/>
          <w:sz w:val="24"/>
          <w:szCs w:val="24"/>
        </w:rPr>
        <w:t>zjistil</w:t>
      </w:r>
      <w:r w:rsidR="00030829">
        <w:rPr>
          <w:rFonts w:asciiTheme="minorHAnsi" w:hAnsiTheme="minorHAnsi" w:cstheme="minorHAnsi"/>
          <w:sz w:val="24"/>
          <w:szCs w:val="24"/>
        </w:rPr>
        <w:t>a</w:t>
      </w:r>
      <w:r w:rsidR="00C90D00" w:rsidRPr="008142C5">
        <w:rPr>
          <w:rFonts w:asciiTheme="minorHAnsi" w:hAnsiTheme="minorHAnsi" w:cstheme="minorHAnsi"/>
          <w:sz w:val="24"/>
          <w:szCs w:val="24"/>
        </w:rPr>
        <w:t xml:space="preserve">, že základní reporty pro potřeby správy daně z hazardních her byly pracovníkům SFÚ zpřístupněny ke konci roku 2019, rozšířenými přístupy za účelem definování dalších potřeb správce daně nad rámec původních požadavků disponoval </w:t>
      </w:r>
      <w:r w:rsidRPr="008142C5">
        <w:rPr>
          <w:rFonts w:asciiTheme="minorHAnsi" w:hAnsiTheme="minorHAnsi" w:cstheme="minorHAnsi"/>
          <w:sz w:val="24"/>
          <w:szCs w:val="24"/>
        </w:rPr>
        <w:t xml:space="preserve">SFÚ </w:t>
      </w:r>
      <w:r w:rsidR="00C90D00" w:rsidRPr="008142C5">
        <w:rPr>
          <w:rFonts w:asciiTheme="minorHAnsi" w:hAnsiTheme="minorHAnsi" w:cstheme="minorHAnsi"/>
          <w:sz w:val="24"/>
          <w:szCs w:val="24"/>
        </w:rPr>
        <w:t>až od dubna 2022</w:t>
      </w:r>
      <w:r w:rsidR="00C2288A">
        <w:rPr>
          <w:rFonts w:asciiTheme="minorHAnsi" w:hAnsiTheme="minorHAnsi" w:cstheme="minorHAnsi"/>
          <w:sz w:val="24"/>
          <w:szCs w:val="24"/>
        </w:rPr>
        <w:t>. MF umožnilo přístup SFÚ</w:t>
      </w:r>
      <w:r w:rsidR="00CE0B72">
        <w:rPr>
          <w:rFonts w:asciiTheme="minorHAnsi" w:hAnsiTheme="minorHAnsi" w:cstheme="minorHAnsi"/>
          <w:sz w:val="24"/>
          <w:szCs w:val="24"/>
        </w:rPr>
        <w:t xml:space="preserve"> </w:t>
      </w:r>
      <w:r w:rsidR="00C90D00" w:rsidRPr="008142C5">
        <w:rPr>
          <w:rFonts w:asciiTheme="minorHAnsi" w:hAnsiTheme="minorHAnsi" w:cstheme="minorHAnsi"/>
          <w:sz w:val="24"/>
          <w:szCs w:val="24"/>
        </w:rPr>
        <w:t xml:space="preserve">téměř 3 roky po zprovoznění systému. </w:t>
      </w:r>
    </w:p>
    <w:p w14:paraId="6723F3C1" w14:textId="433159E8" w:rsidR="00C90D00" w:rsidRPr="008142C5" w:rsidRDefault="001505B3" w:rsidP="00A36482">
      <w:pPr>
        <w:pStyle w:val="Odstavecseseznamem"/>
        <w:numPr>
          <w:ilvl w:val="1"/>
          <w:numId w:val="17"/>
        </w:numPr>
        <w:spacing w:after="120"/>
        <w:ind w:left="0" w:firstLine="0"/>
        <w:contextualSpacing w:val="0"/>
        <w:rPr>
          <w:rFonts w:asciiTheme="minorHAnsi" w:hAnsiTheme="minorHAnsi" w:cstheme="minorHAnsi"/>
        </w:rPr>
      </w:pPr>
      <w:r w:rsidRPr="008142C5">
        <w:rPr>
          <w:rFonts w:asciiTheme="minorHAnsi" w:hAnsiTheme="minorHAnsi" w:cstheme="minorHAnsi"/>
          <w:sz w:val="24"/>
          <w:szCs w:val="24"/>
        </w:rPr>
        <w:t>NKÚ zjistil, že v letech 2017–2021 byly správcem daně zahájeny postupy k odstranění pochybností</w:t>
      </w:r>
      <w:r w:rsidR="00762F44">
        <w:rPr>
          <w:rStyle w:val="Znakapoznpodarou"/>
          <w:rFonts w:asciiTheme="minorHAnsi" w:hAnsiTheme="minorHAnsi" w:cstheme="minorHAnsi"/>
          <w:sz w:val="24"/>
          <w:szCs w:val="24"/>
        </w:rPr>
        <w:footnoteReference w:id="27"/>
      </w:r>
      <w:r w:rsidRPr="008142C5">
        <w:rPr>
          <w:rFonts w:asciiTheme="minorHAnsi" w:hAnsiTheme="minorHAnsi" w:cstheme="minorHAnsi"/>
          <w:sz w:val="24"/>
          <w:szCs w:val="24"/>
        </w:rPr>
        <w:t xml:space="preserve"> u celkově 213 daňových subjektů, z čehož 191 subjektů (90 %) provozovalo hazardní hry bez příslušného povolení.</w:t>
      </w:r>
      <w:r w:rsidR="00C90D00" w:rsidRPr="008142C5">
        <w:rPr>
          <w:rFonts w:asciiTheme="minorHAnsi" w:hAnsiTheme="minorHAnsi" w:cstheme="minorHAnsi"/>
          <w:sz w:val="24"/>
          <w:szCs w:val="24"/>
        </w:rPr>
        <w:t xml:space="preserve"> </w:t>
      </w:r>
    </w:p>
    <w:p w14:paraId="42AFA67D" w14:textId="025DD245" w:rsidR="009F0248" w:rsidRDefault="00FF329A" w:rsidP="00A36482">
      <w:pPr>
        <w:pStyle w:val="Odstavecseseznamem"/>
        <w:numPr>
          <w:ilvl w:val="1"/>
          <w:numId w:val="17"/>
        </w:numPr>
        <w:spacing w:after="120"/>
        <w:ind w:left="0" w:firstLine="0"/>
        <w:contextualSpacing w:val="0"/>
        <w:rPr>
          <w:rFonts w:asciiTheme="minorHAnsi" w:hAnsiTheme="minorHAnsi" w:cstheme="minorHAnsi"/>
          <w:sz w:val="24"/>
          <w:szCs w:val="24"/>
        </w:rPr>
      </w:pPr>
      <w:r w:rsidRPr="00E87253">
        <w:rPr>
          <w:rFonts w:asciiTheme="minorHAnsi" w:hAnsiTheme="minorHAnsi" w:cstheme="minorHAnsi"/>
          <w:sz w:val="24"/>
          <w:szCs w:val="24"/>
        </w:rPr>
        <w:t xml:space="preserve">Přestože data v AM AISG lze využít k detekci potenciálních rizikových či nestandardních jevů s podezřením na porušení právních předpisů, jak MF prokázalo v rámci ukázky analytické činnosti, SFÚ tato data využíval pouze omezeně a do doby ukončení kontroly je ve zjištěných případech nevyužil pro účely doměřovacích řízení. Hlavním problémem </w:t>
      </w:r>
      <w:r w:rsidR="00762F44" w:rsidRPr="00E87253">
        <w:rPr>
          <w:rFonts w:asciiTheme="minorHAnsi" w:hAnsiTheme="minorHAnsi" w:cstheme="minorHAnsi"/>
          <w:sz w:val="24"/>
          <w:szCs w:val="24"/>
        </w:rPr>
        <w:t xml:space="preserve">pro </w:t>
      </w:r>
      <w:r w:rsidRPr="00E87253">
        <w:rPr>
          <w:rFonts w:asciiTheme="minorHAnsi" w:hAnsiTheme="minorHAnsi" w:cstheme="minorHAnsi"/>
          <w:sz w:val="24"/>
          <w:szCs w:val="24"/>
        </w:rPr>
        <w:t xml:space="preserve">SFÚ </w:t>
      </w:r>
      <w:r w:rsidR="00762F44">
        <w:rPr>
          <w:rFonts w:asciiTheme="minorHAnsi" w:hAnsiTheme="minorHAnsi" w:cstheme="minorHAnsi"/>
          <w:sz w:val="24"/>
          <w:szCs w:val="24"/>
        </w:rPr>
        <w:t xml:space="preserve">při využívání </w:t>
      </w:r>
      <w:r w:rsidRPr="00E87253">
        <w:rPr>
          <w:rFonts w:asciiTheme="minorHAnsi" w:hAnsiTheme="minorHAnsi" w:cstheme="minorHAnsi"/>
          <w:sz w:val="24"/>
          <w:szCs w:val="24"/>
        </w:rPr>
        <w:t xml:space="preserve">těchto dat byl nesoulad prezentovaných úhrnů vsazených částek a vyplacených výher s údaji přiznanými provozovateli hazardních her v daňových přiznáních za příslušná období. </w:t>
      </w:r>
      <w:r w:rsidR="00187F59">
        <w:rPr>
          <w:rFonts w:asciiTheme="minorHAnsi" w:hAnsiTheme="minorHAnsi" w:cstheme="minorHAnsi"/>
          <w:sz w:val="24"/>
          <w:szCs w:val="24"/>
        </w:rPr>
        <w:t>Dle sdělení SFÚ se v</w:t>
      </w:r>
      <w:r w:rsidRPr="00E87253">
        <w:rPr>
          <w:rFonts w:asciiTheme="minorHAnsi" w:hAnsiTheme="minorHAnsi" w:cstheme="minorHAnsi"/>
          <w:sz w:val="24"/>
          <w:szCs w:val="24"/>
        </w:rPr>
        <w:t xml:space="preserve"> základu daně data z AISG lišila někdy až o 50 % oproti částkám přiznaný</w:t>
      </w:r>
      <w:r w:rsidR="00762F44">
        <w:rPr>
          <w:rFonts w:asciiTheme="minorHAnsi" w:hAnsiTheme="minorHAnsi" w:cstheme="minorHAnsi"/>
          <w:sz w:val="24"/>
          <w:szCs w:val="24"/>
        </w:rPr>
        <w:t>m</w:t>
      </w:r>
      <w:r w:rsidRPr="00E87253">
        <w:rPr>
          <w:rFonts w:asciiTheme="minorHAnsi" w:hAnsiTheme="minorHAnsi" w:cstheme="minorHAnsi"/>
          <w:sz w:val="24"/>
          <w:szCs w:val="24"/>
        </w:rPr>
        <w:t xml:space="preserve"> v</w:t>
      </w:r>
      <w:r w:rsidR="00C00ABB">
        <w:rPr>
          <w:rFonts w:asciiTheme="minorHAnsi" w:hAnsiTheme="minorHAnsi" w:cstheme="minorHAnsi"/>
          <w:sz w:val="24"/>
          <w:szCs w:val="24"/>
        </w:rPr>
        <w:t> daňových přiznáních</w:t>
      </w:r>
      <w:r w:rsidRPr="00E87253">
        <w:rPr>
          <w:rFonts w:asciiTheme="minorHAnsi" w:hAnsiTheme="minorHAnsi" w:cstheme="minorHAnsi"/>
          <w:sz w:val="24"/>
          <w:szCs w:val="24"/>
        </w:rPr>
        <w:t>.</w:t>
      </w:r>
      <w:r w:rsidR="006964AC">
        <w:rPr>
          <w:rFonts w:asciiTheme="minorHAnsi" w:hAnsiTheme="minorHAnsi" w:cstheme="minorHAnsi"/>
          <w:sz w:val="24"/>
          <w:szCs w:val="24"/>
        </w:rPr>
        <w:t xml:space="preserve"> NKÚ </w:t>
      </w:r>
      <w:r w:rsidR="00193FA4">
        <w:rPr>
          <w:rFonts w:asciiTheme="minorHAnsi" w:hAnsiTheme="minorHAnsi" w:cstheme="minorHAnsi"/>
          <w:sz w:val="24"/>
          <w:szCs w:val="24"/>
        </w:rPr>
        <w:t>ze</w:t>
      </w:r>
      <w:r w:rsidR="006964AC">
        <w:rPr>
          <w:rFonts w:asciiTheme="minorHAnsi" w:hAnsiTheme="minorHAnsi" w:cstheme="minorHAnsi"/>
          <w:sz w:val="24"/>
          <w:szCs w:val="24"/>
        </w:rPr>
        <w:t xml:space="preserve"> </w:t>
      </w:r>
      <w:r w:rsidR="003F3F80">
        <w:rPr>
          <w:rFonts w:asciiTheme="minorHAnsi" w:hAnsiTheme="minorHAnsi" w:cstheme="minorHAnsi"/>
          <w:sz w:val="24"/>
          <w:szCs w:val="24"/>
        </w:rPr>
        <w:t xml:space="preserve">souhrnných </w:t>
      </w:r>
      <w:r w:rsidR="006964AC">
        <w:rPr>
          <w:rFonts w:asciiTheme="minorHAnsi" w:hAnsiTheme="minorHAnsi" w:cstheme="minorHAnsi"/>
          <w:sz w:val="24"/>
          <w:szCs w:val="24"/>
        </w:rPr>
        <w:t>dat</w:t>
      </w:r>
      <w:r w:rsidR="00762F44">
        <w:rPr>
          <w:rFonts w:asciiTheme="minorHAnsi" w:hAnsiTheme="minorHAnsi" w:cstheme="minorHAnsi"/>
          <w:sz w:val="24"/>
          <w:szCs w:val="24"/>
        </w:rPr>
        <w:t xml:space="preserve"> o</w:t>
      </w:r>
      <w:r w:rsidR="006964AC">
        <w:rPr>
          <w:rFonts w:asciiTheme="minorHAnsi" w:hAnsiTheme="minorHAnsi" w:cstheme="minorHAnsi"/>
          <w:sz w:val="24"/>
          <w:szCs w:val="24"/>
        </w:rPr>
        <w:t xml:space="preserve"> vsazených část</w:t>
      </w:r>
      <w:r w:rsidR="00762F44">
        <w:rPr>
          <w:rFonts w:asciiTheme="minorHAnsi" w:hAnsiTheme="minorHAnsi" w:cstheme="minorHAnsi"/>
          <w:sz w:val="24"/>
          <w:szCs w:val="24"/>
        </w:rPr>
        <w:t>kách</w:t>
      </w:r>
      <w:r w:rsidR="006964AC">
        <w:rPr>
          <w:rFonts w:asciiTheme="minorHAnsi" w:hAnsiTheme="minorHAnsi" w:cstheme="minorHAnsi"/>
          <w:sz w:val="24"/>
          <w:szCs w:val="24"/>
        </w:rPr>
        <w:t xml:space="preserve"> a vyplacených výh</w:t>
      </w:r>
      <w:r w:rsidR="00762F44">
        <w:rPr>
          <w:rFonts w:asciiTheme="minorHAnsi" w:hAnsiTheme="minorHAnsi" w:cstheme="minorHAnsi"/>
          <w:sz w:val="24"/>
          <w:szCs w:val="24"/>
        </w:rPr>
        <w:t>rách</w:t>
      </w:r>
      <w:r w:rsidR="00193FA4">
        <w:rPr>
          <w:rFonts w:asciiTheme="minorHAnsi" w:hAnsiTheme="minorHAnsi" w:cstheme="minorHAnsi"/>
          <w:sz w:val="24"/>
          <w:szCs w:val="24"/>
        </w:rPr>
        <w:t xml:space="preserve"> zjistil, že např. </w:t>
      </w:r>
      <w:r w:rsidR="003F3F80">
        <w:rPr>
          <w:rFonts w:asciiTheme="minorHAnsi" w:hAnsiTheme="minorHAnsi" w:cstheme="minorHAnsi"/>
          <w:sz w:val="24"/>
          <w:szCs w:val="24"/>
        </w:rPr>
        <w:t>u</w:t>
      </w:r>
      <w:r w:rsidR="006964AC">
        <w:rPr>
          <w:rFonts w:asciiTheme="minorHAnsi" w:hAnsiTheme="minorHAnsi" w:cstheme="minorHAnsi"/>
          <w:sz w:val="24"/>
          <w:szCs w:val="24"/>
        </w:rPr>
        <w:t xml:space="preserve"> technických her v</w:t>
      </w:r>
      <w:r w:rsidR="000A0654">
        <w:rPr>
          <w:rFonts w:asciiTheme="minorHAnsi" w:hAnsiTheme="minorHAnsi" w:cstheme="minorHAnsi"/>
          <w:sz w:val="24"/>
          <w:szCs w:val="24"/>
        </w:rPr>
        <w:t xml:space="preserve"> </w:t>
      </w:r>
      <w:r w:rsidR="006964AC">
        <w:rPr>
          <w:rFonts w:asciiTheme="minorHAnsi" w:hAnsiTheme="minorHAnsi" w:cstheme="minorHAnsi"/>
          <w:sz w:val="24"/>
          <w:szCs w:val="24"/>
        </w:rPr>
        <w:t>roce 2020</w:t>
      </w:r>
      <w:r w:rsidR="003F3F80">
        <w:rPr>
          <w:rFonts w:asciiTheme="minorHAnsi" w:hAnsiTheme="minorHAnsi" w:cstheme="minorHAnsi"/>
          <w:sz w:val="24"/>
          <w:szCs w:val="24"/>
        </w:rPr>
        <w:t xml:space="preserve"> </w:t>
      </w:r>
      <w:r w:rsidR="00193FA4">
        <w:rPr>
          <w:rFonts w:asciiTheme="minorHAnsi" w:hAnsiTheme="minorHAnsi" w:cstheme="minorHAnsi"/>
          <w:sz w:val="24"/>
          <w:szCs w:val="24"/>
        </w:rPr>
        <w:t xml:space="preserve">byly </w:t>
      </w:r>
      <w:r w:rsidR="003F3F80">
        <w:rPr>
          <w:rFonts w:asciiTheme="minorHAnsi" w:hAnsiTheme="minorHAnsi" w:cstheme="minorHAnsi"/>
          <w:sz w:val="24"/>
          <w:szCs w:val="24"/>
        </w:rPr>
        <w:t>údaje</w:t>
      </w:r>
      <w:r w:rsidR="006964AC">
        <w:rPr>
          <w:rFonts w:asciiTheme="minorHAnsi" w:hAnsiTheme="minorHAnsi" w:cstheme="minorHAnsi"/>
          <w:sz w:val="24"/>
          <w:szCs w:val="24"/>
        </w:rPr>
        <w:t xml:space="preserve"> v</w:t>
      </w:r>
      <w:r w:rsidR="000A0654">
        <w:rPr>
          <w:rFonts w:asciiTheme="minorHAnsi" w:hAnsiTheme="minorHAnsi" w:cstheme="minorHAnsi"/>
          <w:sz w:val="24"/>
          <w:szCs w:val="24"/>
        </w:rPr>
        <w:t xml:space="preserve"> </w:t>
      </w:r>
      <w:r w:rsidR="006964AC">
        <w:rPr>
          <w:rFonts w:asciiTheme="minorHAnsi" w:hAnsiTheme="minorHAnsi" w:cstheme="minorHAnsi"/>
          <w:sz w:val="24"/>
          <w:szCs w:val="24"/>
        </w:rPr>
        <w:t>daňových přiznáních (data SFÚ)</w:t>
      </w:r>
      <w:r w:rsidR="00193FA4">
        <w:rPr>
          <w:rFonts w:asciiTheme="minorHAnsi" w:hAnsiTheme="minorHAnsi" w:cstheme="minorHAnsi"/>
          <w:sz w:val="24"/>
          <w:szCs w:val="24"/>
        </w:rPr>
        <w:t xml:space="preserve"> </w:t>
      </w:r>
      <w:r w:rsidR="000A0654">
        <w:rPr>
          <w:rFonts w:asciiTheme="minorHAnsi" w:hAnsiTheme="minorHAnsi" w:cstheme="minorHAnsi"/>
          <w:sz w:val="24"/>
          <w:szCs w:val="24"/>
        </w:rPr>
        <w:br/>
      </w:r>
      <w:r w:rsidR="006964AC">
        <w:rPr>
          <w:rFonts w:asciiTheme="minorHAnsi" w:hAnsiTheme="minorHAnsi" w:cstheme="minorHAnsi"/>
          <w:sz w:val="24"/>
          <w:szCs w:val="24"/>
        </w:rPr>
        <w:t xml:space="preserve">o 13 % nižší než </w:t>
      </w:r>
      <w:r w:rsidR="00BA1024">
        <w:rPr>
          <w:rFonts w:asciiTheme="minorHAnsi" w:hAnsiTheme="minorHAnsi" w:cstheme="minorHAnsi"/>
          <w:sz w:val="24"/>
          <w:szCs w:val="24"/>
        </w:rPr>
        <w:t>ú</w:t>
      </w:r>
      <w:r w:rsidR="006964AC">
        <w:rPr>
          <w:rFonts w:asciiTheme="minorHAnsi" w:hAnsiTheme="minorHAnsi" w:cstheme="minorHAnsi"/>
          <w:sz w:val="24"/>
          <w:szCs w:val="24"/>
        </w:rPr>
        <w:t>daje v AISG (data MF).</w:t>
      </w:r>
    </w:p>
    <w:p w14:paraId="301FADAD" w14:textId="792AC2A0" w:rsidR="005631D3" w:rsidRPr="00DD27FA" w:rsidRDefault="006910B8" w:rsidP="00F03B18">
      <w:pPr>
        <w:pStyle w:val="Odstavecseseznamem"/>
        <w:numPr>
          <w:ilvl w:val="1"/>
          <w:numId w:val="17"/>
        </w:numPr>
        <w:spacing w:after="120"/>
        <w:ind w:left="0" w:firstLine="0"/>
        <w:contextualSpacing w:val="0"/>
        <w:rPr>
          <w:rFonts w:asciiTheme="minorHAnsi" w:hAnsiTheme="minorHAnsi" w:cstheme="minorHAnsi"/>
          <w:sz w:val="24"/>
          <w:szCs w:val="24"/>
        </w:rPr>
      </w:pPr>
      <w:r w:rsidRPr="00DD27FA">
        <w:rPr>
          <w:sz w:val="24"/>
          <w:szCs w:val="24"/>
        </w:rPr>
        <w:t>Herní data dostupná v</w:t>
      </w:r>
      <w:r w:rsidR="00907ECD" w:rsidRPr="00DD27FA">
        <w:rPr>
          <w:sz w:val="24"/>
          <w:szCs w:val="24"/>
        </w:rPr>
        <w:t> </w:t>
      </w:r>
      <w:r w:rsidRPr="00DD27FA">
        <w:rPr>
          <w:sz w:val="24"/>
          <w:szCs w:val="24"/>
        </w:rPr>
        <w:t>reportech</w:t>
      </w:r>
      <w:r w:rsidR="00907ECD" w:rsidRPr="00DD27FA">
        <w:rPr>
          <w:sz w:val="24"/>
          <w:szCs w:val="24"/>
        </w:rPr>
        <w:t xml:space="preserve"> AM </w:t>
      </w:r>
      <w:r w:rsidRPr="00DD27FA">
        <w:rPr>
          <w:sz w:val="24"/>
          <w:szCs w:val="24"/>
        </w:rPr>
        <w:t xml:space="preserve">AISG byla </w:t>
      </w:r>
      <w:r w:rsidR="00144417">
        <w:rPr>
          <w:sz w:val="24"/>
          <w:szCs w:val="24"/>
        </w:rPr>
        <w:t xml:space="preserve">základem pro zařazení do plánu kontrolní činnosti </w:t>
      </w:r>
      <w:r w:rsidRPr="00DD27FA">
        <w:rPr>
          <w:rFonts w:asciiTheme="minorHAnsi" w:hAnsiTheme="minorHAnsi" w:cstheme="minorHAnsi"/>
          <w:sz w:val="24"/>
          <w:szCs w:val="24"/>
        </w:rPr>
        <w:t xml:space="preserve">SFÚ </w:t>
      </w:r>
      <w:r w:rsidRPr="00DD27FA">
        <w:rPr>
          <w:sz w:val="24"/>
          <w:szCs w:val="24"/>
        </w:rPr>
        <w:t>na roky 2020</w:t>
      </w:r>
      <w:r w:rsidR="00762F44">
        <w:rPr>
          <w:sz w:val="24"/>
          <w:szCs w:val="24"/>
        </w:rPr>
        <w:t>–</w:t>
      </w:r>
      <w:r w:rsidRPr="00DD27FA">
        <w:rPr>
          <w:sz w:val="24"/>
          <w:szCs w:val="24"/>
        </w:rPr>
        <w:t>2022 pouze ve třech případech ze 199 nově plánovaných kontrol.</w:t>
      </w:r>
    </w:p>
    <w:p w14:paraId="26F0CB04" w14:textId="4E0DBC8D" w:rsidR="00C90D00" w:rsidRPr="008142C5" w:rsidRDefault="00C90D00" w:rsidP="001E51C9">
      <w:pPr>
        <w:pStyle w:val="Nadpis2"/>
        <w:rPr>
          <w:rFonts w:asciiTheme="minorHAnsi" w:hAnsiTheme="minorHAnsi"/>
        </w:rPr>
      </w:pPr>
      <w:r w:rsidRPr="00754A4C">
        <w:rPr>
          <w:rStyle w:val="Nadpis2Char"/>
          <w:rFonts w:asciiTheme="minorHAnsi" w:hAnsiTheme="minorHAnsi"/>
          <w:b/>
        </w:rPr>
        <w:t>Způsob výměny a sdílení informací mezi dotčenými orgány veřejné</w:t>
      </w:r>
      <w:r w:rsidR="00030829">
        <w:rPr>
          <w:rStyle w:val="Nadpis2Char"/>
          <w:rFonts w:asciiTheme="minorHAnsi" w:hAnsiTheme="minorHAnsi"/>
          <w:b/>
        </w:rPr>
        <w:t xml:space="preserve"> moci</w:t>
      </w:r>
      <w:r w:rsidRPr="00754A4C">
        <w:rPr>
          <w:rStyle w:val="Nadpis2Char"/>
          <w:rFonts w:asciiTheme="minorHAnsi" w:hAnsiTheme="minorHAnsi"/>
          <w:b/>
        </w:rPr>
        <w:t xml:space="preserve"> </w:t>
      </w:r>
      <w:r w:rsidR="00030829">
        <w:rPr>
          <w:rStyle w:val="Nadpis2Char"/>
          <w:rFonts w:asciiTheme="minorHAnsi" w:hAnsiTheme="minorHAnsi"/>
          <w:b/>
        </w:rPr>
        <w:t xml:space="preserve">je příčinou nižší </w:t>
      </w:r>
      <w:r w:rsidRPr="00754A4C">
        <w:rPr>
          <w:rStyle w:val="Nadpis2Char"/>
          <w:rFonts w:asciiTheme="minorHAnsi" w:hAnsiTheme="minorHAnsi"/>
          <w:b/>
        </w:rPr>
        <w:t>efektivnost</w:t>
      </w:r>
      <w:r w:rsidR="00030829">
        <w:rPr>
          <w:rStyle w:val="Nadpis2Char"/>
          <w:rFonts w:asciiTheme="minorHAnsi" w:hAnsiTheme="minorHAnsi"/>
          <w:b/>
        </w:rPr>
        <w:t>i</w:t>
      </w:r>
      <w:r w:rsidRPr="00754A4C">
        <w:rPr>
          <w:rStyle w:val="Nadpis2Char"/>
          <w:rFonts w:asciiTheme="minorHAnsi" w:hAnsiTheme="minorHAnsi"/>
          <w:b/>
        </w:rPr>
        <w:t xml:space="preserve"> správy a dozoru </w:t>
      </w:r>
      <w:r w:rsidR="00030829">
        <w:rPr>
          <w:rStyle w:val="Nadpis2Char"/>
          <w:rFonts w:asciiTheme="minorHAnsi" w:hAnsiTheme="minorHAnsi"/>
          <w:b/>
        </w:rPr>
        <w:t xml:space="preserve">v oblasti </w:t>
      </w:r>
      <w:r w:rsidRPr="00754A4C">
        <w:rPr>
          <w:rStyle w:val="Nadpis2Char"/>
          <w:rFonts w:asciiTheme="minorHAnsi" w:hAnsiTheme="minorHAnsi"/>
          <w:b/>
        </w:rPr>
        <w:t>hazardních her</w:t>
      </w:r>
    </w:p>
    <w:p w14:paraId="3840E3DB" w14:textId="0A43A73A" w:rsidR="00C90D00" w:rsidRPr="00627344" w:rsidRDefault="00C90D00" w:rsidP="001E51C9">
      <w:pPr>
        <w:pStyle w:val="Odstavecseseznamem"/>
        <w:numPr>
          <w:ilvl w:val="1"/>
          <w:numId w:val="17"/>
        </w:numPr>
        <w:spacing w:before="240" w:after="120"/>
        <w:ind w:left="0" w:firstLine="0"/>
        <w:contextualSpacing w:val="0"/>
        <w:rPr>
          <w:rFonts w:asciiTheme="minorHAnsi" w:hAnsiTheme="minorHAnsi" w:cstheme="minorHAnsi"/>
          <w:sz w:val="24"/>
          <w:szCs w:val="24"/>
        </w:rPr>
      </w:pPr>
      <w:r w:rsidRPr="00627344">
        <w:rPr>
          <w:rFonts w:asciiTheme="minorHAnsi" w:hAnsiTheme="minorHAnsi" w:cstheme="minorHAnsi"/>
          <w:sz w:val="24"/>
          <w:szCs w:val="24"/>
        </w:rPr>
        <w:t>Ke zlepšení komunikace a výměn</w:t>
      </w:r>
      <w:r w:rsidR="00762F44">
        <w:rPr>
          <w:rFonts w:asciiTheme="minorHAnsi" w:hAnsiTheme="minorHAnsi" w:cstheme="minorHAnsi"/>
          <w:sz w:val="24"/>
          <w:szCs w:val="24"/>
        </w:rPr>
        <w:t>y</w:t>
      </w:r>
      <w:r w:rsidRPr="00627344">
        <w:rPr>
          <w:rFonts w:asciiTheme="minorHAnsi" w:hAnsiTheme="minorHAnsi" w:cstheme="minorHAnsi"/>
          <w:sz w:val="24"/>
          <w:szCs w:val="24"/>
        </w:rPr>
        <w:t xml:space="preserve"> informací mezi dotčenými orgány v oblasti </w:t>
      </w:r>
      <w:r w:rsidR="002E43AE">
        <w:rPr>
          <w:rFonts w:asciiTheme="minorHAnsi" w:hAnsiTheme="minorHAnsi" w:cstheme="minorHAnsi"/>
          <w:sz w:val="24"/>
          <w:szCs w:val="24"/>
        </w:rPr>
        <w:t>hazardních her</w:t>
      </w:r>
      <w:r w:rsidRPr="00627344">
        <w:rPr>
          <w:rFonts w:asciiTheme="minorHAnsi" w:hAnsiTheme="minorHAnsi" w:cstheme="minorHAnsi"/>
          <w:sz w:val="24"/>
          <w:szCs w:val="24"/>
        </w:rPr>
        <w:t xml:space="preserve"> měl přispět SM AISG. </w:t>
      </w:r>
      <w:r w:rsidR="008A452F" w:rsidRPr="00627344">
        <w:rPr>
          <w:rFonts w:asciiTheme="minorHAnsi" w:hAnsiTheme="minorHAnsi" w:cstheme="minorHAnsi"/>
          <w:sz w:val="24"/>
          <w:szCs w:val="24"/>
        </w:rPr>
        <w:t>V důsledku jeho nedokončení</w:t>
      </w:r>
      <w:r w:rsidR="00AD16D9" w:rsidRPr="00627344">
        <w:rPr>
          <w:rFonts w:asciiTheme="minorHAnsi" w:hAnsiTheme="minorHAnsi" w:cstheme="minorHAnsi"/>
          <w:sz w:val="24"/>
          <w:szCs w:val="24"/>
        </w:rPr>
        <w:t xml:space="preserve"> dochází</w:t>
      </w:r>
      <w:r w:rsidRPr="00627344">
        <w:rPr>
          <w:rFonts w:asciiTheme="minorHAnsi" w:hAnsiTheme="minorHAnsi" w:cstheme="minorHAnsi"/>
          <w:sz w:val="24"/>
          <w:szCs w:val="24"/>
        </w:rPr>
        <w:t xml:space="preserve"> k neúplnému sdílení informací, nutnosti manuálně vkládat dokumenty do </w:t>
      </w:r>
      <w:r w:rsidR="00D56816" w:rsidRPr="00627344">
        <w:rPr>
          <w:rFonts w:asciiTheme="minorHAnsi" w:hAnsiTheme="minorHAnsi" w:cstheme="minorHAnsi"/>
          <w:sz w:val="24"/>
          <w:szCs w:val="24"/>
        </w:rPr>
        <w:t>IS</w:t>
      </w:r>
      <w:r w:rsidRPr="00627344">
        <w:rPr>
          <w:rFonts w:asciiTheme="minorHAnsi" w:hAnsiTheme="minorHAnsi" w:cstheme="minorHAnsi"/>
          <w:sz w:val="24"/>
          <w:szCs w:val="24"/>
        </w:rPr>
        <w:t xml:space="preserve"> SDSL a manuálně zapisovat zahájení nebo ukončení provozu každého jednotlivého koncového zařízení technické hry. </w:t>
      </w:r>
      <w:r w:rsidRPr="00627344">
        <w:rPr>
          <w:rStyle w:val="ui-provider"/>
          <w:rFonts w:asciiTheme="minorHAnsi" w:hAnsiTheme="minorHAnsi" w:cstheme="minorHAnsi"/>
          <w:sz w:val="24"/>
          <w:szCs w:val="24"/>
        </w:rPr>
        <w:t>Informace, které by byly v</w:t>
      </w:r>
      <w:r w:rsidR="008A452F" w:rsidRPr="00627344">
        <w:rPr>
          <w:rStyle w:val="ui-provider"/>
          <w:rFonts w:asciiTheme="minorHAnsi" w:hAnsiTheme="minorHAnsi" w:cstheme="minorHAnsi"/>
          <w:sz w:val="24"/>
          <w:szCs w:val="24"/>
        </w:rPr>
        <w:t> </w:t>
      </w:r>
      <w:r w:rsidRPr="00627344">
        <w:rPr>
          <w:rStyle w:val="ui-provider"/>
          <w:rFonts w:asciiTheme="minorHAnsi" w:hAnsiTheme="minorHAnsi" w:cstheme="minorHAnsi"/>
          <w:sz w:val="24"/>
          <w:szCs w:val="24"/>
        </w:rPr>
        <w:t>SM AISG automaticky sdílen</w:t>
      </w:r>
      <w:r w:rsidR="00762F44">
        <w:rPr>
          <w:rStyle w:val="ui-provider"/>
          <w:rFonts w:asciiTheme="minorHAnsi" w:hAnsiTheme="minorHAnsi" w:cstheme="minorHAnsi"/>
          <w:sz w:val="24"/>
          <w:szCs w:val="24"/>
        </w:rPr>
        <w:t>y</w:t>
      </w:r>
      <w:r w:rsidRPr="00627344">
        <w:rPr>
          <w:rStyle w:val="ui-provider"/>
          <w:rFonts w:asciiTheme="minorHAnsi" w:hAnsiTheme="minorHAnsi" w:cstheme="minorHAnsi"/>
          <w:sz w:val="24"/>
          <w:szCs w:val="24"/>
        </w:rPr>
        <w:t xml:space="preserve"> mezi </w:t>
      </w:r>
      <w:r w:rsidR="001233BD" w:rsidRPr="00627344">
        <w:rPr>
          <w:rStyle w:val="ui-provider"/>
          <w:rFonts w:asciiTheme="minorHAnsi" w:hAnsiTheme="minorHAnsi" w:cstheme="minorHAnsi"/>
          <w:sz w:val="24"/>
          <w:szCs w:val="24"/>
        </w:rPr>
        <w:t>MF</w:t>
      </w:r>
      <w:r w:rsidR="00135A7D" w:rsidRPr="00627344">
        <w:rPr>
          <w:rStyle w:val="ui-provider"/>
          <w:rFonts w:asciiTheme="minorHAnsi" w:hAnsiTheme="minorHAnsi" w:cstheme="minorHAnsi"/>
          <w:sz w:val="24"/>
          <w:szCs w:val="24"/>
        </w:rPr>
        <w:t>,</w:t>
      </w:r>
      <w:r w:rsidR="001233BD" w:rsidRPr="00627344">
        <w:rPr>
          <w:rStyle w:val="ui-provider"/>
          <w:rFonts w:asciiTheme="minorHAnsi" w:hAnsiTheme="minorHAnsi" w:cstheme="minorHAnsi"/>
          <w:sz w:val="24"/>
          <w:szCs w:val="24"/>
        </w:rPr>
        <w:t xml:space="preserve"> GŘC a GFŘ</w:t>
      </w:r>
      <w:r w:rsidRPr="00627344">
        <w:rPr>
          <w:rStyle w:val="ui-provider"/>
          <w:rFonts w:asciiTheme="minorHAnsi" w:hAnsiTheme="minorHAnsi" w:cstheme="minorHAnsi"/>
          <w:sz w:val="24"/>
          <w:szCs w:val="24"/>
        </w:rPr>
        <w:t>, je stále nutné sdílet ručně s využitím IS SDSL a dalších nástrojů.</w:t>
      </w:r>
      <w:r w:rsidR="00762F44">
        <w:rPr>
          <w:rStyle w:val="ui-provider"/>
          <w:rFonts w:asciiTheme="minorHAnsi" w:hAnsiTheme="minorHAnsi" w:cstheme="minorHAnsi"/>
          <w:sz w:val="24"/>
          <w:szCs w:val="24"/>
        </w:rPr>
        <w:t xml:space="preserve"> </w:t>
      </w:r>
      <w:r w:rsidR="00D56816" w:rsidRPr="00627344">
        <w:rPr>
          <w:rStyle w:val="ui-provider"/>
          <w:rFonts w:asciiTheme="minorHAnsi" w:hAnsiTheme="minorHAnsi" w:cstheme="minorHAnsi"/>
          <w:sz w:val="24"/>
          <w:szCs w:val="24"/>
        </w:rPr>
        <w:t xml:space="preserve">Uvedený stav snižuje efektivnost </w:t>
      </w:r>
      <w:r w:rsidR="00145605" w:rsidRPr="00627344">
        <w:rPr>
          <w:rStyle w:val="ui-provider"/>
          <w:rFonts w:asciiTheme="minorHAnsi" w:hAnsiTheme="minorHAnsi" w:cstheme="minorHAnsi"/>
          <w:sz w:val="24"/>
          <w:szCs w:val="24"/>
        </w:rPr>
        <w:t xml:space="preserve">systému </w:t>
      </w:r>
      <w:r w:rsidR="00D56816" w:rsidRPr="00627344">
        <w:rPr>
          <w:rStyle w:val="ui-provider"/>
          <w:rFonts w:asciiTheme="minorHAnsi" w:hAnsiTheme="minorHAnsi" w:cstheme="minorHAnsi"/>
          <w:sz w:val="24"/>
          <w:szCs w:val="24"/>
        </w:rPr>
        <w:t xml:space="preserve">kontrolní činnosti CS ČR v oblasti </w:t>
      </w:r>
      <w:r w:rsidR="002E43AE">
        <w:rPr>
          <w:rStyle w:val="ui-provider"/>
          <w:rFonts w:asciiTheme="minorHAnsi" w:hAnsiTheme="minorHAnsi" w:cstheme="minorHAnsi"/>
          <w:sz w:val="24"/>
          <w:szCs w:val="24"/>
        </w:rPr>
        <w:t>hazardních her</w:t>
      </w:r>
      <w:r w:rsidR="00D56816" w:rsidRPr="00627344">
        <w:rPr>
          <w:rStyle w:val="ui-provider"/>
          <w:rFonts w:asciiTheme="minorHAnsi" w:hAnsiTheme="minorHAnsi" w:cstheme="minorHAnsi"/>
          <w:sz w:val="24"/>
          <w:szCs w:val="24"/>
        </w:rPr>
        <w:t>.</w:t>
      </w:r>
    </w:p>
    <w:p w14:paraId="19856DE8" w14:textId="47657585" w:rsidR="00C90D00" w:rsidRPr="00523DA2" w:rsidRDefault="00C90D00" w:rsidP="00A36482">
      <w:pPr>
        <w:pStyle w:val="Odstavecseseznamem"/>
        <w:numPr>
          <w:ilvl w:val="1"/>
          <w:numId w:val="17"/>
        </w:numPr>
        <w:spacing w:after="120"/>
        <w:ind w:left="0" w:firstLine="0"/>
        <w:contextualSpacing w:val="0"/>
        <w:rPr>
          <w:rFonts w:asciiTheme="minorHAnsi" w:hAnsiTheme="minorHAnsi" w:cstheme="minorHAnsi"/>
          <w:strike/>
          <w:sz w:val="24"/>
          <w:szCs w:val="24"/>
        </w:rPr>
      </w:pPr>
      <w:r w:rsidRPr="008142C5">
        <w:rPr>
          <w:rFonts w:asciiTheme="minorHAnsi" w:hAnsiTheme="minorHAnsi" w:cstheme="minorHAnsi"/>
          <w:sz w:val="24"/>
          <w:szCs w:val="24"/>
        </w:rPr>
        <w:t xml:space="preserve">NKÚ na kontrolním vzorku 20 podnětů </w:t>
      </w:r>
      <w:r w:rsidR="00762F44" w:rsidRPr="008142C5">
        <w:rPr>
          <w:rFonts w:asciiTheme="minorHAnsi" w:hAnsiTheme="minorHAnsi" w:cstheme="minorHAnsi"/>
          <w:sz w:val="24"/>
          <w:szCs w:val="24"/>
        </w:rPr>
        <w:t>z</w:t>
      </w:r>
      <w:r w:rsidR="00762F44">
        <w:rPr>
          <w:rFonts w:asciiTheme="minorHAnsi" w:hAnsiTheme="minorHAnsi" w:cstheme="minorHAnsi"/>
          <w:sz w:val="24"/>
          <w:szCs w:val="24"/>
        </w:rPr>
        <w:t>ískaných od</w:t>
      </w:r>
      <w:r w:rsidR="00762F44" w:rsidRPr="008142C5">
        <w:rPr>
          <w:rFonts w:asciiTheme="minorHAnsi" w:hAnsiTheme="minorHAnsi" w:cstheme="minorHAnsi"/>
          <w:sz w:val="24"/>
          <w:szCs w:val="24"/>
        </w:rPr>
        <w:t xml:space="preserve"> MF </w:t>
      </w:r>
      <w:r w:rsidR="00762F44">
        <w:rPr>
          <w:rFonts w:asciiTheme="minorHAnsi" w:hAnsiTheme="minorHAnsi" w:cstheme="minorHAnsi"/>
          <w:sz w:val="24"/>
          <w:szCs w:val="24"/>
        </w:rPr>
        <w:t xml:space="preserve">a </w:t>
      </w:r>
      <w:r w:rsidRPr="008142C5">
        <w:rPr>
          <w:rFonts w:asciiTheme="minorHAnsi" w:hAnsiTheme="minorHAnsi" w:cstheme="minorHAnsi"/>
          <w:sz w:val="24"/>
          <w:szCs w:val="24"/>
        </w:rPr>
        <w:t>směřujících k činnosti CS</w:t>
      </w:r>
      <w:r w:rsidR="00762F44">
        <w:rPr>
          <w:rFonts w:asciiTheme="minorHAnsi" w:hAnsiTheme="minorHAnsi" w:cstheme="minorHAnsi"/>
          <w:sz w:val="24"/>
          <w:szCs w:val="24"/>
        </w:rPr>
        <w:t> </w:t>
      </w:r>
      <w:r w:rsidRPr="008142C5">
        <w:rPr>
          <w:rFonts w:asciiTheme="minorHAnsi" w:hAnsiTheme="minorHAnsi" w:cstheme="minorHAnsi"/>
          <w:sz w:val="24"/>
          <w:szCs w:val="24"/>
        </w:rPr>
        <w:t xml:space="preserve">ČR ověřil, jakým způsobem byly tyto podněty ze strany orgánů CS ČR vyřízeny. </w:t>
      </w:r>
      <w:r w:rsidR="00B911E4" w:rsidRPr="008142C5">
        <w:rPr>
          <w:rFonts w:asciiTheme="minorHAnsi" w:hAnsiTheme="minorHAnsi" w:cstheme="minorHAnsi"/>
          <w:sz w:val="24"/>
          <w:szCs w:val="24"/>
        </w:rPr>
        <w:t xml:space="preserve">Základním </w:t>
      </w:r>
      <w:r w:rsidR="00B911E4" w:rsidRPr="00523DA2">
        <w:rPr>
          <w:rFonts w:asciiTheme="minorHAnsi" w:hAnsiTheme="minorHAnsi" w:cstheme="minorHAnsi"/>
          <w:sz w:val="24"/>
          <w:szCs w:val="24"/>
        </w:rPr>
        <w:t xml:space="preserve">kritériem pro </w:t>
      </w:r>
      <w:r w:rsidR="00762F44">
        <w:rPr>
          <w:rFonts w:asciiTheme="minorHAnsi" w:hAnsiTheme="minorHAnsi" w:cstheme="minorHAnsi"/>
          <w:sz w:val="24"/>
          <w:szCs w:val="24"/>
        </w:rPr>
        <w:t>sestavení</w:t>
      </w:r>
      <w:r w:rsidR="00B911E4" w:rsidRPr="00523DA2">
        <w:rPr>
          <w:rFonts w:asciiTheme="minorHAnsi" w:hAnsiTheme="minorHAnsi" w:cstheme="minorHAnsi"/>
          <w:sz w:val="24"/>
          <w:szCs w:val="24"/>
        </w:rPr>
        <w:t xml:space="preserve"> vzorku byl výběr podnětů ze všech útvarů GŘC a jednotlivých celních </w:t>
      </w:r>
      <w:r w:rsidR="00B911E4" w:rsidRPr="00523DA2">
        <w:rPr>
          <w:rFonts w:asciiTheme="minorHAnsi" w:hAnsiTheme="minorHAnsi" w:cstheme="minorHAnsi"/>
          <w:sz w:val="24"/>
          <w:szCs w:val="24"/>
        </w:rPr>
        <w:lastRenderedPageBreak/>
        <w:t xml:space="preserve">úřadů. </w:t>
      </w:r>
      <w:r w:rsidRPr="00891C9D">
        <w:rPr>
          <w:rFonts w:asciiTheme="minorHAnsi" w:hAnsiTheme="minorHAnsi" w:cstheme="minorHAnsi"/>
          <w:sz w:val="24"/>
          <w:szCs w:val="24"/>
        </w:rPr>
        <w:t xml:space="preserve">NKÚ zjistil, že u 9 podnětů </w:t>
      </w:r>
      <w:r w:rsidR="00D53578" w:rsidRPr="00891C9D">
        <w:rPr>
          <w:rFonts w:asciiTheme="minorHAnsi" w:hAnsiTheme="minorHAnsi" w:cstheme="minorHAnsi"/>
          <w:sz w:val="24"/>
          <w:szCs w:val="24"/>
        </w:rPr>
        <w:t>C</w:t>
      </w:r>
      <w:r w:rsidR="00762F44">
        <w:rPr>
          <w:rFonts w:asciiTheme="minorHAnsi" w:hAnsiTheme="minorHAnsi" w:cstheme="minorHAnsi"/>
          <w:sz w:val="24"/>
          <w:szCs w:val="24"/>
        </w:rPr>
        <w:t>elní správa</w:t>
      </w:r>
      <w:r w:rsidRPr="00891C9D">
        <w:rPr>
          <w:rFonts w:asciiTheme="minorHAnsi" w:hAnsiTheme="minorHAnsi" w:cstheme="minorHAnsi"/>
          <w:sz w:val="24"/>
          <w:szCs w:val="24"/>
        </w:rPr>
        <w:t xml:space="preserve"> ČR neinformovala Ministerstvo financí o</w:t>
      </w:r>
      <w:r w:rsidR="00EA1CA4" w:rsidRPr="00891C9D">
        <w:rPr>
          <w:rFonts w:asciiTheme="minorHAnsi" w:hAnsiTheme="minorHAnsi" w:cstheme="minorHAnsi"/>
          <w:sz w:val="24"/>
          <w:szCs w:val="24"/>
        </w:rPr>
        <w:t> </w:t>
      </w:r>
      <w:r w:rsidRPr="00891C9D">
        <w:rPr>
          <w:rFonts w:asciiTheme="minorHAnsi" w:hAnsiTheme="minorHAnsi" w:cstheme="minorHAnsi"/>
          <w:sz w:val="24"/>
          <w:szCs w:val="24"/>
        </w:rPr>
        <w:t>výsledku šetření, ačkoliv MF tuto informaci po GŘC (celních úřadech) požadovalo.</w:t>
      </w:r>
    </w:p>
    <w:p w14:paraId="06DA72A1" w14:textId="13B47BC4" w:rsidR="00C90D00" w:rsidRPr="008142C5" w:rsidRDefault="0060184C" w:rsidP="001E51C9">
      <w:pPr>
        <w:pStyle w:val="Nadpis2"/>
        <w:rPr>
          <w:rFonts w:asciiTheme="minorHAnsi" w:hAnsiTheme="minorHAnsi"/>
          <w:highlight w:val="yellow"/>
        </w:rPr>
      </w:pPr>
      <w:r>
        <w:rPr>
          <w:rFonts w:asciiTheme="minorHAnsi" w:hAnsiTheme="minorHAnsi"/>
        </w:rPr>
        <w:t>Ministerstvo financí</w:t>
      </w:r>
      <w:r w:rsidR="008A1F21">
        <w:rPr>
          <w:rFonts w:asciiTheme="minorHAnsi" w:hAnsiTheme="minorHAnsi"/>
        </w:rPr>
        <w:t xml:space="preserve"> nerušilo základní povolení za opakovan</w:t>
      </w:r>
      <w:r w:rsidR="00820FA4">
        <w:rPr>
          <w:rFonts w:asciiTheme="minorHAnsi" w:hAnsiTheme="minorHAnsi"/>
        </w:rPr>
        <w:t>á</w:t>
      </w:r>
      <w:r w:rsidR="008A1F21">
        <w:rPr>
          <w:rFonts w:asciiTheme="minorHAnsi" w:hAnsiTheme="minorHAnsi"/>
        </w:rPr>
        <w:t xml:space="preserve"> porušení právních předpisů</w:t>
      </w:r>
      <w:r>
        <w:rPr>
          <w:rFonts w:asciiTheme="minorHAnsi" w:hAnsiTheme="minorHAnsi"/>
        </w:rPr>
        <w:t xml:space="preserve"> </w:t>
      </w:r>
    </w:p>
    <w:p w14:paraId="51143DAF" w14:textId="0BB1A264" w:rsidR="00E60024" w:rsidRPr="004D73BD" w:rsidRDefault="00E60024" w:rsidP="001E51C9">
      <w:pPr>
        <w:pStyle w:val="Odstavecseseznamem"/>
        <w:numPr>
          <w:ilvl w:val="1"/>
          <w:numId w:val="17"/>
        </w:numPr>
        <w:spacing w:before="240" w:after="120"/>
        <w:ind w:left="0" w:firstLine="0"/>
        <w:contextualSpacing w:val="0"/>
        <w:rPr>
          <w:rFonts w:asciiTheme="minorHAnsi" w:hAnsiTheme="minorHAnsi" w:cstheme="minorHAnsi"/>
          <w:sz w:val="24"/>
          <w:szCs w:val="24"/>
        </w:rPr>
      </w:pPr>
      <w:r w:rsidRPr="004D73BD">
        <w:rPr>
          <w:rFonts w:asciiTheme="minorHAnsi" w:hAnsiTheme="minorHAnsi" w:cstheme="minorHAnsi"/>
          <w:sz w:val="24"/>
          <w:szCs w:val="24"/>
        </w:rPr>
        <w:t xml:space="preserve">SFÚ zaslal dne 1. 2. 2021 MF celkem devět </w:t>
      </w:r>
      <w:r w:rsidR="00762F44">
        <w:rPr>
          <w:rFonts w:asciiTheme="minorHAnsi" w:hAnsiTheme="minorHAnsi" w:cstheme="minorHAnsi"/>
          <w:sz w:val="24"/>
          <w:szCs w:val="24"/>
        </w:rPr>
        <w:t>„</w:t>
      </w:r>
      <w:r w:rsidR="00762F44">
        <w:rPr>
          <w:rFonts w:asciiTheme="minorHAnsi" w:hAnsiTheme="minorHAnsi" w:cstheme="minorHAnsi"/>
          <w:i/>
          <w:sz w:val="24"/>
          <w:szCs w:val="24"/>
        </w:rPr>
        <w:t>s</w:t>
      </w:r>
      <w:r>
        <w:rPr>
          <w:rFonts w:asciiTheme="minorHAnsi" w:hAnsiTheme="minorHAnsi" w:cstheme="minorHAnsi"/>
          <w:i/>
          <w:sz w:val="24"/>
          <w:szCs w:val="24"/>
        </w:rPr>
        <w:t>dělení správce daně</w:t>
      </w:r>
      <w:r w:rsidR="00762F44">
        <w:rPr>
          <w:rFonts w:asciiTheme="minorHAnsi" w:hAnsiTheme="minorHAnsi" w:cstheme="minorHAnsi"/>
          <w:sz w:val="24"/>
          <w:szCs w:val="24"/>
        </w:rPr>
        <w:t>“</w:t>
      </w:r>
      <w:r w:rsidRPr="00247CAB">
        <w:rPr>
          <w:rStyle w:val="Znakapoznpodarou"/>
          <w:rFonts w:asciiTheme="minorHAnsi" w:hAnsiTheme="minorHAnsi" w:cstheme="minorHAnsi"/>
          <w:sz w:val="24"/>
          <w:szCs w:val="24"/>
        </w:rPr>
        <w:footnoteReference w:id="28"/>
      </w:r>
      <w:r>
        <w:rPr>
          <w:rFonts w:asciiTheme="minorHAnsi" w:hAnsiTheme="minorHAnsi" w:cstheme="minorHAnsi"/>
          <w:i/>
          <w:sz w:val="24"/>
          <w:szCs w:val="24"/>
        </w:rPr>
        <w:t xml:space="preserve"> </w:t>
      </w:r>
      <w:r w:rsidRPr="004922BF">
        <w:rPr>
          <w:rFonts w:asciiTheme="minorHAnsi" w:hAnsiTheme="minorHAnsi" w:cstheme="minorHAnsi"/>
          <w:sz w:val="24"/>
          <w:szCs w:val="24"/>
        </w:rPr>
        <w:t>o</w:t>
      </w:r>
      <w:r>
        <w:rPr>
          <w:rFonts w:asciiTheme="minorHAnsi" w:hAnsiTheme="minorHAnsi" w:cstheme="minorHAnsi"/>
          <w:i/>
          <w:sz w:val="24"/>
          <w:szCs w:val="24"/>
        </w:rPr>
        <w:t xml:space="preserve"> </w:t>
      </w:r>
      <w:r w:rsidRPr="004D73BD">
        <w:rPr>
          <w:rFonts w:asciiTheme="minorHAnsi" w:hAnsiTheme="minorHAnsi" w:cstheme="minorHAnsi"/>
          <w:sz w:val="24"/>
          <w:szCs w:val="24"/>
        </w:rPr>
        <w:t>daňov</w:t>
      </w:r>
      <w:r>
        <w:rPr>
          <w:rFonts w:asciiTheme="minorHAnsi" w:hAnsiTheme="minorHAnsi" w:cstheme="minorHAnsi"/>
          <w:sz w:val="24"/>
          <w:szCs w:val="24"/>
        </w:rPr>
        <w:t>ých</w:t>
      </w:r>
      <w:r w:rsidRPr="004D73BD">
        <w:rPr>
          <w:rFonts w:asciiTheme="minorHAnsi" w:hAnsiTheme="minorHAnsi" w:cstheme="minorHAnsi"/>
          <w:sz w:val="24"/>
          <w:szCs w:val="24"/>
        </w:rPr>
        <w:t xml:space="preserve"> subjekt</w:t>
      </w:r>
      <w:r>
        <w:rPr>
          <w:rFonts w:asciiTheme="minorHAnsi" w:hAnsiTheme="minorHAnsi" w:cstheme="minorHAnsi"/>
          <w:sz w:val="24"/>
          <w:szCs w:val="24"/>
        </w:rPr>
        <w:t>ech, kte</w:t>
      </w:r>
      <w:r w:rsidR="00762F44">
        <w:rPr>
          <w:rFonts w:asciiTheme="minorHAnsi" w:hAnsiTheme="minorHAnsi" w:cstheme="minorHAnsi"/>
          <w:sz w:val="24"/>
          <w:szCs w:val="24"/>
        </w:rPr>
        <w:t>ré</w:t>
      </w:r>
      <w:r w:rsidRPr="004D73BD">
        <w:rPr>
          <w:rFonts w:asciiTheme="minorHAnsi" w:hAnsiTheme="minorHAnsi" w:cstheme="minorHAnsi"/>
          <w:sz w:val="24"/>
          <w:szCs w:val="24"/>
        </w:rPr>
        <w:t xml:space="preserve"> dlouhodobě neplní své povinnosti vůči správci daně</w:t>
      </w:r>
      <w:r w:rsidRPr="004D73BD">
        <w:rPr>
          <w:rFonts w:asciiTheme="minorHAnsi" w:hAnsiTheme="minorHAnsi" w:cstheme="minorHAnsi"/>
          <w:i/>
          <w:sz w:val="24"/>
          <w:szCs w:val="24"/>
        </w:rPr>
        <w:t>.</w:t>
      </w:r>
      <w:r w:rsidRPr="004D73BD">
        <w:rPr>
          <w:rFonts w:asciiTheme="minorHAnsi" w:hAnsiTheme="minorHAnsi" w:cstheme="minorHAnsi"/>
          <w:sz w:val="24"/>
          <w:szCs w:val="24"/>
        </w:rPr>
        <w:t xml:space="preserve"> SFÚ v těchto sděleních mj. uvedl</w:t>
      </w:r>
      <w:r w:rsidRPr="000D5ADC">
        <w:rPr>
          <w:rFonts w:asciiTheme="minorHAnsi" w:hAnsiTheme="minorHAnsi" w:cstheme="minorHAnsi"/>
          <w:sz w:val="24"/>
          <w:szCs w:val="24"/>
        </w:rPr>
        <w:t>:</w:t>
      </w:r>
      <w:r w:rsidRPr="00247CAB">
        <w:rPr>
          <w:sz w:val="24"/>
          <w:szCs w:val="24"/>
        </w:rPr>
        <w:t xml:space="preserve"> „</w:t>
      </w:r>
      <w:r w:rsidRPr="004D73BD">
        <w:rPr>
          <w:i/>
          <w:sz w:val="24"/>
          <w:szCs w:val="24"/>
        </w:rPr>
        <w:t xml:space="preserve">Jedná se o povinnost správného vykazování výsledků z provozování hazardních her a v návaznosti na tuto skutečnost také o chybné uvádění údajů v přiznání k dani z hazardních her (...), a tímto </w:t>
      </w:r>
      <w:r w:rsidRPr="004D73BD">
        <w:rPr>
          <w:rFonts w:asciiTheme="minorHAnsi" w:hAnsiTheme="minorHAnsi" w:cstheme="minorHAnsi"/>
          <w:i/>
          <w:sz w:val="24"/>
          <w:szCs w:val="24"/>
        </w:rPr>
        <w:t>jednáním aktivně činí správci daně značné problémy a komplikace při správě daní</w:t>
      </w:r>
      <w:r w:rsidRPr="00247CAB">
        <w:rPr>
          <w:rFonts w:asciiTheme="minorHAnsi" w:hAnsiTheme="minorHAnsi" w:cstheme="minorHAnsi"/>
          <w:sz w:val="24"/>
          <w:szCs w:val="24"/>
        </w:rPr>
        <w:t>“</w:t>
      </w:r>
      <w:r w:rsidRPr="004D73BD">
        <w:rPr>
          <w:rFonts w:asciiTheme="minorHAnsi" w:hAnsiTheme="minorHAnsi" w:cstheme="minorHAnsi"/>
          <w:sz w:val="24"/>
          <w:szCs w:val="24"/>
        </w:rPr>
        <w:t>. MF v těchto případech nepovažovalo pochybení v rozsahu, který byl zjištěn</w:t>
      </w:r>
      <w:r>
        <w:rPr>
          <w:rFonts w:asciiTheme="minorHAnsi" w:hAnsiTheme="minorHAnsi" w:cstheme="minorHAnsi"/>
          <w:sz w:val="24"/>
          <w:szCs w:val="24"/>
        </w:rPr>
        <w:t>,</w:t>
      </w:r>
      <w:r w:rsidRPr="004D73BD">
        <w:rPr>
          <w:rFonts w:asciiTheme="minorHAnsi" w:hAnsiTheme="minorHAnsi" w:cstheme="minorHAnsi"/>
          <w:sz w:val="24"/>
          <w:szCs w:val="24"/>
        </w:rPr>
        <w:t xml:space="preserve"> za </w:t>
      </w:r>
      <w:r>
        <w:rPr>
          <w:rFonts w:asciiTheme="minorHAnsi" w:hAnsiTheme="minorHAnsi" w:cstheme="minorHAnsi"/>
          <w:sz w:val="24"/>
          <w:szCs w:val="24"/>
        </w:rPr>
        <w:t>natolik</w:t>
      </w:r>
      <w:r w:rsidRPr="004D73BD">
        <w:rPr>
          <w:rFonts w:asciiTheme="minorHAnsi" w:hAnsiTheme="minorHAnsi" w:cstheme="minorHAnsi"/>
          <w:sz w:val="24"/>
          <w:szCs w:val="24"/>
        </w:rPr>
        <w:t xml:space="preserve"> závažná, aby zrušilo základní povolení z moci úřední</w:t>
      </w:r>
      <w:r>
        <w:rPr>
          <w:rStyle w:val="Znakapoznpodarou"/>
          <w:rFonts w:asciiTheme="minorHAnsi" w:hAnsiTheme="minorHAnsi" w:cstheme="minorHAnsi"/>
          <w:sz w:val="24"/>
          <w:szCs w:val="24"/>
        </w:rPr>
        <w:footnoteReference w:id="29"/>
      </w:r>
      <w:r w:rsidRPr="004D73BD">
        <w:rPr>
          <w:rFonts w:asciiTheme="minorHAnsi" w:hAnsiTheme="minorHAnsi" w:cstheme="minorHAnsi"/>
          <w:sz w:val="24"/>
          <w:szCs w:val="24"/>
        </w:rPr>
        <w:t>.</w:t>
      </w:r>
    </w:p>
    <w:p w14:paraId="264963A8" w14:textId="38AF8C34" w:rsidR="00E60024" w:rsidRPr="00882D38" w:rsidRDefault="00E60024" w:rsidP="001E51C9">
      <w:pPr>
        <w:pStyle w:val="Odstavecseseznamem"/>
        <w:numPr>
          <w:ilvl w:val="1"/>
          <w:numId w:val="17"/>
        </w:numPr>
        <w:spacing w:after="240"/>
        <w:ind w:left="0" w:firstLine="0"/>
        <w:contextualSpacing w:val="0"/>
        <w:rPr>
          <w:rFonts w:asciiTheme="minorHAnsi" w:hAnsiTheme="minorHAnsi" w:cstheme="minorHAnsi"/>
          <w:sz w:val="24"/>
          <w:szCs w:val="24"/>
        </w:rPr>
      </w:pPr>
      <w:r w:rsidRPr="00882D38">
        <w:rPr>
          <w:rFonts w:asciiTheme="minorHAnsi" w:hAnsiTheme="minorHAnsi" w:cstheme="minorHAnsi"/>
          <w:sz w:val="24"/>
          <w:szCs w:val="24"/>
        </w:rPr>
        <w:t>GŘC zaslalo Ministerstvu financí dva podněty ke zrušení základního povolení</w:t>
      </w:r>
      <w:r w:rsidRPr="00882D38">
        <w:rPr>
          <w:rStyle w:val="Znakapoznpodarou"/>
          <w:rFonts w:asciiTheme="minorHAnsi" w:hAnsiTheme="minorHAnsi" w:cstheme="minorHAnsi"/>
          <w:sz w:val="24"/>
          <w:szCs w:val="24"/>
        </w:rPr>
        <w:footnoteReference w:id="30"/>
      </w:r>
      <w:r w:rsidRPr="00882D38">
        <w:rPr>
          <w:rFonts w:asciiTheme="minorHAnsi" w:hAnsiTheme="minorHAnsi" w:cstheme="minorHAnsi"/>
          <w:sz w:val="24"/>
          <w:szCs w:val="24"/>
        </w:rPr>
        <w:t xml:space="preserve">, tyto podněty </w:t>
      </w:r>
      <w:r w:rsidR="00882D38" w:rsidRPr="00247CAB">
        <w:rPr>
          <w:rFonts w:asciiTheme="minorHAnsi" w:hAnsiTheme="minorHAnsi" w:cstheme="minorHAnsi"/>
          <w:sz w:val="24"/>
          <w:szCs w:val="24"/>
        </w:rPr>
        <w:t xml:space="preserve">však </w:t>
      </w:r>
      <w:r w:rsidRPr="00882D38">
        <w:rPr>
          <w:rFonts w:asciiTheme="minorHAnsi" w:hAnsiTheme="minorHAnsi" w:cstheme="minorHAnsi"/>
          <w:sz w:val="24"/>
          <w:szCs w:val="24"/>
        </w:rPr>
        <w:t>Ministerstvo financí nevyhodnotilo</w:t>
      </w:r>
      <w:r w:rsidR="00882D38" w:rsidRPr="00247CAB">
        <w:rPr>
          <w:rFonts w:asciiTheme="minorHAnsi" w:hAnsiTheme="minorHAnsi" w:cstheme="minorHAnsi"/>
          <w:sz w:val="24"/>
          <w:szCs w:val="24"/>
        </w:rPr>
        <w:t xml:space="preserve"> jako důvod k postupu podle</w:t>
      </w:r>
      <w:r w:rsidR="000D5ADC" w:rsidRPr="00882D38">
        <w:rPr>
          <w:rFonts w:asciiTheme="minorHAnsi" w:hAnsiTheme="minorHAnsi" w:cstheme="minorHAnsi"/>
          <w:sz w:val="24"/>
          <w:szCs w:val="24"/>
        </w:rPr>
        <w:t xml:space="preserve"> </w:t>
      </w:r>
      <w:r w:rsidR="00882D38" w:rsidRPr="00247CAB">
        <w:rPr>
          <w:rFonts w:asciiTheme="minorHAnsi" w:hAnsiTheme="minorHAnsi" w:cstheme="minorHAnsi"/>
          <w:sz w:val="24"/>
          <w:szCs w:val="24"/>
        </w:rPr>
        <w:t xml:space="preserve">§ 95 odst. 2 písm. c) </w:t>
      </w:r>
      <w:r w:rsidR="000D5ADC" w:rsidRPr="00882D38">
        <w:rPr>
          <w:rFonts w:asciiTheme="minorHAnsi" w:hAnsiTheme="minorHAnsi" w:cstheme="minorHAnsi"/>
          <w:sz w:val="24"/>
          <w:szCs w:val="24"/>
        </w:rPr>
        <w:t>ZHH</w:t>
      </w:r>
      <w:r w:rsidRPr="00882D38">
        <w:rPr>
          <w:rFonts w:asciiTheme="minorHAnsi" w:hAnsiTheme="minorHAnsi" w:cstheme="minorHAnsi"/>
          <w:sz w:val="24"/>
          <w:szCs w:val="24"/>
        </w:rPr>
        <w:t xml:space="preserve"> a nezahájilo</w:t>
      </w:r>
      <w:r w:rsidR="000D5ADC" w:rsidRPr="00882D38">
        <w:rPr>
          <w:rFonts w:asciiTheme="minorHAnsi" w:hAnsiTheme="minorHAnsi" w:cstheme="minorHAnsi"/>
          <w:sz w:val="24"/>
          <w:szCs w:val="24"/>
        </w:rPr>
        <w:t xml:space="preserve"> </w:t>
      </w:r>
      <w:r w:rsidRPr="00882D38">
        <w:rPr>
          <w:rFonts w:asciiTheme="minorHAnsi" w:hAnsiTheme="minorHAnsi" w:cstheme="minorHAnsi"/>
          <w:sz w:val="24"/>
          <w:szCs w:val="24"/>
        </w:rPr>
        <w:t xml:space="preserve">na základě těchto podnětů žádné správní řízení </w:t>
      </w:r>
      <w:r w:rsidR="000D5ADC" w:rsidRPr="00247CAB">
        <w:rPr>
          <w:rFonts w:asciiTheme="minorHAnsi" w:hAnsiTheme="minorHAnsi" w:cstheme="minorHAnsi"/>
          <w:sz w:val="24"/>
          <w:szCs w:val="24"/>
        </w:rPr>
        <w:t xml:space="preserve">vedoucí </w:t>
      </w:r>
      <w:r w:rsidRPr="00882D38">
        <w:rPr>
          <w:rFonts w:asciiTheme="minorHAnsi" w:hAnsiTheme="minorHAnsi" w:cstheme="minorHAnsi"/>
          <w:sz w:val="24"/>
          <w:szCs w:val="24"/>
        </w:rPr>
        <w:t>ke zrušení základního povolení.</w:t>
      </w:r>
    </w:p>
    <w:tbl>
      <w:tblPr>
        <w:tblStyle w:val="Mkatabulky"/>
        <w:tblW w:w="0" w:type="auto"/>
        <w:tblInd w:w="-5" w:type="dxa"/>
        <w:tblLook w:val="04A0" w:firstRow="1" w:lastRow="0" w:firstColumn="1" w:lastColumn="0" w:noHBand="0" w:noVBand="1"/>
      </w:tblPr>
      <w:tblGrid>
        <w:gridCol w:w="9067"/>
      </w:tblGrid>
      <w:tr w:rsidR="00E60024" w14:paraId="09E4BFF6" w14:textId="77777777" w:rsidTr="00375110">
        <w:tc>
          <w:tcPr>
            <w:tcW w:w="9067" w:type="dxa"/>
            <w:shd w:val="clear" w:color="auto" w:fill="F2C6C9"/>
          </w:tcPr>
          <w:p w14:paraId="6880F63A" w14:textId="5AEEA641" w:rsidR="00E60024" w:rsidRPr="001073A4" w:rsidRDefault="00C45355" w:rsidP="00247CAB">
            <w:pPr>
              <w:spacing w:before="120" w:after="120"/>
              <w:ind w:left="1230" w:hanging="1230"/>
              <w:jc w:val="left"/>
              <w:rPr>
                <w:b/>
                <w:lang w:eastAsia="cs-CZ"/>
              </w:rPr>
            </w:pPr>
            <w:bookmarkStart w:id="19" w:name="_Hlk134965282"/>
            <w:r w:rsidRPr="00B44284">
              <w:rPr>
                <w:b/>
                <w:lang w:eastAsia="cs-CZ"/>
              </w:rPr>
              <w:t>Příklad č. 1</w:t>
            </w:r>
            <w:r>
              <w:rPr>
                <w:b/>
                <w:lang w:eastAsia="cs-CZ"/>
              </w:rPr>
              <w:t>:</w:t>
            </w:r>
            <w:r>
              <w:rPr>
                <w:b/>
                <w:lang w:eastAsia="cs-CZ"/>
              </w:rPr>
              <w:tab/>
            </w:r>
            <w:r w:rsidRPr="00001EA5">
              <w:rPr>
                <w:b/>
                <w:lang w:eastAsia="cs-CZ"/>
              </w:rPr>
              <w:t>P</w:t>
            </w:r>
            <w:r>
              <w:rPr>
                <w:b/>
                <w:lang w:eastAsia="cs-CZ"/>
              </w:rPr>
              <w:t>ostup MF, SFÚ a orgánů CS ČR vůči provozovateli, který opakovaně</w:t>
            </w:r>
            <w:r w:rsidR="00B82C3F">
              <w:rPr>
                <w:b/>
                <w:lang w:eastAsia="cs-CZ"/>
              </w:rPr>
              <w:t xml:space="preserve"> </w:t>
            </w:r>
            <w:r>
              <w:rPr>
                <w:b/>
                <w:lang w:eastAsia="cs-CZ"/>
              </w:rPr>
              <w:t>porušoval ZH</w:t>
            </w:r>
            <w:r w:rsidR="00E60024">
              <w:rPr>
                <w:b/>
                <w:lang w:eastAsia="cs-CZ"/>
              </w:rPr>
              <w:t>H</w:t>
            </w:r>
          </w:p>
          <w:bookmarkEnd w:id="19"/>
          <w:p w14:paraId="3672F2E0" w14:textId="0A13FDEF" w:rsidR="00E60024" w:rsidRPr="00663871" w:rsidRDefault="00E60024" w:rsidP="001C1E5F">
            <w:pPr>
              <w:spacing w:after="80"/>
              <w:rPr>
                <w:color w:val="auto"/>
              </w:rPr>
            </w:pPr>
            <w:r w:rsidRPr="00663871">
              <w:rPr>
                <w:color w:val="auto"/>
                <w:lang w:eastAsia="cs-CZ"/>
              </w:rPr>
              <w:t xml:space="preserve">Daný provozovatel </w:t>
            </w:r>
            <w:r>
              <w:rPr>
                <w:color w:val="auto"/>
                <w:lang w:eastAsia="cs-CZ"/>
              </w:rPr>
              <w:t xml:space="preserve">hazardních her </w:t>
            </w:r>
            <w:r w:rsidRPr="00663871">
              <w:rPr>
                <w:color w:val="auto"/>
                <w:lang w:eastAsia="cs-CZ"/>
              </w:rPr>
              <w:t>obdržel v</w:t>
            </w:r>
            <w:r>
              <w:rPr>
                <w:color w:val="auto"/>
                <w:lang w:eastAsia="cs-CZ"/>
              </w:rPr>
              <w:t> letech 2017–2021</w:t>
            </w:r>
            <w:r w:rsidRPr="00663871">
              <w:rPr>
                <w:color w:val="auto"/>
                <w:lang w:eastAsia="cs-CZ"/>
              </w:rPr>
              <w:t xml:space="preserve"> od orgánů CS ČR</w:t>
            </w:r>
            <w:r w:rsidR="00330EF1">
              <w:rPr>
                <w:color w:val="auto"/>
                <w:lang w:eastAsia="cs-CZ"/>
              </w:rPr>
              <w:br/>
            </w:r>
            <w:r w:rsidRPr="00663871">
              <w:rPr>
                <w:color w:val="auto"/>
                <w:lang w:eastAsia="cs-CZ"/>
              </w:rPr>
              <w:t xml:space="preserve">za opakované porušování ZHH celkem 76 pokut v souhrnné výši 4,62 mil. Kč. </w:t>
            </w:r>
            <w:r w:rsidR="0063090E">
              <w:rPr>
                <w:color w:val="auto"/>
                <w:lang w:eastAsia="cs-CZ"/>
              </w:rPr>
              <w:t>Uložené pokuty byly v</w:t>
            </w:r>
            <w:r w:rsidR="00330EF1">
              <w:rPr>
                <w:color w:val="auto"/>
                <w:lang w:eastAsia="cs-CZ"/>
              </w:rPr>
              <w:t> p</w:t>
            </w:r>
            <w:r w:rsidR="005D3919">
              <w:rPr>
                <w:color w:val="auto"/>
                <w:lang w:eastAsia="cs-CZ"/>
              </w:rPr>
              <w:t>r</w:t>
            </w:r>
            <w:r w:rsidR="00330EF1">
              <w:rPr>
                <w:color w:val="auto"/>
                <w:lang w:eastAsia="cs-CZ"/>
              </w:rPr>
              <w:t>ůměrné výši 0,06–1,17 % maximální zákonné výše za jednotlivé přestupky.</w:t>
            </w:r>
            <w:r w:rsidR="0063090E">
              <w:rPr>
                <w:color w:val="auto"/>
                <w:lang w:eastAsia="cs-CZ"/>
              </w:rPr>
              <w:t xml:space="preserve"> </w:t>
            </w:r>
          </w:p>
          <w:p w14:paraId="72DC531D" w14:textId="3C017398" w:rsidR="00E60024" w:rsidRPr="00663871" w:rsidRDefault="00E60024" w:rsidP="001C1E5F">
            <w:pPr>
              <w:spacing w:after="120"/>
              <w:rPr>
                <w:color w:val="auto"/>
                <w:lang w:eastAsia="cs-CZ"/>
              </w:rPr>
            </w:pPr>
            <w:r>
              <w:rPr>
                <w:color w:val="auto"/>
                <w:lang w:eastAsia="cs-CZ"/>
              </w:rPr>
              <w:t>P</w:t>
            </w:r>
            <w:r w:rsidRPr="00663871">
              <w:rPr>
                <w:color w:val="auto"/>
                <w:lang w:eastAsia="cs-CZ"/>
              </w:rPr>
              <w:t xml:space="preserve">odle § 95 odst. 2 písm. c) ZHH </w:t>
            </w:r>
            <w:r w:rsidRPr="005C415F">
              <w:rPr>
                <w:color w:val="auto"/>
                <w:lang w:eastAsia="cs-CZ"/>
              </w:rPr>
              <w:t>Ministerstvo financí zruší základní povolení</w:t>
            </w:r>
            <w:r w:rsidRPr="004111B2">
              <w:rPr>
                <w:i/>
                <w:color w:val="auto"/>
                <w:lang w:eastAsia="cs-CZ"/>
              </w:rPr>
              <w:t xml:space="preserve"> </w:t>
            </w:r>
            <w:r w:rsidRPr="00247CAB">
              <w:rPr>
                <w:color w:val="auto"/>
                <w:lang w:eastAsia="cs-CZ"/>
              </w:rPr>
              <w:t>„</w:t>
            </w:r>
            <w:r w:rsidRPr="004111B2">
              <w:rPr>
                <w:i/>
                <w:color w:val="auto"/>
                <w:lang w:eastAsia="cs-CZ"/>
              </w:rPr>
              <w:t>poruší</w:t>
            </w:r>
            <w:r>
              <w:rPr>
                <w:i/>
                <w:color w:val="auto"/>
                <w:lang w:eastAsia="cs-CZ"/>
              </w:rPr>
              <w:t>-li</w:t>
            </w:r>
            <w:r w:rsidRPr="004111B2">
              <w:rPr>
                <w:i/>
                <w:color w:val="auto"/>
                <w:lang w:eastAsia="cs-CZ"/>
              </w:rPr>
              <w:t xml:space="preserve"> </w:t>
            </w:r>
            <w:r w:rsidRPr="00881813">
              <w:rPr>
                <w:i/>
                <w:color w:val="auto"/>
                <w:lang w:eastAsia="cs-CZ"/>
              </w:rPr>
              <w:t xml:space="preserve">provozovatel </w:t>
            </w:r>
            <w:r w:rsidRPr="004111B2">
              <w:rPr>
                <w:i/>
                <w:color w:val="auto"/>
                <w:lang w:eastAsia="cs-CZ"/>
              </w:rPr>
              <w:t>opakovaně nebo závažným způsobem povinnosti stanovené tímto zákonem</w:t>
            </w:r>
            <w:r w:rsidRPr="00247CAB">
              <w:rPr>
                <w:color w:val="auto"/>
                <w:lang w:eastAsia="cs-CZ"/>
              </w:rPr>
              <w:t>“</w:t>
            </w:r>
            <w:r w:rsidRPr="00882D38">
              <w:rPr>
                <w:color w:val="auto"/>
                <w:lang w:eastAsia="cs-CZ"/>
              </w:rPr>
              <w:t>.</w:t>
            </w:r>
            <w:r w:rsidRPr="00663871">
              <w:rPr>
                <w:color w:val="auto"/>
                <w:lang w:eastAsia="cs-CZ"/>
              </w:rPr>
              <w:t xml:space="preserve"> </w:t>
            </w:r>
            <w:r>
              <w:rPr>
                <w:color w:val="auto"/>
                <w:lang w:eastAsia="cs-CZ"/>
              </w:rPr>
              <w:t>K tomuto rozhodnutí MF nepřistoupilo.</w:t>
            </w:r>
            <w:r>
              <w:rPr>
                <w:rStyle w:val="ZkladnChar"/>
              </w:rPr>
              <w:t xml:space="preserve"> </w:t>
            </w:r>
          </w:p>
          <w:p w14:paraId="096D7447" w14:textId="0FD6A56F" w:rsidR="00E60024" w:rsidRPr="00663871" w:rsidRDefault="00353A53" w:rsidP="001C1E5F">
            <w:pPr>
              <w:spacing w:before="120" w:after="80"/>
              <w:rPr>
                <w:rFonts w:cs="Calibri"/>
                <w:color w:val="auto"/>
              </w:rPr>
            </w:pPr>
            <w:r>
              <w:rPr>
                <w:color w:val="auto"/>
                <w:lang w:eastAsia="cs-CZ"/>
              </w:rPr>
              <w:t>MF zrušilo z</w:t>
            </w:r>
            <w:r w:rsidR="00E60024">
              <w:rPr>
                <w:color w:val="auto"/>
                <w:lang w:eastAsia="cs-CZ"/>
              </w:rPr>
              <w:t xml:space="preserve">ákladní povolení </w:t>
            </w:r>
            <w:r w:rsidR="00330EF1">
              <w:rPr>
                <w:color w:val="auto"/>
                <w:lang w:eastAsia="cs-CZ"/>
              </w:rPr>
              <w:t xml:space="preserve">až </w:t>
            </w:r>
            <w:r w:rsidR="00E60024">
              <w:rPr>
                <w:color w:val="auto"/>
                <w:lang w:eastAsia="cs-CZ"/>
              </w:rPr>
              <w:t>rozhodnutím podle § 95 odst. 2 písm. d)</w:t>
            </w:r>
            <w:r>
              <w:rPr>
                <w:color w:val="auto"/>
                <w:lang w:eastAsia="cs-CZ"/>
              </w:rPr>
              <w:t xml:space="preserve"> ZHH</w:t>
            </w:r>
            <w:r w:rsidR="00E60024">
              <w:rPr>
                <w:color w:val="auto"/>
                <w:lang w:eastAsia="cs-CZ"/>
              </w:rPr>
              <w:t xml:space="preserve"> v situaci, kdy se daný provozovatel ocitl v úpadku a na jeho majetek byl prohlášen konkurs.</w:t>
            </w:r>
            <w:r w:rsidR="00E60024" w:rsidRPr="00663871">
              <w:rPr>
                <w:color w:val="auto"/>
                <w:lang w:eastAsia="cs-CZ"/>
              </w:rPr>
              <w:t xml:space="preserve"> Dne 14. 4. 2020 podal </w:t>
            </w:r>
            <w:r w:rsidR="00E60024">
              <w:rPr>
                <w:color w:val="auto"/>
                <w:lang w:eastAsia="cs-CZ"/>
              </w:rPr>
              <w:t xml:space="preserve">provozovatel </w:t>
            </w:r>
            <w:r w:rsidR="00E60024" w:rsidRPr="00663871">
              <w:rPr>
                <w:color w:val="auto"/>
                <w:lang w:eastAsia="cs-CZ"/>
              </w:rPr>
              <w:t xml:space="preserve">proti </w:t>
            </w:r>
            <w:r>
              <w:rPr>
                <w:color w:val="auto"/>
                <w:lang w:eastAsia="cs-CZ"/>
              </w:rPr>
              <w:t>uvedenému</w:t>
            </w:r>
            <w:r w:rsidR="00E60024" w:rsidRPr="00663871">
              <w:rPr>
                <w:color w:val="auto"/>
                <w:lang w:eastAsia="cs-CZ"/>
              </w:rPr>
              <w:t xml:space="preserve"> rozhodnutí</w:t>
            </w:r>
            <w:r w:rsidR="00E60024">
              <w:rPr>
                <w:color w:val="auto"/>
                <w:lang w:eastAsia="cs-CZ"/>
              </w:rPr>
              <w:t xml:space="preserve"> rozklad</w:t>
            </w:r>
            <w:r w:rsidR="00E60024" w:rsidRPr="00663871">
              <w:rPr>
                <w:color w:val="auto"/>
                <w:lang w:eastAsia="cs-CZ"/>
              </w:rPr>
              <w:t>. O tomto rozkladu rozhodl ministr financí až 24. 3. 2022</w:t>
            </w:r>
            <w:r w:rsidR="008F3F7A">
              <w:rPr>
                <w:color w:val="auto"/>
                <w:lang w:eastAsia="cs-CZ"/>
              </w:rPr>
              <w:t>, kdy rozklad zamítl a potvrdil původní rozhodnutí.</w:t>
            </w:r>
            <w:r w:rsidR="00E60024">
              <w:rPr>
                <w:color w:val="auto"/>
                <w:lang w:eastAsia="cs-CZ"/>
              </w:rPr>
              <w:t xml:space="preserve"> </w:t>
            </w:r>
            <w:r w:rsidR="00E60024" w:rsidRPr="00663871">
              <w:rPr>
                <w:rFonts w:cs="Calibri"/>
                <w:color w:val="auto"/>
              </w:rPr>
              <w:t>NKÚ konstatuje,</w:t>
            </w:r>
            <w:r>
              <w:rPr>
                <w:rFonts w:cs="Calibri"/>
                <w:color w:val="auto"/>
              </w:rPr>
              <w:t xml:space="preserve"> </w:t>
            </w:r>
            <w:r w:rsidR="00E60024" w:rsidRPr="00663871">
              <w:rPr>
                <w:rFonts w:cs="Calibri"/>
                <w:color w:val="auto"/>
              </w:rPr>
              <w:t xml:space="preserve">že MF bylo v období 14. 4. 2020 </w:t>
            </w:r>
            <w:r w:rsidR="003276AF">
              <w:rPr>
                <w:rFonts w:cs="Calibri"/>
                <w:color w:val="auto"/>
              </w:rPr>
              <w:t>až</w:t>
            </w:r>
            <w:r w:rsidR="00E60024" w:rsidRPr="00663871">
              <w:rPr>
                <w:rFonts w:cs="Calibri"/>
                <w:color w:val="auto"/>
              </w:rPr>
              <w:t xml:space="preserve"> 24. 3. 2022 ve věci odebrání základního povolení společnosti bez náležitého důvodu nečinn</w:t>
            </w:r>
            <w:r w:rsidR="00E60024">
              <w:rPr>
                <w:rFonts w:cs="Calibri"/>
                <w:color w:val="auto"/>
              </w:rPr>
              <w:t>é</w:t>
            </w:r>
            <w:r w:rsidR="00E60024" w:rsidRPr="00663871">
              <w:rPr>
                <w:rFonts w:cs="Calibri"/>
                <w:color w:val="auto"/>
              </w:rPr>
              <w:t>.</w:t>
            </w:r>
          </w:p>
          <w:p w14:paraId="47127B45" w14:textId="3069E0DE" w:rsidR="00E60024" w:rsidRPr="00663871" w:rsidRDefault="00E60024" w:rsidP="001C1E5F">
            <w:pPr>
              <w:spacing w:after="80"/>
              <w:rPr>
                <w:rFonts w:cs="Calibri"/>
                <w:color w:val="auto"/>
              </w:rPr>
            </w:pPr>
            <w:r w:rsidRPr="00663871">
              <w:rPr>
                <w:rFonts w:cs="Calibri"/>
                <w:color w:val="auto"/>
              </w:rPr>
              <w:t>Během této nečinnosti MF skončila dne 31. 1. 2022 platnost bankovní záruky pro povolení k umístění herního prostoru typu kasino, kterou byla poskytnuta kauce ve výši 50 mil. Kč.</w:t>
            </w:r>
            <w:r>
              <w:rPr>
                <w:rFonts w:cs="Calibri"/>
                <w:color w:val="auto"/>
              </w:rPr>
              <w:br/>
            </w:r>
            <w:r w:rsidRPr="00663871">
              <w:rPr>
                <w:rFonts w:cs="Calibri"/>
                <w:color w:val="auto"/>
              </w:rPr>
              <w:t xml:space="preserve">V důsledku nečinnosti MF </w:t>
            </w:r>
            <w:r w:rsidR="00353A53" w:rsidRPr="00663871">
              <w:rPr>
                <w:rFonts w:cs="Calibri"/>
                <w:color w:val="auto"/>
              </w:rPr>
              <w:t>nesplnil</w:t>
            </w:r>
            <w:r w:rsidR="00353A53">
              <w:rPr>
                <w:rFonts w:cs="Calibri"/>
                <w:color w:val="auto"/>
              </w:rPr>
              <w:t>a</w:t>
            </w:r>
            <w:r w:rsidR="00353A53" w:rsidRPr="00663871">
              <w:rPr>
                <w:rFonts w:cs="Calibri"/>
                <w:color w:val="auto"/>
              </w:rPr>
              <w:t xml:space="preserve"> </w:t>
            </w:r>
            <w:r w:rsidRPr="00663871">
              <w:rPr>
                <w:rFonts w:cs="Calibri"/>
                <w:color w:val="auto"/>
              </w:rPr>
              <w:t>kauce svůj účel a nezajistil</w:t>
            </w:r>
            <w:r w:rsidR="00B84091">
              <w:rPr>
                <w:rFonts w:cs="Calibri"/>
                <w:color w:val="auto"/>
              </w:rPr>
              <w:t>a</w:t>
            </w:r>
            <w:r w:rsidRPr="00663871">
              <w:rPr>
                <w:rFonts w:cs="Calibri"/>
                <w:color w:val="auto"/>
              </w:rPr>
              <w:t xml:space="preserve"> pohledávk</w:t>
            </w:r>
            <w:r>
              <w:rPr>
                <w:rFonts w:cs="Calibri"/>
                <w:color w:val="auto"/>
              </w:rPr>
              <w:t>y</w:t>
            </w:r>
            <w:r w:rsidRPr="00663871">
              <w:rPr>
                <w:rFonts w:cs="Calibri"/>
                <w:color w:val="auto"/>
              </w:rPr>
              <w:t xml:space="preserve"> státu </w:t>
            </w:r>
            <w:r>
              <w:rPr>
                <w:rFonts w:cs="Calibri"/>
                <w:color w:val="auto"/>
              </w:rPr>
              <w:t xml:space="preserve">z daňových nedoplatků ani </w:t>
            </w:r>
            <w:r w:rsidRPr="00663871">
              <w:rPr>
                <w:rFonts w:cs="Calibri"/>
                <w:color w:val="auto"/>
              </w:rPr>
              <w:t>pokut uložen</w:t>
            </w:r>
            <w:r>
              <w:rPr>
                <w:rFonts w:cs="Calibri"/>
                <w:color w:val="auto"/>
              </w:rPr>
              <w:t>ých</w:t>
            </w:r>
            <w:r w:rsidRPr="00663871">
              <w:rPr>
                <w:rFonts w:cs="Calibri"/>
                <w:color w:val="auto"/>
              </w:rPr>
              <w:t xml:space="preserve"> za správní delikt podle ZHH.</w:t>
            </w:r>
          </w:p>
          <w:p w14:paraId="2B0FD7BD" w14:textId="68E48335" w:rsidR="00E60024" w:rsidRDefault="00E60024" w:rsidP="001C1E5F">
            <w:pPr>
              <w:spacing w:after="80" w:line="256" w:lineRule="auto"/>
              <w:rPr>
                <w:color w:val="auto"/>
              </w:rPr>
            </w:pPr>
            <w:r w:rsidRPr="00663871">
              <w:rPr>
                <w:color w:val="auto"/>
              </w:rPr>
              <w:t xml:space="preserve">Uvedenou kauci bylo možné využít k úhradě pohledávek státu i po </w:t>
            </w:r>
            <w:r w:rsidRPr="00663871">
              <w:rPr>
                <w:color w:val="auto"/>
                <w:lang w:eastAsia="cs-CZ"/>
              </w:rPr>
              <w:t xml:space="preserve">zániku posledního herního prostoru typu kasino dne 1. 4. 2020. </w:t>
            </w:r>
            <w:r w:rsidR="00353A53">
              <w:rPr>
                <w:color w:val="auto"/>
                <w:lang w:eastAsia="cs-CZ"/>
              </w:rPr>
              <w:t>Pohledávky</w:t>
            </w:r>
            <w:r w:rsidRPr="00663871">
              <w:rPr>
                <w:color w:val="auto"/>
                <w:lang w:eastAsia="cs-CZ"/>
              </w:rPr>
              <w:t xml:space="preserve"> v té době činily více než 45 mil. Kč. MF však </w:t>
            </w:r>
            <w:r>
              <w:rPr>
                <w:color w:val="auto"/>
                <w:lang w:eastAsia="cs-CZ"/>
              </w:rPr>
              <w:t xml:space="preserve">bylo i v tomto případě </w:t>
            </w:r>
            <w:r w:rsidRPr="00663871">
              <w:rPr>
                <w:color w:val="auto"/>
                <w:lang w:eastAsia="cs-CZ"/>
              </w:rPr>
              <w:t>ne</w:t>
            </w:r>
            <w:r>
              <w:rPr>
                <w:color w:val="auto"/>
                <w:lang w:eastAsia="cs-CZ"/>
              </w:rPr>
              <w:t>činné</w:t>
            </w:r>
            <w:r w:rsidRPr="00663871">
              <w:rPr>
                <w:color w:val="auto"/>
                <w:lang w:eastAsia="cs-CZ"/>
              </w:rPr>
              <w:t xml:space="preserve">. </w:t>
            </w:r>
            <w:r w:rsidRPr="00663871">
              <w:rPr>
                <w:color w:val="auto"/>
              </w:rPr>
              <w:t xml:space="preserve">Tím, že MF </w:t>
            </w:r>
            <w:r>
              <w:rPr>
                <w:color w:val="auto"/>
              </w:rPr>
              <w:t xml:space="preserve">ve věci použití kauce </w:t>
            </w:r>
            <w:r w:rsidRPr="00663871">
              <w:rPr>
                <w:color w:val="auto"/>
              </w:rPr>
              <w:t>nekonalo</w:t>
            </w:r>
            <w:r>
              <w:rPr>
                <w:color w:val="auto"/>
              </w:rPr>
              <w:t>,</w:t>
            </w:r>
            <w:r w:rsidRPr="00663871">
              <w:rPr>
                <w:color w:val="auto"/>
              </w:rPr>
              <w:t xml:space="preserve"> </w:t>
            </w:r>
            <w:r>
              <w:rPr>
                <w:color w:val="auto"/>
              </w:rPr>
              <w:t>nepostupovalo v souladu s</w:t>
            </w:r>
            <w:r w:rsidRPr="00663871">
              <w:rPr>
                <w:color w:val="auto"/>
              </w:rPr>
              <w:t xml:space="preserve"> ustanovení</w:t>
            </w:r>
            <w:r>
              <w:rPr>
                <w:color w:val="auto"/>
              </w:rPr>
              <w:t>m</w:t>
            </w:r>
            <w:r w:rsidRPr="00663871">
              <w:rPr>
                <w:color w:val="auto"/>
              </w:rPr>
              <w:t xml:space="preserve"> § 90 </w:t>
            </w:r>
            <w:r>
              <w:rPr>
                <w:color w:val="auto"/>
              </w:rPr>
              <w:t>odst. 3 ZHH.</w:t>
            </w:r>
          </w:p>
          <w:p w14:paraId="19D4470D" w14:textId="218A6AF0" w:rsidR="00E60024" w:rsidRDefault="00E60024" w:rsidP="001C1E5F">
            <w:pPr>
              <w:spacing w:after="80"/>
            </w:pPr>
            <w:r>
              <w:rPr>
                <w:color w:val="auto"/>
                <w:lang w:eastAsia="cs-CZ"/>
              </w:rPr>
              <w:lastRenderedPageBreak/>
              <w:t>Podobně</w:t>
            </w:r>
            <w:r>
              <w:t xml:space="preserve"> M</w:t>
            </w:r>
            <w:r w:rsidR="00B47BA2">
              <w:t>F</w:t>
            </w:r>
            <w:r>
              <w:t xml:space="preserve"> nepostupovalo v souladu </w:t>
            </w:r>
            <w:r w:rsidRPr="000D6C9D">
              <w:t xml:space="preserve">s ustanovením </w:t>
            </w:r>
            <w:r w:rsidRPr="000D6C9D">
              <w:rPr>
                <w:color w:val="auto"/>
                <w:lang w:eastAsia="cs-CZ"/>
              </w:rPr>
              <w:t xml:space="preserve">§ 4b odst. 4 </w:t>
            </w:r>
            <w:r>
              <w:rPr>
                <w:color w:val="auto"/>
                <w:lang w:eastAsia="cs-CZ"/>
              </w:rPr>
              <w:t>ZoL</w:t>
            </w:r>
            <w:r w:rsidR="00A71318">
              <w:rPr>
                <w:color w:val="auto"/>
                <w:lang w:eastAsia="cs-CZ"/>
              </w:rPr>
              <w:t xml:space="preserve"> při vypořádá</w:t>
            </w:r>
            <w:r w:rsidR="00B47BA2">
              <w:rPr>
                <w:color w:val="auto"/>
                <w:lang w:eastAsia="cs-CZ"/>
              </w:rPr>
              <w:t>n</w:t>
            </w:r>
            <w:r w:rsidR="00A71318">
              <w:rPr>
                <w:color w:val="auto"/>
                <w:lang w:eastAsia="cs-CZ"/>
              </w:rPr>
              <w:t xml:space="preserve">í </w:t>
            </w:r>
            <w:r w:rsidR="00B47BA2">
              <w:rPr>
                <w:color w:val="auto"/>
                <w:lang w:eastAsia="cs-CZ"/>
              </w:rPr>
              <w:t xml:space="preserve">složené </w:t>
            </w:r>
            <w:r w:rsidR="00A71318">
              <w:rPr>
                <w:color w:val="auto"/>
                <w:lang w:eastAsia="cs-CZ"/>
              </w:rPr>
              <w:t>jistoty</w:t>
            </w:r>
            <w:r w:rsidR="00B47BA2">
              <w:rPr>
                <w:color w:val="auto"/>
                <w:lang w:eastAsia="cs-CZ"/>
              </w:rPr>
              <w:t xml:space="preserve"> ve výši 50 mil. Kč</w:t>
            </w:r>
            <w:r w:rsidRPr="000D6C9D">
              <w:t xml:space="preserve">, když </w:t>
            </w:r>
            <w:r w:rsidR="00163C98">
              <w:t>nevyúčtovalo provoz loterie nebo jiné podobné hry</w:t>
            </w:r>
            <w:r w:rsidR="005D3919">
              <w:t xml:space="preserve"> </w:t>
            </w:r>
            <w:r w:rsidR="00624345">
              <w:br/>
            </w:r>
            <w:r w:rsidR="00163C98">
              <w:t xml:space="preserve">a z jistoty </w:t>
            </w:r>
            <w:r w:rsidR="00B47BA2">
              <w:t xml:space="preserve">neuhradilo </w:t>
            </w:r>
            <w:r w:rsidRPr="000D6C9D">
              <w:t>pohledávky s</w:t>
            </w:r>
            <w:r>
              <w:t>t</w:t>
            </w:r>
            <w:r w:rsidRPr="000D6C9D">
              <w:t>átu</w:t>
            </w:r>
            <w:r w:rsidR="00163C98">
              <w:t xml:space="preserve"> z titulu ne</w:t>
            </w:r>
            <w:r w:rsidR="006B7CA7">
              <w:t>u</w:t>
            </w:r>
            <w:r w:rsidR="00163C98">
              <w:t>hrazené daně z hazardních her.</w:t>
            </w:r>
          </w:p>
          <w:p w14:paraId="7FB68BF2" w14:textId="524418D1" w:rsidR="00E60024" w:rsidRDefault="00E60024" w:rsidP="001C1E5F">
            <w:pPr>
              <w:spacing w:after="80"/>
            </w:pPr>
            <w:r>
              <w:rPr>
                <w:color w:val="auto"/>
                <w:lang w:eastAsia="cs-CZ"/>
              </w:rPr>
              <w:t>D</w:t>
            </w:r>
            <w:r w:rsidRPr="00663871">
              <w:rPr>
                <w:color w:val="auto"/>
                <w:lang w:eastAsia="cs-CZ"/>
              </w:rPr>
              <w:t>ne 26. 5. 2020 rozhodl</w:t>
            </w:r>
            <w:r>
              <w:rPr>
                <w:color w:val="auto"/>
                <w:lang w:eastAsia="cs-CZ"/>
              </w:rPr>
              <w:t xml:space="preserve"> SFÚ</w:t>
            </w:r>
            <w:r w:rsidRPr="00663871">
              <w:rPr>
                <w:color w:val="auto"/>
                <w:lang w:eastAsia="cs-CZ"/>
              </w:rPr>
              <w:t xml:space="preserve"> o posečkání úhrady daně </w:t>
            </w:r>
            <w:r w:rsidRPr="00663871">
              <w:rPr>
                <w:color w:val="auto"/>
              </w:rPr>
              <w:t>z hazardních her ve výši téměř 35</w:t>
            </w:r>
            <w:r w:rsidR="003276AF">
              <w:rPr>
                <w:color w:val="auto"/>
              </w:rPr>
              <w:t> </w:t>
            </w:r>
            <w:r w:rsidRPr="00663871">
              <w:rPr>
                <w:color w:val="auto"/>
              </w:rPr>
              <w:t>mil.</w:t>
            </w:r>
            <w:r w:rsidR="003276AF">
              <w:rPr>
                <w:color w:val="auto"/>
              </w:rPr>
              <w:t> </w:t>
            </w:r>
            <w:r w:rsidRPr="00663871">
              <w:rPr>
                <w:color w:val="auto"/>
              </w:rPr>
              <w:t>Kč.</w:t>
            </w:r>
            <w:r w:rsidRPr="008142C5">
              <w:rPr>
                <w:rFonts w:asciiTheme="minorHAnsi" w:hAnsiTheme="minorHAnsi"/>
              </w:rPr>
              <w:t xml:space="preserve"> </w:t>
            </w:r>
            <w:r>
              <w:rPr>
                <w:rFonts w:asciiTheme="minorHAnsi" w:hAnsiTheme="minorHAnsi"/>
              </w:rPr>
              <w:t>Provozovatel přitom v žádosti o posečkání doložil, že disponoval dostatečnými finančními prostředky k úhradě</w:t>
            </w:r>
            <w:r w:rsidRPr="008142C5">
              <w:rPr>
                <w:rFonts w:asciiTheme="minorHAnsi" w:hAnsiTheme="minorHAnsi"/>
              </w:rPr>
              <w:t xml:space="preserve"> daně</w:t>
            </w:r>
            <w:r>
              <w:rPr>
                <w:rFonts w:asciiTheme="minorHAnsi" w:hAnsiTheme="minorHAnsi"/>
              </w:rPr>
              <w:t xml:space="preserve">. </w:t>
            </w:r>
            <w:r>
              <w:t>Následně nedošlo k zabezpečení úhrady daně ve výši více než 12 mil. Kč.</w:t>
            </w:r>
          </w:p>
          <w:p w14:paraId="1923B508" w14:textId="1978DDFF" w:rsidR="00E60024" w:rsidRPr="00627344" w:rsidRDefault="00E60024" w:rsidP="00C45355">
            <w:pPr>
              <w:pStyle w:val="Odstavecseseznamem"/>
              <w:spacing w:after="120"/>
              <w:ind w:left="0"/>
              <w:contextualSpacing w:val="0"/>
              <w:rPr>
                <w:rFonts w:asciiTheme="minorHAnsi" w:hAnsiTheme="minorHAnsi" w:cstheme="minorHAnsi"/>
              </w:rPr>
            </w:pPr>
            <w:r w:rsidRPr="00627344">
              <w:rPr>
                <w:rFonts w:asciiTheme="minorHAnsi" w:hAnsiTheme="minorHAnsi" w:cstheme="minorHAnsi"/>
                <w:color w:val="auto"/>
                <w:sz w:val="24"/>
                <w:szCs w:val="24"/>
              </w:rPr>
              <w:t xml:space="preserve">Ke dni ukončení kontroly byl provozovatel v úpadku, </w:t>
            </w:r>
            <w:r w:rsidR="0024316B">
              <w:rPr>
                <w:rFonts w:asciiTheme="minorHAnsi" w:hAnsiTheme="minorHAnsi" w:cstheme="minorHAnsi"/>
                <w:color w:val="auto"/>
                <w:sz w:val="24"/>
                <w:szCs w:val="24"/>
              </w:rPr>
              <w:t xml:space="preserve">probíhalo insolvenční řízení, </w:t>
            </w:r>
            <w:r w:rsidR="00E0447C">
              <w:rPr>
                <w:rFonts w:asciiTheme="minorHAnsi" w:hAnsiTheme="minorHAnsi" w:cstheme="minorHAnsi"/>
                <w:color w:val="auto"/>
                <w:sz w:val="24"/>
                <w:szCs w:val="24"/>
              </w:rPr>
              <w:t>na jeho majetek soud prohlásil konkurs</w:t>
            </w:r>
            <w:r w:rsidRPr="00627344">
              <w:rPr>
                <w:rFonts w:asciiTheme="minorHAnsi" w:hAnsiTheme="minorHAnsi" w:cstheme="minorHAnsi"/>
                <w:color w:val="auto"/>
                <w:sz w:val="24"/>
                <w:szCs w:val="24"/>
              </w:rPr>
              <w:t xml:space="preserve"> a SFÚ e</w:t>
            </w:r>
            <w:r w:rsidRPr="00627344">
              <w:rPr>
                <w:rFonts w:asciiTheme="minorHAnsi" w:hAnsiTheme="minorHAnsi" w:cstheme="minorHAnsi"/>
                <w:sz w:val="24"/>
                <w:szCs w:val="24"/>
              </w:rPr>
              <w:t xml:space="preserve">vidoval neuhrazené pohledávky </w:t>
            </w:r>
            <w:r w:rsidR="002F2BB5">
              <w:rPr>
                <w:rFonts w:asciiTheme="minorHAnsi" w:hAnsiTheme="minorHAnsi" w:cstheme="minorHAnsi"/>
                <w:sz w:val="24"/>
                <w:szCs w:val="24"/>
              </w:rPr>
              <w:t xml:space="preserve">v celkové hodnotě </w:t>
            </w:r>
            <w:r w:rsidRPr="00627344">
              <w:rPr>
                <w:rFonts w:asciiTheme="minorHAnsi" w:hAnsiTheme="minorHAnsi" w:cstheme="minorHAnsi"/>
                <w:sz w:val="24"/>
                <w:szCs w:val="24"/>
              </w:rPr>
              <w:t>32</w:t>
            </w:r>
            <w:r w:rsidR="002F2BB5">
              <w:rPr>
                <w:rFonts w:asciiTheme="minorHAnsi" w:hAnsiTheme="minorHAnsi" w:cstheme="minorHAnsi"/>
                <w:sz w:val="24"/>
                <w:szCs w:val="24"/>
              </w:rPr>
              <w:t> </w:t>
            </w:r>
            <w:r w:rsidRPr="00627344">
              <w:rPr>
                <w:rFonts w:asciiTheme="minorHAnsi" w:hAnsiTheme="minorHAnsi" w:cstheme="minorHAnsi"/>
                <w:sz w:val="24"/>
                <w:szCs w:val="24"/>
              </w:rPr>
              <w:t>435 718 Kč, z toho pohledávky související s daní z</w:t>
            </w:r>
            <w:r>
              <w:rPr>
                <w:rFonts w:asciiTheme="minorHAnsi" w:hAnsiTheme="minorHAnsi" w:cstheme="minorHAnsi"/>
                <w:sz w:val="24"/>
                <w:szCs w:val="24"/>
              </w:rPr>
              <w:t> </w:t>
            </w:r>
            <w:r w:rsidRPr="00627344">
              <w:rPr>
                <w:rFonts w:asciiTheme="minorHAnsi" w:hAnsiTheme="minorHAnsi" w:cstheme="minorHAnsi"/>
                <w:sz w:val="24"/>
                <w:szCs w:val="24"/>
              </w:rPr>
              <w:t>hazardních her ve výši 31 952 515 Kč.</w:t>
            </w:r>
          </w:p>
        </w:tc>
      </w:tr>
    </w:tbl>
    <w:p w14:paraId="18E14F35" w14:textId="299CF328" w:rsidR="00E60024" w:rsidRPr="004D73BD" w:rsidRDefault="00E60024" w:rsidP="00BA1024">
      <w:pPr>
        <w:pStyle w:val="Odstavecseseznamem"/>
        <w:ind w:left="0"/>
        <w:contextualSpacing w:val="0"/>
        <w:rPr>
          <w:rFonts w:asciiTheme="minorHAnsi" w:hAnsiTheme="minorHAnsi" w:cstheme="minorHAnsi"/>
          <w:sz w:val="24"/>
          <w:szCs w:val="24"/>
        </w:rPr>
      </w:pPr>
    </w:p>
    <w:p w14:paraId="3BEE2517" w14:textId="3265EA07" w:rsidR="00C90D00" w:rsidRPr="008142C5" w:rsidRDefault="00E77DD5" w:rsidP="008142C5">
      <w:pPr>
        <w:pStyle w:val="Odstavecseseznamem"/>
        <w:numPr>
          <w:ilvl w:val="1"/>
          <w:numId w:val="17"/>
        </w:numPr>
        <w:spacing w:after="120"/>
        <w:ind w:left="0" w:firstLine="0"/>
        <w:contextualSpacing w:val="0"/>
        <w:rPr>
          <w:rFonts w:asciiTheme="minorHAnsi" w:hAnsiTheme="minorHAnsi" w:cstheme="minorHAnsi"/>
          <w:b/>
          <w:sz w:val="24"/>
          <w:szCs w:val="24"/>
        </w:rPr>
      </w:pPr>
      <w:r w:rsidRPr="008142C5">
        <w:rPr>
          <w:rFonts w:asciiTheme="minorHAnsi" w:hAnsiTheme="minorHAnsi" w:cstheme="minorHAnsi"/>
          <w:sz w:val="24"/>
          <w:szCs w:val="24"/>
        </w:rPr>
        <w:t>MF</w:t>
      </w:r>
      <w:r w:rsidRPr="008142C5" w:rsidDel="00970E7F">
        <w:rPr>
          <w:rFonts w:asciiTheme="minorHAnsi" w:hAnsiTheme="minorHAnsi" w:cstheme="minorHAnsi"/>
          <w:sz w:val="24"/>
          <w:szCs w:val="24"/>
        </w:rPr>
        <w:t xml:space="preserve"> </w:t>
      </w:r>
      <w:r w:rsidRPr="008142C5">
        <w:rPr>
          <w:rFonts w:asciiTheme="minorHAnsi" w:hAnsiTheme="minorHAnsi" w:cstheme="minorHAnsi"/>
          <w:sz w:val="24"/>
          <w:szCs w:val="24"/>
        </w:rPr>
        <w:t>začalo monitorovat rozhodná data o zrušení povolení k umístění herního prostoru až od poloviny roku 2020 a informace o zániku povolení k umístění herního prostoru</w:t>
      </w:r>
      <w:r w:rsidR="002F2BB5">
        <w:rPr>
          <w:rFonts w:asciiTheme="minorHAnsi" w:hAnsiTheme="minorHAnsi" w:cstheme="minorHAnsi"/>
          <w:sz w:val="24"/>
          <w:szCs w:val="24"/>
        </w:rPr>
        <w:t xml:space="preserve"> </w:t>
      </w:r>
      <w:r w:rsidRPr="008142C5">
        <w:rPr>
          <w:rFonts w:asciiTheme="minorHAnsi" w:hAnsiTheme="minorHAnsi" w:cstheme="minorHAnsi"/>
          <w:sz w:val="24"/>
          <w:szCs w:val="24"/>
        </w:rPr>
        <w:t>až v</w:t>
      </w:r>
      <w:r>
        <w:rPr>
          <w:rFonts w:asciiTheme="minorHAnsi" w:hAnsiTheme="minorHAnsi" w:cstheme="minorHAnsi"/>
          <w:sz w:val="24"/>
          <w:szCs w:val="24"/>
        </w:rPr>
        <w:t> </w:t>
      </w:r>
      <w:r w:rsidRPr="008142C5">
        <w:rPr>
          <w:rFonts w:asciiTheme="minorHAnsi" w:hAnsiTheme="minorHAnsi" w:cstheme="minorHAnsi"/>
          <w:sz w:val="24"/>
          <w:szCs w:val="24"/>
        </w:rPr>
        <w:t xml:space="preserve">polovině </w:t>
      </w:r>
      <w:r w:rsidRPr="00FE4A43">
        <w:rPr>
          <w:rFonts w:asciiTheme="minorHAnsi" w:hAnsiTheme="minorHAnsi" w:cstheme="minorHAnsi"/>
          <w:sz w:val="24"/>
          <w:szCs w:val="24"/>
        </w:rPr>
        <w:t xml:space="preserve">roku 2022. </w:t>
      </w:r>
      <w:r w:rsidR="00C90D00" w:rsidRPr="00FE4A43">
        <w:rPr>
          <w:rFonts w:asciiTheme="minorHAnsi" w:hAnsiTheme="minorHAnsi" w:cstheme="minorHAnsi"/>
          <w:sz w:val="24"/>
          <w:szCs w:val="24"/>
        </w:rPr>
        <w:t xml:space="preserve">MF </w:t>
      </w:r>
      <w:r w:rsidRPr="00FE4A43">
        <w:rPr>
          <w:rFonts w:asciiTheme="minorHAnsi" w:hAnsiTheme="minorHAnsi" w:cstheme="minorHAnsi"/>
          <w:sz w:val="24"/>
          <w:szCs w:val="24"/>
        </w:rPr>
        <w:t xml:space="preserve">tak </w:t>
      </w:r>
      <w:r w:rsidR="00C90D00" w:rsidRPr="00FE4A43">
        <w:rPr>
          <w:rFonts w:asciiTheme="minorHAnsi" w:hAnsiTheme="minorHAnsi" w:cstheme="minorHAnsi"/>
          <w:sz w:val="24"/>
          <w:szCs w:val="24"/>
        </w:rPr>
        <w:t xml:space="preserve">více než tři roky od účinnosti ZHH </w:t>
      </w:r>
      <w:r w:rsidR="002F2BB5" w:rsidRPr="00FE4A43">
        <w:rPr>
          <w:rFonts w:asciiTheme="minorHAnsi" w:hAnsiTheme="minorHAnsi" w:cstheme="minorHAnsi"/>
          <w:sz w:val="24"/>
          <w:szCs w:val="24"/>
        </w:rPr>
        <w:t xml:space="preserve">nemonitorovalo </w:t>
      </w:r>
      <w:r w:rsidR="00C90D00" w:rsidRPr="00FE4A43">
        <w:rPr>
          <w:rFonts w:asciiTheme="minorHAnsi" w:hAnsiTheme="minorHAnsi" w:cstheme="minorHAnsi"/>
          <w:sz w:val="24"/>
          <w:szCs w:val="24"/>
        </w:rPr>
        <w:t>systematicky informace</w:t>
      </w:r>
      <w:r w:rsidR="002F2BB5">
        <w:rPr>
          <w:rFonts w:asciiTheme="minorHAnsi" w:hAnsiTheme="minorHAnsi" w:cstheme="minorHAnsi"/>
          <w:sz w:val="24"/>
          <w:szCs w:val="24"/>
        </w:rPr>
        <w:t>, které</w:t>
      </w:r>
      <w:r w:rsidR="00C90D00" w:rsidRPr="00FE4A43">
        <w:rPr>
          <w:rFonts w:asciiTheme="minorHAnsi" w:hAnsiTheme="minorHAnsi" w:cstheme="minorHAnsi"/>
          <w:sz w:val="24"/>
          <w:szCs w:val="24"/>
        </w:rPr>
        <w:t xml:space="preserve"> vkláda</w:t>
      </w:r>
      <w:r w:rsidR="002F2BB5">
        <w:rPr>
          <w:rFonts w:asciiTheme="minorHAnsi" w:hAnsiTheme="minorHAnsi" w:cstheme="minorHAnsi"/>
          <w:sz w:val="24"/>
          <w:szCs w:val="24"/>
        </w:rPr>
        <w:t>jí</w:t>
      </w:r>
      <w:r w:rsidR="00C90D00" w:rsidRPr="00FE4A43">
        <w:rPr>
          <w:rFonts w:asciiTheme="minorHAnsi" w:hAnsiTheme="minorHAnsi" w:cstheme="minorHAnsi"/>
          <w:sz w:val="24"/>
          <w:szCs w:val="24"/>
        </w:rPr>
        <w:t xml:space="preserve"> obce do systému IS SDSL </w:t>
      </w:r>
      <w:r w:rsidR="002F2BB5">
        <w:rPr>
          <w:rFonts w:asciiTheme="minorHAnsi" w:hAnsiTheme="minorHAnsi" w:cstheme="minorHAnsi"/>
          <w:sz w:val="24"/>
          <w:szCs w:val="24"/>
        </w:rPr>
        <w:t xml:space="preserve">a </w:t>
      </w:r>
      <w:r w:rsidR="00C90D00" w:rsidRPr="00FE4A43">
        <w:rPr>
          <w:rFonts w:asciiTheme="minorHAnsi" w:hAnsiTheme="minorHAnsi" w:cstheme="minorHAnsi"/>
          <w:sz w:val="24"/>
          <w:szCs w:val="24"/>
        </w:rPr>
        <w:t xml:space="preserve">které </w:t>
      </w:r>
      <w:r w:rsidR="002F2BB5">
        <w:rPr>
          <w:rFonts w:asciiTheme="minorHAnsi" w:hAnsiTheme="minorHAnsi" w:cstheme="minorHAnsi"/>
          <w:sz w:val="24"/>
          <w:szCs w:val="24"/>
        </w:rPr>
        <w:t>jsou</w:t>
      </w:r>
      <w:r w:rsidR="00C90D00" w:rsidRPr="00FE4A43">
        <w:rPr>
          <w:rFonts w:asciiTheme="minorHAnsi" w:hAnsiTheme="minorHAnsi" w:cstheme="minorHAnsi"/>
          <w:sz w:val="24"/>
          <w:szCs w:val="24"/>
        </w:rPr>
        <w:t xml:space="preserve"> nezbytné pro správu kaucí a</w:t>
      </w:r>
      <w:r w:rsidR="002F2BB5">
        <w:rPr>
          <w:rFonts w:asciiTheme="minorHAnsi" w:hAnsiTheme="minorHAnsi" w:cstheme="minorHAnsi"/>
          <w:sz w:val="24"/>
          <w:szCs w:val="24"/>
        </w:rPr>
        <w:t> </w:t>
      </w:r>
      <w:r w:rsidR="00C90D00" w:rsidRPr="00FE4A43">
        <w:rPr>
          <w:rFonts w:asciiTheme="minorHAnsi" w:hAnsiTheme="minorHAnsi" w:cstheme="minorHAnsi"/>
          <w:sz w:val="24"/>
          <w:szCs w:val="24"/>
        </w:rPr>
        <w:t xml:space="preserve">pro výkon dozoru </w:t>
      </w:r>
      <w:r w:rsidR="002F2BB5" w:rsidRPr="00FE4A43">
        <w:rPr>
          <w:rFonts w:asciiTheme="minorHAnsi" w:hAnsiTheme="minorHAnsi" w:cstheme="minorHAnsi"/>
          <w:sz w:val="24"/>
          <w:szCs w:val="24"/>
        </w:rPr>
        <w:t xml:space="preserve">MF i CS ČR </w:t>
      </w:r>
      <w:r w:rsidR="00C90D00" w:rsidRPr="00FE4A43">
        <w:rPr>
          <w:rFonts w:asciiTheme="minorHAnsi" w:hAnsiTheme="minorHAnsi" w:cstheme="minorHAnsi"/>
          <w:sz w:val="24"/>
          <w:szCs w:val="24"/>
        </w:rPr>
        <w:t>nad dodržováním podmínek stanovených v</w:t>
      </w:r>
      <w:r w:rsidR="002F2BB5">
        <w:rPr>
          <w:rFonts w:asciiTheme="minorHAnsi" w:hAnsiTheme="minorHAnsi" w:cstheme="minorHAnsi"/>
          <w:sz w:val="24"/>
          <w:szCs w:val="24"/>
        </w:rPr>
        <w:t> </w:t>
      </w:r>
      <w:r w:rsidR="00C90D00" w:rsidRPr="00FE4A43">
        <w:rPr>
          <w:rFonts w:asciiTheme="minorHAnsi" w:hAnsiTheme="minorHAnsi" w:cstheme="minorHAnsi"/>
          <w:sz w:val="24"/>
          <w:szCs w:val="24"/>
        </w:rPr>
        <w:t>povolení</w:t>
      </w:r>
      <w:r w:rsidR="002F2BB5">
        <w:rPr>
          <w:rFonts w:asciiTheme="minorHAnsi" w:hAnsiTheme="minorHAnsi" w:cstheme="minorHAnsi"/>
          <w:sz w:val="24"/>
          <w:szCs w:val="24"/>
        </w:rPr>
        <w:t xml:space="preserve"> </w:t>
      </w:r>
      <w:r w:rsidR="00C90D00" w:rsidRPr="00FE4A43">
        <w:rPr>
          <w:rFonts w:asciiTheme="minorHAnsi" w:hAnsiTheme="minorHAnsi" w:cstheme="minorHAnsi"/>
          <w:sz w:val="24"/>
          <w:szCs w:val="24"/>
        </w:rPr>
        <w:t>k</w:t>
      </w:r>
      <w:r w:rsidR="002F2BB5">
        <w:rPr>
          <w:rFonts w:asciiTheme="minorHAnsi" w:hAnsiTheme="minorHAnsi" w:cstheme="minorHAnsi"/>
          <w:sz w:val="24"/>
          <w:szCs w:val="24"/>
        </w:rPr>
        <w:t> </w:t>
      </w:r>
      <w:r w:rsidR="00C90D00" w:rsidRPr="00FE4A43">
        <w:rPr>
          <w:rFonts w:asciiTheme="minorHAnsi" w:hAnsiTheme="minorHAnsi" w:cstheme="minorHAnsi"/>
          <w:sz w:val="24"/>
          <w:szCs w:val="24"/>
        </w:rPr>
        <w:t>umístění herního prostoru</w:t>
      </w:r>
      <w:r w:rsidR="00275D51" w:rsidRPr="00FE4A43">
        <w:rPr>
          <w:rFonts w:asciiTheme="minorHAnsi" w:hAnsiTheme="minorHAnsi" w:cstheme="minorHAnsi"/>
          <w:sz w:val="24"/>
          <w:szCs w:val="24"/>
        </w:rPr>
        <w:t xml:space="preserve">. </w:t>
      </w:r>
      <w:r w:rsidRPr="00FE4A43">
        <w:rPr>
          <w:rFonts w:asciiTheme="minorHAnsi" w:hAnsiTheme="minorHAnsi" w:cstheme="minorHAnsi"/>
          <w:sz w:val="24"/>
          <w:szCs w:val="24"/>
        </w:rPr>
        <w:t>Nedostatečně tak vykonávalo dozor nad dodržováním podmínek stanovených v</w:t>
      </w:r>
      <w:r w:rsidR="002F2BB5">
        <w:rPr>
          <w:rFonts w:asciiTheme="minorHAnsi" w:hAnsiTheme="minorHAnsi" w:cstheme="minorHAnsi"/>
          <w:sz w:val="24"/>
          <w:szCs w:val="24"/>
        </w:rPr>
        <w:t xml:space="preserve"> </w:t>
      </w:r>
      <w:r w:rsidRPr="00FE4A43">
        <w:rPr>
          <w:rFonts w:asciiTheme="minorHAnsi" w:hAnsiTheme="minorHAnsi" w:cstheme="minorHAnsi"/>
          <w:sz w:val="24"/>
          <w:szCs w:val="24"/>
        </w:rPr>
        <w:t>povolení k</w:t>
      </w:r>
      <w:r w:rsidR="002F2BB5">
        <w:rPr>
          <w:rFonts w:asciiTheme="minorHAnsi" w:hAnsiTheme="minorHAnsi" w:cstheme="minorHAnsi"/>
          <w:sz w:val="24"/>
          <w:szCs w:val="24"/>
        </w:rPr>
        <w:t xml:space="preserve"> </w:t>
      </w:r>
      <w:r w:rsidRPr="00FE4A43">
        <w:rPr>
          <w:rFonts w:asciiTheme="minorHAnsi" w:hAnsiTheme="minorHAnsi" w:cstheme="minorHAnsi"/>
          <w:sz w:val="24"/>
          <w:szCs w:val="24"/>
        </w:rPr>
        <w:t xml:space="preserve">umístění herního prostoru a </w:t>
      </w:r>
      <w:r w:rsidR="00026177" w:rsidRPr="00FE4A43">
        <w:rPr>
          <w:rFonts w:asciiTheme="minorHAnsi" w:hAnsiTheme="minorHAnsi" w:cstheme="minorHAnsi"/>
          <w:sz w:val="24"/>
          <w:szCs w:val="24"/>
        </w:rPr>
        <w:t>omez</w:t>
      </w:r>
      <w:r w:rsidRPr="00FE4A43">
        <w:rPr>
          <w:rFonts w:asciiTheme="minorHAnsi" w:hAnsiTheme="minorHAnsi" w:cstheme="minorHAnsi"/>
          <w:sz w:val="24"/>
          <w:szCs w:val="24"/>
        </w:rPr>
        <w:t>ilo</w:t>
      </w:r>
      <w:r w:rsidR="00275D51" w:rsidRPr="00FE4A43">
        <w:rPr>
          <w:rFonts w:asciiTheme="minorHAnsi" w:hAnsiTheme="minorHAnsi" w:cstheme="minorHAnsi"/>
          <w:sz w:val="24"/>
          <w:szCs w:val="24"/>
        </w:rPr>
        <w:t xml:space="preserve"> efektivitu</w:t>
      </w:r>
      <w:r w:rsidR="00B32E10" w:rsidRPr="00FE4A43">
        <w:rPr>
          <w:rFonts w:asciiTheme="minorHAnsi" w:hAnsiTheme="minorHAnsi" w:cstheme="minorHAnsi"/>
          <w:sz w:val="24"/>
          <w:szCs w:val="24"/>
        </w:rPr>
        <w:t xml:space="preserve"> výkon</w:t>
      </w:r>
      <w:r w:rsidR="00275D51" w:rsidRPr="00FE4A43">
        <w:rPr>
          <w:rFonts w:asciiTheme="minorHAnsi" w:hAnsiTheme="minorHAnsi" w:cstheme="minorHAnsi"/>
          <w:sz w:val="24"/>
          <w:szCs w:val="24"/>
        </w:rPr>
        <w:t>u</w:t>
      </w:r>
      <w:r w:rsidR="00444897" w:rsidRPr="00FE4A43">
        <w:rPr>
          <w:rFonts w:asciiTheme="minorHAnsi" w:hAnsiTheme="minorHAnsi" w:cstheme="minorHAnsi"/>
          <w:sz w:val="24"/>
          <w:szCs w:val="24"/>
        </w:rPr>
        <w:t xml:space="preserve"> činností v</w:t>
      </w:r>
      <w:r w:rsidR="002F2BB5">
        <w:rPr>
          <w:rFonts w:asciiTheme="minorHAnsi" w:hAnsiTheme="minorHAnsi" w:cstheme="minorHAnsi"/>
          <w:sz w:val="24"/>
          <w:szCs w:val="24"/>
        </w:rPr>
        <w:t> </w:t>
      </w:r>
      <w:r w:rsidR="00444897" w:rsidRPr="00FE4A43">
        <w:rPr>
          <w:rFonts w:asciiTheme="minorHAnsi" w:hAnsiTheme="minorHAnsi" w:cstheme="minorHAnsi"/>
          <w:sz w:val="24"/>
          <w:szCs w:val="24"/>
        </w:rPr>
        <w:t>oblasti</w:t>
      </w:r>
      <w:r w:rsidR="00B32E10" w:rsidRPr="00FE4A43">
        <w:rPr>
          <w:rFonts w:asciiTheme="minorHAnsi" w:hAnsiTheme="minorHAnsi" w:cstheme="minorHAnsi"/>
          <w:sz w:val="24"/>
          <w:szCs w:val="24"/>
        </w:rPr>
        <w:t xml:space="preserve"> </w:t>
      </w:r>
      <w:r w:rsidR="002E43AE">
        <w:rPr>
          <w:rFonts w:asciiTheme="minorHAnsi" w:hAnsiTheme="minorHAnsi" w:cstheme="minorHAnsi"/>
          <w:sz w:val="24"/>
          <w:szCs w:val="24"/>
        </w:rPr>
        <w:t>hazardních her</w:t>
      </w:r>
      <w:r w:rsidR="00C90D00" w:rsidRPr="00FE4A43">
        <w:rPr>
          <w:rFonts w:asciiTheme="minorHAnsi" w:hAnsiTheme="minorHAnsi" w:cstheme="minorHAnsi"/>
          <w:sz w:val="24"/>
          <w:szCs w:val="24"/>
        </w:rPr>
        <w:t>.</w:t>
      </w:r>
    </w:p>
    <w:p w14:paraId="5A3DD8EB" w14:textId="26D2BC5D" w:rsidR="00C90D00" w:rsidRDefault="00B1782A" w:rsidP="00A36482">
      <w:pPr>
        <w:pStyle w:val="Odstavecseseznamem"/>
        <w:numPr>
          <w:ilvl w:val="1"/>
          <w:numId w:val="17"/>
        </w:numPr>
        <w:spacing w:after="120"/>
        <w:ind w:left="0" w:firstLine="0"/>
        <w:contextualSpacing w:val="0"/>
        <w:rPr>
          <w:rFonts w:asciiTheme="minorHAnsi" w:hAnsiTheme="minorHAnsi" w:cstheme="minorHAnsi"/>
          <w:sz w:val="24"/>
          <w:szCs w:val="24"/>
        </w:rPr>
      </w:pPr>
      <w:r>
        <w:rPr>
          <w:rFonts w:asciiTheme="minorHAnsi" w:hAnsiTheme="minorHAnsi" w:cstheme="minorHAnsi"/>
          <w:sz w:val="24"/>
          <w:szCs w:val="24"/>
        </w:rPr>
        <w:t>NKÚ zjistil</w:t>
      </w:r>
      <w:r w:rsidR="00F22C65">
        <w:rPr>
          <w:rFonts w:asciiTheme="minorHAnsi" w:hAnsiTheme="minorHAnsi" w:cstheme="minorHAnsi"/>
          <w:sz w:val="24"/>
          <w:szCs w:val="24"/>
        </w:rPr>
        <w:t xml:space="preserve"> případy</w:t>
      </w:r>
      <w:r>
        <w:rPr>
          <w:rFonts w:asciiTheme="minorHAnsi" w:hAnsiTheme="minorHAnsi" w:cstheme="minorHAnsi"/>
          <w:sz w:val="24"/>
          <w:szCs w:val="24"/>
        </w:rPr>
        <w:t xml:space="preserve">, </w:t>
      </w:r>
      <w:r w:rsidR="00F22C65">
        <w:rPr>
          <w:rFonts w:asciiTheme="minorHAnsi" w:hAnsiTheme="minorHAnsi" w:cstheme="minorHAnsi"/>
          <w:sz w:val="24"/>
          <w:szCs w:val="24"/>
        </w:rPr>
        <w:t>kdy obce</w:t>
      </w:r>
      <w:r>
        <w:rPr>
          <w:rFonts w:asciiTheme="minorHAnsi" w:hAnsiTheme="minorHAnsi" w:cstheme="minorHAnsi"/>
          <w:sz w:val="24"/>
          <w:szCs w:val="24"/>
        </w:rPr>
        <w:t xml:space="preserve"> </w:t>
      </w:r>
      <w:r w:rsidR="002F2BB5">
        <w:rPr>
          <w:rFonts w:asciiTheme="minorHAnsi" w:hAnsiTheme="minorHAnsi" w:cstheme="minorHAnsi"/>
          <w:sz w:val="24"/>
          <w:szCs w:val="24"/>
        </w:rPr>
        <w:t xml:space="preserve">vložily </w:t>
      </w:r>
      <w:r>
        <w:rPr>
          <w:rFonts w:asciiTheme="minorHAnsi" w:hAnsiTheme="minorHAnsi" w:cstheme="minorHAnsi"/>
          <w:sz w:val="24"/>
          <w:szCs w:val="24"/>
        </w:rPr>
        <w:t>do IS SDSL n</w:t>
      </w:r>
      <w:r w:rsidRPr="008142C5">
        <w:rPr>
          <w:rFonts w:asciiTheme="minorHAnsi" w:hAnsiTheme="minorHAnsi" w:cstheme="minorHAnsi"/>
          <w:sz w:val="24"/>
          <w:szCs w:val="24"/>
        </w:rPr>
        <w:t xml:space="preserve">esprávné </w:t>
      </w:r>
      <w:r w:rsidR="00C90D00" w:rsidRPr="008142C5">
        <w:rPr>
          <w:rFonts w:asciiTheme="minorHAnsi" w:hAnsiTheme="minorHAnsi" w:cstheme="minorHAnsi"/>
          <w:sz w:val="24"/>
          <w:szCs w:val="24"/>
        </w:rPr>
        <w:t>údaje</w:t>
      </w:r>
      <w:r w:rsidR="00F22C65">
        <w:rPr>
          <w:rFonts w:asciiTheme="minorHAnsi" w:hAnsiTheme="minorHAnsi" w:cstheme="minorHAnsi"/>
          <w:sz w:val="24"/>
          <w:szCs w:val="24"/>
        </w:rPr>
        <w:t>.</w:t>
      </w:r>
      <w:r w:rsidR="00C90D00" w:rsidRPr="008142C5">
        <w:rPr>
          <w:rFonts w:asciiTheme="minorHAnsi" w:hAnsiTheme="minorHAnsi" w:cstheme="minorHAnsi"/>
          <w:sz w:val="24"/>
          <w:szCs w:val="24"/>
        </w:rPr>
        <w:t xml:space="preserve"> </w:t>
      </w:r>
      <w:r w:rsidR="002F2BB5">
        <w:rPr>
          <w:rFonts w:asciiTheme="minorHAnsi" w:hAnsiTheme="minorHAnsi" w:cstheme="minorHAnsi"/>
          <w:sz w:val="24"/>
          <w:szCs w:val="24"/>
        </w:rPr>
        <w:t xml:space="preserve">Pokud nejsou </w:t>
      </w:r>
      <w:r w:rsidR="00F22C65">
        <w:rPr>
          <w:rFonts w:asciiTheme="minorHAnsi" w:hAnsiTheme="minorHAnsi" w:cstheme="minorHAnsi"/>
          <w:sz w:val="24"/>
          <w:szCs w:val="24"/>
        </w:rPr>
        <w:t>d</w:t>
      </w:r>
      <w:r w:rsidR="00C90D00" w:rsidRPr="008142C5">
        <w:rPr>
          <w:rFonts w:asciiTheme="minorHAnsi" w:hAnsiTheme="minorHAnsi" w:cstheme="minorHAnsi"/>
          <w:sz w:val="24"/>
          <w:szCs w:val="24"/>
        </w:rPr>
        <w:t>okument</w:t>
      </w:r>
      <w:r w:rsidR="002F2BB5">
        <w:rPr>
          <w:rFonts w:asciiTheme="minorHAnsi" w:hAnsiTheme="minorHAnsi" w:cstheme="minorHAnsi"/>
          <w:sz w:val="24"/>
          <w:szCs w:val="24"/>
        </w:rPr>
        <w:t>y</w:t>
      </w:r>
      <w:r w:rsidR="00C90D00" w:rsidRPr="008142C5">
        <w:rPr>
          <w:rFonts w:asciiTheme="minorHAnsi" w:hAnsiTheme="minorHAnsi" w:cstheme="minorHAnsi"/>
          <w:sz w:val="24"/>
          <w:szCs w:val="24"/>
        </w:rPr>
        <w:t xml:space="preserve"> příslušných rozhodnutí</w:t>
      </w:r>
      <w:r w:rsidR="00E77DD5">
        <w:rPr>
          <w:rFonts w:asciiTheme="minorHAnsi" w:hAnsiTheme="minorHAnsi" w:cstheme="minorHAnsi"/>
          <w:sz w:val="24"/>
          <w:szCs w:val="24"/>
        </w:rPr>
        <w:t xml:space="preserve"> </w:t>
      </w:r>
      <w:r w:rsidR="002F2BB5">
        <w:rPr>
          <w:rFonts w:asciiTheme="minorHAnsi" w:hAnsiTheme="minorHAnsi" w:cstheme="minorHAnsi"/>
          <w:sz w:val="24"/>
          <w:szCs w:val="24"/>
        </w:rPr>
        <w:t xml:space="preserve">o </w:t>
      </w:r>
      <w:r w:rsidR="00E77DD5">
        <w:rPr>
          <w:rFonts w:asciiTheme="minorHAnsi" w:hAnsiTheme="minorHAnsi" w:cstheme="minorHAnsi"/>
          <w:sz w:val="24"/>
          <w:szCs w:val="24"/>
        </w:rPr>
        <w:t xml:space="preserve">vydání, změně </w:t>
      </w:r>
      <w:r w:rsidR="002F2BB5">
        <w:rPr>
          <w:rFonts w:asciiTheme="minorHAnsi" w:hAnsiTheme="minorHAnsi" w:cstheme="minorHAnsi"/>
          <w:sz w:val="24"/>
          <w:szCs w:val="24"/>
        </w:rPr>
        <w:t>či</w:t>
      </w:r>
      <w:r w:rsidR="00E77DD5">
        <w:rPr>
          <w:rFonts w:asciiTheme="minorHAnsi" w:hAnsiTheme="minorHAnsi" w:cstheme="minorHAnsi"/>
          <w:sz w:val="24"/>
          <w:szCs w:val="24"/>
        </w:rPr>
        <w:t xml:space="preserve"> zrušení</w:t>
      </w:r>
      <w:r>
        <w:rPr>
          <w:rFonts w:asciiTheme="minorHAnsi" w:hAnsiTheme="minorHAnsi" w:cstheme="minorHAnsi"/>
          <w:sz w:val="24"/>
          <w:szCs w:val="24"/>
        </w:rPr>
        <w:t xml:space="preserve"> </w:t>
      </w:r>
      <w:r w:rsidR="00E77DD5">
        <w:rPr>
          <w:rFonts w:asciiTheme="minorHAnsi" w:hAnsiTheme="minorHAnsi" w:cstheme="minorHAnsi"/>
          <w:sz w:val="24"/>
          <w:szCs w:val="24"/>
        </w:rPr>
        <w:t>povolení</w:t>
      </w:r>
      <w:r w:rsidR="00C90D00" w:rsidRPr="008142C5">
        <w:rPr>
          <w:rFonts w:asciiTheme="minorHAnsi" w:hAnsiTheme="minorHAnsi" w:cstheme="minorHAnsi"/>
          <w:sz w:val="24"/>
          <w:szCs w:val="24"/>
        </w:rPr>
        <w:t xml:space="preserve"> k umístění herního prostoru, příp. informac</w:t>
      </w:r>
      <w:r w:rsidR="002F2BB5">
        <w:rPr>
          <w:rFonts w:asciiTheme="minorHAnsi" w:hAnsiTheme="minorHAnsi" w:cstheme="minorHAnsi"/>
          <w:sz w:val="24"/>
          <w:szCs w:val="24"/>
        </w:rPr>
        <w:t>e</w:t>
      </w:r>
      <w:r w:rsidR="00C90D00" w:rsidRPr="008142C5">
        <w:rPr>
          <w:rFonts w:asciiTheme="minorHAnsi" w:hAnsiTheme="minorHAnsi" w:cstheme="minorHAnsi"/>
          <w:sz w:val="24"/>
          <w:szCs w:val="24"/>
        </w:rPr>
        <w:t xml:space="preserve"> o </w:t>
      </w:r>
      <w:r w:rsidR="0090560D" w:rsidRPr="008142C5">
        <w:rPr>
          <w:rFonts w:asciiTheme="minorHAnsi" w:hAnsiTheme="minorHAnsi" w:cstheme="minorHAnsi"/>
          <w:sz w:val="24"/>
          <w:szCs w:val="24"/>
        </w:rPr>
        <w:t xml:space="preserve">jeho </w:t>
      </w:r>
      <w:r w:rsidR="00C90D00" w:rsidRPr="008142C5">
        <w:rPr>
          <w:rFonts w:asciiTheme="minorHAnsi" w:hAnsiTheme="minorHAnsi" w:cstheme="minorHAnsi"/>
          <w:sz w:val="24"/>
          <w:szCs w:val="24"/>
        </w:rPr>
        <w:t xml:space="preserve">zániku, </w:t>
      </w:r>
      <w:r w:rsidR="002F2BB5">
        <w:rPr>
          <w:rFonts w:asciiTheme="minorHAnsi" w:hAnsiTheme="minorHAnsi" w:cstheme="minorHAnsi"/>
          <w:sz w:val="24"/>
          <w:szCs w:val="24"/>
        </w:rPr>
        <w:t xml:space="preserve">vloženy do </w:t>
      </w:r>
      <w:r w:rsidR="00C90D00" w:rsidRPr="008142C5">
        <w:rPr>
          <w:rFonts w:asciiTheme="minorHAnsi" w:hAnsiTheme="minorHAnsi" w:cstheme="minorHAnsi"/>
          <w:sz w:val="24"/>
          <w:szCs w:val="24"/>
        </w:rPr>
        <w:t>IS SDSL</w:t>
      </w:r>
      <w:r w:rsidR="002F2BB5">
        <w:rPr>
          <w:rFonts w:asciiTheme="minorHAnsi" w:hAnsiTheme="minorHAnsi" w:cstheme="minorHAnsi"/>
          <w:sz w:val="24"/>
          <w:szCs w:val="24"/>
        </w:rPr>
        <w:t>,</w:t>
      </w:r>
      <w:r w:rsidR="00C90D00" w:rsidRPr="008142C5">
        <w:rPr>
          <w:rFonts w:asciiTheme="minorHAnsi" w:hAnsiTheme="minorHAnsi" w:cstheme="minorHAnsi"/>
          <w:sz w:val="24"/>
          <w:szCs w:val="24"/>
        </w:rPr>
        <w:t xml:space="preserve"> </w:t>
      </w:r>
      <w:r w:rsidR="0090560D" w:rsidRPr="008142C5">
        <w:rPr>
          <w:rFonts w:asciiTheme="minorHAnsi" w:hAnsiTheme="minorHAnsi" w:cstheme="minorHAnsi"/>
          <w:sz w:val="24"/>
          <w:szCs w:val="24"/>
        </w:rPr>
        <w:t>m</w:t>
      </w:r>
      <w:r w:rsidR="00F22C65">
        <w:rPr>
          <w:rFonts w:asciiTheme="minorHAnsi" w:hAnsiTheme="minorHAnsi" w:cstheme="minorHAnsi"/>
          <w:sz w:val="24"/>
          <w:szCs w:val="24"/>
        </w:rPr>
        <w:t>á</w:t>
      </w:r>
      <w:r w:rsidR="00C90D00" w:rsidRPr="008142C5">
        <w:rPr>
          <w:rFonts w:asciiTheme="minorHAnsi" w:hAnsiTheme="minorHAnsi" w:cstheme="minorHAnsi"/>
          <w:sz w:val="24"/>
          <w:szCs w:val="24"/>
        </w:rPr>
        <w:t xml:space="preserve"> </w:t>
      </w:r>
      <w:r w:rsidR="002F2BB5">
        <w:rPr>
          <w:rFonts w:asciiTheme="minorHAnsi" w:hAnsiTheme="minorHAnsi" w:cstheme="minorHAnsi"/>
          <w:sz w:val="24"/>
          <w:szCs w:val="24"/>
        </w:rPr>
        <w:t xml:space="preserve">to negativní </w:t>
      </w:r>
      <w:r w:rsidR="00C90D00" w:rsidRPr="008142C5">
        <w:rPr>
          <w:rFonts w:asciiTheme="minorHAnsi" w:hAnsiTheme="minorHAnsi" w:cstheme="minorHAnsi"/>
          <w:sz w:val="24"/>
          <w:szCs w:val="24"/>
        </w:rPr>
        <w:t xml:space="preserve">dopad na </w:t>
      </w:r>
      <w:r w:rsidR="0090560D" w:rsidRPr="008142C5">
        <w:rPr>
          <w:rFonts w:asciiTheme="minorHAnsi" w:hAnsiTheme="minorHAnsi" w:cstheme="minorHAnsi"/>
          <w:sz w:val="24"/>
          <w:szCs w:val="24"/>
        </w:rPr>
        <w:t>výkon dozoru nad dodržováním podmínek stanovených v povolení k umístění herního prostoru a</w:t>
      </w:r>
      <w:r w:rsidR="002F2BB5">
        <w:rPr>
          <w:rFonts w:asciiTheme="minorHAnsi" w:hAnsiTheme="minorHAnsi" w:cstheme="minorHAnsi"/>
          <w:sz w:val="24"/>
          <w:szCs w:val="24"/>
        </w:rPr>
        <w:t> </w:t>
      </w:r>
      <w:r w:rsidR="00F22C65">
        <w:rPr>
          <w:rFonts w:asciiTheme="minorHAnsi" w:hAnsiTheme="minorHAnsi" w:cstheme="minorHAnsi"/>
          <w:sz w:val="24"/>
          <w:szCs w:val="24"/>
        </w:rPr>
        <w:t>může</w:t>
      </w:r>
      <w:r w:rsidR="0090560D" w:rsidRPr="008142C5">
        <w:rPr>
          <w:rFonts w:asciiTheme="minorHAnsi" w:hAnsiTheme="minorHAnsi" w:cstheme="minorHAnsi"/>
          <w:sz w:val="24"/>
          <w:szCs w:val="24"/>
        </w:rPr>
        <w:t xml:space="preserve"> </w:t>
      </w:r>
      <w:r w:rsidR="002F2BB5">
        <w:rPr>
          <w:rFonts w:asciiTheme="minorHAnsi" w:hAnsiTheme="minorHAnsi" w:cstheme="minorHAnsi"/>
          <w:sz w:val="24"/>
          <w:szCs w:val="24"/>
        </w:rPr>
        <w:t xml:space="preserve">to </w:t>
      </w:r>
      <w:r w:rsidR="0090560D" w:rsidRPr="008142C5">
        <w:rPr>
          <w:rFonts w:asciiTheme="minorHAnsi" w:hAnsiTheme="minorHAnsi" w:cstheme="minorHAnsi"/>
          <w:sz w:val="24"/>
          <w:szCs w:val="24"/>
        </w:rPr>
        <w:t xml:space="preserve">mít </w:t>
      </w:r>
      <w:r w:rsidR="002F2BB5" w:rsidRPr="008142C5">
        <w:rPr>
          <w:rFonts w:asciiTheme="minorHAnsi" w:hAnsiTheme="minorHAnsi" w:cstheme="minorHAnsi"/>
          <w:sz w:val="24"/>
          <w:szCs w:val="24"/>
        </w:rPr>
        <w:t xml:space="preserve">také </w:t>
      </w:r>
      <w:r w:rsidR="0090560D" w:rsidRPr="008142C5">
        <w:rPr>
          <w:rFonts w:asciiTheme="minorHAnsi" w:hAnsiTheme="minorHAnsi" w:cstheme="minorHAnsi"/>
          <w:sz w:val="24"/>
          <w:szCs w:val="24"/>
        </w:rPr>
        <w:t xml:space="preserve">dopad </w:t>
      </w:r>
      <w:r w:rsidR="000759BB">
        <w:rPr>
          <w:rFonts w:asciiTheme="minorHAnsi" w:hAnsiTheme="minorHAnsi" w:cstheme="minorHAnsi"/>
          <w:sz w:val="24"/>
          <w:szCs w:val="24"/>
        </w:rPr>
        <w:t>v podobě</w:t>
      </w:r>
      <w:r w:rsidR="00C90D00" w:rsidRPr="008142C5">
        <w:rPr>
          <w:rFonts w:asciiTheme="minorHAnsi" w:hAnsiTheme="minorHAnsi" w:cstheme="minorHAnsi"/>
          <w:sz w:val="24"/>
          <w:szCs w:val="24"/>
        </w:rPr>
        <w:t xml:space="preserve"> </w:t>
      </w:r>
      <w:r w:rsidR="00275D51">
        <w:rPr>
          <w:rFonts w:asciiTheme="minorHAnsi" w:hAnsiTheme="minorHAnsi" w:cstheme="minorHAnsi"/>
          <w:sz w:val="24"/>
          <w:szCs w:val="24"/>
        </w:rPr>
        <w:t>nevyužití kauce na ú</w:t>
      </w:r>
      <w:r w:rsidR="00C90D00" w:rsidRPr="008142C5">
        <w:rPr>
          <w:rFonts w:asciiTheme="minorHAnsi" w:hAnsiTheme="minorHAnsi" w:cstheme="minorHAnsi"/>
          <w:sz w:val="24"/>
          <w:szCs w:val="24"/>
        </w:rPr>
        <w:t>hrad</w:t>
      </w:r>
      <w:r w:rsidR="00275D51">
        <w:rPr>
          <w:rFonts w:asciiTheme="minorHAnsi" w:hAnsiTheme="minorHAnsi" w:cstheme="minorHAnsi"/>
          <w:sz w:val="24"/>
          <w:szCs w:val="24"/>
        </w:rPr>
        <w:t>u</w:t>
      </w:r>
      <w:r w:rsidR="00C90D00" w:rsidRPr="008142C5">
        <w:rPr>
          <w:rFonts w:asciiTheme="minorHAnsi" w:hAnsiTheme="minorHAnsi" w:cstheme="minorHAnsi"/>
          <w:sz w:val="24"/>
          <w:szCs w:val="24"/>
        </w:rPr>
        <w:t xml:space="preserve"> </w:t>
      </w:r>
      <w:r w:rsidR="00275D51">
        <w:rPr>
          <w:rFonts w:asciiTheme="minorHAnsi" w:hAnsiTheme="minorHAnsi" w:cstheme="minorHAnsi"/>
          <w:sz w:val="24"/>
          <w:szCs w:val="24"/>
        </w:rPr>
        <w:t>daně z hazardních her</w:t>
      </w:r>
      <w:r w:rsidR="00C90D00" w:rsidRPr="008142C5">
        <w:rPr>
          <w:rFonts w:asciiTheme="minorHAnsi" w:hAnsiTheme="minorHAnsi" w:cstheme="minorHAnsi"/>
          <w:sz w:val="24"/>
          <w:szCs w:val="24"/>
        </w:rPr>
        <w:t xml:space="preserve"> podle ZHH. MF v</w:t>
      </w:r>
      <w:r w:rsidR="000A0654">
        <w:rPr>
          <w:rFonts w:asciiTheme="minorHAnsi" w:hAnsiTheme="minorHAnsi" w:cstheme="minorHAnsi"/>
          <w:sz w:val="24"/>
          <w:szCs w:val="24"/>
        </w:rPr>
        <w:t xml:space="preserve"> </w:t>
      </w:r>
      <w:r w:rsidR="00C90D00" w:rsidRPr="008142C5">
        <w:rPr>
          <w:rFonts w:asciiTheme="minorHAnsi" w:hAnsiTheme="minorHAnsi" w:cstheme="minorHAnsi"/>
          <w:sz w:val="24"/>
          <w:szCs w:val="24"/>
        </w:rPr>
        <w:t>této věci z</w:t>
      </w:r>
      <w:r w:rsidR="000A0654">
        <w:rPr>
          <w:rFonts w:asciiTheme="minorHAnsi" w:hAnsiTheme="minorHAnsi" w:cstheme="minorHAnsi"/>
          <w:sz w:val="24"/>
          <w:szCs w:val="24"/>
        </w:rPr>
        <w:t xml:space="preserve"> </w:t>
      </w:r>
      <w:r w:rsidR="00C90D00" w:rsidRPr="008142C5">
        <w:rPr>
          <w:rFonts w:asciiTheme="minorHAnsi" w:hAnsiTheme="minorHAnsi" w:cstheme="minorHAnsi"/>
          <w:sz w:val="24"/>
          <w:szCs w:val="24"/>
        </w:rPr>
        <w:t xml:space="preserve">pozice gestora ZHH a dozorového orgánu v oblasti </w:t>
      </w:r>
      <w:r w:rsidR="002E43AE">
        <w:rPr>
          <w:rFonts w:asciiTheme="minorHAnsi" w:hAnsiTheme="minorHAnsi" w:cstheme="minorHAnsi"/>
          <w:sz w:val="24"/>
          <w:szCs w:val="24"/>
        </w:rPr>
        <w:t>hazardních her</w:t>
      </w:r>
      <w:r w:rsidR="00C90D00" w:rsidRPr="008142C5">
        <w:rPr>
          <w:rFonts w:asciiTheme="minorHAnsi" w:hAnsiTheme="minorHAnsi" w:cstheme="minorHAnsi"/>
          <w:sz w:val="24"/>
          <w:szCs w:val="24"/>
        </w:rPr>
        <w:t xml:space="preserve"> </w:t>
      </w:r>
      <w:r w:rsidR="00663AC2" w:rsidRPr="008142C5">
        <w:rPr>
          <w:rFonts w:asciiTheme="minorHAnsi" w:hAnsiTheme="minorHAnsi" w:cstheme="minorHAnsi"/>
          <w:sz w:val="24"/>
          <w:szCs w:val="24"/>
        </w:rPr>
        <w:t>upozorni</w:t>
      </w:r>
      <w:r w:rsidR="0090560D" w:rsidRPr="008142C5">
        <w:rPr>
          <w:rFonts w:asciiTheme="minorHAnsi" w:hAnsiTheme="minorHAnsi" w:cstheme="minorHAnsi"/>
          <w:sz w:val="24"/>
          <w:szCs w:val="24"/>
        </w:rPr>
        <w:t>l</w:t>
      </w:r>
      <w:r w:rsidR="00663AC2" w:rsidRPr="008142C5">
        <w:rPr>
          <w:rFonts w:asciiTheme="minorHAnsi" w:hAnsiTheme="minorHAnsi" w:cstheme="minorHAnsi"/>
          <w:sz w:val="24"/>
          <w:szCs w:val="24"/>
        </w:rPr>
        <w:t>o</w:t>
      </w:r>
      <w:r w:rsidR="00C90D00" w:rsidRPr="008142C5" w:rsidDel="00663AC2">
        <w:rPr>
          <w:rFonts w:asciiTheme="minorHAnsi" w:hAnsiTheme="minorHAnsi" w:cstheme="minorHAnsi"/>
          <w:sz w:val="24"/>
          <w:szCs w:val="24"/>
        </w:rPr>
        <w:t xml:space="preserve"> </w:t>
      </w:r>
      <w:r w:rsidR="00663AC2" w:rsidRPr="008142C5">
        <w:rPr>
          <w:rFonts w:asciiTheme="minorHAnsi" w:hAnsiTheme="minorHAnsi" w:cstheme="minorHAnsi"/>
          <w:sz w:val="24"/>
          <w:szCs w:val="24"/>
        </w:rPr>
        <w:t>krajské úřady</w:t>
      </w:r>
      <w:r w:rsidR="002F2BB5">
        <w:rPr>
          <w:rFonts w:asciiTheme="minorHAnsi" w:hAnsiTheme="minorHAnsi" w:cstheme="minorHAnsi"/>
          <w:sz w:val="24"/>
          <w:szCs w:val="24"/>
        </w:rPr>
        <w:t xml:space="preserve"> </w:t>
      </w:r>
      <w:r w:rsidR="00C90D00" w:rsidRPr="008142C5">
        <w:rPr>
          <w:rFonts w:asciiTheme="minorHAnsi" w:hAnsiTheme="minorHAnsi" w:cstheme="minorHAnsi"/>
          <w:sz w:val="24"/>
          <w:szCs w:val="24"/>
        </w:rPr>
        <w:t>a statutární měst</w:t>
      </w:r>
      <w:r w:rsidR="00663AC2" w:rsidRPr="008142C5">
        <w:rPr>
          <w:rFonts w:asciiTheme="minorHAnsi" w:hAnsiTheme="minorHAnsi" w:cstheme="minorHAnsi"/>
          <w:sz w:val="24"/>
          <w:szCs w:val="24"/>
        </w:rPr>
        <w:t>a</w:t>
      </w:r>
      <w:r w:rsidR="00C90D00" w:rsidRPr="008142C5">
        <w:rPr>
          <w:rFonts w:asciiTheme="minorHAnsi" w:hAnsiTheme="minorHAnsi" w:cstheme="minorHAnsi"/>
          <w:sz w:val="24"/>
          <w:szCs w:val="24"/>
        </w:rPr>
        <w:t xml:space="preserve"> na povinnost zadávání správných údajů do IS SDSL</w:t>
      </w:r>
      <w:r w:rsidR="00663AC2" w:rsidRPr="008142C5">
        <w:rPr>
          <w:rFonts w:asciiTheme="minorHAnsi" w:hAnsiTheme="minorHAnsi" w:cstheme="minorHAnsi"/>
          <w:sz w:val="24"/>
          <w:szCs w:val="24"/>
        </w:rPr>
        <w:t>.</w:t>
      </w:r>
    </w:p>
    <w:p w14:paraId="753EB395" w14:textId="41F1AD0E" w:rsidR="00414AE8" w:rsidRPr="008142C5" w:rsidRDefault="00414AE8" w:rsidP="001C1E5F">
      <w:pPr>
        <w:pStyle w:val="Nadpis2"/>
        <w:contextualSpacing w:val="0"/>
        <w:rPr>
          <w:rFonts w:asciiTheme="minorHAnsi" w:hAnsiTheme="minorHAnsi"/>
        </w:rPr>
      </w:pPr>
      <w:r w:rsidRPr="008142C5">
        <w:rPr>
          <w:rFonts w:asciiTheme="minorHAnsi" w:hAnsiTheme="minorHAnsi"/>
        </w:rPr>
        <w:t>M</w:t>
      </w:r>
      <w:r w:rsidR="008131FD" w:rsidRPr="008142C5">
        <w:rPr>
          <w:rFonts w:asciiTheme="minorHAnsi" w:hAnsiTheme="minorHAnsi"/>
        </w:rPr>
        <w:t>inisterstvo financí a Specializovaný finanční úřad</w:t>
      </w:r>
      <w:r w:rsidRPr="008142C5">
        <w:rPr>
          <w:rFonts w:asciiTheme="minorHAnsi" w:hAnsiTheme="minorHAnsi"/>
        </w:rPr>
        <w:t xml:space="preserve"> </w:t>
      </w:r>
      <w:r w:rsidR="00684BFD" w:rsidRPr="008142C5">
        <w:rPr>
          <w:rFonts w:asciiTheme="minorHAnsi" w:hAnsiTheme="minorHAnsi"/>
        </w:rPr>
        <w:t>ne</w:t>
      </w:r>
      <w:r w:rsidRPr="008142C5">
        <w:rPr>
          <w:rFonts w:asciiTheme="minorHAnsi" w:hAnsiTheme="minorHAnsi"/>
        </w:rPr>
        <w:t>postupovaly v</w:t>
      </w:r>
      <w:r w:rsidR="00684BFD" w:rsidRPr="008142C5">
        <w:rPr>
          <w:rFonts w:asciiTheme="minorHAnsi" w:hAnsiTheme="minorHAnsi"/>
        </w:rPr>
        <w:t xml:space="preserve"> souladu</w:t>
      </w:r>
      <w:r w:rsidRPr="008142C5">
        <w:rPr>
          <w:rFonts w:asciiTheme="minorHAnsi" w:hAnsiTheme="minorHAnsi"/>
        </w:rPr>
        <w:t xml:space="preserve"> s</w:t>
      </w:r>
      <w:r w:rsidR="000A0654">
        <w:rPr>
          <w:rFonts w:asciiTheme="minorHAnsi" w:hAnsiTheme="minorHAnsi"/>
        </w:rPr>
        <w:t xml:space="preserve"> </w:t>
      </w:r>
      <w:r w:rsidRPr="008142C5">
        <w:rPr>
          <w:rFonts w:asciiTheme="minorHAnsi" w:hAnsiTheme="minorHAnsi"/>
        </w:rPr>
        <w:t>právními předpisy</w:t>
      </w:r>
    </w:p>
    <w:p w14:paraId="15E26826" w14:textId="53BE5605" w:rsidR="00E24A2D" w:rsidRPr="00BA1024" w:rsidRDefault="00E24A2D" w:rsidP="001E51C9">
      <w:pPr>
        <w:pStyle w:val="Odstavecseseznamem"/>
        <w:numPr>
          <w:ilvl w:val="1"/>
          <w:numId w:val="17"/>
        </w:numPr>
        <w:spacing w:before="240" w:after="120"/>
        <w:ind w:left="0" w:firstLine="0"/>
        <w:contextualSpacing w:val="0"/>
        <w:rPr>
          <w:b/>
        </w:rPr>
      </w:pPr>
      <w:r w:rsidRPr="00F57788">
        <w:rPr>
          <w:rFonts w:asciiTheme="minorHAnsi" w:hAnsiTheme="minorHAnsi" w:cstheme="minorHAnsi"/>
          <w:sz w:val="24"/>
          <w:szCs w:val="24"/>
        </w:rPr>
        <w:t>MF při správě kaucí složených provozovateli opakovaně nepostupovalo v</w:t>
      </w:r>
      <w:r w:rsidR="002F2BB5">
        <w:rPr>
          <w:rFonts w:asciiTheme="minorHAnsi" w:hAnsiTheme="minorHAnsi" w:cstheme="minorHAnsi"/>
          <w:sz w:val="24"/>
          <w:szCs w:val="24"/>
        </w:rPr>
        <w:t> </w:t>
      </w:r>
      <w:r w:rsidRPr="00F57788">
        <w:rPr>
          <w:rFonts w:asciiTheme="minorHAnsi" w:hAnsiTheme="minorHAnsi" w:cstheme="minorHAnsi"/>
          <w:sz w:val="24"/>
          <w:szCs w:val="24"/>
        </w:rPr>
        <w:t>souladu</w:t>
      </w:r>
      <w:r w:rsidR="002F2BB5">
        <w:rPr>
          <w:rFonts w:asciiTheme="minorHAnsi" w:hAnsiTheme="minorHAnsi" w:cstheme="minorHAnsi"/>
          <w:sz w:val="24"/>
          <w:szCs w:val="24"/>
        </w:rPr>
        <w:t xml:space="preserve"> </w:t>
      </w:r>
      <w:r w:rsidRPr="00F57788">
        <w:rPr>
          <w:rFonts w:asciiTheme="minorHAnsi" w:hAnsiTheme="minorHAnsi" w:cstheme="minorHAnsi"/>
          <w:sz w:val="24"/>
          <w:szCs w:val="24"/>
        </w:rPr>
        <w:t>se ZHH. Kauce lze po zrušení nebo zániku základního povolení nebo povolení k umístění herního prostoru použít k úhradě daně z hazardních her, pokut uložených za přestupek podle ZHH a</w:t>
      </w:r>
      <w:r w:rsidR="00E249E4">
        <w:rPr>
          <w:rFonts w:asciiTheme="minorHAnsi" w:hAnsiTheme="minorHAnsi" w:cstheme="minorHAnsi"/>
          <w:sz w:val="24"/>
          <w:szCs w:val="24"/>
        </w:rPr>
        <w:t> </w:t>
      </w:r>
      <w:r w:rsidRPr="00F57788">
        <w:rPr>
          <w:rFonts w:asciiTheme="minorHAnsi" w:hAnsiTheme="minorHAnsi" w:cstheme="minorHAnsi"/>
          <w:sz w:val="24"/>
          <w:szCs w:val="24"/>
        </w:rPr>
        <w:t>nevyplacených výher sázejícím.</w:t>
      </w:r>
    </w:p>
    <w:p w14:paraId="459D7E1A" w14:textId="62F5D751" w:rsidR="00C45355" w:rsidRPr="00247CAB" w:rsidRDefault="00C45355" w:rsidP="001E51C9">
      <w:pPr>
        <w:pStyle w:val="Odstavecseseznamem"/>
        <w:numPr>
          <w:ilvl w:val="1"/>
          <w:numId w:val="17"/>
        </w:numPr>
        <w:spacing w:after="240"/>
        <w:ind w:left="0" w:firstLine="0"/>
        <w:contextualSpacing w:val="0"/>
        <w:rPr>
          <w:b/>
        </w:rPr>
      </w:pPr>
      <w:r w:rsidRPr="00C95AE7">
        <w:rPr>
          <w:rFonts w:asciiTheme="minorHAnsi" w:hAnsiTheme="minorHAnsi" w:cstheme="minorHAnsi"/>
          <w:sz w:val="24"/>
          <w:szCs w:val="24"/>
        </w:rPr>
        <w:t xml:space="preserve">Podle předchozí právní úpravy </w:t>
      </w:r>
      <w:r w:rsidR="002F2BB5">
        <w:rPr>
          <w:rFonts w:asciiTheme="minorHAnsi" w:hAnsiTheme="minorHAnsi" w:cstheme="minorHAnsi"/>
          <w:sz w:val="24"/>
          <w:szCs w:val="24"/>
        </w:rPr>
        <w:t>(</w:t>
      </w:r>
      <w:r w:rsidRPr="00C95AE7">
        <w:rPr>
          <w:rFonts w:asciiTheme="minorHAnsi" w:hAnsiTheme="minorHAnsi" w:cstheme="minorHAnsi"/>
          <w:sz w:val="24"/>
          <w:szCs w:val="24"/>
        </w:rPr>
        <w:t>ZoL</w:t>
      </w:r>
      <w:r w:rsidR="002F2BB5">
        <w:rPr>
          <w:rFonts w:asciiTheme="minorHAnsi" w:hAnsiTheme="minorHAnsi" w:cstheme="minorHAnsi"/>
          <w:sz w:val="24"/>
          <w:szCs w:val="24"/>
        </w:rPr>
        <w:t>)</w:t>
      </w:r>
      <w:r w:rsidRPr="00C95AE7">
        <w:rPr>
          <w:rFonts w:asciiTheme="minorHAnsi" w:hAnsiTheme="minorHAnsi" w:cstheme="minorHAnsi"/>
          <w:sz w:val="24"/>
          <w:szCs w:val="24"/>
        </w:rPr>
        <w:t xml:space="preserve"> byli provozovatelé povinni skládat na zvláštní účet u </w:t>
      </w:r>
      <w:r w:rsidRPr="00144417">
        <w:rPr>
          <w:rFonts w:asciiTheme="minorHAnsi" w:hAnsiTheme="minorHAnsi" w:cstheme="minorHAnsi"/>
          <w:sz w:val="24"/>
          <w:szCs w:val="24"/>
        </w:rPr>
        <w:t>banky nebo spořitelního a úvěrního družstva jistoty, které byly určeny k zajištění pohledávek státu</w:t>
      </w:r>
      <w:r w:rsidRPr="004922BF">
        <w:rPr>
          <w:rFonts w:asciiTheme="minorHAnsi" w:hAnsiTheme="minorHAnsi" w:cstheme="minorHAnsi"/>
          <w:sz w:val="24"/>
          <w:szCs w:val="24"/>
        </w:rPr>
        <w:t xml:space="preserve">, obcí a výplat sázejícím. NKÚ zjistil případ, kdy </w:t>
      </w:r>
      <w:r w:rsidRPr="004922BF">
        <w:rPr>
          <w:rFonts w:cs="Calibri"/>
          <w:sz w:val="24"/>
          <w:szCs w:val="24"/>
        </w:rPr>
        <w:t>MF nepostupovalo při správě jistot v souladu se ZoL</w:t>
      </w:r>
      <w:r>
        <w:rPr>
          <w:rFonts w:cs="Calibri"/>
          <w:sz w:val="24"/>
          <w:szCs w:val="24"/>
        </w:rPr>
        <w:t>.</w:t>
      </w:r>
    </w:p>
    <w:p w14:paraId="0C522D53" w14:textId="78A99249" w:rsidR="00247CAB" w:rsidRDefault="00247CAB" w:rsidP="00247CAB">
      <w:pPr>
        <w:pStyle w:val="Nadpis1"/>
        <w:keepNext w:val="0"/>
        <w:keepLines w:val="0"/>
        <w:numPr>
          <w:ilvl w:val="0"/>
          <w:numId w:val="0"/>
        </w:numPr>
        <w:jc w:val="both"/>
      </w:pPr>
    </w:p>
    <w:p w14:paraId="1C5DF661" w14:textId="5BC1A474" w:rsidR="00247CAB" w:rsidRDefault="00247CAB" w:rsidP="00247CAB"/>
    <w:p w14:paraId="2ECEDF57" w14:textId="26B09D12" w:rsidR="00247CAB" w:rsidRDefault="00247CAB" w:rsidP="00247CAB"/>
    <w:p w14:paraId="60868E42" w14:textId="77777777" w:rsidR="00247CAB" w:rsidRPr="00247CAB" w:rsidRDefault="00247CAB" w:rsidP="00247CAB"/>
    <w:tbl>
      <w:tblPr>
        <w:tblStyle w:val="Mkatabulky"/>
        <w:tblpPr w:leftFromText="141" w:rightFromText="141" w:vertAnchor="text" w:horzAnchor="margin" w:tblpY="5"/>
        <w:tblW w:w="0" w:type="auto"/>
        <w:tblLook w:val="04A0" w:firstRow="1" w:lastRow="0" w:firstColumn="1" w:lastColumn="0" w:noHBand="0" w:noVBand="1"/>
      </w:tblPr>
      <w:tblGrid>
        <w:gridCol w:w="9062"/>
      </w:tblGrid>
      <w:tr w:rsidR="00C45355" w:rsidRPr="00350D4D" w14:paraId="4ACF6B1D" w14:textId="77777777" w:rsidTr="00C45355">
        <w:tc>
          <w:tcPr>
            <w:tcW w:w="9062" w:type="dxa"/>
            <w:shd w:val="clear" w:color="auto" w:fill="F2C6C9"/>
          </w:tcPr>
          <w:p w14:paraId="33354D4F" w14:textId="098226F3" w:rsidR="00C45355" w:rsidRPr="00BA6D1C" w:rsidRDefault="00381FB1" w:rsidP="00247CAB">
            <w:pPr>
              <w:spacing w:before="120"/>
              <w:ind w:left="1219" w:hanging="1219"/>
              <w:rPr>
                <w:b/>
                <w:color w:val="auto"/>
              </w:rPr>
            </w:pPr>
            <w:bookmarkStart w:id="20" w:name="_Hlk134965885"/>
            <w:r w:rsidRPr="00B44284">
              <w:rPr>
                <w:b/>
              </w:rPr>
              <w:lastRenderedPageBreak/>
              <w:t xml:space="preserve">Příklad č. </w:t>
            </w:r>
            <w:r>
              <w:rPr>
                <w:b/>
              </w:rPr>
              <w:t>2</w:t>
            </w:r>
            <w:r w:rsidRPr="00B44284">
              <w:rPr>
                <w:b/>
              </w:rPr>
              <w:t>:</w:t>
            </w:r>
            <w:r>
              <w:rPr>
                <w:b/>
              </w:rPr>
              <w:tab/>
            </w:r>
            <w:r w:rsidRPr="005A7E15">
              <w:rPr>
                <w:b/>
              </w:rPr>
              <w:t>Řešení</w:t>
            </w:r>
            <w:r>
              <w:rPr>
                <w:b/>
              </w:rPr>
              <w:t xml:space="preserve"> daňového nedoplatku po pětileté nečinnosti</w:t>
            </w:r>
          </w:p>
          <w:bookmarkEnd w:id="20"/>
          <w:p w14:paraId="1EE3AD10" w14:textId="1CA8D7A1" w:rsidR="00C45355" w:rsidRPr="007410DE" w:rsidRDefault="00C45355" w:rsidP="001C1E5F">
            <w:pPr>
              <w:spacing w:before="120" w:after="80"/>
              <w:rPr>
                <w:color w:val="auto"/>
              </w:rPr>
            </w:pPr>
            <w:r w:rsidRPr="007410DE">
              <w:rPr>
                <w:color w:val="auto"/>
              </w:rPr>
              <w:t xml:space="preserve">Dle </w:t>
            </w:r>
            <w:r w:rsidR="00E249E4">
              <w:rPr>
                <w:color w:val="auto"/>
              </w:rPr>
              <w:t>„</w:t>
            </w:r>
            <w:r w:rsidR="00E249E4">
              <w:rPr>
                <w:i/>
                <w:color w:val="auto"/>
              </w:rPr>
              <w:t>s</w:t>
            </w:r>
            <w:r w:rsidRPr="007410DE">
              <w:rPr>
                <w:i/>
                <w:color w:val="auto"/>
              </w:rPr>
              <w:t xml:space="preserve">eznamu provozovatelů loterií a sázkových her ke dni </w:t>
            </w:r>
            <w:r w:rsidRPr="007410DE">
              <w:rPr>
                <w:i/>
                <w:color w:val="auto"/>
                <w:lang w:eastAsia="cs-CZ"/>
              </w:rPr>
              <w:t>1. 12. 2014</w:t>
            </w:r>
            <w:r w:rsidR="00E249E4">
              <w:rPr>
                <w:i/>
                <w:color w:val="auto"/>
                <w:lang w:eastAsia="cs-CZ"/>
              </w:rPr>
              <w:t>“</w:t>
            </w:r>
            <w:r w:rsidRPr="007410DE">
              <w:rPr>
                <w:color w:val="auto"/>
                <w:lang w:eastAsia="cs-CZ"/>
              </w:rPr>
              <w:t xml:space="preserve"> uveřejněné</w:t>
            </w:r>
            <w:r w:rsidR="00E249E4">
              <w:rPr>
                <w:color w:val="auto"/>
                <w:lang w:eastAsia="cs-CZ"/>
              </w:rPr>
              <w:t>ho</w:t>
            </w:r>
            <w:r w:rsidRPr="007410DE">
              <w:rPr>
                <w:color w:val="auto"/>
                <w:lang w:eastAsia="cs-CZ"/>
              </w:rPr>
              <w:t xml:space="preserve"> na webu MF měl mít daný provozovatel složeny u bank dvě jistoty</w:t>
            </w:r>
            <w:r>
              <w:rPr>
                <w:color w:val="auto"/>
                <w:lang w:eastAsia="cs-CZ"/>
              </w:rPr>
              <w:t xml:space="preserve"> dle § 2 písm. i) a písm. m) bod 1 ZoL</w:t>
            </w:r>
            <w:r w:rsidRPr="007410DE">
              <w:rPr>
                <w:color w:val="auto"/>
                <w:lang w:eastAsia="cs-CZ"/>
              </w:rPr>
              <w:t xml:space="preserve">, </w:t>
            </w:r>
            <w:r w:rsidRPr="007410DE">
              <w:rPr>
                <w:color w:val="auto"/>
              </w:rPr>
              <w:t>obě ve výši 20 mil. Kč.</w:t>
            </w:r>
          </w:p>
          <w:p w14:paraId="1F72FEBB" w14:textId="1464EEE4" w:rsidR="00C45355" w:rsidRPr="007410DE" w:rsidRDefault="00C45355" w:rsidP="001C1E5F">
            <w:pPr>
              <w:spacing w:after="80"/>
            </w:pPr>
            <w:r w:rsidRPr="007410DE">
              <w:t xml:space="preserve">Dle vyjádření MF provozovala </w:t>
            </w:r>
            <w:r w:rsidR="00E249E4" w:rsidRPr="007410DE">
              <w:t xml:space="preserve">společnost </w:t>
            </w:r>
            <w:r w:rsidRPr="007410DE">
              <w:t xml:space="preserve">sázkové hry </w:t>
            </w:r>
            <w:r>
              <w:t xml:space="preserve">v kasinu do 31. 12. 2014 </w:t>
            </w:r>
            <w:r w:rsidRPr="007410DE">
              <w:t xml:space="preserve">a turnaje </w:t>
            </w:r>
            <w:r>
              <w:t xml:space="preserve">v povoleném kasinu </w:t>
            </w:r>
            <w:r w:rsidRPr="007410DE">
              <w:t xml:space="preserve">do 31. </w:t>
            </w:r>
            <w:r>
              <w:t>1</w:t>
            </w:r>
            <w:r w:rsidRPr="007410DE">
              <w:t>. 2015.</w:t>
            </w:r>
          </w:p>
          <w:p w14:paraId="19A2FD17" w14:textId="4B1C373E" w:rsidR="00C45355" w:rsidRPr="007410DE" w:rsidRDefault="00C45355" w:rsidP="001C1E5F">
            <w:pPr>
              <w:spacing w:after="80"/>
            </w:pPr>
            <w:r w:rsidRPr="007410DE">
              <w:t xml:space="preserve">SFÚ </w:t>
            </w:r>
            <w:r w:rsidR="00E249E4" w:rsidRPr="00247CAB">
              <w:t>ke dni 27. 10. 2016</w:t>
            </w:r>
            <w:r w:rsidR="00E249E4" w:rsidRPr="007410DE">
              <w:t xml:space="preserve"> </w:t>
            </w:r>
            <w:r>
              <w:rPr>
                <w:lang w:eastAsia="cs-CZ"/>
              </w:rPr>
              <w:t xml:space="preserve">vyhotovil dva </w:t>
            </w:r>
            <w:r w:rsidR="00E249E4">
              <w:rPr>
                <w:lang w:eastAsia="cs-CZ"/>
              </w:rPr>
              <w:t>„</w:t>
            </w:r>
            <w:r w:rsidR="00E249E4">
              <w:rPr>
                <w:i/>
              </w:rPr>
              <w:t>v</w:t>
            </w:r>
            <w:r w:rsidRPr="00105036">
              <w:rPr>
                <w:i/>
              </w:rPr>
              <w:t>ýkazy</w:t>
            </w:r>
            <w:r w:rsidRPr="00105036">
              <w:rPr>
                <w:i/>
                <w:lang w:eastAsia="cs-CZ"/>
              </w:rPr>
              <w:t xml:space="preserve"> nedoplatků</w:t>
            </w:r>
            <w:r w:rsidR="00E249E4">
              <w:rPr>
                <w:lang w:eastAsia="cs-CZ"/>
              </w:rPr>
              <w:t>“</w:t>
            </w:r>
            <w:r w:rsidRPr="00105036">
              <w:rPr>
                <w:i/>
                <w:lang w:eastAsia="cs-CZ"/>
              </w:rPr>
              <w:t xml:space="preserve"> </w:t>
            </w:r>
            <w:r w:rsidRPr="007410DE">
              <w:t xml:space="preserve">ve výši 702 000 Kč a 1 601 </w:t>
            </w:r>
            <w:r>
              <w:rPr>
                <w:lang w:eastAsia="cs-CZ"/>
              </w:rPr>
              <w:t>000</w:t>
            </w:r>
            <w:r w:rsidR="00E249E4">
              <w:rPr>
                <w:lang w:eastAsia="cs-CZ"/>
              </w:rPr>
              <w:t> </w:t>
            </w:r>
            <w:r>
              <w:rPr>
                <w:lang w:eastAsia="cs-CZ"/>
              </w:rPr>
              <w:t>Kč</w:t>
            </w:r>
            <w:r w:rsidRPr="007410DE">
              <w:t xml:space="preserve">. </w:t>
            </w:r>
            <w:r w:rsidR="00E249E4">
              <w:t>D</w:t>
            </w:r>
            <w:r w:rsidR="00E249E4" w:rsidRPr="007410DE">
              <w:t>ne 12. 8. 2021</w:t>
            </w:r>
            <w:r w:rsidR="00E249E4">
              <w:t xml:space="preserve"> (tj. p</w:t>
            </w:r>
            <w:r w:rsidRPr="007410DE">
              <w:t xml:space="preserve">o </w:t>
            </w:r>
            <w:r>
              <w:rPr>
                <w:lang w:eastAsia="cs-CZ"/>
              </w:rPr>
              <w:t>téměř pěti letech</w:t>
            </w:r>
            <w:r w:rsidR="00E249E4">
              <w:rPr>
                <w:lang w:eastAsia="cs-CZ"/>
              </w:rPr>
              <w:t>)</w:t>
            </w:r>
            <w:r w:rsidRPr="007410DE">
              <w:t xml:space="preserve"> </w:t>
            </w:r>
            <w:r w:rsidR="00E249E4" w:rsidRPr="007410DE">
              <w:t xml:space="preserve">zaslal </w:t>
            </w:r>
            <w:r w:rsidRPr="007410DE">
              <w:t xml:space="preserve">SFÚ </w:t>
            </w:r>
            <w:r w:rsidR="00E249E4">
              <w:t>Ministerstvu financí</w:t>
            </w:r>
            <w:r w:rsidRPr="007410DE">
              <w:t xml:space="preserve"> </w:t>
            </w:r>
            <w:r w:rsidR="00E249E4" w:rsidRPr="00247CAB">
              <w:t>ž</w:t>
            </w:r>
            <w:r w:rsidRPr="00247CAB">
              <w:t>ádost o</w:t>
            </w:r>
            <w:r w:rsidR="00E249E4">
              <w:t> </w:t>
            </w:r>
            <w:r w:rsidRPr="00247CAB">
              <w:t>převedení přeplatku</w:t>
            </w:r>
            <w:r w:rsidRPr="007410DE">
              <w:t>, který byl evidován z</w:t>
            </w:r>
            <w:r w:rsidR="00630C79">
              <w:t xml:space="preserve"> </w:t>
            </w:r>
            <w:r w:rsidRPr="007410DE">
              <w:t>titulu nevypořádané jistoty, důvod</w:t>
            </w:r>
            <w:r w:rsidR="00E249E4">
              <w:t>em žádosti byl nedoplatek</w:t>
            </w:r>
            <w:r w:rsidRPr="007410DE">
              <w:t xml:space="preserve"> evidovan</w:t>
            </w:r>
            <w:r w:rsidR="00E249E4">
              <w:t>ý</w:t>
            </w:r>
            <w:r w:rsidRPr="007410DE">
              <w:t xml:space="preserve"> u SFÚ ve výši 2 303 000 Kč.</w:t>
            </w:r>
          </w:p>
          <w:p w14:paraId="1CD414D4" w14:textId="14802DE7" w:rsidR="00C45355" w:rsidRPr="00247CAB" w:rsidRDefault="00C45355" w:rsidP="001C1E5F">
            <w:pPr>
              <w:spacing w:after="80"/>
              <w:rPr>
                <w:color w:val="auto"/>
                <w:lang w:eastAsia="cs-CZ"/>
              </w:rPr>
            </w:pPr>
            <w:r w:rsidRPr="007410DE">
              <w:rPr>
                <w:color w:val="auto"/>
              </w:rPr>
              <w:t>Následně MF požádalo příslušné banky o poskytnutí informací.</w:t>
            </w:r>
            <w:r w:rsidRPr="007410DE">
              <w:t xml:space="preserve"> </w:t>
            </w:r>
            <w:r w:rsidRPr="007410DE">
              <w:rPr>
                <w:color w:val="auto"/>
                <w:lang w:eastAsia="cs-CZ"/>
              </w:rPr>
              <w:t xml:space="preserve">Na dotaz NKÚ </w:t>
            </w:r>
            <w:r w:rsidR="00630C79">
              <w:rPr>
                <w:color w:val="auto"/>
                <w:lang w:eastAsia="cs-CZ"/>
              </w:rPr>
              <w:t>Ministerstvo financí</w:t>
            </w:r>
            <w:r w:rsidRPr="007410DE">
              <w:rPr>
                <w:color w:val="auto"/>
                <w:lang w:eastAsia="cs-CZ"/>
              </w:rPr>
              <w:t xml:space="preserve"> sdělilo</w:t>
            </w:r>
            <w:r>
              <w:rPr>
                <w:color w:val="auto"/>
                <w:lang w:eastAsia="cs-CZ"/>
              </w:rPr>
              <w:t>:</w:t>
            </w:r>
            <w:r w:rsidRPr="008050AC">
              <w:rPr>
                <w:i/>
                <w:color w:val="auto"/>
                <w:lang w:eastAsia="cs-CZ"/>
              </w:rPr>
              <w:t xml:space="preserve"> </w:t>
            </w:r>
            <w:r w:rsidRPr="00247CAB">
              <w:rPr>
                <w:color w:val="auto"/>
              </w:rPr>
              <w:t>„</w:t>
            </w:r>
            <w:r w:rsidRPr="008050AC">
              <w:rPr>
                <w:i/>
                <w:color w:val="auto"/>
              </w:rPr>
              <w:t>Banky uvedly</w:t>
            </w:r>
            <w:r w:rsidR="00630C79">
              <w:rPr>
                <w:i/>
                <w:color w:val="auto"/>
              </w:rPr>
              <w:t>,</w:t>
            </w:r>
            <w:r w:rsidRPr="008050AC">
              <w:rPr>
                <w:i/>
                <w:color w:val="auto"/>
              </w:rPr>
              <w:t xml:space="preserve"> že na žádost obchodní společnosti byly peněžní prostředky vyplaceny</w:t>
            </w:r>
            <w:r w:rsidR="00630C79">
              <w:rPr>
                <w:i/>
                <w:color w:val="auto"/>
              </w:rPr>
              <w:t xml:space="preserve"> </w:t>
            </w:r>
            <w:r w:rsidRPr="008050AC">
              <w:rPr>
                <w:i/>
                <w:color w:val="auto"/>
              </w:rPr>
              <w:t>a bankovní účty, na které byly jistot</w:t>
            </w:r>
            <w:r>
              <w:rPr>
                <w:i/>
                <w:color w:val="auto"/>
              </w:rPr>
              <w:t>y</w:t>
            </w:r>
            <w:r w:rsidRPr="008050AC">
              <w:rPr>
                <w:i/>
                <w:color w:val="auto"/>
              </w:rPr>
              <w:t xml:space="preserve"> složeny, byly zrušeny.</w:t>
            </w:r>
            <w:r w:rsidRPr="00247CAB">
              <w:rPr>
                <w:color w:val="auto"/>
              </w:rPr>
              <w:t>“</w:t>
            </w:r>
          </w:p>
          <w:p w14:paraId="0F2FC8B5" w14:textId="54A2920D" w:rsidR="00C45355" w:rsidRPr="008050AC" w:rsidRDefault="00C45355" w:rsidP="001C1E5F">
            <w:pPr>
              <w:spacing w:after="80"/>
              <w:rPr>
                <w:color w:val="auto"/>
              </w:rPr>
            </w:pPr>
            <w:r w:rsidRPr="008050AC">
              <w:rPr>
                <w:color w:val="auto"/>
                <w:lang w:eastAsia="cs-CZ"/>
              </w:rPr>
              <w:t xml:space="preserve">MF začalo jednat ve věci složených jistot u bank </w:t>
            </w:r>
            <w:r w:rsidRPr="008050AC">
              <w:rPr>
                <w:color w:val="auto"/>
              </w:rPr>
              <w:t>dne 12. 11. 2021, tedy více než šest let</w:t>
            </w:r>
            <w:r w:rsidR="00624345">
              <w:rPr>
                <w:color w:val="auto"/>
              </w:rPr>
              <w:br/>
            </w:r>
            <w:r w:rsidRPr="008050AC">
              <w:rPr>
                <w:color w:val="auto"/>
              </w:rPr>
              <w:t>a devět měsíců poté, co společnost přestala provozovat sázkové hry v kasinu a turnaje v</w:t>
            </w:r>
            <w:r>
              <w:rPr>
                <w:color w:val="auto"/>
              </w:rPr>
              <w:t> </w:t>
            </w:r>
            <w:r w:rsidRPr="008050AC">
              <w:rPr>
                <w:color w:val="auto"/>
              </w:rPr>
              <w:t>povoleném kasinu</w:t>
            </w:r>
            <w:r w:rsidR="00630C79">
              <w:rPr>
                <w:color w:val="auto"/>
              </w:rPr>
              <w:t>,</w:t>
            </w:r>
            <w:r w:rsidRPr="008050AC">
              <w:rPr>
                <w:color w:val="auto"/>
              </w:rPr>
              <w:t xml:space="preserve"> a 142 dní po výmazu společnosti z obchodního rejstříku</w:t>
            </w:r>
            <w:r>
              <w:rPr>
                <w:color w:val="auto"/>
              </w:rPr>
              <w:t>.</w:t>
            </w:r>
          </w:p>
          <w:p w14:paraId="37338A5E" w14:textId="77777777" w:rsidR="00C45355" w:rsidRPr="008050AC" w:rsidRDefault="00C45355" w:rsidP="001C1E5F">
            <w:pPr>
              <w:spacing w:after="80"/>
              <w:rPr>
                <w:color w:val="auto"/>
                <w:lang w:eastAsia="cs-CZ"/>
              </w:rPr>
            </w:pPr>
            <w:r w:rsidRPr="008050AC">
              <w:rPr>
                <w:color w:val="auto"/>
              </w:rPr>
              <w:t xml:space="preserve">Na základě informací získaných od bankovních společností </w:t>
            </w:r>
            <w:r>
              <w:rPr>
                <w:color w:val="auto"/>
              </w:rPr>
              <w:t>po</w:t>
            </w:r>
            <w:r w:rsidRPr="008050AC">
              <w:rPr>
                <w:color w:val="auto"/>
              </w:rPr>
              <w:t xml:space="preserve">dalo MF </w:t>
            </w:r>
            <w:r>
              <w:rPr>
                <w:color w:val="auto"/>
              </w:rPr>
              <w:t>v průběhu kontroly NKÚ</w:t>
            </w:r>
            <w:r w:rsidRPr="008050AC">
              <w:rPr>
                <w:color w:val="auto"/>
              </w:rPr>
              <w:t xml:space="preserve"> oznámení o </w:t>
            </w:r>
            <w:r>
              <w:rPr>
                <w:color w:val="auto"/>
              </w:rPr>
              <w:t xml:space="preserve">skutečnostech nasvědčujících </w:t>
            </w:r>
            <w:r w:rsidRPr="008050AC">
              <w:rPr>
                <w:color w:val="auto"/>
              </w:rPr>
              <w:t>spáchání trestného činu.</w:t>
            </w:r>
          </w:p>
          <w:p w14:paraId="4F4FFDFB" w14:textId="7A38A7BB" w:rsidR="00C45355" w:rsidRPr="00627344" w:rsidRDefault="00C45355" w:rsidP="001C1E5F">
            <w:pPr>
              <w:spacing w:after="120"/>
            </w:pPr>
            <w:r w:rsidRPr="00627344">
              <w:rPr>
                <w:color w:val="auto"/>
                <w:lang w:eastAsia="cs-CZ"/>
              </w:rPr>
              <w:t>Tím, že MF nejednalo ve věci vyúčtování provoz</w:t>
            </w:r>
            <w:r w:rsidR="00630C79">
              <w:rPr>
                <w:color w:val="auto"/>
                <w:lang w:eastAsia="cs-CZ"/>
              </w:rPr>
              <w:t>ování</w:t>
            </w:r>
            <w:r w:rsidRPr="00627344">
              <w:rPr>
                <w:color w:val="auto"/>
                <w:lang w:eastAsia="cs-CZ"/>
              </w:rPr>
              <w:t xml:space="preserve"> sázkových her v kasinu a turnaj</w:t>
            </w:r>
            <w:r w:rsidR="00630C79">
              <w:rPr>
                <w:color w:val="auto"/>
                <w:lang w:eastAsia="cs-CZ"/>
              </w:rPr>
              <w:t>ů</w:t>
            </w:r>
            <w:r w:rsidRPr="00627344">
              <w:rPr>
                <w:color w:val="auto"/>
                <w:lang w:eastAsia="cs-CZ"/>
              </w:rPr>
              <w:t xml:space="preserve"> </w:t>
            </w:r>
            <w:r w:rsidR="000A0654">
              <w:rPr>
                <w:color w:val="auto"/>
                <w:lang w:eastAsia="cs-CZ"/>
              </w:rPr>
              <w:br/>
            </w:r>
            <w:r w:rsidRPr="00627344">
              <w:rPr>
                <w:color w:val="auto"/>
                <w:lang w:eastAsia="cs-CZ"/>
              </w:rPr>
              <w:t>v</w:t>
            </w:r>
            <w:r w:rsidR="000A0654">
              <w:rPr>
                <w:color w:val="auto"/>
                <w:lang w:eastAsia="cs-CZ"/>
              </w:rPr>
              <w:t xml:space="preserve"> </w:t>
            </w:r>
            <w:r w:rsidRPr="00627344">
              <w:rPr>
                <w:color w:val="auto"/>
                <w:lang w:eastAsia="cs-CZ"/>
              </w:rPr>
              <w:t>povoleném kasinu daného provozovatele dle § 4b odst. 4 zákona č. 202/1990 Sb., o</w:t>
            </w:r>
            <w:r w:rsidR="00630C79">
              <w:rPr>
                <w:color w:val="auto"/>
                <w:lang w:eastAsia="cs-CZ"/>
              </w:rPr>
              <w:t> </w:t>
            </w:r>
            <w:r w:rsidRPr="00627344">
              <w:rPr>
                <w:color w:val="auto"/>
                <w:lang w:eastAsia="cs-CZ"/>
              </w:rPr>
              <w:t xml:space="preserve">loteriích a jiných podobných hrách, neprodleně po </w:t>
            </w:r>
            <w:r w:rsidR="00630C79">
              <w:rPr>
                <w:color w:val="auto"/>
                <w:lang w:eastAsia="cs-CZ"/>
              </w:rPr>
              <w:t>s</w:t>
            </w:r>
            <w:r w:rsidRPr="00627344">
              <w:rPr>
                <w:color w:val="auto"/>
                <w:lang w:eastAsia="cs-CZ"/>
              </w:rPr>
              <w:t xml:space="preserve">končení jejich povolení, dopustilo, že nesrovnalosti ve složených jistotách nebylo možné s bankami věcně projednat. Vyúčtování učinilo až v době, kdy byla společnost </w:t>
            </w:r>
            <w:r w:rsidR="00630C79" w:rsidRPr="00627344">
              <w:rPr>
                <w:color w:val="auto"/>
                <w:lang w:eastAsia="cs-CZ"/>
              </w:rPr>
              <w:t xml:space="preserve">ke dni 23. 6. 2021 </w:t>
            </w:r>
            <w:r w:rsidRPr="00627344">
              <w:rPr>
                <w:color w:val="auto"/>
                <w:lang w:eastAsia="cs-CZ"/>
              </w:rPr>
              <w:t>vymazána z obchodního rejstříku z</w:t>
            </w:r>
            <w:r w:rsidR="00630C79">
              <w:rPr>
                <w:color w:val="auto"/>
                <w:lang w:eastAsia="cs-CZ"/>
              </w:rPr>
              <w:t> </w:t>
            </w:r>
            <w:r w:rsidRPr="00627344">
              <w:rPr>
                <w:color w:val="auto"/>
                <w:lang w:eastAsia="cs-CZ"/>
              </w:rPr>
              <w:t>důvodu ukončení likvidace společnosti. MF dopustilo, že pohledávka státu nebyla úspěšně vymožena, tj. že státu nebyl uhrazen daňový nedoplatek ve výši 2 303 000 Kč.</w:t>
            </w:r>
          </w:p>
        </w:tc>
      </w:tr>
    </w:tbl>
    <w:p w14:paraId="70ADB74F" w14:textId="3C6E22A6" w:rsidR="00754430" w:rsidRPr="00BA1024" w:rsidRDefault="00754430" w:rsidP="00BA1024">
      <w:pPr>
        <w:pStyle w:val="Odstavecseseznamem"/>
        <w:spacing w:after="120"/>
        <w:ind w:left="0"/>
        <w:rPr>
          <w:sz w:val="24"/>
          <w:szCs w:val="24"/>
        </w:rPr>
      </w:pPr>
    </w:p>
    <w:p w14:paraId="7642B2DE" w14:textId="390FB2D0" w:rsidR="004D76C0" w:rsidRPr="008142C5" w:rsidRDefault="004D76C0" w:rsidP="004D76C0">
      <w:pPr>
        <w:pStyle w:val="Odstavecseseznamem"/>
        <w:numPr>
          <w:ilvl w:val="1"/>
          <w:numId w:val="17"/>
        </w:numPr>
        <w:spacing w:after="120"/>
        <w:ind w:left="0" w:firstLine="0"/>
        <w:contextualSpacing w:val="0"/>
        <w:rPr>
          <w:rFonts w:asciiTheme="minorHAnsi" w:hAnsiTheme="minorHAnsi" w:cstheme="minorHAnsi"/>
          <w:strike/>
          <w:sz w:val="24"/>
          <w:szCs w:val="24"/>
        </w:rPr>
      </w:pPr>
      <w:r w:rsidRPr="00891C9D">
        <w:rPr>
          <w:rFonts w:asciiTheme="minorHAnsi" w:hAnsiTheme="minorHAnsi" w:cstheme="minorHAnsi"/>
          <w:sz w:val="24"/>
          <w:szCs w:val="24"/>
        </w:rPr>
        <w:t xml:space="preserve">Orgány FS </w:t>
      </w:r>
      <w:r>
        <w:rPr>
          <w:rFonts w:asciiTheme="minorHAnsi" w:hAnsiTheme="minorHAnsi" w:cstheme="minorHAnsi"/>
          <w:sz w:val="24"/>
          <w:szCs w:val="24"/>
        </w:rPr>
        <w:t xml:space="preserve">ČR </w:t>
      </w:r>
      <w:r w:rsidRPr="00891C9D">
        <w:rPr>
          <w:rFonts w:asciiTheme="minorHAnsi" w:hAnsiTheme="minorHAnsi" w:cstheme="minorHAnsi"/>
          <w:sz w:val="24"/>
          <w:szCs w:val="24"/>
        </w:rPr>
        <w:t>jsou dle ZHH povinny předávat MF informace o porušení povinností při správě daně z hazardních her poplatníky daně z hazardních her. NKÚ na kontrolním vzorku</w:t>
      </w:r>
      <w:r w:rsidR="00630C79">
        <w:rPr>
          <w:rFonts w:asciiTheme="minorHAnsi" w:hAnsiTheme="minorHAnsi" w:cstheme="minorHAnsi"/>
          <w:sz w:val="24"/>
          <w:szCs w:val="24"/>
        </w:rPr>
        <w:t xml:space="preserve"> </w:t>
      </w:r>
      <w:r w:rsidRPr="00891C9D">
        <w:rPr>
          <w:rFonts w:asciiTheme="minorHAnsi" w:hAnsiTheme="minorHAnsi" w:cstheme="minorHAnsi"/>
          <w:sz w:val="24"/>
          <w:szCs w:val="24"/>
        </w:rPr>
        <w:t>15</w:t>
      </w:r>
      <w:r w:rsidR="005715A0">
        <w:rPr>
          <w:rFonts w:asciiTheme="minorHAnsi" w:hAnsiTheme="minorHAnsi" w:cstheme="minorHAnsi"/>
          <w:sz w:val="24"/>
          <w:szCs w:val="24"/>
        </w:rPr>
        <w:t> </w:t>
      </w:r>
      <w:r w:rsidRPr="00891C9D">
        <w:rPr>
          <w:rFonts w:asciiTheme="minorHAnsi" w:hAnsiTheme="minorHAnsi" w:cstheme="minorHAnsi"/>
          <w:sz w:val="24"/>
          <w:szCs w:val="24"/>
        </w:rPr>
        <w:t>vybraných případů zjistil, že v 11 případech docházelo ze strany daňových subjektů</w:t>
      </w:r>
      <w:r w:rsidR="00630C79">
        <w:rPr>
          <w:rFonts w:asciiTheme="minorHAnsi" w:hAnsiTheme="minorHAnsi" w:cstheme="minorHAnsi"/>
          <w:sz w:val="24"/>
          <w:szCs w:val="24"/>
        </w:rPr>
        <w:t xml:space="preserve"> </w:t>
      </w:r>
      <w:r w:rsidRPr="00891C9D">
        <w:rPr>
          <w:rFonts w:asciiTheme="minorHAnsi" w:hAnsiTheme="minorHAnsi" w:cstheme="minorHAnsi"/>
          <w:sz w:val="24"/>
          <w:szCs w:val="24"/>
        </w:rPr>
        <w:t>k</w:t>
      </w:r>
      <w:r w:rsidR="005715A0">
        <w:rPr>
          <w:rFonts w:asciiTheme="minorHAnsi" w:hAnsiTheme="minorHAnsi" w:cstheme="minorHAnsi"/>
          <w:sz w:val="24"/>
          <w:szCs w:val="24"/>
        </w:rPr>
        <w:t> </w:t>
      </w:r>
      <w:r w:rsidRPr="00891C9D">
        <w:rPr>
          <w:rFonts w:asciiTheme="minorHAnsi" w:hAnsiTheme="minorHAnsi" w:cstheme="minorHAnsi"/>
          <w:sz w:val="24"/>
          <w:szCs w:val="24"/>
        </w:rPr>
        <w:t xml:space="preserve">porušování povinností při správě daně (platba daně), o čemž SFÚ Ministerstvo financí neinformoval. </w:t>
      </w:r>
      <w:r w:rsidR="005715A0" w:rsidRPr="008142C5">
        <w:rPr>
          <w:rFonts w:asciiTheme="minorHAnsi" w:hAnsiTheme="minorHAnsi" w:cstheme="minorHAnsi"/>
          <w:sz w:val="24"/>
          <w:szCs w:val="24"/>
        </w:rPr>
        <w:t xml:space="preserve">SFÚ </w:t>
      </w:r>
      <w:r w:rsidR="005715A0">
        <w:rPr>
          <w:rFonts w:asciiTheme="minorHAnsi" w:hAnsiTheme="minorHAnsi" w:cstheme="minorHAnsi"/>
          <w:sz w:val="24"/>
          <w:szCs w:val="24"/>
        </w:rPr>
        <w:t>t</w:t>
      </w:r>
      <w:r w:rsidRPr="00523DA2">
        <w:rPr>
          <w:rFonts w:asciiTheme="minorHAnsi" w:hAnsiTheme="minorHAnsi" w:cstheme="minorHAnsi"/>
          <w:sz w:val="24"/>
          <w:szCs w:val="24"/>
        </w:rPr>
        <w:t>ímto</w:t>
      </w:r>
      <w:r w:rsidRPr="008142C5">
        <w:rPr>
          <w:rFonts w:asciiTheme="minorHAnsi" w:hAnsiTheme="minorHAnsi" w:cstheme="minorHAnsi"/>
          <w:sz w:val="24"/>
          <w:szCs w:val="24"/>
        </w:rPr>
        <w:t xml:space="preserve"> postupem porušil </w:t>
      </w:r>
      <w:r w:rsidR="005715A0" w:rsidRPr="008142C5">
        <w:rPr>
          <w:rFonts w:asciiTheme="minorHAnsi" w:hAnsiTheme="minorHAnsi" w:cstheme="minorHAnsi"/>
          <w:sz w:val="24"/>
          <w:szCs w:val="24"/>
        </w:rPr>
        <w:t xml:space="preserve">také </w:t>
      </w:r>
      <w:r w:rsidRPr="008142C5">
        <w:rPr>
          <w:rFonts w:asciiTheme="minorHAnsi" w:hAnsiTheme="minorHAnsi" w:cstheme="minorHAnsi"/>
          <w:sz w:val="24"/>
          <w:szCs w:val="24"/>
        </w:rPr>
        <w:t>povinnost uloženou ustanovením § 8 ZDHH, když MF neposkytl informace o porušení povinností při správě daně z hazardních her pro účely řízení o zrušení základního povolení dle tohoto zákona.</w:t>
      </w:r>
    </w:p>
    <w:p w14:paraId="141F6DAE" w14:textId="302B9B0A" w:rsidR="007C36FD" w:rsidRPr="008142C5" w:rsidRDefault="00C90D00" w:rsidP="00BA1024">
      <w:pPr>
        <w:pStyle w:val="Odstavecseseznamem"/>
        <w:numPr>
          <w:ilvl w:val="1"/>
          <w:numId w:val="17"/>
        </w:numPr>
        <w:spacing w:after="120"/>
        <w:ind w:left="0" w:firstLine="0"/>
        <w:contextualSpacing w:val="0"/>
        <w:rPr>
          <w:rFonts w:asciiTheme="minorHAnsi" w:hAnsiTheme="minorHAnsi" w:cstheme="minorHAnsi"/>
          <w:strike/>
          <w:sz w:val="24"/>
          <w:szCs w:val="24"/>
        </w:rPr>
      </w:pPr>
      <w:r w:rsidRPr="008142C5">
        <w:rPr>
          <w:rFonts w:asciiTheme="minorHAnsi" w:hAnsiTheme="minorHAnsi" w:cstheme="minorHAnsi"/>
          <w:sz w:val="24"/>
          <w:szCs w:val="24"/>
        </w:rPr>
        <w:t>Postupy správce daně při rozhodování o posečkání úhrady daně byly upraveny interním</w:t>
      </w:r>
      <w:r w:rsidR="005715A0">
        <w:rPr>
          <w:rFonts w:asciiTheme="minorHAnsi" w:hAnsiTheme="minorHAnsi" w:cstheme="minorHAnsi"/>
          <w:sz w:val="24"/>
          <w:szCs w:val="24"/>
        </w:rPr>
        <w:t>i</w:t>
      </w:r>
      <w:r w:rsidRPr="008142C5">
        <w:rPr>
          <w:rFonts w:asciiTheme="minorHAnsi" w:hAnsiTheme="minorHAnsi" w:cstheme="minorHAnsi"/>
          <w:sz w:val="24"/>
          <w:szCs w:val="24"/>
        </w:rPr>
        <w:t xml:space="preserve"> akt</w:t>
      </w:r>
      <w:r w:rsidR="005715A0">
        <w:rPr>
          <w:rFonts w:asciiTheme="minorHAnsi" w:hAnsiTheme="minorHAnsi" w:cstheme="minorHAnsi"/>
          <w:sz w:val="24"/>
          <w:szCs w:val="24"/>
        </w:rPr>
        <w:t>y</w:t>
      </w:r>
      <w:r w:rsidRPr="008142C5">
        <w:rPr>
          <w:rFonts w:asciiTheme="minorHAnsi" w:hAnsiTheme="minorHAnsi" w:cstheme="minorHAnsi"/>
          <w:sz w:val="24"/>
          <w:szCs w:val="24"/>
        </w:rPr>
        <w:t xml:space="preserve"> řízení</w:t>
      </w:r>
      <w:r w:rsidR="005715A0">
        <w:rPr>
          <w:rFonts w:asciiTheme="minorHAnsi" w:hAnsiTheme="minorHAnsi" w:cstheme="minorHAnsi"/>
          <w:sz w:val="24"/>
          <w:szCs w:val="24"/>
        </w:rPr>
        <w:t xml:space="preserve"> v podobě</w:t>
      </w:r>
      <w:r w:rsidRPr="008142C5">
        <w:rPr>
          <w:rFonts w:asciiTheme="minorHAnsi" w:hAnsiTheme="minorHAnsi" w:cstheme="minorHAnsi"/>
          <w:i/>
          <w:sz w:val="24"/>
          <w:szCs w:val="24"/>
        </w:rPr>
        <w:t xml:space="preserve"> </w:t>
      </w:r>
      <w:r w:rsidR="005715A0">
        <w:rPr>
          <w:rFonts w:asciiTheme="minorHAnsi" w:hAnsiTheme="minorHAnsi" w:cstheme="minorHAnsi"/>
          <w:i/>
          <w:sz w:val="24"/>
          <w:szCs w:val="24"/>
        </w:rPr>
        <w:t>m</w:t>
      </w:r>
      <w:r w:rsidRPr="008142C5">
        <w:rPr>
          <w:rFonts w:asciiTheme="minorHAnsi" w:hAnsiTheme="minorHAnsi" w:cstheme="minorHAnsi"/>
          <w:i/>
          <w:sz w:val="24"/>
          <w:szCs w:val="24"/>
        </w:rPr>
        <w:t>etodický</w:t>
      </w:r>
      <w:r w:rsidR="005715A0">
        <w:rPr>
          <w:rFonts w:asciiTheme="minorHAnsi" w:hAnsiTheme="minorHAnsi" w:cstheme="minorHAnsi"/>
          <w:i/>
          <w:sz w:val="24"/>
          <w:szCs w:val="24"/>
        </w:rPr>
        <w:t>ch</w:t>
      </w:r>
      <w:r w:rsidRPr="008142C5">
        <w:rPr>
          <w:rFonts w:asciiTheme="minorHAnsi" w:hAnsiTheme="minorHAnsi" w:cstheme="minorHAnsi"/>
          <w:i/>
          <w:sz w:val="24"/>
          <w:szCs w:val="24"/>
        </w:rPr>
        <w:t xml:space="preserve"> pokyn</w:t>
      </w:r>
      <w:r w:rsidR="005715A0">
        <w:rPr>
          <w:rFonts w:asciiTheme="minorHAnsi" w:hAnsiTheme="minorHAnsi" w:cstheme="minorHAnsi"/>
          <w:i/>
          <w:sz w:val="24"/>
          <w:szCs w:val="24"/>
        </w:rPr>
        <w:t>ů</w:t>
      </w:r>
      <w:r w:rsidRPr="008142C5">
        <w:rPr>
          <w:rFonts w:asciiTheme="minorHAnsi" w:hAnsiTheme="minorHAnsi" w:cstheme="minorHAnsi"/>
          <w:i/>
          <w:sz w:val="24"/>
          <w:szCs w:val="24"/>
        </w:rPr>
        <w:t xml:space="preserve"> k posečkání </w:t>
      </w:r>
      <w:r w:rsidRPr="008142C5">
        <w:rPr>
          <w:rFonts w:asciiTheme="minorHAnsi" w:hAnsiTheme="minorHAnsi" w:cstheme="minorHAnsi"/>
          <w:sz w:val="24"/>
          <w:szCs w:val="24"/>
        </w:rPr>
        <w:t>ze dne 8. 4. 2015</w:t>
      </w:r>
      <w:r w:rsidRPr="008142C5" w:rsidDel="00212BDF">
        <w:rPr>
          <w:rFonts w:asciiTheme="minorHAnsi" w:hAnsiTheme="minorHAnsi" w:cstheme="minorHAnsi"/>
          <w:sz w:val="24"/>
          <w:szCs w:val="24"/>
        </w:rPr>
        <w:t xml:space="preserve"> </w:t>
      </w:r>
      <w:r w:rsidRPr="008142C5">
        <w:rPr>
          <w:rFonts w:asciiTheme="minorHAnsi" w:hAnsiTheme="minorHAnsi" w:cstheme="minorHAnsi"/>
          <w:sz w:val="24"/>
          <w:szCs w:val="24"/>
        </w:rPr>
        <w:t>a dále ze dne 16. 2. 2021</w:t>
      </w:r>
      <w:r w:rsidR="00144417">
        <w:rPr>
          <w:rFonts w:asciiTheme="minorHAnsi" w:hAnsiTheme="minorHAnsi" w:cstheme="minorHAnsi"/>
          <w:sz w:val="24"/>
          <w:szCs w:val="24"/>
        </w:rPr>
        <w:t>,</w:t>
      </w:r>
      <w:r w:rsidRPr="008142C5">
        <w:rPr>
          <w:rFonts w:asciiTheme="minorHAnsi" w:hAnsiTheme="minorHAnsi" w:cstheme="minorHAnsi"/>
          <w:i/>
          <w:sz w:val="24"/>
          <w:szCs w:val="24"/>
        </w:rPr>
        <w:t xml:space="preserve"> </w:t>
      </w:r>
      <w:r w:rsidR="00212BDF" w:rsidRPr="008142C5">
        <w:rPr>
          <w:rFonts w:asciiTheme="minorHAnsi" w:hAnsiTheme="minorHAnsi" w:cstheme="minorHAnsi"/>
          <w:sz w:val="24"/>
          <w:szCs w:val="24"/>
        </w:rPr>
        <w:t xml:space="preserve">ve kterých </w:t>
      </w:r>
      <w:r w:rsidRPr="008142C5">
        <w:rPr>
          <w:rFonts w:asciiTheme="minorHAnsi" w:hAnsiTheme="minorHAnsi" w:cstheme="minorHAnsi"/>
          <w:sz w:val="24"/>
          <w:szCs w:val="24"/>
        </w:rPr>
        <w:t>je mj. uvedeno</w:t>
      </w:r>
      <w:r w:rsidR="00212BDF" w:rsidRPr="008142C5">
        <w:rPr>
          <w:rFonts w:asciiTheme="minorHAnsi" w:hAnsiTheme="minorHAnsi" w:cstheme="minorHAnsi"/>
          <w:sz w:val="24"/>
          <w:szCs w:val="24"/>
        </w:rPr>
        <w:t>, že r</w:t>
      </w:r>
      <w:r w:rsidRPr="008142C5">
        <w:rPr>
          <w:rFonts w:asciiTheme="minorHAnsi" w:hAnsiTheme="minorHAnsi" w:cstheme="minorHAnsi"/>
          <w:sz w:val="24"/>
          <w:szCs w:val="24"/>
        </w:rPr>
        <w:t>ozhodnutí správce daně o žádosti o posečkání musí vždy sledovat základní cíl správy daní, tj. zabezpečení úhrady daně. V okamžiku rozhodování</w:t>
      </w:r>
      <w:r w:rsidR="00630C79">
        <w:rPr>
          <w:rFonts w:asciiTheme="minorHAnsi" w:hAnsiTheme="minorHAnsi" w:cstheme="minorHAnsi"/>
          <w:sz w:val="24"/>
          <w:szCs w:val="24"/>
        </w:rPr>
        <w:t xml:space="preserve"> </w:t>
      </w:r>
      <w:r w:rsidRPr="008142C5">
        <w:rPr>
          <w:rFonts w:asciiTheme="minorHAnsi" w:hAnsiTheme="minorHAnsi" w:cstheme="minorHAnsi"/>
          <w:sz w:val="24"/>
          <w:szCs w:val="24"/>
        </w:rPr>
        <w:t>o</w:t>
      </w:r>
      <w:r w:rsidR="005715A0">
        <w:rPr>
          <w:rFonts w:asciiTheme="minorHAnsi" w:hAnsiTheme="minorHAnsi" w:cstheme="minorHAnsi"/>
          <w:sz w:val="24"/>
          <w:szCs w:val="24"/>
        </w:rPr>
        <w:t> </w:t>
      </w:r>
      <w:r w:rsidRPr="008142C5">
        <w:rPr>
          <w:rFonts w:asciiTheme="minorHAnsi" w:hAnsiTheme="minorHAnsi" w:cstheme="minorHAnsi"/>
          <w:sz w:val="24"/>
          <w:szCs w:val="24"/>
        </w:rPr>
        <w:t>posečkání musí být patrný objektivně zdůvodnitelný závěr správce daně, že není ohroženo vybrání posečkané daně, pokud by daňový subjekt podmínky posečkání nedodržel a</w:t>
      </w:r>
      <w:r w:rsidR="00247CAB">
        <w:rPr>
          <w:rFonts w:asciiTheme="minorHAnsi" w:hAnsiTheme="minorHAnsi" w:cstheme="minorHAnsi"/>
          <w:sz w:val="24"/>
          <w:szCs w:val="24"/>
        </w:rPr>
        <w:t xml:space="preserve"> </w:t>
      </w:r>
      <w:r w:rsidRPr="008142C5">
        <w:rPr>
          <w:rFonts w:asciiTheme="minorHAnsi" w:hAnsiTheme="minorHAnsi" w:cstheme="minorHAnsi"/>
          <w:sz w:val="24"/>
          <w:szCs w:val="24"/>
        </w:rPr>
        <w:t>daň neuhradil dobrovolně.</w:t>
      </w:r>
      <w:r w:rsidR="00212BDF" w:rsidRPr="008142C5">
        <w:rPr>
          <w:rFonts w:asciiTheme="minorHAnsi" w:hAnsiTheme="minorHAnsi" w:cstheme="minorHAnsi"/>
          <w:i/>
          <w:sz w:val="24"/>
          <w:szCs w:val="24"/>
        </w:rPr>
        <w:t xml:space="preserve"> </w:t>
      </w:r>
      <w:r w:rsidRPr="008142C5">
        <w:rPr>
          <w:rFonts w:asciiTheme="minorHAnsi" w:hAnsiTheme="minorHAnsi" w:cstheme="minorHAnsi"/>
          <w:sz w:val="24"/>
          <w:szCs w:val="24"/>
        </w:rPr>
        <w:t xml:space="preserve">S ohledem na pandemii </w:t>
      </w:r>
      <w:r w:rsidR="009A298C">
        <w:rPr>
          <w:rFonts w:asciiTheme="minorHAnsi" w:hAnsiTheme="minorHAnsi" w:cstheme="minorHAnsi"/>
          <w:sz w:val="24"/>
          <w:szCs w:val="24"/>
        </w:rPr>
        <w:t>covid</w:t>
      </w:r>
      <w:r w:rsidR="005715A0">
        <w:rPr>
          <w:rFonts w:asciiTheme="minorHAnsi" w:hAnsiTheme="minorHAnsi" w:cstheme="minorHAnsi"/>
          <w:sz w:val="24"/>
          <w:szCs w:val="24"/>
        </w:rPr>
        <w:t>u</w:t>
      </w:r>
      <w:r w:rsidRPr="008142C5">
        <w:rPr>
          <w:rFonts w:asciiTheme="minorHAnsi" w:hAnsiTheme="minorHAnsi" w:cstheme="minorHAnsi"/>
          <w:sz w:val="24"/>
          <w:szCs w:val="24"/>
        </w:rPr>
        <w:t xml:space="preserve">-19 </w:t>
      </w:r>
      <w:r w:rsidR="00144417">
        <w:rPr>
          <w:rFonts w:asciiTheme="minorHAnsi" w:hAnsiTheme="minorHAnsi" w:cstheme="minorHAnsi"/>
          <w:sz w:val="24"/>
          <w:szCs w:val="24"/>
        </w:rPr>
        <w:t>vydala</w:t>
      </w:r>
      <w:r w:rsidR="005D38F2">
        <w:rPr>
          <w:rFonts w:asciiTheme="minorHAnsi" w:hAnsiTheme="minorHAnsi" w:cstheme="minorHAnsi"/>
          <w:sz w:val="24"/>
          <w:szCs w:val="24"/>
        </w:rPr>
        <w:t xml:space="preserve"> F</w:t>
      </w:r>
      <w:r w:rsidR="00144417">
        <w:rPr>
          <w:rFonts w:asciiTheme="minorHAnsi" w:hAnsiTheme="minorHAnsi" w:cstheme="minorHAnsi"/>
          <w:sz w:val="24"/>
          <w:szCs w:val="24"/>
        </w:rPr>
        <w:t>S</w:t>
      </w:r>
      <w:r w:rsidRPr="008142C5">
        <w:rPr>
          <w:rFonts w:asciiTheme="minorHAnsi" w:hAnsiTheme="minorHAnsi" w:cstheme="minorHAnsi"/>
          <w:sz w:val="24"/>
          <w:szCs w:val="24"/>
        </w:rPr>
        <w:t xml:space="preserve"> ČR </w:t>
      </w:r>
      <w:r w:rsidRPr="008142C5">
        <w:rPr>
          <w:rFonts w:asciiTheme="minorHAnsi" w:hAnsiTheme="minorHAnsi" w:cstheme="minorHAnsi"/>
          <w:i/>
          <w:sz w:val="24"/>
          <w:szCs w:val="24"/>
        </w:rPr>
        <w:t>Informac</w:t>
      </w:r>
      <w:r w:rsidR="00144417">
        <w:rPr>
          <w:rFonts w:asciiTheme="minorHAnsi" w:hAnsiTheme="minorHAnsi" w:cstheme="minorHAnsi"/>
          <w:i/>
          <w:sz w:val="24"/>
          <w:szCs w:val="24"/>
        </w:rPr>
        <w:t>i</w:t>
      </w:r>
      <w:r w:rsidR="00630C79">
        <w:rPr>
          <w:rFonts w:asciiTheme="minorHAnsi" w:hAnsiTheme="minorHAnsi" w:cstheme="minorHAnsi"/>
          <w:i/>
          <w:sz w:val="24"/>
          <w:szCs w:val="24"/>
        </w:rPr>
        <w:t xml:space="preserve"> </w:t>
      </w:r>
      <w:r w:rsidRPr="008142C5">
        <w:rPr>
          <w:rFonts w:asciiTheme="minorHAnsi" w:hAnsiTheme="minorHAnsi" w:cstheme="minorHAnsi"/>
          <w:i/>
          <w:sz w:val="24"/>
          <w:szCs w:val="24"/>
        </w:rPr>
        <w:t>k posečkání a rozložení úhrady daně na splátky v souvislosti s mimořádnými opatřeními</w:t>
      </w:r>
      <w:r w:rsidRPr="008142C5">
        <w:rPr>
          <w:rFonts w:asciiTheme="minorHAnsi" w:hAnsiTheme="minorHAnsi" w:cstheme="minorHAnsi"/>
          <w:sz w:val="24"/>
          <w:szCs w:val="24"/>
        </w:rPr>
        <w:t>,</w:t>
      </w:r>
      <w:r w:rsidR="00630C79">
        <w:rPr>
          <w:rFonts w:asciiTheme="minorHAnsi" w:hAnsiTheme="minorHAnsi" w:cstheme="minorHAnsi"/>
          <w:sz w:val="24"/>
          <w:szCs w:val="24"/>
        </w:rPr>
        <w:t xml:space="preserve"> </w:t>
      </w:r>
      <w:r w:rsidRPr="008142C5">
        <w:rPr>
          <w:rFonts w:asciiTheme="minorHAnsi" w:hAnsiTheme="minorHAnsi" w:cstheme="minorHAnsi"/>
          <w:sz w:val="24"/>
          <w:szCs w:val="24"/>
        </w:rPr>
        <w:t>ve kter</w:t>
      </w:r>
      <w:r w:rsidR="00142826" w:rsidRPr="008142C5">
        <w:rPr>
          <w:rFonts w:asciiTheme="minorHAnsi" w:hAnsiTheme="minorHAnsi" w:cstheme="minorHAnsi"/>
          <w:sz w:val="24"/>
          <w:szCs w:val="24"/>
        </w:rPr>
        <w:t>é</w:t>
      </w:r>
      <w:r w:rsidRPr="008142C5">
        <w:rPr>
          <w:rFonts w:asciiTheme="minorHAnsi" w:hAnsiTheme="minorHAnsi" w:cstheme="minorHAnsi"/>
          <w:sz w:val="24"/>
          <w:szCs w:val="24"/>
        </w:rPr>
        <w:t xml:space="preserve"> je </w:t>
      </w:r>
      <w:r w:rsidRPr="008142C5">
        <w:rPr>
          <w:rFonts w:asciiTheme="minorHAnsi" w:hAnsiTheme="minorHAnsi" w:cstheme="minorHAnsi"/>
          <w:sz w:val="24"/>
          <w:szCs w:val="24"/>
        </w:rPr>
        <w:lastRenderedPageBreak/>
        <w:t>mj.</w:t>
      </w:r>
      <w:r w:rsidR="00247CAB">
        <w:rPr>
          <w:rFonts w:asciiTheme="minorHAnsi" w:hAnsiTheme="minorHAnsi" w:cstheme="minorHAnsi"/>
          <w:sz w:val="24"/>
          <w:szCs w:val="24"/>
        </w:rPr>
        <w:t> </w:t>
      </w:r>
      <w:r w:rsidRPr="008142C5">
        <w:rPr>
          <w:rFonts w:asciiTheme="minorHAnsi" w:hAnsiTheme="minorHAnsi" w:cstheme="minorHAnsi"/>
          <w:sz w:val="24"/>
          <w:szCs w:val="24"/>
        </w:rPr>
        <w:t>uvedeno</w:t>
      </w:r>
      <w:r w:rsidR="00142826" w:rsidRPr="008142C5">
        <w:rPr>
          <w:rFonts w:asciiTheme="minorHAnsi" w:hAnsiTheme="minorHAnsi" w:cstheme="minorHAnsi"/>
          <w:sz w:val="24"/>
          <w:szCs w:val="24"/>
        </w:rPr>
        <w:t>, že v</w:t>
      </w:r>
      <w:r w:rsidRPr="008142C5">
        <w:rPr>
          <w:rFonts w:asciiTheme="minorHAnsi" w:hAnsiTheme="minorHAnsi" w:cstheme="minorHAnsi"/>
          <w:sz w:val="24"/>
          <w:szCs w:val="24"/>
        </w:rPr>
        <w:t xml:space="preserve"> žádosti musí</w:t>
      </w:r>
      <w:r w:rsidR="00142826" w:rsidRPr="008142C5">
        <w:rPr>
          <w:rFonts w:asciiTheme="minorHAnsi" w:hAnsiTheme="minorHAnsi" w:cstheme="minorHAnsi"/>
          <w:sz w:val="24"/>
          <w:szCs w:val="24"/>
        </w:rPr>
        <w:t xml:space="preserve"> daňový subjekt</w:t>
      </w:r>
      <w:r w:rsidRPr="008142C5">
        <w:rPr>
          <w:rFonts w:asciiTheme="minorHAnsi" w:hAnsiTheme="minorHAnsi" w:cstheme="minorHAnsi"/>
          <w:sz w:val="24"/>
          <w:szCs w:val="24"/>
        </w:rPr>
        <w:t xml:space="preserve"> tvrdit a doložit některý ze zákonných důvodů</w:t>
      </w:r>
      <w:r w:rsidR="005715A0">
        <w:rPr>
          <w:rStyle w:val="Znakapoznpodarou"/>
          <w:rFonts w:asciiTheme="minorHAnsi" w:hAnsiTheme="minorHAnsi" w:cstheme="minorHAnsi"/>
          <w:sz w:val="24"/>
          <w:szCs w:val="24"/>
        </w:rPr>
        <w:footnoteReference w:id="31"/>
      </w:r>
      <w:r w:rsidRPr="008142C5">
        <w:rPr>
          <w:rFonts w:asciiTheme="minorHAnsi" w:hAnsiTheme="minorHAnsi" w:cstheme="minorHAnsi"/>
          <w:sz w:val="24"/>
          <w:szCs w:val="24"/>
        </w:rPr>
        <w:t>, pro které může finanční úřad posečkání povolit</w:t>
      </w:r>
      <w:r w:rsidR="00142826" w:rsidRPr="008142C5">
        <w:rPr>
          <w:rFonts w:asciiTheme="minorHAnsi" w:hAnsiTheme="minorHAnsi" w:cstheme="minorHAnsi"/>
          <w:sz w:val="24"/>
          <w:szCs w:val="24"/>
        </w:rPr>
        <w:t xml:space="preserve">. </w:t>
      </w:r>
    </w:p>
    <w:tbl>
      <w:tblPr>
        <w:tblStyle w:val="Mkatabulky"/>
        <w:tblpPr w:leftFromText="141" w:rightFromText="141" w:vertAnchor="text" w:horzAnchor="margin" w:tblpY="2379"/>
        <w:tblW w:w="0" w:type="auto"/>
        <w:tblLook w:val="04A0" w:firstRow="1" w:lastRow="0" w:firstColumn="1" w:lastColumn="0" w:noHBand="0" w:noVBand="1"/>
      </w:tblPr>
      <w:tblGrid>
        <w:gridCol w:w="9062"/>
      </w:tblGrid>
      <w:tr w:rsidR="00CD0404" w:rsidRPr="00350D4D" w14:paraId="29EA7469" w14:textId="77777777" w:rsidTr="00247CAB">
        <w:tc>
          <w:tcPr>
            <w:tcW w:w="9062" w:type="dxa"/>
            <w:shd w:val="clear" w:color="auto" w:fill="F2C6C9"/>
          </w:tcPr>
          <w:p w14:paraId="72FFE439" w14:textId="77777777" w:rsidR="00CD0404" w:rsidRDefault="00CD0404" w:rsidP="00247CAB">
            <w:pPr>
              <w:spacing w:before="120" w:after="120"/>
              <w:ind w:left="1230" w:hanging="1230"/>
              <w:jc w:val="left"/>
            </w:pPr>
            <w:bookmarkStart w:id="21" w:name="_Hlk134966059"/>
            <w:r w:rsidRPr="00D4784F">
              <w:rPr>
                <w:b/>
              </w:rPr>
              <w:t xml:space="preserve">Příklad č. </w:t>
            </w:r>
            <w:r>
              <w:rPr>
                <w:b/>
              </w:rPr>
              <w:t>3</w:t>
            </w:r>
            <w:r w:rsidRPr="00D4784F">
              <w:rPr>
                <w:b/>
              </w:rPr>
              <w:t>:</w:t>
            </w:r>
            <w:r>
              <w:rPr>
                <w:b/>
              </w:rPr>
              <w:tab/>
              <w:t>Uvolnění</w:t>
            </w:r>
            <w:r w:rsidRPr="00D4784F">
              <w:rPr>
                <w:b/>
              </w:rPr>
              <w:t xml:space="preserve"> kaucí ve výši 60 mil. Kč</w:t>
            </w:r>
            <w:r>
              <w:rPr>
                <w:b/>
              </w:rPr>
              <w:t xml:space="preserve"> v případě provozovatele, který měl daňové nedoplatky</w:t>
            </w:r>
          </w:p>
          <w:bookmarkEnd w:id="21"/>
          <w:p w14:paraId="5DE3626E" w14:textId="1D0F2A8C" w:rsidR="00CD0404" w:rsidRPr="00BA6D1C" w:rsidRDefault="00CD0404" w:rsidP="00CD0404">
            <w:pPr>
              <w:spacing w:after="80"/>
              <w:rPr>
                <w:color w:val="auto"/>
              </w:rPr>
            </w:pPr>
            <w:r w:rsidRPr="00BA6D1C">
              <w:rPr>
                <w:color w:val="auto"/>
              </w:rPr>
              <w:t xml:space="preserve">V březnu 2021 MF souhlasilo s uvolněním kaucí </w:t>
            </w:r>
            <w:r w:rsidR="005715A0">
              <w:rPr>
                <w:color w:val="auto"/>
              </w:rPr>
              <w:t>v podobě</w:t>
            </w:r>
            <w:r w:rsidRPr="00BA6D1C">
              <w:rPr>
                <w:color w:val="auto"/>
              </w:rPr>
              <w:t xml:space="preserve"> bankovní záruky ve výši celkem 60</w:t>
            </w:r>
            <w:r>
              <w:rPr>
                <w:color w:val="auto"/>
              </w:rPr>
              <w:t> </w:t>
            </w:r>
            <w:r w:rsidRPr="00BA6D1C">
              <w:rPr>
                <w:color w:val="auto"/>
              </w:rPr>
              <w:t xml:space="preserve">mil. Kč, ačkoliv SFÚ evidoval </w:t>
            </w:r>
            <w:r>
              <w:rPr>
                <w:color w:val="auto"/>
              </w:rPr>
              <w:t xml:space="preserve">u daného provozovatele </w:t>
            </w:r>
            <w:r w:rsidRPr="00BA6D1C">
              <w:rPr>
                <w:color w:val="auto"/>
              </w:rPr>
              <w:t>nedoplatek na dani z hazardních her za 1. čtvrtletí roku 2020 ve výši 5 647 899 Kč a za 3. čtvrtletí roku 2020 ve výši 12</w:t>
            </w:r>
            <w:r>
              <w:rPr>
                <w:color w:val="auto"/>
              </w:rPr>
              <w:t> </w:t>
            </w:r>
            <w:r w:rsidRPr="00BA6D1C">
              <w:rPr>
                <w:color w:val="auto"/>
              </w:rPr>
              <w:t>979</w:t>
            </w:r>
            <w:r>
              <w:rPr>
                <w:color w:val="auto"/>
              </w:rPr>
              <w:t> </w:t>
            </w:r>
            <w:r w:rsidRPr="00BA6D1C">
              <w:rPr>
                <w:color w:val="auto"/>
              </w:rPr>
              <w:t>496</w:t>
            </w:r>
            <w:r>
              <w:rPr>
                <w:color w:val="auto"/>
              </w:rPr>
              <w:t> </w:t>
            </w:r>
            <w:r w:rsidRPr="00BA6D1C">
              <w:rPr>
                <w:color w:val="auto"/>
              </w:rPr>
              <w:t xml:space="preserve">Kč. U obou nedoplatků povolil </w:t>
            </w:r>
            <w:r w:rsidR="005715A0" w:rsidRPr="00BA6D1C">
              <w:rPr>
                <w:color w:val="auto"/>
              </w:rPr>
              <w:t xml:space="preserve">SFÚ </w:t>
            </w:r>
            <w:r w:rsidRPr="00BA6D1C">
              <w:rPr>
                <w:color w:val="auto"/>
              </w:rPr>
              <w:t>posečkání úhrady do 30. 6. 2021.</w:t>
            </w:r>
          </w:p>
          <w:p w14:paraId="7743FC63" w14:textId="73165849" w:rsidR="00CD0404" w:rsidRPr="00247CAB" w:rsidRDefault="00CD0404" w:rsidP="00CD0404">
            <w:pPr>
              <w:spacing w:after="80"/>
              <w:rPr>
                <w:color w:val="auto"/>
              </w:rPr>
            </w:pPr>
            <w:r w:rsidRPr="00BA6D1C">
              <w:rPr>
                <w:color w:val="auto"/>
              </w:rPr>
              <w:t>MF právě z</w:t>
            </w:r>
            <w:r w:rsidR="000A0654">
              <w:rPr>
                <w:color w:val="auto"/>
              </w:rPr>
              <w:t xml:space="preserve"> </w:t>
            </w:r>
            <w:r w:rsidRPr="00BA6D1C">
              <w:rPr>
                <w:color w:val="auto"/>
              </w:rPr>
              <w:t xml:space="preserve">důvodu posečkání úhrady daně </w:t>
            </w:r>
            <w:r w:rsidR="005715A0" w:rsidRPr="00BA6D1C">
              <w:rPr>
                <w:color w:val="auto"/>
              </w:rPr>
              <w:t xml:space="preserve">souhlasilo </w:t>
            </w:r>
            <w:r w:rsidRPr="00BA6D1C">
              <w:rPr>
                <w:color w:val="auto"/>
              </w:rPr>
              <w:t xml:space="preserve">s uvolněním kaucí a k věci uvedlo: </w:t>
            </w:r>
            <w:r w:rsidRPr="00247CAB">
              <w:rPr>
                <w:color w:val="auto"/>
              </w:rPr>
              <w:t>„</w:t>
            </w:r>
            <w:r w:rsidRPr="00BA6D1C">
              <w:rPr>
                <w:i/>
                <w:color w:val="auto"/>
              </w:rPr>
              <w:t>Vzhledem k tomu, že správce daně vydal rozhodnutí o posečkání úhrady daně, čímž projevil vůli s úhradou daně posečkat, a zároveň nelimitoval toto rozhodnutí možností úhrady takto posečkaného nedoplatku z bankovní záruky přijaté Ministerstvem financí, uděluje Ministerstvo financí souhlas s uvolněním kauce</w:t>
            </w:r>
            <w:r w:rsidRPr="00247CAB">
              <w:rPr>
                <w:color w:val="auto"/>
              </w:rPr>
              <w:t>.“</w:t>
            </w:r>
          </w:p>
          <w:p w14:paraId="0636476C" w14:textId="6B759631" w:rsidR="00CD0404" w:rsidRDefault="00CD0404" w:rsidP="00CD0404">
            <w:pPr>
              <w:spacing w:after="80"/>
              <w:rPr>
                <w:color w:val="auto"/>
              </w:rPr>
            </w:pPr>
            <w:r>
              <w:rPr>
                <w:color w:val="auto"/>
              </w:rPr>
              <w:t xml:space="preserve">V DŘ ani </w:t>
            </w:r>
            <w:r w:rsidR="005715A0">
              <w:rPr>
                <w:color w:val="auto"/>
              </w:rPr>
              <w:t xml:space="preserve">v </w:t>
            </w:r>
            <w:r w:rsidRPr="00BA6D1C">
              <w:rPr>
                <w:color w:val="auto"/>
              </w:rPr>
              <w:t>ZHH není stanoveno, že</w:t>
            </w:r>
            <w:r>
              <w:rPr>
                <w:color w:val="auto"/>
              </w:rPr>
              <w:t xml:space="preserve"> </w:t>
            </w:r>
            <w:r w:rsidRPr="00BA6D1C">
              <w:rPr>
                <w:color w:val="auto"/>
              </w:rPr>
              <w:t xml:space="preserve">pro účely použití kauce by se posečkaná úhrada daně nepovažovala za nedoplatek. MF </w:t>
            </w:r>
            <w:r>
              <w:rPr>
                <w:color w:val="auto"/>
              </w:rPr>
              <w:t>nepostupovalo v souladu s § 90 odst. 4 ZHH, když nevyzvalo výstavce bankovní záruky k úhradě tohoto nedoplatku z důvodu, že</w:t>
            </w:r>
            <w:r w:rsidRPr="00BA6D1C">
              <w:rPr>
                <w:color w:val="auto"/>
              </w:rPr>
              <w:t xml:space="preserve"> evidovaný nedoplatek byl pravomocně posečkán a že v dané době pravomocným rozhodnutím stanovená doba posečkání dosud neuplynula</w:t>
            </w:r>
            <w:r>
              <w:rPr>
                <w:color w:val="auto"/>
              </w:rPr>
              <w:t>.</w:t>
            </w:r>
          </w:p>
          <w:p w14:paraId="6B5EAB9C" w14:textId="517B093D" w:rsidR="00CD0404" w:rsidRPr="00627344" w:rsidRDefault="00CD0404" w:rsidP="00CD0404">
            <w:pPr>
              <w:spacing w:after="120"/>
              <w:rPr>
                <w:rFonts w:asciiTheme="minorHAnsi" w:hAnsiTheme="minorHAnsi"/>
                <w:color w:val="auto"/>
              </w:rPr>
            </w:pPr>
            <w:r w:rsidRPr="00627344">
              <w:rPr>
                <w:color w:val="auto"/>
              </w:rPr>
              <w:t xml:space="preserve">MF </w:t>
            </w:r>
            <w:r w:rsidR="005715A0">
              <w:rPr>
                <w:color w:val="auto"/>
              </w:rPr>
              <w:t>nepostupovalo v souladu s § 89 odst. 4 ZHH</w:t>
            </w:r>
            <w:r w:rsidR="005715A0" w:rsidRPr="00627344">
              <w:rPr>
                <w:color w:val="auto"/>
              </w:rPr>
              <w:t xml:space="preserve"> </w:t>
            </w:r>
            <w:r w:rsidR="005715A0">
              <w:rPr>
                <w:color w:val="auto"/>
              </w:rPr>
              <w:t xml:space="preserve">a </w:t>
            </w:r>
            <w:r w:rsidRPr="00627344">
              <w:rPr>
                <w:color w:val="auto"/>
              </w:rPr>
              <w:t>ne</w:t>
            </w:r>
            <w:r>
              <w:rPr>
                <w:color w:val="auto"/>
              </w:rPr>
              <w:t>po</w:t>
            </w:r>
            <w:r w:rsidRPr="00627344">
              <w:rPr>
                <w:color w:val="auto"/>
              </w:rPr>
              <w:t xml:space="preserve">užilo kauci </w:t>
            </w:r>
            <w:r>
              <w:rPr>
                <w:color w:val="auto"/>
              </w:rPr>
              <w:t xml:space="preserve">provozovatele, </w:t>
            </w:r>
            <w:r w:rsidRPr="00627344">
              <w:rPr>
                <w:color w:val="auto"/>
              </w:rPr>
              <w:t>čímž se pohledávka státu</w:t>
            </w:r>
            <w:r w:rsidR="005715A0">
              <w:rPr>
                <w:color w:val="auto"/>
              </w:rPr>
              <w:t xml:space="preserve"> </w:t>
            </w:r>
            <w:r w:rsidRPr="00627344">
              <w:rPr>
                <w:color w:val="auto"/>
              </w:rPr>
              <w:t xml:space="preserve">z </w:t>
            </w:r>
            <w:r>
              <w:rPr>
                <w:color w:val="auto"/>
              </w:rPr>
              <w:t xml:space="preserve">titulu </w:t>
            </w:r>
            <w:r w:rsidRPr="00627344">
              <w:rPr>
                <w:color w:val="auto"/>
              </w:rPr>
              <w:t>nedoplatku daně z hazardních her ve výši 18 627 395 Kč stala nezajištěnou.</w:t>
            </w:r>
          </w:p>
        </w:tc>
      </w:tr>
    </w:tbl>
    <w:p w14:paraId="527DD931" w14:textId="360615C4" w:rsidR="003624EE" w:rsidRPr="00FB5453" w:rsidRDefault="00FB5453" w:rsidP="00247CAB">
      <w:pPr>
        <w:pStyle w:val="Odstavecseseznamem"/>
        <w:numPr>
          <w:ilvl w:val="1"/>
          <w:numId w:val="17"/>
        </w:numPr>
        <w:spacing w:after="120"/>
        <w:ind w:left="0" w:firstLine="0"/>
        <w:contextualSpacing w:val="0"/>
        <w:rPr>
          <w:rFonts w:asciiTheme="minorHAnsi" w:hAnsiTheme="minorHAnsi" w:cstheme="minorHAnsi"/>
          <w:strike/>
          <w:sz w:val="24"/>
          <w:szCs w:val="24"/>
        </w:rPr>
      </w:pPr>
      <w:r w:rsidRPr="008142C5">
        <w:rPr>
          <w:rFonts w:asciiTheme="minorHAnsi" w:hAnsiTheme="minorHAnsi" w:cstheme="minorHAnsi"/>
          <w:sz w:val="24"/>
          <w:szCs w:val="24"/>
        </w:rPr>
        <w:t xml:space="preserve"> </w:t>
      </w:r>
      <w:r w:rsidR="005A303F" w:rsidRPr="008142C5">
        <w:rPr>
          <w:rFonts w:asciiTheme="minorHAnsi" w:hAnsiTheme="minorHAnsi" w:cstheme="minorHAnsi"/>
          <w:sz w:val="24"/>
          <w:szCs w:val="24"/>
        </w:rPr>
        <w:t>NKÚ zjistil, že v</w:t>
      </w:r>
      <w:r w:rsidR="00C90D00" w:rsidRPr="008142C5">
        <w:rPr>
          <w:rFonts w:asciiTheme="minorHAnsi" w:hAnsiTheme="minorHAnsi" w:cstheme="minorHAnsi"/>
          <w:sz w:val="24"/>
          <w:szCs w:val="24"/>
        </w:rPr>
        <w:t xml:space="preserve"> kontrolovaném období </w:t>
      </w:r>
      <w:r w:rsidR="005715A0">
        <w:rPr>
          <w:rFonts w:asciiTheme="minorHAnsi" w:hAnsiTheme="minorHAnsi" w:cstheme="minorHAnsi"/>
          <w:sz w:val="24"/>
          <w:szCs w:val="24"/>
        </w:rPr>
        <w:t xml:space="preserve">se </w:t>
      </w:r>
      <w:r w:rsidR="00C90D00" w:rsidRPr="008142C5">
        <w:rPr>
          <w:rFonts w:asciiTheme="minorHAnsi" w:hAnsiTheme="minorHAnsi" w:cstheme="minorHAnsi"/>
          <w:sz w:val="24"/>
          <w:szCs w:val="24"/>
        </w:rPr>
        <w:t>počet žádostí o posečkání úhrady daně z</w:t>
      </w:r>
      <w:r w:rsidR="007E5F75" w:rsidRPr="008142C5">
        <w:rPr>
          <w:rFonts w:asciiTheme="minorHAnsi" w:hAnsiTheme="minorHAnsi" w:cstheme="minorHAnsi"/>
          <w:sz w:val="24"/>
          <w:szCs w:val="24"/>
        </w:rPr>
        <w:t> </w:t>
      </w:r>
      <w:r w:rsidR="00C90D00" w:rsidRPr="008142C5">
        <w:rPr>
          <w:rFonts w:asciiTheme="minorHAnsi" w:hAnsiTheme="minorHAnsi" w:cstheme="minorHAnsi"/>
          <w:sz w:val="24"/>
          <w:szCs w:val="24"/>
        </w:rPr>
        <w:t>hazardních her zvyšoval – ze čtyř podaných žádostí v roce 2017 na 114 žádostí v roce 2021</w:t>
      </w:r>
      <w:r w:rsidR="005715A0">
        <w:rPr>
          <w:rFonts w:asciiTheme="minorHAnsi" w:hAnsiTheme="minorHAnsi" w:cstheme="minorHAnsi"/>
          <w:sz w:val="24"/>
          <w:szCs w:val="24"/>
        </w:rPr>
        <w:t>.</w:t>
      </w:r>
      <w:r w:rsidR="00C90D00" w:rsidRPr="008142C5">
        <w:rPr>
          <w:rFonts w:asciiTheme="minorHAnsi" w:hAnsiTheme="minorHAnsi" w:cstheme="minorHAnsi"/>
          <w:sz w:val="24"/>
          <w:szCs w:val="24"/>
        </w:rPr>
        <w:t xml:space="preserve"> </w:t>
      </w:r>
      <w:r w:rsidR="005715A0">
        <w:rPr>
          <w:rFonts w:asciiTheme="minorHAnsi" w:hAnsiTheme="minorHAnsi" w:cstheme="minorHAnsi"/>
          <w:sz w:val="24"/>
          <w:szCs w:val="24"/>
        </w:rPr>
        <w:t>K</w:t>
      </w:r>
      <w:r w:rsidR="00507283" w:rsidRPr="008142C5">
        <w:rPr>
          <w:rFonts w:asciiTheme="minorHAnsi" w:hAnsiTheme="minorHAnsi" w:cstheme="minorHAnsi"/>
          <w:sz w:val="24"/>
          <w:szCs w:val="24"/>
        </w:rPr>
        <w:t> </w:t>
      </w:r>
      <w:r w:rsidR="00C90D00" w:rsidRPr="008142C5">
        <w:rPr>
          <w:rFonts w:asciiTheme="minorHAnsi" w:hAnsiTheme="minorHAnsi" w:cstheme="minorHAnsi"/>
          <w:sz w:val="24"/>
          <w:szCs w:val="24"/>
        </w:rPr>
        <w:t xml:space="preserve">výraznému </w:t>
      </w:r>
      <w:r w:rsidR="005715A0">
        <w:rPr>
          <w:rFonts w:asciiTheme="minorHAnsi" w:hAnsiTheme="minorHAnsi" w:cstheme="minorHAnsi"/>
          <w:sz w:val="24"/>
          <w:szCs w:val="24"/>
        </w:rPr>
        <w:t>(</w:t>
      </w:r>
      <w:r w:rsidR="00C90D00" w:rsidRPr="008142C5">
        <w:rPr>
          <w:rFonts w:asciiTheme="minorHAnsi" w:hAnsiTheme="minorHAnsi" w:cstheme="minorHAnsi"/>
          <w:sz w:val="24"/>
          <w:szCs w:val="24"/>
        </w:rPr>
        <w:t>téměř čtyřnásobnému</w:t>
      </w:r>
      <w:r w:rsidR="005715A0">
        <w:rPr>
          <w:rFonts w:asciiTheme="minorHAnsi" w:hAnsiTheme="minorHAnsi" w:cstheme="minorHAnsi"/>
          <w:sz w:val="24"/>
          <w:szCs w:val="24"/>
        </w:rPr>
        <w:t>)</w:t>
      </w:r>
      <w:r w:rsidR="00C90D00" w:rsidRPr="008142C5">
        <w:rPr>
          <w:rFonts w:asciiTheme="minorHAnsi" w:hAnsiTheme="minorHAnsi" w:cstheme="minorHAnsi"/>
          <w:sz w:val="24"/>
          <w:szCs w:val="24"/>
        </w:rPr>
        <w:t xml:space="preserve"> meziročnímu zvýšení počtu žádostí došlo v roce 2020 (79</w:t>
      </w:r>
      <w:r w:rsidR="00507283" w:rsidRPr="008142C5">
        <w:rPr>
          <w:rFonts w:asciiTheme="minorHAnsi" w:hAnsiTheme="minorHAnsi" w:cstheme="minorHAnsi"/>
          <w:sz w:val="24"/>
          <w:szCs w:val="24"/>
        </w:rPr>
        <w:t> </w:t>
      </w:r>
      <w:r w:rsidR="00C90D00" w:rsidRPr="008142C5">
        <w:rPr>
          <w:rFonts w:asciiTheme="minorHAnsi" w:hAnsiTheme="minorHAnsi" w:cstheme="minorHAnsi"/>
          <w:sz w:val="24"/>
          <w:szCs w:val="24"/>
        </w:rPr>
        <w:t xml:space="preserve">žádostí). </w:t>
      </w:r>
      <w:r w:rsidR="005A303F" w:rsidRPr="008142C5">
        <w:rPr>
          <w:rFonts w:asciiTheme="minorHAnsi" w:hAnsiTheme="minorHAnsi" w:cstheme="minorHAnsi"/>
          <w:sz w:val="24"/>
          <w:szCs w:val="24"/>
        </w:rPr>
        <w:t>Z</w:t>
      </w:r>
      <w:r w:rsidR="00C90D00" w:rsidRPr="008142C5">
        <w:rPr>
          <w:rFonts w:asciiTheme="minorHAnsi" w:hAnsiTheme="minorHAnsi" w:cstheme="minorHAnsi"/>
          <w:sz w:val="24"/>
          <w:szCs w:val="24"/>
        </w:rPr>
        <w:t xml:space="preserve">atímco v letech 2017 a 2019 nebylo z celkově 21 podaných žádostí povoleno ze strany správce daně </w:t>
      </w:r>
      <w:r w:rsidR="005715A0">
        <w:rPr>
          <w:rFonts w:asciiTheme="minorHAnsi" w:hAnsiTheme="minorHAnsi" w:cstheme="minorHAnsi"/>
          <w:sz w:val="24"/>
          <w:szCs w:val="24"/>
        </w:rPr>
        <w:t>(</w:t>
      </w:r>
      <w:r w:rsidR="00C90D00" w:rsidRPr="008142C5">
        <w:rPr>
          <w:rFonts w:asciiTheme="minorHAnsi" w:hAnsiTheme="minorHAnsi" w:cstheme="minorHAnsi"/>
          <w:sz w:val="24"/>
          <w:szCs w:val="24"/>
        </w:rPr>
        <w:t>SFÚ</w:t>
      </w:r>
      <w:r w:rsidR="005715A0">
        <w:rPr>
          <w:rFonts w:asciiTheme="minorHAnsi" w:hAnsiTheme="minorHAnsi" w:cstheme="minorHAnsi"/>
          <w:sz w:val="24"/>
          <w:szCs w:val="24"/>
        </w:rPr>
        <w:t>)</w:t>
      </w:r>
      <w:r w:rsidR="00C90D00" w:rsidRPr="008142C5">
        <w:rPr>
          <w:rFonts w:asciiTheme="minorHAnsi" w:hAnsiTheme="minorHAnsi" w:cstheme="minorHAnsi"/>
          <w:sz w:val="24"/>
          <w:szCs w:val="24"/>
        </w:rPr>
        <w:t xml:space="preserve"> ani jedno posečkání</w:t>
      </w:r>
      <w:r w:rsidR="00AD7B95" w:rsidRPr="008142C5">
        <w:rPr>
          <w:rFonts w:asciiTheme="minorHAnsi" w:hAnsiTheme="minorHAnsi" w:cstheme="minorHAnsi"/>
          <w:sz w:val="24"/>
          <w:szCs w:val="24"/>
        </w:rPr>
        <w:t xml:space="preserve"> (0 %</w:t>
      </w:r>
      <w:r w:rsidR="00EE2DBB" w:rsidRPr="008142C5">
        <w:rPr>
          <w:rFonts w:asciiTheme="minorHAnsi" w:hAnsiTheme="minorHAnsi" w:cstheme="minorHAnsi"/>
          <w:sz w:val="24"/>
          <w:szCs w:val="24"/>
        </w:rPr>
        <w:t>)</w:t>
      </w:r>
      <w:r w:rsidR="00C90D00" w:rsidRPr="008142C5">
        <w:rPr>
          <w:rFonts w:asciiTheme="minorHAnsi" w:hAnsiTheme="minorHAnsi" w:cstheme="minorHAnsi"/>
          <w:sz w:val="24"/>
          <w:szCs w:val="24"/>
        </w:rPr>
        <w:t xml:space="preserve">, v době pandemie </w:t>
      </w:r>
      <w:r w:rsidR="009A298C">
        <w:rPr>
          <w:rFonts w:asciiTheme="minorHAnsi" w:hAnsiTheme="minorHAnsi" w:cstheme="minorHAnsi"/>
          <w:sz w:val="24"/>
          <w:szCs w:val="24"/>
        </w:rPr>
        <w:t>covid</w:t>
      </w:r>
      <w:r w:rsidR="006B7CA7">
        <w:rPr>
          <w:rFonts w:asciiTheme="minorHAnsi" w:hAnsiTheme="minorHAnsi" w:cstheme="minorHAnsi"/>
          <w:sz w:val="24"/>
          <w:szCs w:val="24"/>
        </w:rPr>
        <w:t>u</w:t>
      </w:r>
      <w:r w:rsidR="00C90D00" w:rsidRPr="008142C5">
        <w:rPr>
          <w:rFonts w:asciiTheme="minorHAnsi" w:hAnsiTheme="minorHAnsi" w:cstheme="minorHAnsi"/>
          <w:sz w:val="24"/>
          <w:szCs w:val="24"/>
        </w:rPr>
        <w:t xml:space="preserve">-19, tj. v letech 2020–2021, tvořil podíl </w:t>
      </w:r>
      <w:r w:rsidR="006B7CA7">
        <w:rPr>
          <w:rFonts w:asciiTheme="minorHAnsi" w:hAnsiTheme="minorHAnsi" w:cstheme="minorHAnsi"/>
          <w:sz w:val="24"/>
          <w:szCs w:val="24"/>
        </w:rPr>
        <w:t xml:space="preserve">kladně vyřízených </w:t>
      </w:r>
      <w:r w:rsidR="00C90D00" w:rsidRPr="008142C5">
        <w:rPr>
          <w:rFonts w:asciiTheme="minorHAnsi" w:hAnsiTheme="minorHAnsi" w:cstheme="minorHAnsi"/>
          <w:sz w:val="24"/>
          <w:szCs w:val="24"/>
        </w:rPr>
        <w:t>žádostí o posečkání úhrady daně z hazardních her postupně 94 % a 100 %.</w:t>
      </w:r>
    </w:p>
    <w:p w14:paraId="3C41AFB5" w14:textId="6F8221CA" w:rsidR="00F57788" w:rsidRPr="008142C5" w:rsidRDefault="00F57788" w:rsidP="00247CAB">
      <w:pPr>
        <w:pStyle w:val="Nadpis2"/>
        <w:spacing w:before="480"/>
        <w:rPr>
          <w:rFonts w:asciiTheme="minorHAnsi" w:hAnsiTheme="minorHAnsi"/>
        </w:rPr>
      </w:pPr>
      <w:r w:rsidRPr="008142C5">
        <w:rPr>
          <w:rFonts w:asciiTheme="minorHAnsi" w:hAnsiTheme="minorHAnsi"/>
        </w:rPr>
        <w:t>Výše u</w:t>
      </w:r>
      <w:r w:rsidR="00A33161">
        <w:rPr>
          <w:rFonts w:asciiTheme="minorHAnsi" w:hAnsiTheme="minorHAnsi"/>
        </w:rPr>
        <w:t>kládaných pokut byla na samé spodní hranici</w:t>
      </w:r>
    </w:p>
    <w:p w14:paraId="3EFE7F8E" w14:textId="58DB3810" w:rsidR="00F57788" w:rsidRPr="008142C5" w:rsidRDefault="00A7042B" w:rsidP="001E51C9">
      <w:pPr>
        <w:pStyle w:val="Odstavecseseznamem"/>
        <w:numPr>
          <w:ilvl w:val="1"/>
          <w:numId w:val="17"/>
        </w:numPr>
        <w:spacing w:before="240" w:after="120"/>
        <w:ind w:left="0" w:firstLine="0"/>
        <w:contextualSpacing w:val="0"/>
        <w:rPr>
          <w:rFonts w:asciiTheme="minorHAnsi" w:hAnsiTheme="minorHAnsi" w:cstheme="minorHAnsi"/>
          <w:sz w:val="24"/>
          <w:szCs w:val="24"/>
        </w:rPr>
      </w:pPr>
      <w:r>
        <w:rPr>
          <w:rFonts w:asciiTheme="minorHAnsi" w:hAnsiTheme="minorHAnsi" w:cstheme="minorHAnsi"/>
          <w:sz w:val="24"/>
          <w:szCs w:val="24"/>
        </w:rPr>
        <w:t>V</w:t>
      </w:r>
      <w:r w:rsidR="00F57788" w:rsidRPr="008142C5">
        <w:rPr>
          <w:rFonts w:asciiTheme="minorHAnsi" w:hAnsiTheme="minorHAnsi" w:cstheme="minorHAnsi"/>
          <w:sz w:val="24"/>
          <w:szCs w:val="24"/>
        </w:rPr>
        <w:t>ýše pravomocně uložených pokut orgánů CS ČR činila v letech 2017–2021 celkem 94,2</w:t>
      </w:r>
      <w:r w:rsidR="00247CAB">
        <w:rPr>
          <w:rFonts w:asciiTheme="minorHAnsi" w:hAnsiTheme="minorHAnsi" w:cstheme="minorHAnsi"/>
          <w:sz w:val="24"/>
          <w:szCs w:val="24"/>
        </w:rPr>
        <w:t> </w:t>
      </w:r>
      <w:r w:rsidR="00F57788" w:rsidRPr="008142C5">
        <w:rPr>
          <w:rFonts w:asciiTheme="minorHAnsi" w:hAnsiTheme="minorHAnsi" w:cstheme="minorHAnsi"/>
          <w:sz w:val="24"/>
          <w:szCs w:val="24"/>
        </w:rPr>
        <w:t>mil.</w:t>
      </w:r>
      <w:r w:rsidR="00247CAB">
        <w:rPr>
          <w:rFonts w:asciiTheme="minorHAnsi" w:hAnsiTheme="minorHAnsi" w:cstheme="minorHAnsi"/>
          <w:sz w:val="24"/>
          <w:szCs w:val="24"/>
        </w:rPr>
        <w:t> </w:t>
      </w:r>
      <w:r w:rsidR="00F57788" w:rsidRPr="008142C5">
        <w:rPr>
          <w:rFonts w:asciiTheme="minorHAnsi" w:hAnsiTheme="minorHAnsi" w:cstheme="minorHAnsi"/>
          <w:sz w:val="24"/>
          <w:szCs w:val="24"/>
        </w:rPr>
        <w:t>Kč. NKÚ zjistil, že pokuty byly uloženy pouze v řád</w:t>
      </w:r>
      <w:r>
        <w:rPr>
          <w:rFonts w:asciiTheme="minorHAnsi" w:hAnsiTheme="minorHAnsi" w:cstheme="minorHAnsi"/>
          <w:sz w:val="24"/>
          <w:szCs w:val="24"/>
        </w:rPr>
        <w:t>u</w:t>
      </w:r>
      <w:r w:rsidR="00F57788" w:rsidRPr="008142C5">
        <w:rPr>
          <w:rFonts w:asciiTheme="minorHAnsi" w:hAnsiTheme="minorHAnsi" w:cstheme="minorHAnsi"/>
          <w:sz w:val="24"/>
          <w:szCs w:val="24"/>
        </w:rPr>
        <w:t xml:space="preserve"> jednotek procent hodnoty umožněné zákonem o hazardních hrách. Toto NKÚ ověřil na kontrolním vzorku pěti provozovatelů s platným základním povolením, kterým bylo uloženo nejvíce pokut</w:t>
      </w:r>
      <w:r w:rsidR="00D76CF7">
        <w:rPr>
          <w:rFonts w:asciiTheme="minorHAnsi" w:hAnsiTheme="minorHAnsi" w:cstheme="minorHAnsi"/>
          <w:sz w:val="24"/>
          <w:szCs w:val="24"/>
        </w:rPr>
        <w:t>,</w:t>
      </w:r>
      <w:r w:rsidR="00F57788" w:rsidRPr="008142C5">
        <w:rPr>
          <w:rFonts w:asciiTheme="minorHAnsi" w:hAnsiTheme="minorHAnsi" w:cstheme="minorHAnsi"/>
          <w:sz w:val="24"/>
          <w:szCs w:val="24"/>
        </w:rPr>
        <w:t xml:space="preserve"> a na </w:t>
      </w:r>
      <w:r>
        <w:rPr>
          <w:rFonts w:asciiTheme="minorHAnsi" w:hAnsiTheme="minorHAnsi" w:cstheme="minorHAnsi"/>
          <w:sz w:val="24"/>
          <w:szCs w:val="24"/>
        </w:rPr>
        <w:t xml:space="preserve">vzorku </w:t>
      </w:r>
      <w:r w:rsidR="00F57788" w:rsidRPr="008142C5">
        <w:rPr>
          <w:rFonts w:asciiTheme="minorHAnsi" w:hAnsiTheme="minorHAnsi" w:cstheme="minorHAnsi"/>
          <w:sz w:val="24"/>
          <w:szCs w:val="24"/>
        </w:rPr>
        <w:t>216 provozovatel</w:t>
      </w:r>
      <w:r w:rsidR="004B3F2F">
        <w:rPr>
          <w:rFonts w:asciiTheme="minorHAnsi" w:hAnsiTheme="minorHAnsi" w:cstheme="minorHAnsi"/>
          <w:sz w:val="24"/>
          <w:szCs w:val="24"/>
        </w:rPr>
        <w:t>ů</w:t>
      </w:r>
      <w:r w:rsidR="00F57788" w:rsidRPr="008142C5">
        <w:rPr>
          <w:rFonts w:asciiTheme="minorHAnsi" w:hAnsiTheme="minorHAnsi" w:cstheme="minorHAnsi"/>
          <w:sz w:val="24"/>
          <w:szCs w:val="24"/>
        </w:rPr>
        <w:t xml:space="preserve"> bez základního povolení</w:t>
      </w:r>
      <w:r w:rsidR="00ED26E2">
        <w:rPr>
          <w:rFonts w:asciiTheme="minorHAnsi" w:hAnsiTheme="minorHAnsi" w:cstheme="minorHAnsi"/>
          <w:sz w:val="24"/>
          <w:szCs w:val="24"/>
        </w:rPr>
        <w:t>.</w:t>
      </w:r>
      <w:r w:rsidR="00F57788" w:rsidRPr="008142C5">
        <w:rPr>
          <w:rFonts w:asciiTheme="minorHAnsi" w:hAnsiTheme="minorHAnsi" w:cstheme="minorHAnsi"/>
        </w:rPr>
        <w:t xml:space="preserve"> </w:t>
      </w:r>
    </w:p>
    <w:p w14:paraId="44704B65" w14:textId="498911BE" w:rsidR="00F57788" w:rsidRPr="008142C5" w:rsidRDefault="00F57788" w:rsidP="00F57788">
      <w:pPr>
        <w:pStyle w:val="Odstavecseseznamem"/>
        <w:numPr>
          <w:ilvl w:val="1"/>
          <w:numId w:val="17"/>
        </w:numPr>
        <w:spacing w:after="120"/>
        <w:ind w:left="0" w:firstLine="0"/>
        <w:contextualSpacing w:val="0"/>
        <w:rPr>
          <w:rFonts w:asciiTheme="minorHAnsi" w:hAnsiTheme="minorHAnsi" w:cstheme="minorHAnsi"/>
          <w:sz w:val="24"/>
          <w:szCs w:val="24"/>
        </w:rPr>
      </w:pPr>
      <w:r w:rsidRPr="008142C5">
        <w:rPr>
          <w:rFonts w:asciiTheme="minorHAnsi" w:hAnsiTheme="minorHAnsi" w:cstheme="minorHAnsi"/>
          <w:sz w:val="24"/>
          <w:szCs w:val="24"/>
        </w:rPr>
        <w:t>Pokut</w:t>
      </w:r>
      <w:r w:rsidR="007F4B4F">
        <w:rPr>
          <w:rFonts w:asciiTheme="minorHAnsi" w:hAnsiTheme="minorHAnsi" w:cstheme="minorHAnsi"/>
          <w:sz w:val="24"/>
          <w:szCs w:val="24"/>
        </w:rPr>
        <w:t>y</w:t>
      </w:r>
      <w:r w:rsidRPr="008142C5">
        <w:rPr>
          <w:rFonts w:asciiTheme="minorHAnsi" w:hAnsiTheme="minorHAnsi" w:cstheme="minorHAnsi"/>
          <w:sz w:val="24"/>
          <w:szCs w:val="24"/>
        </w:rPr>
        <w:t xml:space="preserve"> byl</w:t>
      </w:r>
      <w:r w:rsidR="007F4B4F">
        <w:rPr>
          <w:rFonts w:asciiTheme="minorHAnsi" w:hAnsiTheme="minorHAnsi" w:cstheme="minorHAnsi"/>
          <w:sz w:val="24"/>
          <w:szCs w:val="24"/>
        </w:rPr>
        <w:t>y</w:t>
      </w:r>
      <w:r w:rsidRPr="008142C5">
        <w:rPr>
          <w:rFonts w:asciiTheme="minorHAnsi" w:hAnsiTheme="minorHAnsi" w:cstheme="minorHAnsi"/>
          <w:sz w:val="24"/>
          <w:szCs w:val="24"/>
        </w:rPr>
        <w:t xml:space="preserve"> uložen</w:t>
      </w:r>
      <w:r w:rsidR="007F4B4F">
        <w:rPr>
          <w:rFonts w:asciiTheme="minorHAnsi" w:hAnsiTheme="minorHAnsi" w:cstheme="minorHAnsi"/>
          <w:sz w:val="24"/>
          <w:szCs w:val="24"/>
        </w:rPr>
        <w:t>y</w:t>
      </w:r>
      <w:r w:rsidRPr="008142C5">
        <w:rPr>
          <w:rFonts w:asciiTheme="minorHAnsi" w:hAnsiTheme="minorHAnsi" w:cstheme="minorHAnsi"/>
          <w:sz w:val="24"/>
          <w:szCs w:val="24"/>
        </w:rPr>
        <w:t xml:space="preserve"> celkem 413 provozovatelům</w:t>
      </w:r>
      <w:r w:rsidR="007F4B4F">
        <w:rPr>
          <w:rFonts w:asciiTheme="minorHAnsi" w:hAnsiTheme="minorHAnsi" w:cstheme="minorHAnsi"/>
          <w:sz w:val="24"/>
          <w:szCs w:val="24"/>
        </w:rPr>
        <w:t xml:space="preserve">. </w:t>
      </w:r>
      <w:r w:rsidRPr="008142C5">
        <w:rPr>
          <w:rFonts w:asciiTheme="minorHAnsi" w:hAnsiTheme="minorHAnsi" w:cstheme="minorHAnsi"/>
          <w:sz w:val="24"/>
          <w:szCs w:val="24"/>
        </w:rPr>
        <w:t>326 provozovatelů</w:t>
      </w:r>
      <w:r w:rsidR="00CA7D7E">
        <w:rPr>
          <w:rFonts w:asciiTheme="minorHAnsi" w:hAnsiTheme="minorHAnsi" w:cstheme="minorHAnsi"/>
          <w:sz w:val="24"/>
          <w:szCs w:val="24"/>
        </w:rPr>
        <w:t xml:space="preserve"> bylo pokutováno</w:t>
      </w:r>
      <w:r w:rsidRPr="008142C5">
        <w:rPr>
          <w:rFonts w:asciiTheme="minorHAnsi" w:hAnsiTheme="minorHAnsi" w:cstheme="minorHAnsi"/>
          <w:sz w:val="24"/>
          <w:szCs w:val="24"/>
        </w:rPr>
        <w:t xml:space="preserve"> jedn</w:t>
      </w:r>
      <w:r w:rsidR="00CA7D7E">
        <w:rPr>
          <w:rFonts w:asciiTheme="minorHAnsi" w:hAnsiTheme="minorHAnsi" w:cstheme="minorHAnsi"/>
          <w:sz w:val="24"/>
          <w:szCs w:val="24"/>
        </w:rPr>
        <w:t>ou</w:t>
      </w:r>
      <w:r w:rsidRPr="008142C5">
        <w:rPr>
          <w:rFonts w:asciiTheme="minorHAnsi" w:hAnsiTheme="minorHAnsi" w:cstheme="minorHAnsi"/>
          <w:sz w:val="24"/>
          <w:szCs w:val="24"/>
        </w:rPr>
        <w:t>, 41 provozovatelů dv</w:t>
      </w:r>
      <w:r w:rsidR="00CA7D7E">
        <w:rPr>
          <w:rFonts w:asciiTheme="minorHAnsi" w:hAnsiTheme="minorHAnsi" w:cstheme="minorHAnsi"/>
          <w:sz w:val="24"/>
          <w:szCs w:val="24"/>
        </w:rPr>
        <w:t>akrát</w:t>
      </w:r>
      <w:r w:rsidRPr="008142C5">
        <w:rPr>
          <w:rFonts w:asciiTheme="minorHAnsi" w:hAnsiTheme="minorHAnsi" w:cstheme="minorHAnsi"/>
          <w:sz w:val="24"/>
          <w:szCs w:val="24"/>
        </w:rPr>
        <w:t xml:space="preserve">, zbývající provozovatelé </w:t>
      </w:r>
      <w:r w:rsidR="00A7042B">
        <w:rPr>
          <w:rFonts w:asciiTheme="minorHAnsi" w:hAnsiTheme="minorHAnsi" w:cstheme="minorHAnsi"/>
          <w:sz w:val="24"/>
          <w:szCs w:val="24"/>
        </w:rPr>
        <w:t xml:space="preserve">byli pokutováni </w:t>
      </w:r>
      <w:r w:rsidR="00CA7D7E">
        <w:rPr>
          <w:rFonts w:asciiTheme="minorHAnsi" w:hAnsiTheme="minorHAnsi" w:cstheme="minorHAnsi"/>
          <w:sz w:val="24"/>
          <w:szCs w:val="24"/>
        </w:rPr>
        <w:t>vícekrát</w:t>
      </w:r>
      <w:r w:rsidRPr="008142C5">
        <w:rPr>
          <w:rFonts w:asciiTheme="minorHAnsi" w:hAnsiTheme="minorHAnsi" w:cstheme="minorHAnsi"/>
          <w:sz w:val="24"/>
          <w:szCs w:val="24"/>
        </w:rPr>
        <w:t>. Pěti provozovatelům</w:t>
      </w:r>
      <w:r w:rsidR="007F4B4F">
        <w:rPr>
          <w:rFonts w:asciiTheme="minorHAnsi" w:hAnsiTheme="minorHAnsi" w:cstheme="minorHAnsi"/>
          <w:sz w:val="24"/>
          <w:szCs w:val="24"/>
        </w:rPr>
        <w:t xml:space="preserve">, kteří nejčastěji porušovali zákon, </w:t>
      </w:r>
      <w:r w:rsidRPr="008142C5">
        <w:rPr>
          <w:rFonts w:asciiTheme="minorHAnsi" w:hAnsiTheme="minorHAnsi" w:cstheme="minorHAnsi"/>
          <w:sz w:val="24"/>
          <w:szCs w:val="24"/>
        </w:rPr>
        <w:t xml:space="preserve">bylo </w:t>
      </w:r>
      <w:r w:rsidR="007F4B4F">
        <w:rPr>
          <w:rFonts w:asciiTheme="minorHAnsi" w:hAnsiTheme="minorHAnsi" w:cstheme="minorHAnsi"/>
          <w:sz w:val="24"/>
          <w:szCs w:val="24"/>
        </w:rPr>
        <w:t>dohromady</w:t>
      </w:r>
      <w:r w:rsidRPr="008142C5">
        <w:rPr>
          <w:rFonts w:asciiTheme="minorHAnsi" w:hAnsiTheme="minorHAnsi" w:cstheme="minorHAnsi"/>
          <w:sz w:val="24"/>
          <w:szCs w:val="24"/>
        </w:rPr>
        <w:t xml:space="preserve"> uloženo 236 pokut </w:t>
      </w:r>
      <w:r w:rsidR="007F4B4F">
        <w:rPr>
          <w:rFonts w:asciiTheme="minorHAnsi" w:hAnsiTheme="minorHAnsi" w:cstheme="minorHAnsi"/>
          <w:sz w:val="24"/>
          <w:szCs w:val="24"/>
        </w:rPr>
        <w:t>(z</w:t>
      </w:r>
      <w:r w:rsidR="00A7042B">
        <w:rPr>
          <w:rFonts w:asciiTheme="minorHAnsi" w:hAnsiTheme="minorHAnsi" w:cstheme="minorHAnsi"/>
          <w:sz w:val="24"/>
          <w:szCs w:val="24"/>
        </w:rPr>
        <w:t> </w:t>
      </w:r>
      <w:r w:rsidR="007F4B4F">
        <w:rPr>
          <w:rFonts w:asciiTheme="minorHAnsi" w:hAnsiTheme="minorHAnsi" w:cstheme="minorHAnsi"/>
          <w:sz w:val="24"/>
          <w:szCs w:val="24"/>
        </w:rPr>
        <w:t xml:space="preserve">celkových 1 104) </w:t>
      </w:r>
      <w:r w:rsidRPr="008142C5">
        <w:rPr>
          <w:rFonts w:asciiTheme="minorHAnsi" w:hAnsiTheme="minorHAnsi" w:cstheme="minorHAnsi"/>
          <w:sz w:val="24"/>
          <w:szCs w:val="24"/>
        </w:rPr>
        <w:t xml:space="preserve">v </w:t>
      </w:r>
      <w:r w:rsidR="007F4B4F">
        <w:rPr>
          <w:rFonts w:asciiTheme="minorHAnsi" w:hAnsiTheme="minorHAnsi" w:cstheme="minorHAnsi"/>
          <w:sz w:val="24"/>
          <w:szCs w:val="24"/>
        </w:rPr>
        <w:t xml:space="preserve">souhrnné </w:t>
      </w:r>
      <w:r w:rsidRPr="008142C5">
        <w:rPr>
          <w:rFonts w:asciiTheme="minorHAnsi" w:hAnsiTheme="minorHAnsi" w:cstheme="minorHAnsi"/>
          <w:sz w:val="24"/>
          <w:szCs w:val="24"/>
        </w:rPr>
        <w:t xml:space="preserve">výši 10,25 mil. Kč (uhrazeno 7,95 mil. Kč). </w:t>
      </w:r>
      <w:r w:rsidR="0086621E" w:rsidRPr="008142C5">
        <w:rPr>
          <w:rFonts w:asciiTheme="minorHAnsi" w:hAnsiTheme="minorHAnsi" w:cstheme="minorHAnsi"/>
          <w:sz w:val="24"/>
          <w:szCs w:val="24"/>
        </w:rPr>
        <w:t>Z formálního hlediska hodnotí NKÚ kontrolní činnost CS ČR bez vad.</w:t>
      </w:r>
    </w:p>
    <w:p w14:paraId="4C8E6619" w14:textId="1B7B137F" w:rsidR="00D775E7" w:rsidRPr="008142C5" w:rsidRDefault="004E089B" w:rsidP="00A36482">
      <w:pPr>
        <w:pStyle w:val="Nadpis2"/>
        <w:contextualSpacing w:val="0"/>
        <w:rPr>
          <w:rFonts w:asciiTheme="minorHAnsi" w:hAnsiTheme="minorHAnsi"/>
        </w:rPr>
      </w:pPr>
      <w:r w:rsidRPr="008142C5">
        <w:rPr>
          <w:rFonts w:asciiTheme="minorHAnsi" w:hAnsiTheme="minorHAnsi"/>
        </w:rPr>
        <w:lastRenderedPageBreak/>
        <w:t>Hazardní hry se na internet přesouvají rychleji než dozor nad nimi</w:t>
      </w:r>
    </w:p>
    <w:p w14:paraId="0DEFBE4D" w14:textId="6D02ACA1" w:rsidR="00D775E7" w:rsidRPr="00627344" w:rsidRDefault="00D775E7" w:rsidP="006007E5">
      <w:pPr>
        <w:pStyle w:val="Odstavecseseznamem"/>
        <w:numPr>
          <w:ilvl w:val="1"/>
          <w:numId w:val="17"/>
        </w:numPr>
        <w:spacing w:before="240" w:after="120"/>
        <w:ind w:left="0" w:firstLine="0"/>
        <w:contextualSpacing w:val="0"/>
        <w:rPr>
          <w:rFonts w:asciiTheme="minorHAnsi" w:hAnsiTheme="minorHAnsi" w:cstheme="minorHAnsi"/>
          <w:sz w:val="24"/>
          <w:szCs w:val="24"/>
        </w:rPr>
      </w:pPr>
      <w:r w:rsidRPr="00627344">
        <w:rPr>
          <w:rFonts w:asciiTheme="minorHAnsi" w:hAnsiTheme="minorHAnsi" w:cstheme="minorHAnsi"/>
          <w:sz w:val="24"/>
          <w:szCs w:val="24"/>
        </w:rPr>
        <w:t xml:space="preserve">Trh s hazardními hrami se přesouvá z kamenných provozoven na internet. Již v roce 2020 </w:t>
      </w:r>
      <w:r w:rsidR="00A7042B">
        <w:rPr>
          <w:rFonts w:asciiTheme="minorHAnsi" w:hAnsiTheme="minorHAnsi" w:cstheme="minorHAnsi"/>
          <w:sz w:val="24"/>
          <w:szCs w:val="24"/>
        </w:rPr>
        <w:t>pocházela</w:t>
      </w:r>
      <w:r w:rsidRPr="00627344">
        <w:rPr>
          <w:rFonts w:asciiTheme="minorHAnsi" w:hAnsiTheme="minorHAnsi" w:cstheme="minorHAnsi"/>
          <w:sz w:val="24"/>
          <w:szCs w:val="24"/>
        </w:rPr>
        <w:t xml:space="preserve"> většina přijatých vkladů z internetových her (celkem 59 %) a objem </w:t>
      </w:r>
      <w:r w:rsidR="00A7042B">
        <w:rPr>
          <w:rFonts w:asciiTheme="minorHAnsi" w:hAnsiTheme="minorHAnsi" w:cstheme="minorHAnsi"/>
          <w:sz w:val="24"/>
          <w:szCs w:val="24"/>
        </w:rPr>
        <w:t>prostředků vložených do těchto her</w:t>
      </w:r>
      <w:r w:rsidRPr="00627344">
        <w:rPr>
          <w:rFonts w:asciiTheme="minorHAnsi" w:hAnsiTheme="minorHAnsi" w:cstheme="minorHAnsi"/>
          <w:sz w:val="24"/>
          <w:szCs w:val="24"/>
        </w:rPr>
        <w:t xml:space="preserve"> </w:t>
      </w:r>
      <w:r w:rsidR="00A7042B">
        <w:rPr>
          <w:rFonts w:asciiTheme="minorHAnsi" w:hAnsiTheme="minorHAnsi" w:cstheme="minorHAnsi"/>
          <w:sz w:val="24"/>
          <w:szCs w:val="24"/>
        </w:rPr>
        <w:t xml:space="preserve">se </w:t>
      </w:r>
      <w:r w:rsidRPr="00627344">
        <w:rPr>
          <w:rFonts w:asciiTheme="minorHAnsi" w:hAnsiTheme="minorHAnsi" w:cstheme="minorHAnsi"/>
          <w:sz w:val="24"/>
          <w:szCs w:val="24"/>
        </w:rPr>
        <w:t xml:space="preserve">stále zvyšuje. Z přijatých vkladů do hazardních her za roky </w:t>
      </w:r>
      <w:r w:rsidR="00247CAB">
        <w:rPr>
          <w:rFonts w:asciiTheme="minorHAnsi" w:hAnsiTheme="minorHAnsi" w:cstheme="minorHAnsi"/>
          <w:sz w:val="24"/>
          <w:szCs w:val="24"/>
        </w:rPr>
        <w:br/>
      </w:r>
      <w:r w:rsidRPr="00627344">
        <w:rPr>
          <w:rFonts w:asciiTheme="minorHAnsi" w:hAnsiTheme="minorHAnsi" w:cstheme="minorHAnsi"/>
          <w:sz w:val="24"/>
          <w:szCs w:val="24"/>
        </w:rPr>
        <w:t>2017–2021</w:t>
      </w:r>
      <w:r w:rsidRPr="00627344">
        <w:rPr>
          <w:rFonts w:asciiTheme="minorHAnsi" w:hAnsiTheme="minorHAnsi" w:cstheme="minorHAnsi"/>
          <w:sz w:val="24"/>
          <w:szCs w:val="24"/>
          <w:vertAlign w:val="superscript"/>
        </w:rPr>
        <w:footnoteReference w:id="32"/>
      </w:r>
      <w:r w:rsidRPr="00627344">
        <w:rPr>
          <w:rFonts w:asciiTheme="minorHAnsi" w:hAnsiTheme="minorHAnsi" w:cstheme="minorHAnsi"/>
          <w:sz w:val="24"/>
          <w:szCs w:val="24"/>
        </w:rPr>
        <w:t xml:space="preserve"> v celkové výši 1,80 bil. Kč činily vklady do internetových her celkem 955 mld. Kč, tj.</w:t>
      </w:r>
      <w:r w:rsidR="00A7042B">
        <w:rPr>
          <w:rFonts w:asciiTheme="minorHAnsi" w:hAnsiTheme="minorHAnsi" w:cstheme="minorHAnsi"/>
          <w:sz w:val="24"/>
          <w:szCs w:val="24"/>
        </w:rPr>
        <w:t> </w:t>
      </w:r>
      <w:r w:rsidRPr="00627344">
        <w:rPr>
          <w:rFonts w:asciiTheme="minorHAnsi" w:hAnsiTheme="minorHAnsi" w:cstheme="minorHAnsi"/>
          <w:sz w:val="24"/>
          <w:szCs w:val="24"/>
        </w:rPr>
        <w:t>téměř 53 %. Ve stejném období bylo na výhrách vyplaceno celkem 1,62 bil. Kč, tj. necelých 90 % celkových přijatých vkladů.</w:t>
      </w:r>
      <w:r w:rsidR="00A7042B">
        <w:rPr>
          <w:rFonts w:asciiTheme="minorHAnsi" w:hAnsiTheme="minorHAnsi" w:cstheme="minorHAnsi"/>
          <w:sz w:val="24"/>
          <w:szCs w:val="24"/>
        </w:rPr>
        <w:t xml:space="preserve"> </w:t>
      </w:r>
      <w:r w:rsidRPr="00627344">
        <w:rPr>
          <w:rFonts w:asciiTheme="minorHAnsi" w:hAnsiTheme="minorHAnsi" w:cstheme="minorHAnsi"/>
          <w:sz w:val="24"/>
          <w:szCs w:val="24"/>
        </w:rPr>
        <w:t>Na výhrách</w:t>
      </w:r>
      <w:r w:rsidR="00A7042B">
        <w:rPr>
          <w:rFonts w:asciiTheme="minorHAnsi" w:hAnsiTheme="minorHAnsi" w:cstheme="minorHAnsi"/>
          <w:sz w:val="24"/>
          <w:szCs w:val="24"/>
        </w:rPr>
        <w:t xml:space="preserve"> z</w:t>
      </w:r>
      <w:r w:rsidRPr="00627344">
        <w:rPr>
          <w:rFonts w:asciiTheme="minorHAnsi" w:hAnsiTheme="minorHAnsi" w:cstheme="minorHAnsi"/>
          <w:sz w:val="24"/>
          <w:szCs w:val="24"/>
        </w:rPr>
        <w:t xml:space="preserve"> internetových her bylo vyplaceno celkem 886</w:t>
      </w:r>
      <w:r w:rsidR="00A7042B">
        <w:rPr>
          <w:rFonts w:asciiTheme="minorHAnsi" w:hAnsiTheme="minorHAnsi" w:cstheme="minorHAnsi"/>
          <w:sz w:val="24"/>
          <w:szCs w:val="24"/>
        </w:rPr>
        <w:t> </w:t>
      </w:r>
      <w:r w:rsidRPr="00627344">
        <w:rPr>
          <w:rFonts w:asciiTheme="minorHAnsi" w:hAnsiTheme="minorHAnsi" w:cstheme="minorHAnsi"/>
          <w:sz w:val="24"/>
          <w:szCs w:val="24"/>
        </w:rPr>
        <w:t>mld.</w:t>
      </w:r>
      <w:r w:rsidR="00A7042B">
        <w:rPr>
          <w:rFonts w:asciiTheme="minorHAnsi" w:hAnsiTheme="minorHAnsi" w:cstheme="minorHAnsi"/>
          <w:sz w:val="24"/>
          <w:szCs w:val="24"/>
        </w:rPr>
        <w:t> </w:t>
      </w:r>
      <w:r w:rsidRPr="00627344">
        <w:rPr>
          <w:rFonts w:asciiTheme="minorHAnsi" w:hAnsiTheme="minorHAnsi" w:cstheme="minorHAnsi"/>
          <w:sz w:val="24"/>
          <w:szCs w:val="24"/>
        </w:rPr>
        <w:t xml:space="preserve">Kč, což činí necelých 55 % všech výher vyplacených hráčům hazardních her. </w:t>
      </w:r>
    </w:p>
    <w:p w14:paraId="4164550F" w14:textId="7F4E475F" w:rsidR="00D775E7" w:rsidRPr="008142C5" w:rsidRDefault="00D775E7" w:rsidP="006007E5">
      <w:pPr>
        <w:pStyle w:val="Odstavecseseznamem"/>
        <w:numPr>
          <w:ilvl w:val="1"/>
          <w:numId w:val="17"/>
        </w:numPr>
        <w:spacing w:after="120"/>
        <w:ind w:left="0" w:firstLine="0"/>
        <w:contextualSpacing w:val="0"/>
        <w:rPr>
          <w:rFonts w:asciiTheme="minorHAnsi" w:hAnsiTheme="minorHAnsi" w:cstheme="minorHAnsi"/>
          <w:sz w:val="24"/>
          <w:szCs w:val="24"/>
        </w:rPr>
      </w:pPr>
      <w:r w:rsidRPr="008142C5">
        <w:rPr>
          <w:rFonts w:asciiTheme="minorHAnsi" w:hAnsiTheme="minorHAnsi" w:cstheme="minorHAnsi"/>
          <w:color w:val="000000"/>
          <w:sz w:val="24"/>
          <w:szCs w:val="24"/>
        </w:rPr>
        <w:t>MF realizovalo</w:t>
      </w:r>
      <w:r w:rsidRPr="008142C5">
        <w:rPr>
          <w:rFonts w:asciiTheme="minorHAnsi" w:hAnsiTheme="minorHAnsi" w:cstheme="minorHAnsi"/>
          <w:i/>
          <w:color w:val="000000"/>
          <w:sz w:val="24"/>
          <w:szCs w:val="24"/>
        </w:rPr>
        <w:t xml:space="preserve"> </w:t>
      </w:r>
      <w:r w:rsidRPr="008142C5">
        <w:rPr>
          <w:rFonts w:asciiTheme="minorHAnsi" w:hAnsiTheme="minorHAnsi" w:cstheme="minorHAnsi"/>
          <w:color w:val="000000"/>
          <w:sz w:val="24"/>
          <w:szCs w:val="24"/>
        </w:rPr>
        <w:t xml:space="preserve">v oblasti dozoru nad internetovým provozováním hazardních her od 1. 1. 2017 do 5. 11. 2019 </w:t>
      </w:r>
      <w:r w:rsidRPr="00D93E64">
        <w:rPr>
          <w:rFonts w:asciiTheme="minorHAnsi" w:hAnsiTheme="minorHAnsi" w:cstheme="minorHAnsi"/>
          <w:color w:val="000000"/>
          <w:sz w:val="24"/>
          <w:szCs w:val="24"/>
        </w:rPr>
        <w:t>celkem 87 kontrol</w:t>
      </w:r>
      <w:r w:rsidRPr="008142C5">
        <w:rPr>
          <w:rFonts w:asciiTheme="minorHAnsi" w:hAnsiTheme="minorHAnsi" w:cstheme="minorHAnsi"/>
          <w:color w:val="000000"/>
          <w:sz w:val="24"/>
          <w:szCs w:val="24"/>
        </w:rPr>
        <w:t xml:space="preserve">, z toho 51 v oblasti nelegálního provozování </w:t>
      </w:r>
      <w:r w:rsidR="002E43AE">
        <w:rPr>
          <w:rFonts w:asciiTheme="minorHAnsi" w:hAnsiTheme="minorHAnsi" w:cstheme="minorHAnsi"/>
          <w:color w:val="000000"/>
          <w:sz w:val="24"/>
          <w:szCs w:val="24"/>
        </w:rPr>
        <w:t>hazardních her</w:t>
      </w:r>
      <w:r w:rsidRPr="008142C5">
        <w:rPr>
          <w:rFonts w:asciiTheme="minorHAnsi" w:hAnsiTheme="minorHAnsi" w:cstheme="minorHAnsi"/>
          <w:color w:val="000000"/>
          <w:sz w:val="24"/>
          <w:szCs w:val="24"/>
        </w:rPr>
        <w:t xml:space="preserve">, 35 kontrol v oblasti legálního provozování </w:t>
      </w:r>
      <w:r w:rsidR="002E43AE">
        <w:rPr>
          <w:rFonts w:asciiTheme="minorHAnsi" w:hAnsiTheme="minorHAnsi" w:cstheme="minorHAnsi"/>
          <w:color w:val="000000"/>
          <w:sz w:val="24"/>
          <w:szCs w:val="24"/>
        </w:rPr>
        <w:t>hazardních her</w:t>
      </w:r>
      <w:r w:rsidR="008773CB" w:rsidRPr="008142C5">
        <w:rPr>
          <w:rFonts w:asciiTheme="minorHAnsi" w:hAnsiTheme="minorHAnsi" w:cstheme="minorHAnsi"/>
          <w:color w:val="000000"/>
          <w:sz w:val="24"/>
          <w:szCs w:val="24"/>
        </w:rPr>
        <w:t xml:space="preserve"> a jednu kontrolu v oblasti odborného posuzování a osvědčování</w:t>
      </w:r>
      <w:r w:rsidRPr="008142C5">
        <w:rPr>
          <w:rFonts w:asciiTheme="minorHAnsi" w:hAnsiTheme="minorHAnsi" w:cstheme="minorHAnsi"/>
          <w:color w:val="000000"/>
          <w:sz w:val="24"/>
          <w:szCs w:val="24"/>
        </w:rPr>
        <w:t>.</w:t>
      </w:r>
    </w:p>
    <w:p w14:paraId="7FC99D78" w14:textId="09304589" w:rsidR="00D775E7" w:rsidRPr="008142C5" w:rsidRDefault="00433DBD" w:rsidP="006007E5">
      <w:pPr>
        <w:pStyle w:val="Odstavecseseznamem"/>
        <w:numPr>
          <w:ilvl w:val="1"/>
          <w:numId w:val="17"/>
        </w:numPr>
        <w:spacing w:after="120"/>
        <w:ind w:left="0" w:firstLine="0"/>
        <w:contextualSpacing w:val="0"/>
        <w:rPr>
          <w:rFonts w:asciiTheme="minorHAnsi" w:hAnsiTheme="minorHAnsi" w:cstheme="minorHAnsi"/>
          <w:sz w:val="24"/>
          <w:szCs w:val="24"/>
        </w:rPr>
      </w:pPr>
      <w:r>
        <w:rPr>
          <w:rFonts w:asciiTheme="minorHAnsi" w:hAnsiTheme="minorHAnsi" w:cstheme="minorHAnsi"/>
          <w:sz w:val="24"/>
          <w:szCs w:val="24"/>
        </w:rPr>
        <w:t>Orgány CS</w:t>
      </w:r>
      <w:r w:rsidR="00D775E7" w:rsidRPr="008142C5">
        <w:rPr>
          <w:rFonts w:asciiTheme="minorHAnsi" w:hAnsiTheme="minorHAnsi" w:cstheme="minorHAnsi"/>
          <w:sz w:val="24"/>
          <w:szCs w:val="24"/>
        </w:rPr>
        <w:t xml:space="preserve"> ČR </w:t>
      </w:r>
      <w:r>
        <w:rPr>
          <w:rFonts w:asciiTheme="minorHAnsi" w:hAnsiTheme="minorHAnsi" w:cstheme="minorHAnsi"/>
          <w:sz w:val="24"/>
          <w:szCs w:val="24"/>
        </w:rPr>
        <w:t>realizovaly v letech 2017–2021 celkem 1</w:t>
      </w:r>
      <w:r w:rsidR="000C072B">
        <w:rPr>
          <w:rFonts w:asciiTheme="minorHAnsi" w:hAnsiTheme="minorHAnsi" w:cstheme="minorHAnsi"/>
          <w:sz w:val="24"/>
          <w:szCs w:val="24"/>
        </w:rPr>
        <w:t xml:space="preserve"> </w:t>
      </w:r>
      <w:r>
        <w:rPr>
          <w:rFonts w:asciiTheme="minorHAnsi" w:hAnsiTheme="minorHAnsi" w:cstheme="minorHAnsi"/>
          <w:sz w:val="24"/>
          <w:szCs w:val="24"/>
        </w:rPr>
        <w:t>085 kontrol provozovatelů. CS</w:t>
      </w:r>
      <w:r w:rsidR="00CB01BB">
        <w:rPr>
          <w:rFonts w:asciiTheme="minorHAnsi" w:hAnsiTheme="minorHAnsi" w:cstheme="minorHAnsi"/>
          <w:sz w:val="24"/>
          <w:szCs w:val="24"/>
        </w:rPr>
        <w:t> </w:t>
      </w:r>
      <w:r>
        <w:rPr>
          <w:rFonts w:asciiTheme="minorHAnsi" w:hAnsiTheme="minorHAnsi" w:cstheme="minorHAnsi"/>
          <w:sz w:val="24"/>
          <w:szCs w:val="24"/>
        </w:rPr>
        <w:t xml:space="preserve">ČR </w:t>
      </w:r>
      <w:r w:rsidR="00D775E7" w:rsidRPr="008142C5">
        <w:rPr>
          <w:rFonts w:asciiTheme="minorHAnsi" w:hAnsiTheme="minorHAnsi" w:cstheme="minorHAnsi"/>
          <w:sz w:val="24"/>
          <w:szCs w:val="24"/>
        </w:rPr>
        <w:t xml:space="preserve">se po získání kompetence </w:t>
      </w:r>
      <w:r w:rsidR="00CB01BB">
        <w:rPr>
          <w:rFonts w:asciiTheme="minorHAnsi" w:hAnsiTheme="minorHAnsi" w:cstheme="minorHAnsi"/>
          <w:sz w:val="24"/>
          <w:szCs w:val="24"/>
        </w:rPr>
        <w:t xml:space="preserve">k </w:t>
      </w:r>
      <w:r w:rsidR="00D775E7" w:rsidRPr="008142C5">
        <w:rPr>
          <w:rFonts w:asciiTheme="minorHAnsi" w:hAnsiTheme="minorHAnsi" w:cstheme="minorHAnsi"/>
          <w:sz w:val="24"/>
          <w:szCs w:val="24"/>
        </w:rPr>
        <w:t>výkonu dozoru v oblasti hazardních her prvotně zaměřila především na nelegální provozovatele v land-based prostředí.</w:t>
      </w:r>
      <w:r w:rsidR="000E2A22" w:rsidRPr="008142C5">
        <w:rPr>
          <w:rFonts w:asciiTheme="minorHAnsi" w:hAnsiTheme="minorHAnsi" w:cstheme="minorHAnsi"/>
          <w:sz w:val="24"/>
          <w:szCs w:val="24"/>
        </w:rPr>
        <w:t xml:space="preserve"> V rámci kontroly jednoho provozovatele jsou prováděny kontroly nejen několika provozoven zároveň, ale také různých oblastí, například kontroly zaměřené na legalizaci výnosů z trestné činnosti, jednotlivé druhy her, herní prostor, reklamu, vzdálený přístup atd. </w:t>
      </w:r>
      <w:r w:rsidR="00D775E7" w:rsidRPr="008142C5">
        <w:rPr>
          <w:rFonts w:asciiTheme="minorHAnsi" w:hAnsiTheme="minorHAnsi" w:cstheme="minorHAnsi"/>
          <w:sz w:val="24"/>
          <w:szCs w:val="24"/>
        </w:rPr>
        <w:t xml:space="preserve">Po získání kompetence </w:t>
      </w:r>
      <w:r w:rsidR="00CB01BB">
        <w:rPr>
          <w:rFonts w:asciiTheme="minorHAnsi" w:hAnsiTheme="minorHAnsi" w:cstheme="minorHAnsi"/>
          <w:sz w:val="24"/>
          <w:szCs w:val="24"/>
        </w:rPr>
        <w:t xml:space="preserve">ke </w:t>
      </w:r>
      <w:r w:rsidR="00D775E7" w:rsidRPr="008142C5">
        <w:rPr>
          <w:rFonts w:asciiTheme="minorHAnsi" w:hAnsiTheme="minorHAnsi" w:cstheme="minorHAnsi"/>
          <w:sz w:val="24"/>
          <w:szCs w:val="24"/>
        </w:rPr>
        <w:t>kontrol</w:t>
      </w:r>
      <w:r w:rsidR="00CB01BB">
        <w:rPr>
          <w:rFonts w:asciiTheme="minorHAnsi" w:hAnsiTheme="minorHAnsi" w:cstheme="minorHAnsi"/>
          <w:sz w:val="24"/>
          <w:szCs w:val="24"/>
        </w:rPr>
        <w:t>ám</w:t>
      </w:r>
      <w:r w:rsidR="00D775E7" w:rsidRPr="008142C5">
        <w:rPr>
          <w:rFonts w:asciiTheme="minorHAnsi" w:hAnsiTheme="minorHAnsi" w:cstheme="minorHAnsi"/>
          <w:sz w:val="24"/>
          <w:szCs w:val="24"/>
        </w:rPr>
        <w:t xml:space="preserve"> </w:t>
      </w:r>
      <w:r w:rsidR="002E43AE">
        <w:rPr>
          <w:rFonts w:asciiTheme="minorHAnsi" w:hAnsiTheme="minorHAnsi" w:cstheme="minorHAnsi"/>
          <w:sz w:val="24"/>
          <w:szCs w:val="24"/>
        </w:rPr>
        <w:t xml:space="preserve">hazardních her </w:t>
      </w:r>
      <w:r w:rsidR="00D775E7" w:rsidRPr="008142C5">
        <w:rPr>
          <w:rFonts w:asciiTheme="minorHAnsi" w:hAnsiTheme="minorHAnsi" w:cstheme="minorHAnsi"/>
          <w:sz w:val="24"/>
          <w:szCs w:val="24"/>
        </w:rPr>
        <w:t>v internetovém prostředí</w:t>
      </w:r>
      <w:r>
        <w:rPr>
          <w:rFonts w:asciiTheme="minorHAnsi" w:hAnsiTheme="minorHAnsi" w:cstheme="minorHAnsi"/>
          <w:sz w:val="24"/>
          <w:szCs w:val="24"/>
        </w:rPr>
        <w:t xml:space="preserve"> od 1.</w:t>
      </w:r>
      <w:r w:rsidR="000C072B">
        <w:rPr>
          <w:rFonts w:asciiTheme="minorHAnsi" w:hAnsiTheme="minorHAnsi" w:cstheme="minorHAnsi"/>
          <w:sz w:val="24"/>
          <w:szCs w:val="24"/>
        </w:rPr>
        <w:t xml:space="preserve"> </w:t>
      </w:r>
      <w:r>
        <w:rPr>
          <w:rFonts w:asciiTheme="minorHAnsi" w:hAnsiTheme="minorHAnsi" w:cstheme="minorHAnsi"/>
          <w:sz w:val="24"/>
          <w:szCs w:val="24"/>
        </w:rPr>
        <w:t>11.</w:t>
      </w:r>
      <w:r w:rsidR="000C072B">
        <w:rPr>
          <w:rFonts w:asciiTheme="minorHAnsi" w:hAnsiTheme="minorHAnsi" w:cstheme="minorHAnsi"/>
          <w:sz w:val="24"/>
          <w:szCs w:val="24"/>
        </w:rPr>
        <w:t xml:space="preserve"> </w:t>
      </w:r>
      <w:r>
        <w:rPr>
          <w:rFonts w:asciiTheme="minorHAnsi" w:hAnsiTheme="minorHAnsi" w:cstheme="minorHAnsi"/>
          <w:sz w:val="24"/>
          <w:szCs w:val="24"/>
        </w:rPr>
        <w:t>2019</w:t>
      </w:r>
      <w:r w:rsidR="00D775E7" w:rsidRPr="008142C5">
        <w:rPr>
          <w:rFonts w:asciiTheme="minorHAnsi" w:hAnsiTheme="minorHAnsi" w:cstheme="minorHAnsi"/>
          <w:sz w:val="24"/>
          <w:szCs w:val="24"/>
        </w:rPr>
        <w:t xml:space="preserve"> </w:t>
      </w:r>
      <w:r w:rsidR="00872AFB" w:rsidRPr="008142C5">
        <w:rPr>
          <w:rFonts w:asciiTheme="minorHAnsi" w:hAnsiTheme="minorHAnsi" w:cstheme="minorHAnsi"/>
          <w:sz w:val="24"/>
          <w:szCs w:val="24"/>
        </w:rPr>
        <w:t xml:space="preserve">provedly orgány CS ČR </w:t>
      </w:r>
      <w:r w:rsidR="00D775E7" w:rsidRPr="008142C5">
        <w:rPr>
          <w:rFonts w:asciiTheme="minorHAnsi" w:hAnsiTheme="minorHAnsi" w:cstheme="minorHAnsi"/>
          <w:sz w:val="24"/>
          <w:szCs w:val="24"/>
        </w:rPr>
        <w:t xml:space="preserve">v roce 2020 </w:t>
      </w:r>
      <w:r w:rsidR="00872AFB" w:rsidRPr="008142C5">
        <w:rPr>
          <w:rFonts w:asciiTheme="minorHAnsi" w:hAnsiTheme="minorHAnsi" w:cstheme="minorHAnsi"/>
          <w:sz w:val="24"/>
          <w:szCs w:val="24"/>
        </w:rPr>
        <w:t>celkem</w:t>
      </w:r>
      <w:r w:rsidR="00CB01BB">
        <w:rPr>
          <w:rFonts w:asciiTheme="minorHAnsi" w:hAnsiTheme="minorHAnsi" w:cstheme="minorHAnsi"/>
          <w:sz w:val="24"/>
          <w:szCs w:val="24"/>
        </w:rPr>
        <w:t xml:space="preserve"> </w:t>
      </w:r>
      <w:r w:rsidR="00D775E7" w:rsidRPr="008142C5">
        <w:rPr>
          <w:rFonts w:asciiTheme="minorHAnsi" w:hAnsiTheme="minorHAnsi" w:cstheme="minorHAnsi"/>
          <w:sz w:val="24"/>
          <w:szCs w:val="24"/>
        </w:rPr>
        <w:t xml:space="preserve">24 kontrol provozovatelů v internetovém prostředí a v roce 2021 </w:t>
      </w:r>
      <w:r w:rsidR="00872AFB" w:rsidRPr="008142C5">
        <w:rPr>
          <w:rFonts w:asciiTheme="minorHAnsi" w:hAnsiTheme="minorHAnsi" w:cstheme="minorHAnsi"/>
          <w:sz w:val="24"/>
          <w:szCs w:val="24"/>
        </w:rPr>
        <w:t>celkem</w:t>
      </w:r>
      <w:r w:rsidR="00D775E7" w:rsidRPr="008142C5">
        <w:rPr>
          <w:rFonts w:asciiTheme="minorHAnsi" w:hAnsiTheme="minorHAnsi" w:cstheme="minorHAnsi"/>
          <w:sz w:val="24"/>
          <w:szCs w:val="24"/>
        </w:rPr>
        <w:t xml:space="preserve"> 56 kontrol. Naproti tomu v land-based prostředí </w:t>
      </w:r>
      <w:r w:rsidR="002E43AE">
        <w:rPr>
          <w:rFonts w:asciiTheme="minorHAnsi" w:hAnsiTheme="minorHAnsi" w:cstheme="minorHAnsi"/>
          <w:sz w:val="24"/>
          <w:szCs w:val="24"/>
        </w:rPr>
        <w:t>hazardních her</w:t>
      </w:r>
      <w:r w:rsidR="00D775E7" w:rsidRPr="008142C5">
        <w:rPr>
          <w:rFonts w:asciiTheme="minorHAnsi" w:hAnsiTheme="minorHAnsi" w:cstheme="minorHAnsi"/>
          <w:sz w:val="24"/>
          <w:szCs w:val="24"/>
        </w:rPr>
        <w:t xml:space="preserve"> </w:t>
      </w:r>
      <w:r w:rsidR="00872AFB" w:rsidRPr="008142C5">
        <w:rPr>
          <w:rFonts w:asciiTheme="minorHAnsi" w:hAnsiTheme="minorHAnsi" w:cstheme="minorHAnsi"/>
          <w:sz w:val="24"/>
          <w:szCs w:val="24"/>
        </w:rPr>
        <w:t xml:space="preserve">provedly orgány CS ČR </w:t>
      </w:r>
      <w:r w:rsidR="00D775E7" w:rsidRPr="008142C5">
        <w:rPr>
          <w:rFonts w:asciiTheme="minorHAnsi" w:hAnsiTheme="minorHAnsi" w:cstheme="minorHAnsi"/>
          <w:sz w:val="24"/>
          <w:szCs w:val="24"/>
        </w:rPr>
        <w:t xml:space="preserve">v roce 2020 </w:t>
      </w:r>
      <w:r w:rsidR="00872AFB" w:rsidRPr="008142C5">
        <w:rPr>
          <w:rFonts w:asciiTheme="minorHAnsi" w:hAnsiTheme="minorHAnsi" w:cstheme="minorHAnsi"/>
          <w:sz w:val="24"/>
          <w:szCs w:val="24"/>
        </w:rPr>
        <w:t>celkem</w:t>
      </w:r>
      <w:r w:rsidR="00CB01BB">
        <w:rPr>
          <w:rFonts w:asciiTheme="minorHAnsi" w:hAnsiTheme="minorHAnsi" w:cstheme="minorHAnsi"/>
          <w:sz w:val="24"/>
          <w:szCs w:val="24"/>
        </w:rPr>
        <w:t xml:space="preserve"> </w:t>
      </w:r>
      <w:r w:rsidR="00D775E7" w:rsidRPr="008142C5">
        <w:rPr>
          <w:rFonts w:asciiTheme="minorHAnsi" w:hAnsiTheme="minorHAnsi" w:cstheme="minorHAnsi"/>
          <w:sz w:val="24"/>
          <w:szCs w:val="24"/>
        </w:rPr>
        <w:t>138 kontrol provozovatelů a v roce 2021 celkem 101 kontrol.</w:t>
      </w:r>
      <w:r w:rsidR="000E2A22" w:rsidRPr="008142C5">
        <w:rPr>
          <w:rFonts w:asciiTheme="minorHAnsi" w:hAnsiTheme="minorHAnsi" w:cstheme="minorHAnsi"/>
          <w:sz w:val="24"/>
          <w:szCs w:val="24"/>
        </w:rPr>
        <w:t xml:space="preserve"> </w:t>
      </w:r>
      <w:r w:rsidR="00872AFB" w:rsidRPr="008142C5">
        <w:rPr>
          <w:rFonts w:asciiTheme="minorHAnsi" w:hAnsiTheme="minorHAnsi" w:cstheme="minorHAnsi"/>
          <w:sz w:val="24"/>
          <w:szCs w:val="24"/>
        </w:rPr>
        <w:t>NKÚ zjistil, že z</w:t>
      </w:r>
      <w:r w:rsidR="000E2A22" w:rsidRPr="008142C5">
        <w:rPr>
          <w:rFonts w:asciiTheme="minorHAnsi" w:hAnsiTheme="minorHAnsi" w:cstheme="minorHAnsi"/>
          <w:sz w:val="24"/>
          <w:szCs w:val="24"/>
        </w:rPr>
        <w:t>ejména s</w:t>
      </w:r>
      <w:r w:rsidR="00CB01BB">
        <w:rPr>
          <w:rFonts w:asciiTheme="minorHAnsi" w:hAnsiTheme="minorHAnsi" w:cstheme="minorHAnsi"/>
          <w:sz w:val="24"/>
          <w:szCs w:val="24"/>
        </w:rPr>
        <w:t> </w:t>
      </w:r>
      <w:r w:rsidR="000E2A22" w:rsidRPr="008142C5">
        <w:rPr>
          <w:rFonts w:asciiTheme="minorHAnsi" w:hAnsiTheme="minorHAnsi" w:cstheme="minorHAnsi"/>
          <w:sz w:val="24"/>
          <w:szCs w:val="24"/>
        </w:rPr>
        <w:t>úbytkem nelegálních provozovatelů v land-based prostředí se uvolněné kapacity začaly přesouvat</w:t>
      </w:r>
      <w:r w:rsidR="00CB01BB">
        <w:rPr>
          <w:rFonts w:asciiTheme="minorHAnsi" w:hAnsiTheme="minorHAnsi" w:cstheme="minorHAnsi"/>
          <w:sz w:val="24"/>
          <w:szCs w:val="24"/>
        </w:rPr>
        <w:t xml:space="preserve"> </w:t>
      </w:r>
      <w:r w:rsidR="000E2A22" w:rsidRPr="008142C5">
        <w:rPr>
          <w:rFonts w:asciiTheme="minorHAnsi" w:hAnsiTheme="minorHAnsi" w:cstheme="minorHAnsi"/>
          <w:sz w:val="24"/>
          <w:szCs w:val="24"/>
        </w:rPr>
        <w:t>do výkonu dozoru v</w:t>
      </w:r>
      <w:r w:rsidR="00A75855">
        <w:rPr>
          <w:rFonts w:asciiTheme="minorHAnsi" w:hAnsiTheme="minorHAnsi" w:cstheme="minorHAnsi"/>
          <w:sz w:val="24"/>
          <w:szCs w:val="24"/>
        </w:rPr>
        <w:t> </w:t>
      </w:r>
      <w:r w:rsidR="000E2A22" w:rsidRPr="008142C5">
        <w:rPr>
          <w:rFonts w:asciiTheme="minorHAnsi" w:hAnsiTheme="minorHAnsi" w:cstheme="minorHAnsi"/>
          <w:sz w:val="24"/>
          <w:szCs w:val="24"/>
        </w:rPr>
        <w:t>internetovém prostředí</w:t>
      </w:r>
      <w:r w:rsidR="00CB01BB">
        <w:rPr>
          <w:rFonts w:asciiTheme="minorHAnsi" w:hAnsiTheme="minorHAnsi" w:cstheme="minorHAnsi"/>
          <w:sz w:val="24"/>
          <w:szCs w:val="24"/>
        </w:rPr>
        <w:t>, k tomuto přesunu však dochází</w:t>
      </w:r>
      <w:r w:rsidR="000E2A22" w:rsidRPr="008142C5">
        <w:rPr>
          <w:rFonts w:asciiTheme="minorHAnsi" w:hAnsiTheme="minorHAnsi" w:cstheme="minorHAnsi"/>
          <w:sz w:val="24"/>
          <w:szCs w:val="24"/>
        </w:rPr>
        <w:t xml:space="preserve"> se zpožděním.</w:t>
      </w:r>
      <w:r w:rsidR="00E33650" w:rsidRPr="008142C5">
        <w:rPr>
          <w:rFonts w:asciiTheme="minorHAnsi" w:hAnsiTheme="minorHAnsi" w:cstheme="minorHAnsi"/>
          <w:sz w:val="24"/>
          <w:szCs w:val="24"/>
        </w:rPr>
        <w:t xml:space="preserve"> </w:t>
      </w:r>
      <w:bookmarkStart w:id="22" w:name="_Hlk130911434"/>
    </w:p>
    <w:bookmarkEnd w:id="22"/>
    <w:p w14:paraId="74AB047E" w14:textId="15A69DFB" w:rsidR="00D775E7" w:rsidRPr="008142C5" w:rsidRDefault="00D775E7" w:rsidP="00A36482">
      <w:pPr>
        <w:pStyle w:val="Odstavecseseznamem"/>
        <w:numPr>
          <w:ilvl w:val="1"/>
          <w:numId w:val="17"/>
        </w:numPr>
        <w:spacing w:after="120"/>
        <w:ind w:left="0" w:firstLine="0"/>
        <w:contextualSpacing w:val="0"/>
        <w:rPr>
          <w:rFonts w:asciiTheme="minorHAnsi" w:hAnsiTheme="minorHAnsi" w:cstheme="minorHAnsi"/>
          <w:sz w:val="24"/>
          <w:szCs w:val="24"/>
        </w:rPr>
      </w:pPr>
      <w:r w:rsidRPr="008142C5">
        <w:rPr>
          <w:rFonts w:asciiTheme="minorHAnsi" w:hAnsiTheme="minorHAnsi" w:cstheme="minorHAnsi"/>
          <w:sz w:val="24"/>
          <w:szCs w:val="24"/>
        </w:rPr>
        <w:t xml:space="preserve">Orgány působící v oblasti dozoru </w:t>
      </w:r>
      <w:r w:rsidR="00CB01BB">
        <w:rPr>
          <w:rFonts w:asciiTheme="minorHAnsi" w:hAnsiTheme="minorHAnsi" w:cstheme="minorHAnsi"/>
          <w:sz w:val="24"/>
          <w:szCs w:val="24"/>
        </w:rPr>
        <w:t xml:space="preserve">nad </w:t>
      </w:r>
      <w:r w:rsidRPr="008142C5">
        <w:rPr>
          <w:rFonts w:asciiTheme="minorHAnsi" w:hAnsiTheme="minorHAnsi" w:cstheme="minorHAnsi"/>
          <w:sz w:val="24"/>
          <w:szCs w:val="24"/>
        </w:rPr>
        <w:t>hazardní</w:t>
      </w:r>
      <w:r w:rsidR="00CB01BB">
        <w:rPr>
          <w:rFonts w:asciiTheme="minorHAnsi" w:hAnsiTheme="minorHAnsi" w:cstheme="minorHAnsi"/>
          <w:sz w:val="24"/>
          <w:szCs w:val="24"/>
        </w:rPr>
        <w:t>mi</w:t>
      </w:r>
      <w:r w:rsidRPr="008142C5">
        <w:rPr>
          <w:rFonts w:asciiTheme="minorHAnsi" w:hAnsiTheme="minorHAnsi" w:cstheme="minorHAnsi"/>
          <w:sz w:val="24"/>
          <w:szCs w:val="24"/>
        </w:rPr>
        <w:t xml:space="preserve"> h</w:t>
      </w:r>
      <w:r w:rsidR="00CB01BB">
        <w:rPr>
          <w:rFonts w:asciiTheme="minorHAnsi" w:hAnsiTheme="minorHAnsi" w:cstheme="minorHAnsi"/>
          <w:sz w:val="24"/>
          <w:szCs w:val="24"/>
        </w:rPr>
        <w:t>rami</w:t>
      </w:r>
      <w:r w:rsidRPr="008142C5">
        <w:rPr>
          <w:rFonts w:asciiTheme="minorHAnsi" w:hAnsiTheme="minorHAnsi" w:cstheme="minorHAnsi"/>
          <w:sz w:val="24"/>
          <w:szCs w:val="24"/>
        </w:rPr>
        <w:t xml:space="preserve"> nedostatečně reagovaly na přesun hazardních her z land</w:t>
      </w:r>
      <w:r w:rsidRPr="008142C5">
        <w:rPr>
          <w:rFonts w:asciiTheme="minorHAnsi" w:hAnsiTheme="minorHAnsi" w:cstheme="minorHAnsi"/>
          <w:sz w:val="24"/>
          <w:szCs w:val="24"/>
        </w:rPr>
        <w:noBreakHyphen/>
        <w:t xml:space="preserve">based </w:t>
      </w:r>
      <w:r w:rsidR="00CB01BB">
        <w:rPr>
          <w:rFonts w:asciiTheme="minorHAnsi" w:hAnsiTheme="minorHAnsi" w:cstheme="minorHAnsi"/>
          <w:sz w:val="24"/>
          <w:szCs w:val="24"/>
        </w:rPr>
        <w:t xml:space="preserve">prostředí </w:t>
      </w:r>
      <w:r w:rsidRPr="008142C5">
        <w:rPr>
          <w:rFonts w:asciiTheme="minorHAnsi" w:hAnsiTheme="minorHAnsi" w:cstheme="minorHAnsi"/>
          <w:sz w:val="24"/>
          <w:szCs w:val="24"/>
        </w:rPr>
        <w:t xml:space="preserve">na internet. Kontrolní činnost se v převážné </w:t>
      </w:r>
      <w:r w:rsidR="00CB01BB">
        <w:rPr>
          <w:rFonts w:asciiTheme="minorHAnsi" w:hAnsiTheme="minorHAnsi" w:cstheme="minorHAnsi"/>
          <w:sz w:val="24"/>
          <w:szCs w:val="24"/>
        </w:rPr>
        <w:t>většině</w:t>
      </w:r>
      <w:r w:rsidRPr="008142C5">
        <w:rPr>
          <w:rFonts w:asciiTheme="minorHAnsi" w:hAnsiTheme="minorHAnsi" w:cstheme="minorHAnsi"/>
          <w:sz w:val="24"/>
          <w:szCs w:val="24"/>
        </w:rPr>
        <w:t xml:space="preserve"> soustředila</w:t>
      </w:r>
      <w:r w:rsidR="00CB01BB">
        <w:rPr>
          <w:rFonts w:asciiTheme="minorHAnsi" w:hAnsiTheme="minorHAnsi" w:cstheme="minorHAnsi"/>
          <w:sz w:val="24"/>
          <w:szCs w:val="24"/>
        </w:rPr>
        <w:t xml:space="preserve"> </w:t>
      </w:r>
      <w:r w:rsidRPr="008142C5">
        <w:rPr>
          <w:rFonts w:asciiTheme="minorHAnsi" w:hAnsiTheme="minorHAnsi" w:cstheme="minorHAnsi"/>
          <w:sz w:val="24"/>
          <w:szCs w:val="24"/>
        </w:rPr>
        <w:t xml:space="preserve">na </w:t>
      </w:r>
      <w:r w:rsidR="002E43AE">
        <w:rPr>
          <w:rFonts w:asciiTheme="minorHAnsi" w:hAnsiTheme="minorHAnsi" w:cstheme="minorHAnsi"/>
          <w:sz w:val="24"/>
          <w:szCs w:val="24"/>
        </w:rPr>
        <w:t>hazardní hry</w:t>
      </w:r>
      <w:r w:rsidRPr="008142C5">
        <w:rPr>
          <w:rFonts w:asciiTheme="minorHAnsi" w:hAnsiTheme="minorHAnsi" w:cstheme="minorHAnsi"/>
          <w:sz w:val="24"/>
          <w:szCs w:val="24"/>
        </w:rPr>
        <w:t xml:space="preserve"> provozované v prostředí land-based.</w:t>
      </w:r>
      <w:r w:rsidR="0073786F" w:rsidRPr="008142C5">
        <w:rPr>
          <w:rFonts w:asciiTheme="minorHAnsi" w:hAnsiTheme="minorHAnsi" w:cstheme="minorHAnsi"/>
          <w:sz w:val="24"/>
          <w:szCs w:val="24"/>
        </w:rPr>
        <w:t xml:space="preserve"> </w:t>
      </w:r>
      <w:r w:rsidR="00303EEA" w:rsidRPr="008142C5">
        <w:rPr>
          <w:rFonts w:asciiTheme="minorHAnsi" w:hAnsiTheme="minorHAnsi" w:cstheme="minorHAnsi"/>
          <w:sz w:val="24"/>
          <w:szCs w:val="24"/>
        </w:rPr>
        <w:t>NKÚ dále zjistil, že do doby ukončení kontroly</w:t>
      </w:r>
      <w:r w:rsidR="00320880" w:rsidRPr="008142C5">
        <w:rPr>
          <w:rFonts w:asciiTheme="minorHAnsi" w:hAnsiTheme="minorHAnsi" w:cstheme="minorHAnsi"/>
          <w:sz w:val="24"/>
          <w:szCs w:val="24"/>
        </w:rPr>
        <w:t xml:space="preserve"> </w:t>
      </w:r>
      <w:r w:rsidR="00A72674">
        <w:rPr>
          <w:rFonts w:asciiTheme="minorHAnsi" w:hAnsiTheme="minorHAnsi" w:cstheme="minorHAnsi"/>
          <w:sz w:val="24"/>
          <w:szCs w:val="24"/>
        </w:rPr>
        <w:t xml:space="preserve">chyběla </w:t>
      </w:r>
      <w:r w:rsidR="00CB01BB">
        <w:rPr>
          <w:rFonts w:asciiTheme="minorHAnsi" w:hAnsiTheme="minorHAnsi" w:cstheme="minorHAnsi"/>
          <w:sz w:val="24"/>
          <w:szCs w:val="24"/>
        </w:rPr>
        <w:t>Celní správě ČR</w:t>
      </w:r>
      <w:r w:rsidR="00CB01BB" w:rsidRPr="008142C5">
        <w:rPr>
          <w:rFonts w:asciiTheme="minorHAnsi" w:hAnsiTheme="minorHAnsi" w:cstheme="minorHAnsi"/>
          <w:sz w:val="24"/>
          <w:szCs w:val="24"/>
        </w:rPr>
        <w:t xml:space="preserve"> </w:t>
      </w:r>
      <w:r w:rsidR="00303EEA" w:rsidRPr="008142C5">
        <w:rPr>
          <w:rFonts w:asciiTheme="minorHAnsi" w:hAnsiTheme="minorHAnsi" w:cstheme="minorHAnsi"/>
          <w:sz w:val="24"/>
          <w:szCs w:val="24"/>
        </w:rPr>
        <w:t>v</w:t>
      </w:r>
      <w:r w:rsidR="007E5F75" w:rsidRPr="008142C5">
        <w:rPr>
          <w:rFonts w:asciiTheme="minorHAnsi" w:hAnsiTheme="minorHAnsi" w:cstheme="minorHAnsi"/>
          <w:sz w:val="24"/>
          <w:szCs w:val="24"/>
        </w:rPr>
        <w:t> </w:t>
      </w:r>
      <w:r w:rsidR="00CB01BB" w:rsidRPr="00247CAB">
        <w:rPr>
          <w:rFonts w:asciiTheme="minorHAnsi" w:hAnsiTheme="minorHAnsi" w:cstheme="minorHAnsi"/>
          <w:sz w:val="24"/>
          <w:szCs w:val="24"/>
        </w:rPr>
        <w:t>m</w:t>
      </w:r>
      <w:r w:rsidR="00303EEA" w:rsidRPr="00247CAB">
        <w:rPr>
          <w:rFonts w:asciiTheme="minorHAnsi" w:hAnsiTheme="minorHAnsi" w:cstheme="minorHAnsi"/>
          <w:sz w:val="24"/>
          <w:szCs w:val="24"/>
        </w:rPr>
        <w:t>etodické informaci č. 12/2018</w:t>
      </w:r>
      <w:r w:rsidR="00303EEA" w:rsidRPr="008142C5">
        <w:rPr>
          <w:rFonts w:asciiTheme="minorHAnsi" w:hAnsiTheme="minorHAnsi" w:cstheme="minorHAnsi"/>
          <w:i/>
          <w:sz w:val="24"/>
          <w:szCs w:val="24"/>
        </w:rPr>
        <w:t xml:space="preserve"> </w:t>
      </w:r>
      <w:r w:rsidR="00CB01BB">
        <w:rPr>
          <w:rFonts w:asciiTheme="minorHAnsi" w:hAnsiTheme="minorHAnsi" w:cstheme="minorHAnsi"/>
          <w:i/>
          <w:sz w:val="24"/>
          <w:szCs w:val="24"/>
        </w:rPr>
        <w:t>–</w:t>
      </w:r>
      <w:r w:rsidR="00303EEA" w:rsidRPr="008142C5">
        <w:rPr>
          <w:rFonts w:asciiTheme="minorHAnsi" w:hAnsiTheme="minorHAnsi" w:cstheme="minorHAnsi"/>
          <w:i/>
          <w:sz w:val="24"/>
          <w:szCs w:val="24"/>
        </w:rPr>
        <w:t xml:space="preserve"> Kontrola provozování hazardních her</w:t>
      </w:r>
      <w:r w:rsidR="00303EEA" w:rsidRPr="008142C5">
        <w:rPr>
          <w:rFonts w:asciiTheme="minorHAnsi" w:hAnsiTheme="minorHAnsi" w:cstheme="minorHAnsi"/>
          <w:sz w:val="24"/>
          <w:szCs w:val="24"/>
        </w:rPr>
        <w:t xml:space="preserve"> úprava postupu kontrol v prostředí internetových </w:t>
      </w:r>
      <w:r w:rsidR="002E43AE">
        <w:rPr>
          <w:rFonts w:asciiTheme="minorHAnsi" w:hAnsiTheme="minorHAnsi" w:cstheme="minorHAnsi"/>
          <w:sz w:val="24"/>
          <w:szCs w:val="24"/>
        </w:rPr>
        <w:t>hazardních h</w:t>
      </w:r>
      <w:r w:rsidR="002314D5">
        <w:rPr>
          <w:rFonts w:asciiTheme="minorHAnsi" w:hAnsiTheme="minorHAnsi" w:cstheme="minorHAnsi"/>
          <w:sz w:val="24"/>
          <w:szCs w:val="24"/>
        </w:rPr>
        <w:t>er</w:t>
      </w:r>
      <w:r w:rsidR="00303EEA" w:rsidRPr="008142C5">
        <w:rPr>
          <w:rFonts w:asciiTheme="minorHAnsi" w:hAnsiTheme="minorHAnsi" w:cstheme="minorHAnsi"/>
          <w:sz w:val="24"/>
          <w:szCs w:val="24"/>
        </w:rPr>
        <w:t>.</w:t>
      </w:r>
    </w:p>
    <w:p w14:paraId="400249E8" w14:textId="0775E3A0" w:rsidR="00C90D00" w:rsidRPr="000C2D2E" w:rsidRDefault="00A33161" w:rsidP="001B2006">
      <w:pPr>
        <w:pStyle w:val="Nadpis2"/>
        <w:rPr>
          <w:rFonts w:asciiTheme="minorHAnsi" w:hAnsiTheme="minorHAnsi"/>
          <w:highlight w:val="yellow"/>
        </w:rPr>
      </w:pPr>
      <w:r>
        <w:rPr>
          <w:rFonts w:asciiTheme="minorHAnsi" w:hAnsiTheme="minorHAnsi"/>
        </w:rPr>
        <w:t>Nelegálnost internetových her není jasně definována</w:t>
      </w:r>
    </w:p>
    <w:p w14:paraId="5DD68751" w14:textId="796327AB" w:rsidR="00BC1A90" w:rsidRPr="008142C5" w:rsidRDefault="00BC1A90" w:rsidP="006007E5">
      <w:pPr>
        <w:pStyle w:val="Odstavecseseznamem"/>
        <w:numPr>
          <w:ilvl w:val="1"/>
          <w:numId w:val="17"/>
        </w:numPr>
        <w:spacing w:before="240" w:after="120"/>
        <w:ind w:left="0" w:firstLine="0"/>
        <w:contextualSpacing w:val="0"/>
        <w:rPr>
          <w:rFonts w:asciiTheme="minorHAnsi" w:hAnsiTheme="minorHAnsi" w:cstheme="minorHAnsi"/>
          <w:sz w:val="24"/>
          <w:szCs w:val="24"/>
        </w:rPr>
      </w:pPr>
      <w:r w:rsidRPr="008142C5">
        <w:rPr>
          <w:rFonts w:asciiTheme="minorHAnsi" w:hAnsiTheme="minorHAnsi" w:cstheme="minorHAnsi"/>
          <w:sz w:val="24"/>
          <w:szCs w:val="24"/>
        </w:rPr>
        <w:t>Dle důvodové zprávy k</w:t>
      </w:r>
      <w:r w:rsidR="00B66B6A">
        <w:rPr>
          <w:rFonts w:asciiTheme="minorHAnsi" w:hAnsiTheme="minorHAnsi" w:cstheme="minorHAnsi"/>
          <w:sz w:val="24"/>
          <w:szCs w:val="24"/>
        </w:rPr>
        <w:t xml:space="preserve"> </w:t>
      </w:r>
      <w:r w:rsidR="00C05085" w:rsidRPr="008142C5">
        <w:rPr>
          <w:rFonts w:asciiTheme="minorHAnsi" w:hAnsiTheme="minorHAnsi" w:cstheme="minorHAnsi"/>
          <w:sz w:val="24"/>
          <w:szCs w:val="24"/>
        </w:rPr>
        <w:t>ZHH</w:t>
      </w:r>
      <w:r w:rsidRPr="008142C5">
        <w:rPr>
          <w:rFonts w:asciiTheme="minorHAnsi" w:hAnsiTheme="minorHAnsi" w:cstheme="minorHAnsi"/>
          <w:sz w:val="24"/>
          <w:szCs w:val="24"/>
        </w:rPr>
        <w:t xml:space="preserve"> </w:t>
      </w:r>
      <w:r w:rsidR="00CC51A1">
        <w:rPr>
          <w:rFonts w:asciiTheme="minorHAnsi" w:hAnsiTheme="minorHAnsi" w:cstheme="minorHAnsi"/>
          <w:sz w:val="24"/>
          <w:szCs w:val="24"/>
        </w:rPr>
        <w:t>patřilo k</w:t>
      </w:r>
      <w:r w:rsidR="00B66B6A">
        <w:rPr>
          <w:rFonts w:asciiTheme="minorHAnsi" w:hAnsiTheme="minorHAnsi" w:cstheme="minorHAnsi"/>
          <w:sz w:val="24"/>
          <w:szCs w:val="24"/>
        </w:rPr>
        <w:t xml:space="preserve"> </w:t>
      </w:r>
      <w:r w:rsidRPr="008142C5">
        <w:rPr>
          <w:rFonts w:asciiTheme="minorHAnsi" w:hAnsiTheme="minorHAnsi" w:cstheme="minorHAnsi"/>
          <w:sz w:val="24"/>
          <w:szCs w:val="24"/>
        </w:rPr>
        <w:t>cílů</w:t>
      </w:r>
      <w:r w:rsidR="00CC51A1">
        <w:rPr>
          <w:rFonts w:asciiTheme="minorHAnsi" w:hAnsiTheme="minorHAnsi" w:cstheme="minorHAnsi"/>
          <w:sz w:val="24"/>
          <w:szCs w:val="24"/>
        </w:rPr>
        <w:t>m</w:t>
      </w:r>
      <w:r w:rsidR="006D2F0E" w:rsidRPr="008142C5">
        <w:rPr>
          <w:rFonts w:asciiTheme="minorHAnsi" w:hAnsiTheme="minorHAnsi" w:cstheme="minorHAnsi"/>
          <w:sz w:val="24"/>
          <w:szCs w:val="24"/>
        </w:rPr>
        <w:t xml:space="preserve"> tohoto zákona</w:t>
      </w:r>
      <w:r w:rsidRPr="008142C5">
        <w:rPr>
          <w:rFonts w:asciiTheme="minorHAnsi" w:hAnsiTheme="minorHAnsi" w:cstheme="minorHAnsi"/>
          <w:sz w:val="24"/>
          <w:szCs w:val="24"/>
        </w:rPr>
        <w:t xml:space="preserve"> otevř</w:t>
      </w:r>
      <w:r w:rsidR="00CB01BB">
        <w:rPr>
          <w:rFonts w:asciiTheme="minorHAnsi" w:hAnsiTheme="minorHAnsi" w:cstheme="minorHAnsi"/>
          <w:sz w:val="24"/>
          <w:szCs w:val="24"/>
        </w:rPr>
        <w:t>ít</w:t>
      </w:r>
      <w:r w:rsidRPr="008142C5">
        <w:rPr>
          <w:rFonts w:asciiTheme="minorHAnsi" w:hAnsiTheme="minorHAnsi" w:cstheme="minorHAnsi"/>
          <w:sz w:val="24"/>
          <w:szCs w:val="24"/>
        </w:rPr>
        <w:t xml:space="preserve"> trh zahraničním provozovatelům </w:t>
      </w:r>
      <w:r w:rsidRPr="008142C5">
        <w:rPr>
          <w:rFonts w:asciiTheme="minorHAnsi" w:hAnsiTheme="minorHAnsi" w:cstheme="minorHAnsi"/>
          <w:sz w:val="24"/>
          <w:szCs w:val="24"/>
          <w:lang w:eastAsia="zh-CN"/>
        </w:rPr>
        <w:t>a umožn</w:t>
      </w:r>
      <w:r w:rsidR="00CB01BB">
        <w:rPr>
          <w:rFonts w:asciiTheme="minorHAnsi" w:hAnsiTheme="minorHAnsi" w:cstheme="minorHAnsi"/>
          <w:sz w:val="24"/>
          <w:szCs w:val="24"/>
          <w:lang w:eastAsia="zh-CN"/>
        </w:rPr>
        <w:t>it</w:t>
      </w:r>
      <w:r w:rsidRPr="008142C5">
        <w:rPr>
          <w:rFonts w:asciiTheme="minorHAnsi" w:hAnsiTheme="minorHAnsi" w:cstheme="minorHAnsi"/>
          <w:sz w:val="24"/>
          <w:szCs w:val="24"/>
          <w:lang w:eastAsia="zh-CN"/>
        </w:rPr>
        <w:t xml:space="preserve"> provozování hazardních her prostřednictvím internet</w:t>
      </w:r>
      <w:r w:rsidR="00700C72" w:rsidRPr="008142C5">
        <w:rPr>
          <w:rFonts w:asciiTheme="minorHAnsi" w:hAnsiTheme="minorHAnsi" w:cstheme="minorHAnsi"/>
          <w:sz w:val="24"/>
          <w:szCs w:val="24"/>
          <w:lang w:eastAsia="zh-CN"/>
        </w:rPr>
        <w:t>u</w:t>
      </w:r>
      <w:r w:rsidRPr="008142C5">
        <w:rPr>
          <w:rFonts w:asciiTheme="minorHAnsi" w:hAnsiTheme="minorHAnsi" w:cstheme="minorHAnsi"/>
          <w:sz w:val="24"/>
          <w:szCs w:val="24"/>
        </w:rPr>
        <w:t xml:space="preserve">. </w:t>
      </w:r>
      <w:r w:rsidR="00CB01BB">
        <w:rPr>
          <w:rFonts w:asciiTheme="minorHAnsi" w:hAnsiTheme="minorHAnsi" w:cstheme="minorHAnsi"/>
          <w:sz w:val="24"/>
          <w:szCs w:val="24"/>
        </w:rPr>
        <w:t>P</w:t>
      </w:r>
      <w:r w:rsidR="00B83B14" w:rsidRPr="008142C5">
        <w:rPr>
          <w:rFonts w:asciiTheme="minorHAnsi" w:hAnsiTheme="minorHAnsi" w:cstheme="minorHAnsi"/>
          <w:sz w:val="24"/>
          <w:szCs w:val="24"/>
        </w:rPr>
        <w:t>rovozovatelů hazardních her s vydaným základním povolením</w:t>
      </w:r>
      <w:r w:rsidRPr="008142C5">
        <w:rPr>
          <w:rFonts w:asciiTheme="minorHAnsi" w:hAnsiTheme="minorHAnsi" w:cstheme="minorHAnsi"/>
          <w:sz w:val="24"/>
          <w:szCs w:val="24"/>
        </w:rPr>
        <w:t xml:space="preserve"> dle ZHH byl</w:t>
      </w:r>
      <w:r w:rsidR="00CB01BB">
        <w:rPr>
          <w:rFonts w:asciiTheme="minorHAnsi" w:hAnsiTheme="minorHAnsi" w:cstheme="minorHAnsi"/>
          <w:sz w:val="24"/>
          <w:szCs w:val="24"/>
        </w:rPr>
        <w:t>o</w:t>
      </w:r>
      <w:r w:rsidR="00B83B14" w:rsidRPr="008142C5">
        <w:rPr>
          <w:rFonts w:asciiTheme="minorHAnsi" w:hAnsiTheme="minorHAnsi" w:cstheme="minorHAnsi"/>
          <w:sz w:val="24"/>
          <w:szCs w:val="24"/>
        </w:rPr>
        <w:t xml:space="preserve"> k 1. 2. 2022 </w:t>
      </w:r>
      <w:r w:rsidRPr="008142C5">
        <w:rPr>
          <w:rFonts w:asciiTheme="minorHAnsi" w:hAnsiTheme="minorHAnsi" w:cstheme="minorHAnsi"/>
          <w:sz w:val="24"/>
          <w:szCs w:val="24"/>
        </w:rPr>
        <w:t>celkem 52, z toho pouze dva neměli sídlo v</w:t>
      </w:r>
      <w:r w:rsidR="00CC51A1">
        <w:rPr>
          <w:rFonts w:asciiTheme="minorHAnsi" w:hAnsiTheme="minorHAnsi" w:cstheme="minorHAnsi"/>
          <w:sz w:val="24"/>
          <w:szCs w:val="24"/>
        </w:rPr>
        <w:t> </w:t>
      </w:r>
      <w:r w:rsidRPr="008142C5">
        <w:rPr>
          <w:rFonts w:asciiTheme="minorHAnsi" w:hAnsiTheme="minorHAnsi" w:cstheme="minorHAnsi"/>
          <w:sz w:val="24"/>
          <w:szCs w:val="24"/>
        </w:rPr>
        <w:t>ČR</w:t>
      </w:r>
      <w:r w:rsidR="00CC51A1">
        <w:rPr>
          <w:rFonts w:asciiTheme="minorHAnsi" w:hAnsiTheme="minorHAnsi" w:cstheme="minorHAnsi"/>
          <w:sz w:val="24"/>
          <w:szCs w:val="24"/>
        </w:rPr>
        <w:t>.</w:t>
      </w:r>
      <w:r w:rsidRPr="008142C5">
        <w:rPr>
          <w:rStyle w:val="Znakapoznpodarou"/>
          <w:rFonts w:asciiTheme="minorHAnsi" w:hAnsiTheme="minorHAnsi" w:cstheme="minorHAnsi"/>
          <w:sz w:val="24"/>
          <w:szCs w:val="24"/>
        </w:rPr>
        <w:footnoteReference w:id="33"/>
      </w:r>
      <w:r w:rsidRPr="008142C5">
        <w:rPr>
          <w:rFonts w:asciiTheme="minorHAnsi" w:hAnsiTheme="minorHAnsi" w:cstheme="minorHAnsi"/>
          <w:sz w:val="24"/>
          <w:szCs w:val="24"/>
        </w:rPr>
        <w:t xml:space="preserve"> Naproti tomu p</w:t>
      </w:r>
      <w:r w:rsidR="00B83B14" w:rsidRPr="008142C5">
        <w:rPr>
          <w:rFonts w:asciiTheme="minorHAnsi" w:hAnsiTheme="minorHAnsi" w:cstheme="minorHAnsi"/>
          <w:sz w:val="24"/>
          <w:szCs w:val="24"/>
        </w:rPr>
        <w:t>očet provozovatelů</w:t>
      </w:r>
      <w:r w:rsidR="00311C76" w:rsidRPr="008142C5">
        <w:rPr>
          <w:rFonts w:asciiTheme="minorHAnsi" w:hAnsiTheme="minorHAnsi" w:cstheme="minorHAnsi"/>
          <w:sz w:val="24"/>
          <w:szCs w:val="24"/>
        </w:rPr>
        <w:t xml:space="preserve"> bez základního povolení</w:t>
      </w:r>
      <w:r w:rsidR="00B83B14" w:rsidRPr="008142C5">
        <w:rPr>
          <w:rFonts w:asciiTheme="minorHAnsi" w:hAnsiTheme="minorHAnsi" w:cstheme="minorHAnsi"/>
          <w:sz w:val="24"/>
          <w:szCs w:val="24"/>
        </w:rPr>
        <w:t xml:space="preserve"> </w:t>
      </w:r>
      <w:r w:rsidR="00866FBB" w:rsidRPr="008142C5">
        <w:rPr>
          <w:rFonts w:asciiTheme="minorHAnsi" w:hAnsiTheme="minorHAnsi" w:cstheme="minorHAnsi"/>
          <w:sz w:val="24"/>
          <w:szCs w:val="24"/>
        </w:rPr>
        <w:t>detekovaných od roku 2017 do</w:t>
      </w:r>
      <w:r w:rsidR="00B83B14" w:rsidRPr="008142C5">
        <w:rPr>
          <w:rFonts w:asciiTheme="minorHAnsi" w:hAnsiTheme="minorHAnsi" w:cstheme="minorHAnsi"/>
          <w:sz w:val="24"/>
          <w:szCs w:val="24"/>
        </w:rPr>
        <w:t xml:space="preserve"> </w:t>
      </w:r>
      <w:r w:rsidR="00655BED" w:rsidRPr="008142C5">
        <w:rPr>
          <w:rFonts w:asciiTheme="minorHAnsi" w:hAnsiTheme="minorHAnsi" w:cstheme="minorHAnsi"/>
          <w:sz w:val="24"/>
          <w:szCs w:val="24"/>
        </w:rPr>
        <w:t xml:space="preserve">1. 2. 2022 </w:t>
      </w:r>
      <w:r w:rsidR="00B83B14" w:rsidRPr="008142C5">
        <w:rPr>
          <w:rFonts w:asciiTheme="minorHAnsi" w:hAnsiTheme="minorHAnsi" w:cstheme="minorHAnsi"/>
          <w:sz w:val="24"/>
          <w:szCs w:val="24"/>
        </w:rPr>
        <w:t xml:space="preserve">správcem daně </w:t>
      </w:r>
      <w:r w:rsidRPr="008142C5">
        <w:rPr>
          <w:rFonts w:asciiTheme="minorHAnsi" w:hAnsiTheme="minorHAnsi" w:cstheme="minorHAnsi"/>
          <w:sz w:val="24"/>
          <w:szCs w:val="24"/>
        </w:rPr>
        <w:t>byl 794.</w:t>
      </w:r>
      <w:r w:rsidR="008B7413" w:rsidRPr="008142C5">
        <w:rPr>
          <w:rFonts w:asciiTheme="minorHAnsi" w:hAnsiTheme="minorHAnsi" w:cstheme="minorHAnsi"/>
          <w:sz w:val="24"/>
          <w:szCs w:val="24"/>
        </w:rPr>
        <w:t xml:space="preserve"> Dále</w:t>
      </w:r>
      <w:r w:rsidR="00443389" w:rsidRPr="008142C5">
        <w:rPr>
          <w:rFonts w:asciiTheme="minorHAnsi" w:hAnsiTheme="minorHAnsi" w:cstheme="minorHAnsi"/>
          <w:sz w:val="24"/>
          <w:szCs w:val="24"/>
        </w:rPr>
        <w:t xml:space="preserve"> bylo </w:t>
      </w:r>
      <w:r w:rsidR="00CC51A1">
        <w:rPr>
          <w:rFonts w:asciiTheme="minorHAnsi" w:hAnsiTheme="minorHAnsi" w:cstheme="minorHAnsi"/>
          <w:sz w:val="24"/>
          <w:szCs w:val="24"/>
        </w:rPr>
        <w:t xml:space="preserve">do </w:t>
      </w:r>
      <w:r w:rsidR="00443389" w:rsidRPr="008142C5">
        <w:rPr>
          <w:rFonts w:asciiTheme="minorHAnsi" w:hAnsiTheme="minorHAnsi" w:cstheme="minorHAnsi"/>
          <w:sz w:val="24"/>
          <w:szCs w:val="24"/>
        </w:rPr>
        <w:t>konc</w:t>
      </w:r>
      <w:r w:rsidR="00CC51A1">
        <w:rPr>
          <w:rFonts w:asciiTheme="minorHAnsi" w:hAnsiTheme="minorHAnsi" w:cstheme="minorHAnsi"/>
          <w:sz w:val="24"/>
          <w:szCs w:val="24"/>
        </w:rPr>
        <w:t>e</w:t>
      </w:r>
      <w:r w:rsidR="00443389" w:rsidRPr="008142C5">
        <w:rPr>
          <w:rFonts w:asciiTheme="minorHAnsi" w:hAnsiTheme="minorHAnsi" w:cstheme="minorHAnsi"/>
          <w:sz w:val="24"/>
          <w:szCs w:val="24"/>
        </w:rPr>
        <w:t xml:space="preserve"> roku 2022 zablokováno více než 550 internetových stránek nabízející</w:t>
      </w:r>
      <w:r w:rsidR="00CC51A1">
        <w:rPr>
          <w:rFonts w:asciiTheme="minorHAnsi" w:hAnsiTheme="minorHAnsi" w:cstheme="minorHAnsi"/>
          <w:sz w:val="24"/>
          <w:szCs w:val="24"/>
        </w:rPr>
        <w:t>ch</w:t>
      </w:r>
      <w:r w:rsidR="00443389" w:rsidRPr="008142C5">
        <w:rPr>
          <w:rFonts w:asciiTheme="minorHAnsi" w:hAnsiTheme="minorHAnsi" w:cstheme="minorHAnsi"/>
          <w:sz w:val="24"/>
          <w:szCs w:val="24"/>
        </w:rPr>
        <w:t xml:space="preserve"> nepovolené internetové hry</w:t>
      </w:r>
      <w:r w:rsidR="00443389" w:rsidRPr="008142C5">
        <w:rPr>
          <w:rStyle w:val="Znakapoznpodarou"/>
          <w:rFonts w:asciiTheme="minorHAnsi" w:hAnsiTheme="minorHAnsi" w:cstheme="minorHAnsi"/>
          <w:sz w:val="24"/>
          <w:szCs w:val="24"/>
        </w:rPr>
        <w:footnoteReference w:id="34"/>
      </w:r>
      <w:r w:rsidR="00443389" w:rsidRPr="008142C5">
        <w:rPr>
          <w:rFonts w:asciiTheme="minorHAnsi" w:hAnsiTheme="minorHAnsi" w:cstheme="minorHAnsi"/>
          <w:sz w:val="24"/>
          <w:szCs w:val="24"/>
        </w:rPr>
        <w:t xml:space="preserve">. </w:t>
      </w:r>
    </w:p>
    <w:p w14:paraId="60DFD54F" w14:textId="7F10AC98" w:rsidR="000675E7" w:rsidRPr="00247CAB" w:rsidRDefault="000675E7" w:rsidP="00247CAB">
      <w:pPr>
        <w:pStyle w:val="Titulek"/>
        <w:keepNext/>
        <w:spacing w:before="240" w:after="120"/>
        <w:ind w:left="993" w:hanging="993"/>
        <w:jc w:val="left"/>
        <w:rPr>
          <w:rFonts w:asciiTheme="minorHAnsi" w:hAnsiTheme="minorHAnsi"/>
          <w:b/>
          <w:i w:val="0"/>
          <w:color w:val="auto"/>
          <w:sz w:val="24"/>
          <w:szCs w:val="24"/>
        </w:rPr>
      </w:pPr>
      <w:r w:rsidRPr="00247CAB">
        <w:rPr>
          <w:rFonts w:asciiTheme="minorHAnsi" w:hAnsiTheme="minorHAnsi"/>
          <w:b/>
          <w:i w:val="0"/>
          <w:color w:val="auto"/>
          <w:sz w:val="24"/>
          <w:szCs w:val="24"/>
        </w:rPr>
        <w:lastRenderedPageBreak/>
        <w:t xml:space="preserve">Graf č. </w:t>
      </w:r>
      <w:r w:rsidR="00E4617A" w:rsidRPr="00247CAB">
        <w:rPr>
          <w:rFonts w:asciiTheme="minorHAnsi" w:hAnsiTheme="minorHAnsi"/>
          <w:b/>
          <w:i w:val="0"/>
          <w:color w:val="auto"/>
          <w:sz w:val="24"/>
          <w:szCs w:val="24"/>
        </w:rPr>
        <w:t>2</w:t>
      </w:r>
      <w:r w:rsidRPr="00247CAB">
        <w:rPr>
          <w:rFonts w:asciiTheme="minorHAnsi" w:hAnsiTheme="minorHAnsi"/>
          <w:b/>
          <w:i w:val="0"/>
          <w:color w:val="auto"/>
          <w:sz w:val="24"/>
          <w:szCs w:val="24"/>
        </w:rPr>
        <w:t>:</w:t>
      </w:r>
      <w:r w:rsidR="00B078CD" w:rsidRPr="00247CAB">
        <w:rPr>
          <w:rFonts w:asciiTheme="minorHAnsi" w:hAnsiTheme="minorHAnsi"/>
          <w:b/>
          <w:i w:val="0"/>
          <w:color w:val="auto"/>
          <w:sz w:val="24"/>
          <w:szCs w:val="24"/>
        </w:rPr>
        <w:tab/>
      </w:r>
      <w:r w:rsidRPr="00247CAB">
        <w:rPr>
          <w:rFonts w:asciiTheme="minorHAnsi" w:hAnsiTheme="minorHAnsi"/>
          <w:b/>
          <w:i w:val="0"/>
          <w:color w:val="auto"/>
          <w:sz w:val="24"/>
          <w:szCs w:val="24"/>
        </w:rPr>
        <w:t xml:space="preserve">Vývoj počtu internetových stránek uvedených </w:t>
      </w:r>
      <w:r w:rsidR="00CC51A1">
        <w:rPr>
          <w:rFonts w:asciiTheme="minorHAnsi" w:hAnsiTheme="minorHAnsi"/>
          <w:b/>
          <w:i w:val="0"/>
          <w:color w:val="auto"/>
          <w:sz w:val="24"/>
          <w:szCs w:val="24"/>
        </w:rPr>
        <w:t>v</w:t>
      </w:r>
      <w:r w:rsidRPr="00247CAB">
        <w:rPr>
          <w:rFonts w:asciiTheme="minorHAnsi" w:hAnsiTheme="minorHAnsi"/>
          <w:b/>
          <w:i w:val="0"/>
          <w:color w:val="auto"/>
          <w:sz w:val="24"/>
          <w:szCs w:val="24"/>
        </w:rPr>
        <w:t xml:space="preserve"> </w:t>
      </w:r>
      <w:r w:rsidR="00E810C2" w:rsidRPr="00247CAB">
        <w:rPr>
          <w:rFonts w:asciiTheme="minorHAnsi" w:hAnsiTheme="minorHAnsi"/>
          <w:b/>
          <w:i w:val="0"/>
          <w:color w:val="auto"/>
          <w:sz w:val="24"/>
          <w:szCs w:val="24"/>
        </w:rPr>
        <w:t>seznamu nepovolených internetových her</w:t>
      </w:r>
      <w:r w:rsidRPr="00247CAB">
        <w:rPr>
          <w:rFonts w:asciiTheme="minorHAnsi" w:hAnsiTheme="minorHAnsi"/>
          <w:b/>
          <w:i w:val="0"/>
          <w:color w:val="auto"/>
          <w:sz w:val="24"/>
          <w:szCs w:val="24"/>
        </w:rPr>
        <w:t xml:space="preserve"> </w:t>
      </w:r>
      <w:r w:rsidR="00CC51A1">
        <w:rPr>
          <w:rFonts w:asciiTheme="minorHAnsi" w:hAnsiTheme="minorHAnsi"/>
          <w:b/>
          <w:i w:val="0"/>
          <w:color w:val="auto"/>
          <w:sz w:val="24"/>
          <w:szCs w:val="24"/>
        </w:rPr>
        <w:t>(</w:t>
      </w:r>
      <w:r w:rsidRPr="00247CAB">
        <w:rPr>
          <w:rFonts w:asciiTheme="minorHAnsi" w:hAnsiTheme="minorHAnsi"/>
          <w:b/>
          <w:i w:val="0"/>
          <w:color w:val="auto"/>
          <w:sz w:val="24"/>
          <w:szCs w:val="24"/>
        </w:rPr>
        <w:t>ke dni 19.</w:t>
      </w:r>
      <w:r w:rsidR="00772BC8" w:rsidRPr="00247CAB">
        <w:rPr>
          <w:rFonts w:asciiTheme="minorHAnsi" w:hAnsiTheme="minorHAnsi"/>
          <w:b/>
          <w:i w:val="0"/>
          <w:color w:val="auto"/>
          <w:sz w:val="24"/>
          <w:szCs w:val="24"/>
        </w:rPr>
        <w:t> </w:t>
      </w:r>
      <w:r w:rsidRPr="00247CAB">
        <w:rPr>
          <w:rFonts w:asciiTheme="minorHAnsi" w:hAnsiTheme="minorHAnsi"/>
          <w:b/>
          <w:i w:val="0"/>
          <w:color w:val="auto"/>
          <w:sz w:val="24"/>
          <w:szCs w:val="24"/>
        </w:rPr>
        <w:t>10. 2022</w:t>
      </w:r>
      <w:r w:rsidR="00CC51A1">
        <w:rPr>
          <w:rFonts w:asciiTheme="minorHAnsi" w:hAnsiTheme="minorHAnsi"/>
          <w:b/>
          <w:i w:val="0"/>
          <w:color w:val="auto"/>
          <w:sz w:val="24"/>
          <w:szCs w:val="24"/>
        </w:rPr>
        <w:t>)</w:t>
      </w:r>
    </w:p>
    <w:p w14:paraId="5EEE62B2" w14:textId="7A4D38B4" w:rsidR="00B40A4D" w:rsidRDefault="00B40A4D" w:rsidP="00B078CD">
      <w:pPr>
        <w:spacing w:after="120"/>
      </w:pPr>
      <w:r>
        <w:rPr>
          <w:noProof/>
        </w:rPr>
        <w:drawing>
          <wp:inline distT="0" distB="0" distL="0" distR="0" wp14:anchorId="7F853CC2" wp14:editId="0864153E">
            <wp:extent cx="5760720" cy="3509605"/>
            <wp:effectExtent l="0" t="0" r="0" b="0"/>
            <wp:docPr id="11" name="Graf 11">
              <a:extLst xmlns:a="http://schemas.openxmlformats.org/drawingml/2006/main">
                <a:ext uri="{FF2B5EF4-FFF2-40B4-BE49-F238E27FC236}">
                  <a16:creationId xmlns:a16="http://schemas.microsoft.com/office/drawing/2014/main" id="{A94E1AA2-6E24-4CF1-A30B-216933C7CF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162BFF0" w14:textId="388A347A" w:rsidR="000675E7" w:rsidRPr="00247CAB" w:rsidRDefault="000675E7" w:rsidP="00247CAB">
      <w:pPr>
        <w:keepNext/>
        <w:spacing w:before="120" w:after="0" w:line="240" w:lineRule="auto"/>
        <w:ind w:left="567" w:hanging="567"/>
        <w:rPr>
          <w:rFonts w:asciiTheme="minorHAnsi" w:hAnsiTheme="minorHAnsi"/>
          <w:sz w:val="20"/>
          <w:szCs w:val="20"/>
        </w:rPr>
      </w:pPr>
      <w:r w:rsidRPr="00247CAB">
        <w:rPr>
          <w:rFonts w:asciiTheme="minorHAnsi" w:hAnsiTheme="minorHAnsi"/>
          <w:b/>
          <w:sz w:val="20"/>
          <w:szCs w:val="20"/>
        </w:rPr>
        <w:t>Zdroj:</w:t>
      </w:r>
      <w:r w:rsidRPr="00247CAB">
        <w:rPr>
          <w:rFonts w:asciiTheme="minorHAnsi" w:hAnsiTheme="minorHAnsi"/>
          <w:sz w:val="20"/>
          <w:szCs w:val="20"/>
        </w:rPr>
        <w:t xml:space="preserve"> </w:t>
      </w:r>
      <w:r w:rsidR="009411A6">
        <w:rPr>
          <w:rFonts w:asciiTheme="minorHAnsi" w:hAnsiTheme="minorHAnsi"/>
          <w:sz w:val="20"/>
          <w:szCs w:val="20"/>
        </w:rPr>
        <w:tab/>
        <w:t>data</w:t>
      </w:r>
      <w:r w:rsidRPr="00247CAB">
        <w:rPr>
          <w:rFonts w:asciiTheme="minorHAnsi" w:hAnsiTheme="minorHAnsi"/>
          <w:sz w:val="20"/>
          <w:szCs w:val="20"/>
        </w:rPr>
        <w:t xml:space="preserve"> MF a </w:t>
      </w:r>
      <w:r w:rsidR="009411A6">
        <w:rPr>
          <w:rFonts w:asciiTheme="minorHAnsi" w:hAnsiTheme="minorHAnsi"/>
          <w:sz w:val="20"/>
          <w:szCs w:val="20"/>
        </w:rPr>
        <w:t>údaje ze s</w:t>
      </w:r>
      <w:r w:rsidRPr="00247CAB">
        <w:rPr>
          <w:rFonts w:asciiTheme="minorHAnsi" w:hAnsiTheme="minorHAnsi"/>
          <w:sz w:val="20"/>
          <w:szCs w:val="20"/>
        </w:rPr>
        <w:t xml:space="preserve">eznamu nepovolených internetových her k 27. 7. 2022 a 19. 10. 2022 </w:t>
      </w:r>
      <w:r w:rsidR="009411A6">
        <w:rPr>
          <w:rFonts w:asciiTheme="minorHAnsi" w:hAnsiTheme="minorHAnsi"/>
          <w:sz w:val="20"/>
          <w:szCs w:val="20"/>
        </w:rPr>
        <w:t xml:space="preserve">(seznam je </w:t>
      </w:r>
      <w:r w:rsidRPr="00247CAB">
        <w:rPr>
          <w:rFonts w:asciiTheme="minorHAnsi" w:hAnsiTheme="minorHAnsi"/>
          <w:sz w:val="20"/>
          <w:szCs w:val="20"/>
        </w:rPr>
        <w:t>dostupn</w:t>
      </w:r>
      <w:r w:rsidR="009411A6">
        <w:rPr>
          <w:rFonts w:asciiTheme="minorHAnsi" w:hAnsiTheme="minorHAnsi"/>
          <w:sz w:val="20"/>
          <w:szCs w:val="20"/>
        </w:rPr>
        <w:t>ý</w:t>
      </w:r>
      <w:r w:rsidRPr="00247CAB">
        <w:rPr>
          <w:rFonts w:asciiTheme="minorHAnsi" w:hAnsiTheme="minorHAnsi"/>
          <w:sz w:val="20"/>
          <w:szCs w:val="20"/>
        </w:rPr>
        <w:t xml:space="preserve"> na internetových stránkách MF</w:t>
      </w:r>
      <w:r w:rsidR="009411A6">
        <w:rPr>
          <w:rFonts w:asciiTheme="minorHAnsi" w:hAnsiTheme="minorHAnsi"/>
          <w:sz w:val="20"/>
          <w:szCs w:val="20"/>
        </w:rPr>
        <w:t>);</w:t>
      </w:r>
      <w:r w:rsidR="009411A6" w:rsidRPr="009411A6">
        <w:rPr>
          <w:rFonts w:asciiTheme="minorHAnsi" w:hAnsiTheme="minorHAnsi"/>
          <w:sz w:val="20"/>
          <w:szCs w:val="20"/>
        </w:rPr>
        <w:t xml:space="preserve"> </w:t>
      </w:r>
      <w:r w:rsidR="009411A6" w:rsidRPr="002F2FA4">
        <w:rPr>
          <w:rFonts w:asciiTheme="minorHAnsi" w:hAnsiTheme="minorHAnsi"/>
          <w:sz w:val="20"/>
          <w:szCs w:val="20"/>
        </w:rPr>
        <w:t>vlastní zpracování NKÚ</w:t>
      </w:r>
      <w:r w:rsidR="00FA160A" w:rsidRPr="00247CAB">
        <w:rPr>
          <w:rFonts w:asciiTheme="minorHAnsi" w:hAnsiTheme="minorHAnsi"/>
          <w:sz w:val="20"/>
          <w:szCs w:val="20"/>
        </w:rPr>
        <w:t>.</w:t>
      </w:r>
    </w:p>
    <w:p w14:paraId="32DA114A" w14:textId="4EB3D4CA" w:rsidR="00C90D00" w:rsidRPr="00627344" w:rsidRDefault="00C90D00" w:rsidP="006007E5">
      <w:pPr>
        <w:pStyle w:val="Odstavecseseznamem"/>
        <w:numPr>
          <w:ilvl w:val="1"/>
          <w:numId w:val="17"/>
        </w:numPr>
        <w:spacing w:before="240" w:after="120"/>
        <w:ind w:left="0" w:firstLine="0"/>
        <w:contextualSpacing w:val="0"/>
        <w:rPr>
          <w:rFonts w:asciiTheme="minorHAnsi" w:hAnsiTheme="minorHAnsi" w:cstheme="minorHAnsi"/>
          <w:sz w:val="24"/>
          <w:szCs w:val="24"/>
        </w:rPr>
      </w:pPr>
      <w:r w:rsidRPr="00627344">
        <w:rPr>
          <w:rFonts w:asciiTheme="minorHAnsi" w:hAnsiTheme="minorHAnsi" w:cstheme="minorHAnsi"/>
          <w:sz w:val="24"/>
          <w:szCs w:val="24"/>
        </w:rPr>
        <w:t xml:space="preserve">MF </w:t>
      </w:r>
      <w:r w:rsidR="00CC51A1" w:rsidRPr="00627344">
        <w:rPr>
          <w:rFonts w:asciiTheme="minorHAnsi" w:hAnsiTheme="minorHAnsi" w:cstheme="minorHAnsi"/>
          <w:sz w:val="24"/>
          <w:szCs w:val="24"/>
        </w:rPr>
        <w:t xml:space="preserve">nevymezilo </w:t>
      </w:r>
      <w:r w:rsidRPr="00627344">
        <w:rPr>
          <w:rFonts w:asciiTheme="minorHAnsi" w:hAnsiTheme="minorHAnsi" w:cstheme="minorHAnsi"/>
          <w:sz w:val="24"/>
          <w:szCs w:val="24"/>
        </w:rPr>
        <w:t>jednoznačně problematiku zaměření a cílení ve</w:t>
      </w:r>
      <w:r w:rsidR="00CC51A1">
        <w:rPr>
          <w:rFonts w:asciiTheme="minorHAnsi" w:hAnsiTheme="minorHAnsi" w:cstheme="minorHAnsi"/>
          <w:sz w:val="24"/>
          <w:szCs w:val="24"/>
        </w:rPr>
        <w:t xml:space="preserve"> </w:t>
      </w:r>
      <w:r w:rsidRPr="00627344">
        <w:rPr>
          <w:rFonts w:asciiTheme="minorHAnsi" w:hAnsiTheme="minorHAnsi" w:cstheme="minorHAnsi"/>
          <w:sz w:val="24"/>
          <w:szCs w:val="24"/>
        </w:rPr>
        <w:t>smyslu</w:t>
      </w:r>
      <w:r w:rsidRPr="00627344">
        <w:rPr>
          <w:rFonts w:asciiTheme="minorHAnsi" w:hAnsiTheme="minorHAnsi" w:cstheme="minorHAnsi"/>
          <w:color w:val="000000"/>
          <w:sz w:val="24"/>
          <w:szCs w:val="24"/>
        </w:rPr>
        <w:t xml:space="preserve"> </w:t>
      </w:r>
      <w:r w:rsidR="00B9655B" w:rsidRPr="00627344">
        <w:rPr>
          <w:rFonts w:asciiTheme="minorHAnsi" w:hAnsiTheme="minorHAnsi" w:cstheme="minorHAnsi"/>
          <w:color w:val="000000"/>
          <w:sz w:val="24"/>
          <w:szCs w:val="24"/>
        </w:rPr>
        <w:t>ustanovení</w:t>
      </w:r>
      <w:r w:rsidRPr="00627344">
        <w:rPr>
          <w:rFonts w:asciiTheme="minorHAnsi" w:hAnsiTheme="minorHAnsi" w:cstheme="minorHAnsi"/>
          <w:sz w:val="24"/>
          <w:szCs w:val="24"/>
        </w:rPr>
        <w:t xml:space="preserve"> §</w:t>
      </w:r>
      <w:r w:rsidR="00772BC8" w:rsidRPr="00627344">
        <w:rPr>
          <w:rFonts w:asciiTheme="minorHAnsi" w:hAnsiTheme="minorHAnsi" w:cstheme="minorHAnsi"/>
          <w:sz w:val="24"/>
          <w:szCs w:val="24"/>
        </w:rPr>
        <w:t> </w:t>
      </w:r>
      <w:r w:rsidRPr="00627344">
        <w:rPr>
          <w:rFonts w:asciiTheme="minorHAnsi" w:hAnsiTheme="minorHAnsi" w:cstheme="minorHAnsi"/>
          <w:sz w:val="24"/>
          <w:szCs w:val="24"/>
        </w:rPr>
        <w:t>2 odst. 2 ZHH</w:t>
      </w:r>
      <w:r w:rsidRPr="00627344">
        <w:rPr>
          <w:rStyle w:val="Znakapoznpodarou"/>
          <w:rFonts w:asciiTheme="minorHAnsi" w:hAnsiTheme="minorHAnsi" w:cstheme="minorHAnsi"/>
          <w:sz w:val="24"/>
          <w:szCs w:val="24"/>
        </w:rPr>
        <w:footnoteReference w:id="35"/>
      </w:r>
      <w:r w:rsidRPr="00627344">
        <w:rPr>
          <w:rFonts w:asciiTheme="minorHAnsi" w:hAnsiTheme="minorHAnsi" w:cstheme="minorHAnsi"/>
          <w:sz w:val="24"/>
          <w:szCs w:val="24"/>
        </w:rPr>
        <w:t xml:space="preserve"> u internetových hazardních her provozovaných bez příslušného povolení podle ZHH, a to ani při převodu výkonu dozoru v oblasti internetových her na CS ČR. Výklad pojmu </w:t>
      </w:r>
      <w:r w:rsidR="00CC51A1">
        <w:rPr>
          <w:rFonts w:asciiTheme="minorHAnsi" w:hAnsiTheme="minorHAnsi" w:cstheme="minorHAnsi"/>
          <w:sz w:val="24"/>
          <w:szCs w:val="24"/>
        </w:rPr>
        <w:t>„</w:t>
      </w:r>
      <w:r w:rsidRPr="00627344">
        <w:rPr>
          <w:rFonts w:asciiTheme="minorHAnsi" w:hAnsiTheme="minorHAnsi" w:cstheme="minorHAnsi"/>
          <w:sz w:val="24"/>
          <w:szCs w:val="24"/>
        </w:rPr>
        <w:t>zaměření a cílení</w:t>
      </w:r>
      <w:r w:rsidR="00CC51A1">
        <w:rPr>
          <w:rFonts w:asciiTheme="minorHAnsi" w:hAnsiTheme="minorHAnsi" w:cstheme="minorHAnsi"/>
          <w:sz w:val="24"/>
          <w:szCs w:val="24"/>
        </w:rPr>
        <w:t>“</w:t>
      </w:r>
      <w:r w:rsidRPr="00627344">
        <w:rPr>
          <w:rFonts w:asciiTheme="minorHAnsi" w:hAnsiTheme="minorHAnsi" w:cstheme="minorHAnsi"/>
          <w:sz w:val="24"/>
          <w:szCs w:val="24"/>
        </w:rPr>
        <w:t xml:space="preserve"> provádí MF v praxi jako metodický orgán ve věci regulace hazardních her</w:t>
      </w:r>
      <w:r w:rsidR="009411A6">
        <w:rPr>
          <w:rFonts w:asciiTheme="minorHAnsi" w:hAnsiTheme="minorHAnsi" w:cstheme="minorHAnsi"/>
          <w:sz w:val="24"/>
          <w:szCs w:val="24"/>
        </w:rPr>
        <w:t xml:space="preserve"> </w:t>
      </w:r>
      <w:r w:rsidRPr="00627344">
        <w:rPr>
          <w:rFonts w:asciiTheme="minorHAnsi" w:hAnsiTheme="minorHAnsi" w:cstheme="minorHAnsi"/>
          <w:sz w:val="24"/>
          <w:szCs w:val="24"/>
        </w:rPr>
        <w:t>a prvoinstanční orgán správního řízení o zápisu na seznam nepovolených internetových her.</w:t>
      </w:r>
    </w:p>
    <w:p w14:paraId="18B2913D" w14:textId="4DA04DC2" w:rsidR="00C90D00" w:rsidRPr="008142C5" w:rsidRDefault="00C90D00" w:rsidP="006007E5">
      <w:pPr>
        <w:pStyle w:val="Odstavecseseznamem"/>
        <w:numPr>
          <w:ilvl w:val="1"/>
          <w:numId w:val="17"/>
        </w:numPr>
        <w:spacing w:after="120"/>
        <w:ind w:left="0" w:firstLine="0"/>
        <w:contextualSpacing w:val="0"/>
        <w:rPr>
          <w:rFonts w:asciiTheme="minorHAnsi" w:hAnsiTheme="minorHAnsi" w:cstheme="minorHAnsi"/>
          <w:sz w:val="24"/>
          <w:szCs w:val="24"/>
        </w:rPr>
      </w:pPr>
      <w:r w:rsidRPr="008142C5">
        <w:rPr>
          <w:rStyle w:val="ui-provider"/>
          <w:rFonts w:asciiTheme="minorHAnsi" w:hAnsiTheme="minorHAnsi" w:cstheme="minorHAnsi"/>
          <w:sz w:val="24"/>
          <w:szCs w:val="24"/>
        </w:rPr>
        <w:t xml:space="preserve">Po dobu posuzování zaměření a cílení </w:t>
      </w:r>
      <w:r w:rsidR="00A07E70">
        <w:rPr>
          <w:rStyle w:val="ui-provider"/>
          <w:rFonts w:asciiTheme="minorHAnsi" w:hAnsiTheme="minorHAnsi" w:cstheme="minorHAnsi"/>
          <w:sz w:val="24"/>
          <w:szCs w:val="24"/>
        </w:rPr>
        <w:t xml:space="preserve">je až </w:t>
      </w:r>
      <w:r w:rsidR="00C05085" w:rsidRPr="008142C5">
        <w:rPr>
          <w:rStyle w:val="ui-provider"/>
          <w:rFonts w:asciiTheme="minorHAnsi" w:hAnsiTheme="minorHAnsi" w:cstheme="minorHAnsi"/>
          <w:sz w:val="24"/>
          <w:szCs w:val="24"/>
        </w:rPr>
        <w:t>do okamžiku</w:t>
      </w:r>
      <w:r w:rsidRPr="008142C5">
        <w:rPr>
          <w:rStyle w:val="ui-provider"/>
          <w:rFonts w:asciiTheme="minorHAnsi" w:hAnsiTheme="minorHAnsi" w:cstheme="minorHAnsi"/>
          <w:sz w:val="24"/>
          <w:szCs w:val="24"/>
        </w:rPr>
        <w:t xml:space="preserve"> uveřejnění internetové stránky na seznamu nepovolených internetových her umožněno provozovatelům </w:t>
      </w:r>
      <w:r w:rsidR="00ED5FB3">
        <w:rPr>
          <w:rStyle w:val="ui-provider"/>
          <w:rFonts w:asciiTheme="minorHAnsi" w:hAnsiTheme="minorHAnsi" w:cstheme="minorHAnsi"/>
          <w:sz w:val="24"/>
          <w:szCs w:val="24"/>
        </w:rPr>
        <w:t>danou</w:t>
      </w:r>
      <w:r w:rsidRPr="008142C5">
        <w:rPr>
          <w:rStyle w:val="ui-provider"/>
          <w:rFonts w:asciiTheme="minorHAnsi" w:hAnsiTheme="minorHAnsi" w:cstheme="minorHAnsi"/>
          <w:sz w:val="24"/>
          <w:szCs w:val="24"/>
        </w:rPr>
        <w:t xml:space="preserve"> hru i nadále</w:t>
      </w:r>
      <w:r w:rsidR="009411A6">
        <w:rPr>
          <w:rStyle w:val="ui-provider"/>
          <w:rFonts w:asciiTheme="minorHAnsi" w:hAnsiTheme="minorHAnsi" w:cstheme="minorHAnsi"/>
          <w:sz w:val="24"/>
          <w:szCs w:val="24"/>
        </w:rPr>
        <w:t xml:space="preserve"> </w:t>
      </w:r>
      <w:r w:rsidRPr="008142C5">
        <w:rPr>
          <w:rStyle w:val="ui-provider"/>
          <w:rFonts w:asciiTheme="minorHAnsi" w:hAnsiTheme="minorHAnsi" w:cstheme="minorHAnsi"/>
          <w:sz w:val="24"/>
          <w:szCs w:val="24"/>
        </w:rPr>
        <w:t>na území ČR provozovat a uživatelům se nepovolených hazardních her účastnit.</w:t>
      </w:r>
      <w:r w:rsidR="009411A6">
        <w:rPr>
          <w:rStyle w:val="ui-provider"/>
          <w:rFonts w:asciiTheme="minorHAnsi" w:hAnsiTheme="minorHAnsi" w:cstheme="minorHAnsi"/>
          <w:sz w:val="24"/>
          <w:szCs w:val="24"/>
        </w:rPr>
        <w:t xml:space="preserve"> </w:t>
      </w:r>
      <w:r w:rsidRPr="008142C5">
        <w:rPr>
          <w:rFonts w:asciiTheme="minorHAnsi" w:hAnsiTheme="minorHAnsi" w:cstheme="minorHAnsi"/>
          <w:sz w:val="24"/>
          <w:szCs w:val="24"/>
        </w:rPr>
        <w:t>U</w:t>
      </w:r>
      <w:r w:rsidR="00B66B6A">
        <w:rPr>
          <w:rFonts w:asciiTheme="minorHAnsi" w:hAnsiTheme="minorHAnsi" w:cstheme="minorHAnsi"/>
          <w:sz w:val="24"/>
          <w:szCs w:val="24"/>
        </w:rPr>
        <w:t xml:space="preserve"> </w:t>
      </w:r>
      <w:r w:rsidRPr="008142C5">
        <w:rPr>
          <w:rFonts w:asciiTheme="minorHAnsi" w:hAnsiTheme="minorHAnsi" w:cstheme="minorHAnsi"/>
          <w:sz w:val="24"/>
          <w:szCs w:val="24"/>
        </w:rPr>
        <w:t xml:space="preserve">náhodně vybraného vzorku </w:t>
      </w:r>
      <w:r w:rsidR="00034C84" w:rsidRPr="008142C5">
        <w:rPr>
          <w:rFonts w:asciiTheme="minorHAnsi" w:hAnsiTheme="minorHAnsi" w:cstheme="minorHAnsi"/>
          <w:sz w:val="24"/>
          <w:szCs w:val="24"/>
        </w:rPr>
        <w:t xml:space="preserve">sedmi </w:t>
      </w:r>
      <w:r w:rsidRPr="008142C5">
        <w:rPr>
          <w:rFonts w:asciiTheme="minorHAnsi" w:hAnsiTheme="minorHAnsi" w:cstheme="minorHAnsi"/>
          <w:sz w:val="24"/>
          <w:szCs w:val="24"/>
        </w:rPr>
        <w:t>internetových stránek činila tato doba 119 až 368 dní. NKÚ tuto skutečnost vyhodnotil jako projev snížení účinnosti ZHH v oblasti ochrany sázejících a jejich okolí.</w:t>
      </w:r>
    </w:p>
    <w:p w14:paraId="157A9306" w14:textId="4B9DA78C" w:rsidR="00C90D00" w:rsidRPr="008142C5" w:rsidRDefault="00ED5FB3" w:rsidP="006007E5">
      <w:pPr>
        <w:pStyle w:val="Odstavecseseznamem"/>
        <w:numPr>
          <w:ilvl w:val="1"/>
          <w:numId w:val="17"/>
        </w:numPr>
        <w:spacing w:after="120"/>
        <w:ind w:left="0" w:firstLine="0"/>
        <w:contextualSpacing w:val="0"/>
        <w:rPr>
          <w:rFonts w:asciiTheme="minorHAnsi" w:hAnsiTheme="minorHAnsi" w:cstheme="minorHAnsi"/>
          <w:sz w:val="24"/>
          <w:szCs w:val="24"/>
        </w:rPr>
      </w:pPr>
      <w:r>
        <w:rPr>
          <w:rFonts w:asciiTheme="minorHAnsi" w:hAnsiTheme="minorHAnsi" w:cstheme="minorHAnsi"/>
          <w:sz w:val="24"/>
          <w:szCs w:val="24"/>
        </w:rPr>
        <w:t>V</w:t>
      </w:r>
      <w:r w:rsidR="00C90D00" w:rsidRPr="008142C5">
        <w:rPr>
          <w:rFonts w:asciiTheme="minorHAnsi" w:hAnsiTheme="minorHAnsi" w:cstheme="minorHAnsi"/>
          <w:sz w:val="24"/>
          <w:szCs w:val="24"/>
        </w:rPr>
        <w:t xml:space="preserve">ýkon dozoru v oblasti internetového provozování legálních a nelegálních hazardních her </w:t>
      </w:r>
      <w:r w:rsidRPr="008142C5">
        <w:rPr>
          <w:rFonts w:asciiTheme="minorHAnsi" w:hAnsiTheme="minorHAnsi" w:cstheme="minorHAnsi"/>
          <w:sz w:val="24"/>
          <w:szCs w:val="24"/>
        </w:rPr>
        <w:t xml:space="preserve">převedlo MF </w:t>
      </w:r>
      <w:r w:rsidR="00C90D00" w:rsidRPr="008142C5">
        <w:rPr>
          <w:rFonts w:asciiTheme="minorHAnsi" w:hAnsiTheme="minorHAnsi" w:cstheme="minorHAnsi"/>
          <w:sz w:val="24"/>
          <w:szCs w:val="24"/>
        </w:rPr>
        <w:t xml:space="preserve">ke dni 1. 11. 2019 na CS ČR. </w:t>
      </w:r>
      <w:r w:rsidR="006D342D" w:rsidRPr="008142C5">
        <w:rPr>
          <w:rFonts w:asciiTheme="minorHAnsi" w:hAnsiTheme="minorHAnsi" w:cstheme="minorHAnsi"/>
          <w:sz w:val="24"/>
          <w:szCs w:val="24"/>
        </w:rPr>
        <w:t>P</w:t>
      </w:r>
      <w:r w:rsidR="00331DF0" w:rsidRPr="008142C5">
        <w:rPr>
          <w:rFonts w:asciiTheme="minorHAnsi" w:hAnsiTheme="minorHAnsi" w:cstheme="minorHAnsi"/>
          <w:sz w:val="24"/>
          <w:szCs w:val="24"/>
        </w:rPr>
        <w:t xml:space="preserve">ostup </w:t>
      </w:r>
      <w:r w:rsidR="00C90D00" w:rsidRPr="008142C5">
        <w:rPr>
          <w:rFonts w:asciiTheme="minorHAnsi" w:hAnsiTheme="minorHAnsi" w:cstheme="minorHAnsi"/>
          <w:sz w:val="24"/>
          <w:szCs w:val="24"/>
        </w:rPr>
        <w:t>komunikace</w:t>
      </w:r>
      <w:r w:rsidR="00331DF0" w:rsidRPr="008142C5">
        <w:rPr>
          <w:rFonts w:asciiTheme="minorHAnsi" w:hAnsiTheme="minorHAnsi" w:cstheme="minorHAnsi"/>
          <w:sz w:val="24"/>
          <w:szCs w:val="24"/>
        </w:rPr>
        <w:t xml:space="preserve"> </w:t>
      </w:r>
      <w:r w:rsidRPr="008142C5">
        <w:rPr>
          <w:rFonts w:asciiTheme="minorHAnsi" w:hAnsiTheme="minorHAnsi" w:cstheme="minorHAnsi"/>
          <w:sz w:val="24"/>
          <w:szCs w:val="24"/>
        </w:rPr>
        <w:t xml:space="preserve">mezi MF a CS ČR </w:t>
      </w:r>
      <w:r w:rsidR="006D342D" w:rsidRPr="008142C5">
        <w:rPr>
          <w:rFonts w:asciiTheme="minorHAnsi" w:hAnsiTheme="minorHAnsi" w:cstheme="minorHAnsi"/>
          <w:sz w:val="24"/>
          <w:szCs w:val="24"/>
        </w:rPr>
        <w:t xml:space="preserve">při výkonu dozorové činnosti v oblasti internetového provozování hazardních her nastavilo Ministerstvo financí formálně </w:t>
      </w:r>
      <w:r w:rsidR="00C90D00" w:rsidRPr="008142C5">
        <w:rPr>
          <w:rFonts w:asciiTheme="minorHAnsi" w:hAnsiTheme="minorHAnsi" w:cstheme="minorHAnsi"/>
          <w:sz w:val="24"/>
          <w:szCs w:val="24"/>
        </w:rPr>
        <w:t xml:space="preserve">až dne 22. 6. 2020, </w:t>
      </w:r>
      <w:r>
        <w:rPr>
          <w:rFonts w:asciiTheme="minorHAnsi" w:hAnsiTheme="minorHAnsi" w:cstheme="minorHAnsi"/>
          <w:sz w:val="24"/>
          <w:szCs w:val="24"/>
        </w:rPr>
        <w:t xml:space="preserve">tedy </w:t>
      </w:r>
      <w:r w:rsidR="00C90D00" w:rsidRPr="008142C5">
        <w:rPr>
          <w:rFonts w:asciiTheme="minorHAnsi" w:hAnsiTheme="minorHAnsi" w:cstheme="minorHAnsi"/>
          <w:sz w:val="24"/>
          <w:szCs w:val="24"/>
        </w:rPr>
        <w:t xml:space="preserve">více než sedm měsíců po samotném faktickém převodu výkonu dozoru. </w:t>
      </w:r>
    </w:p>
    <w:p w14:paraId="1A671A0F" w14:textId="4C10E5D9" w:rsidR="00C90D00" w:rsidRPr="008142C5" w:rsidRDefault="00C90D00" w:rsidP="006007E5">
      <w:pPr>
        <w:pStyle w:val="Odstavecseseznamem"/>
        <w:numPr>
          <w:ilvl w:val="1"/>
          <w:numId w:val="17"/>
        </w:numPr>
        <w:spacing w:after="120"/>
        <w:ind w:left="0" w:firstLine="0"/>
        <w:contextualSpacing w:val="0"/>
        <w:rPr>
          <w:rFonts w:asciiTheme="minorHAnsi" w:hAnsiTheme="minorHAnsi" w:cstheme="minorHAnsi"/>
          <w:sz w:val="24"/>
          <w:szCs w:val="24"/>
        </w:rPr>
      </w:pPr>
      <w:r w:rsidRPr="008142C5">
        <w:rPr>
          <w:rFonts w:asciiTheme="minorHAnsi" w:hAnsiTheme="minorHAnsi" w:cstheme="minorHAnsi"/>
          <w:sz w:val="24"/>
          <w:szCs w:val="24"/>
        </w:rPr>
        <w:t xml:space="preserve">GŘC si upravilo znaky cílení </w:t>
      </w:r>
      <w:r w:rsidR="00C05085" w:rsidRPr="008142C5">
        <w:rPr>
          <w:rFonts w:asciiTheme="minorHAnsi" w:hAnsiTheme="minorHAnsi" w:cstheme="minorHAnsi"/>
          <w:sz w:val="24"/>
          <w:szCs w:val="24"/>
        </w:rPr>
        <w:t>odlišně</w:t>
      </w:r>
      <w:r w:rsidRPr="008142C5">
        <w:rPr>
          <w:rFonts w:asciiTheme="minorHAnsi" w:hAnsiTheme="minorHAnsi" w:cstheme="minorHAnsi"/>
          <w:sz w:val="24"/>
          <w:szCs w:val="24"/>
        </w:rPr>
        <w:t xml:space="preserve"> od předchozí praxe MF</w:t>
      </w:r>
      <w:r w:rsidR="00AA3463">
        <w:rPr>
          <w:rFonts w:asciiTheme="minorHAnsi" w:hAnsiTheme="minorHAnsi" w:cstheme="minorHAnsi"/>
          <w:sz w:val="24"/>
          <w:szCs w:val="24"/>
        </w:rPr>
        <w:t>, takže</w:t>
      </w:r>
      <w:r w:rsidRPr="008142C5">
        <w:rPr>
          <w:rFonts w:asciiTheme="minorHAnsi" w:hAnsiTheme="minorHAnsi" w:cstheme="minorHAnsi"/>
          <w:sz w:val="24"/>
          <w:szCs w:val="24"/>
        </w:rPr>
        <w:t xml:space="preserve"> podmínkou cílení </w:t>
      </w:r>
      <w:r w:rsidR="00AA3463" w:rsidRPr="008142C5">
        <w:rPr>
          <w:rFonts w:asciiTheme="minorHAnsi" w:hAnsiTheme="minorHAnsi" w:cstheme="minorHAnsi"/>
          <w:sz w:val="24"/>
          <w:szCs w:val="24"/>
        </w:rPr>
        <w:t xml:space="preserve">již není </w:t>
      </w:r>
      <w:r w:rsidRPr="008142C5">
        <w:rPr>
          <w:rFonts w:asciiTheme="minorHAnsi" w:hAnsiTheme="minorHAnsi" w:cstheme="minorHAnsi"/>
          <w:sz w:val="24"/>
          <w:szCs w:val="24"/>
        </w:rPr>
        <w:t xml:space="preserve">platba českou měnou a provozování stránek výhradně v českém jazyce. Za </w:t>
      </w:r>
      <w:r w:rsidR="00AA3463">
        <w:rPr>
          <w:rFonts w:asciiTheme="minorHAnsi" w:hAnsiTheme="minorHAnsi" w:cstheme="minorHAnsi"/>
          <w:sz w:val="24"/>
          <w:szCs w:val="24"/>
        </w:rPr>
        <w:t xml:space="preserve">znaky </w:t>
      </w:r>
      <w:r w:rsidRPr="008142C5">
        <w:rPr>
          <w:rFonts w:asciiTheme="minorHAnsi" w:hAnsiTheme="minorHAnsi" w:cstheme="minorHAnsi"/>
          <w:sz w:val="24"/>
          <w:szCs w:val="24"/>
        </w:rPr>
        <w:t>pasivní dostupnost</w:t>
      </w:r>
      <w:r w:rsidR="00AA3463">
        <w:rPr>
          <w:rFonts w:asciiTheme="minorHAnsi" w:hAnsiTheme="minorHAnsi" w:cstheme="minorHAnsi"/>
          <w:sz w:val="24"/>
          <w:szCs w:val="24"/>
        </w:rPr>
        <w:t>i</w:t>
      </w:r>
      <w:r w:rsidRPr="008142C5">
        <w:rPr>
          <w:rFonts w:asciiTheme="minorHAnsi" w:hAnsiTheme="minorHAnsi" w:cstheme="minorHAnsi"/>
          <w:sz w:val="24"/>
          <w:szCs w:val="24"/>
        </w:rPr>
        <w:t xml:space="preserve"> stránek jsou </w:t>
      </w:r>
      <w:r w:rsidR="00AA3463">
        <w:rPr>
          <w:rFonts w:asciiTheme="minorHAnsi" w:hAnsiTheme="minorHAnsi" w:cstheme="minorHAnsi"/>
          <w:sz w:val="24"/>
          <w:szCs w:val="24"/>
        </w:rPr>
        <w:t>považovány mj.</w:t>
      </w:r>
      <w:r w:rsidRPr="008142C5">
        <w:rPr>
          <w:rFonts w:asciiTheme="minorHAnsi" w:hAnsiTheme="minorHAnsi" w:cstheme="minorHAnsi"/>
          <w:sz w:val="24"/>
          <w:szCs w:val="24"/>
        </w:rPr>
        <w:t xml:space="preserve"> telefonní předvolba, vlajka ČR nebo číselníky </w:t>
      </w:r>
      <w:r w:rsidRPr="008142C5">
        <w:rPr>
          <w:rFonts w:asciiTheme="minorHAnsi" w:hAnsiTheme="minorHAnsi" w:cstheme="minorHAnsi"/>
          <w:sz w:val="24"/>
          <w:szCs w:val="24"/>
        </w:rPr>
        <w:lastRenderedPageBreak/>
        <w:t xml:space="preserve">rozdělené dle zemí. </w:t>
      </w:r>
      <w:r w:rsidR="00040595" w:rsidRPr="008142C5">
        <w:rPr>
          <w:rFonts w:asciiTheme="minorHAnsi" w:hAnsiTheme="minorHAnsi" w:cstheme="minorHAnsi"/>
          <w:sz w:val="24"/>
          <w:szCs w:val="24"/>
        </w:rPr>
        <w:t>GŘC</w:t>
      </w:r>
      <w:r w:rsidRPr="008142C5">
        <w:rPr>
          <w:rFonts w:asciiTheme="minorHAnsi" w:hAnsiTheme="minorHAnsi" w:cstheme="minorHAnsi"/>
          <w:sz w:val="24"/>
          <w:szCs w:val="24"/>
        </w:rPr>
        <w:t xml:space="preserve"> úpravu znaků cílení </w:t>
      </w:r>
      <w:r w:rsidR="00CA7D7E">
        <w:rPr>
          <w:rFonts w:asciiTheme="minorHAnsi" w:hAnsiTheme="minorHAnsi" w:cstheme="minorHAnsi"/>
          <w:sz w:val="24"/>
          <w:szCs w:val="24"/>
        </w:rPr>
        <w:t xml:space="preserve">začalo </w:t>
      </w:r>
      <w:r w:rsidRPr="008142C5">
        <w:rPr>
          <w:rFonts w:asciiTheme="minorHAnsi" w:hAnsiTheme="minorHAnsi" w:cstheme="minorHAnsi"/>
          <w:sz w:val="24"/>
          <w:szCs w:val="24"/>
        </w:rPr>
        <w:t>projednáva</w:t>
      </w:r>
      <w:r w:rsidR="00CA7D7E">
        <w:rPr>
          <w:rFonts w:asciiTheme="minorHAnsi" w:hAnsiTheme="minorHAnsi" w:cstheme="minorHAnsi"/>
          <w:sz w:val="24"/>
          <w:szCs w:val="24"/>
        </w:rPr>
        <w:t>t</w:t>
      </w:r>
      <w:r w:rsidRPr="008142C5">
        <w:rPr>
          <w:rFonts w:asciiTheme="minorHAnsi" w:hAnsiTheme="minorHAnsi" w:cstheme="minorHAnsi"/>
          <w:sz w:val="24"/>
          <w:szCs w:val="24"/>
        </w:rPr>
        <w:t xml:space="preserve"> s </w:t>
      </w:r>
      <w:r w:rsidR="00EE49CF" w:rsidRPr="008142C5">
        <w:rPr>
          <w:rFonts w:asciiTheme="minorHAnsi" w:hAnsiTheme="minorHAnsi" w:cstheme="minorHAnsi"/>
          <w:sz w:val="24"/>
          <w:szCs w:val="24"/>
        </w:rPr>
        <w:t>MF</w:t>
      </w:r>
      <w:r w:rsidRPr="008142C5">
        <w:rPr>
          <w:rFonts w:asciiTheme="minorHAnsi" w:hAnsiTheme="minorHAnsi" w:cstheme="minorHAnsi"/>
          <w:sz w:val="24"/>
          <w:szCs w:val="24"/>
        </w:rPr>
        <w:t xml:space="preserve"> </w:t>
      </w:r>
      <w:r w:rsidR="00CA7D7E">
        <w:rPr>
          <w:rFonts w:asciiTheme="minorHAnsi" w:hAnsiTheme="minorHAnsi" w:cstheme="minorHAnsi"/>
          <w:sz w:val="24"/>
          <w:szCs w:val="24"/>
        </w:rPr>
        <w:t xml:space="preserve">dne </w:t>
      </w:r>
      <w:r w:rsidR="00CA7D7E" w:rsidRPr="008142C5">
        <w:rPr>
          <w:rFonts w:asciiTheme="minorHAnsi" w:hAnsiTheme="minorHAnsi" w:cstheme="minorHAnsi"/>
          <w:sz w:val="24"/>
          <w:szCs w:val="24"/>
        </w:rPr>
        <w:t>16.</w:t>
      </w:r>
      <w:r w:rsidR="00CA7D7E">
        <w:rPr>
          <w:rFonts w:asciiTheme="minorHAnsi" w:hAnsiTheme="minorHAnsi" w:cstheme="minorHAnsi"/>
          <w:sz w:val="24"/>
          <w:szCs w:val="24"/>
        </w:rPr>
        <w:t> </w:t>
      </w:r>
      <w:r w:rsidR="00CA7D7E" w:rsidRPr="008142C5">
        <w:rPr>
          <w:rFonts w:asciiTheme="minorHAnsi" w:hAnsiTheme="minorHAnsi" w:cstheme="minorHAnsi"/>
          <w:sz w:val="24"/>
          <w:szCs w:val="24"/>
        </w:rPr>
        <w:t>7.</w:t>
      </w:r>
      <w:r w:rsidR="00CA7D7E">
        <w:rPr>
          <w:rFonts w:asciiTheme="minorHAnsi" w:hAnsiTheme="minorHAnsi" w:cstheme="minorHAnsi"/>
          <w:sz w:val="24"/>
          <w:szCs w:val="24"/>
        </w:rPr>
        <w:t> </w:t>
      </w:r>
      <w:r w:rsidR="00CA7D7E" w:rsidRPr="008142C5">
        <w:rPr>
          <w:rFonts w:asciiTheme="minorHAnsi" w:hAnsiTheme="minorHAnsi" w:cstheme="minorHAnsi"/>
          <w:sz w:val="24"/>
          <w:szCs w:val="24"/>
        </w:rPr>
        <w:t>2019</w:t>
      </w:r>
      <w:r w:rsidR="00CA7D7E">
        <w:rPr>
          <w:rFonts w:asciiTheme="minorHAnsi" w:hAnsiTheme="minorHAnsi" w:cstheme="minorHAnsi"/>
          <w:sz w:val="24"/>
          <w:szCs w:val="24"/>
        </w:rPr>
        <w:t>, tedy</w:t>
      </w:r>
      <w:r w:rsidR="00CA7D7E" w:rsidRPr="008142C5">
        <w:rPr>
          <w:rFonts w:asciiTheme="minorHAnsi" w:hAnsiTheme="minorHAnsi" w:cstheme="minorHAnsi"/>
          <w:sz w:val="24"/>
          <w:szCs w:val="24"/>
        </w:rPr>
        <w:t xml:space="preserve"> </w:t>
      </w:r>
      <w:r w:rsidRPr="008142C5">
        <w:rPr>
          <w:rFonts w:asciiTheme="minorHAnsi" w:hAnsiTheme="minorHAnsi" w:cstheme="minorHAnsi"/>
          <w:sz w:val="24"/>
          <w:szCs w:val="24"/>
        </w:rPr>
        <w:t>ještě před převzetím kompetence. Každý případ cílení je prošetřován individuálně, musí být jasně patrná aktivita provozovatele zaměřená na ČR, například reklama uvedená na jiných stránkách v</w:t>
      </w:r>
      <w:r w:rsidR="00187E99">
        <w:rPr>
          <w:rFonts w:asciiTheme="minorHAnsi" w:hAnsiTheme="minorHAnsi" w:cstheme="minorHAnsi"/>
          <w:sz w:val="24"/>
          <w:szCs w:val="24"/>
        </w:rPr>
        <w:t xml:space="preserve"> </w:t>
      </w:r>
      <w:r w:rsidRPr="008142C5">
        <w:rPr>
          <w:rFonts w:asciiTheme="minorHAnsi" w:hAnsiTheme="minorHAnsi" w:cstheme="minorHAnsi"/>
          <w:sz w:val="24"/>
          <w:szCs w:val="24"/>
        </w:rPr>
        <w:t xml:space="preserve">českém jazyce. </w:t>
      </w:r>
      <w:r w:rsidR="00EE49CF" w:rsidRPr="008142C5">
        <w:rPr>
          <w:rFonts w:asciiTheme="minorHAnsi" w:hAnsiTheme="minorHAnsi" w:cstheme="minorHAnsi"/>
          <w:sz w:val="24"/>
          <w:szCs w:val="24"/>
        </w:rPr>
        <w:t xml:space="preserve">V </w:t>
      </w:r>
      <w:r w:rsidRPr="008142C5">
        <w:rPr>
          <w:rFonts w:asciiTheme="minorHAnsi" w:hAnsiTheme="minorHAnsi" w:cstheme="minorHAnsi"/>
          <w:sz w:val="24"/>
          <w:szCs w:val="24"/>
        </w:rPr>
        <w:t>hraničních případech, kdy se mísí význam</w:t>
      </w:r>
      <w:r w:rsidR="00AA3463">
        <w:rPr>
          <w:rFonts w:asciiTheme="minorHAnsi" w:hAnsiTheme="minorHAnsi" w:cstheme="minorHAnsi"/>
          <w:sz w:val="24"/>
          <w:szCs w:val="24"/>
        </w:rPr>
        <w:t>y</w:t>
      </w:r>
      <w:r w:rsidRPr="008142C5">
        <w:rPr>
          <w:rFonts w:asciiTheme="minorHAnsi" w:hAnsiTheme="minorHAnsi" w:cstheme="minorHAnsi"/>
          <w:sz w:val="24"/>
          <w:szCs w:val="24"/>
        </w:rPr>
        <w:t xml:space="preserve"> pojm</w:t>
      </w:r>
      <w:r w:rsidR="00AA3463">
        <w:rPr>
          <w:rFonts w:asciiTheme="minorHAnsi" w:hAnsiTheme="minorHAnsi" w:cstheme="minorHAnsi"/>
          <w:sz w:val="24"/>
          <w:szCs w:val="24"/>
        </w:rPr>
        <w:t>ů</w:t>
      </w:r>
      <w:r w:rsidRPr="008142C5">
        <w:rPr>
          <w:rFonts w:asciiTheme="minorHAnsi" w:hAnsiTheme="minorHAnsi" w:cstheme="minorHAnsi"/>
          <w:sz w:val="24"/>
          <w:szCs w:val="24"/>
        </w:rPr>
        <w:t xml:space="preserve"> cílení </w:t>
      </w:r>
      <w:r w:rsidR="00187E99">
        <w:rPr>
          <w:rFonts w:asciiTheme="minorHAnsi" w:hAnsiTheme="minorHAnsi" w:cstheme="minorHAnsi"/>
          <w:sz w:val="24"/>
          <w:szCs w:val="24"/>
        </w:rPr>
        <w:br/>
      </w:r>
      <w:r w:rsidRPr="008142C5">
        <w:rPr>
          <w:rFonts w:asciiTheme="minorHAnsi" w:hAnsiTheme="minorHAnsi" w:cstheme="minorHAnsi"/>
          <w:sz w:val="24"/>
          <w:szCs w:val="24"/>
        </w:rPr>
        <w:t>a dostupnost, nemusí být výklad konstantní, neboť pro tuto pomyslnou hranici zatím neexistuje dostatek judikatury.</w:t>
      </w:r>
    </w:p>
    <w:p w14:paraId="68C651B6" w14:textId="22B02224" w:rsidR="00C90D00" w:rsidRPr="008142C5" w:rsidRDefault="00C90D00" w:rsidP="005B558F">
      <w:pPr>
        <w:pStyle w:val="Odstavecseseznamem"/>
        <w:numPr>
          <w:ilvl w:val="1"/>
          <w:numId w:val="17"/>
        </w:numPr>
        <w:spacing w:after="120"/>
        <w:ind w:left="0" w:firstLine="0"/>
        <w:contextualSpacing w:val="0"/>
        <w:rPr>
          <w:rFonts w:asciiTheme="minorHAnsi" w:hAnsiTheme="minorHAnsi" w:cstheme="minorHAnsi"/>
          <w:sz w:val="24"/>
          <w:szCs w:val="24"/>
        </w:rPr>
      </w:pPr>
      <w:r w:rsidRPr="008142C5">
        <w:rPr>
          <w:rFonts w:asciiTheme="minorHAnsi" w:hAnsiTheme="minorHAnsi" w:cstheme="minorHAnsi"/>
          <w:sz w:val="24"/>
          <w:szCs w:val="24"/>
        </w:rPr>
        <w:t>MF v období od 14. 2. 2020 do 17. 7. 2020 nezahájilo žádné správní řízení o zápisu na</w:t>
      </w:r>
      <w:r w:rsidR="000A0654">
        <w:rPr>
          <w:rFonts w:asciiTheme="minorHAnsi" w:hAnsiTheme="minorHAnsi" w:cstheme="minorHAnsi"/>
          <w:sz w:val="24"/>
          <w:szCs w:val="24"/>
        </w:rPr>
        <w:t xml:space="preserve"> </w:t>
      </w:r>
      <w:r w:rsidRPr="008142C5">
        <w:rPr>
          <w:rFonts w:asciiTheme="minorHAnsi" w:hAnsiTheme="minorHAnsi" w:cstheme="minorHAnsi"/>
          <w:sz w:val="24"/>
          <w:szCs w:val="24"/>
        </w:rPr>
        <w:t>seznam nepovolených internetových her. MF v období od 1. 1. 2017 do 1. 6. 2022 pravomocně ukončilo 132 správních řízení o zápisu na</w:t>
      </w:r>
      <w:r w:rsidR="000A0654">
        <w:rPr>
          <w:rFonts w:asciiTheme="minorHAnsi" w:hAnsiTheme="minorHAnsi" w:cstheme="minorHAnsi"/>
          <w:sz w:val="24"/>
          <w:szCs w:val="24"/>
        </w:rPr>
        <w:t xml:space="preserve"> </w:t>
      </w:r>
      <w:r w:rsidRPr="008142C5">
        <w:rPr>
          <w:rFonts w:asciiTheme="minorHAnsi" w:hAnsiTheme="minorHAnsi" w:cstheme="minorHAnsi"/>
          <w:sz w:val="24"/>
          <w:szCs w:val="24"/>
        </w:rPr>
        <w:t>seznam nepovolených internetových her. Ve 40</w:t>
      </w:r>
      <w:r w:rsidR="000A0654">
        <w:rPr>
          <w:rFonts w:asciiTheme="minorHAnsi" w:hAnsiTheme="minorHAnsi" w:cstheme="minorHAnsi"/>
          <w:sz w:val="24"/>
          <w:szCs w:val="24"/>
        </w:rPr>
        <w:t> </w:t>
      </w:r>
      <w:r w:rsidRPr="008142C5">
        <w:rPr>
          <w:rFonts w:asciiTheme="minorHAnsi" w:hAnsiTheme="minorHAnsi" w:cstheme="minorHAnsi"/>
          <w:sz w:val="24"/>
          <w:szCs w:val="24"/>
        </w:rPr>
        <w:t xml:space="preserve">% případů dané správní řízení nevedlo k trvalému zápisu na seznam nepovolených internetových her, neboť </w:t>
      </w:r>
      <w:r w:rsidR="00E45979">
        <w:rPr>
          <w:rFonts w:asciiTheme="minorHAnsi" w:hAnsiTheme="minorHAnsi" w:cstheme="minorHAnsi"/>
          <w:sz w:val="24"/>
          <w:szCs w:val="24"/>
        </w:rPr>
        <w:t xml:space="preserve">v jeho průběhu </w:t>
      </w:r>
      <w:r w:rsidRPr="008142C5">
        <w:rPr>
          <w:rFonts w:asciiTheme="minorHAnsi" w:hAnsiTheme="minorHAnsi" w:cstheme="minorHAnsi"/>
          <w:sz w:val="24"/>
          <w:szCs w:val="24"/>
        </w:rPr>
        <w:t>daná internetová hazardní hra přestala cílit nebo se</w:t>
      </w:r>
      <w:r w:rsidR="00187E99">
        <w:rPr>
          <w:rFonts w:asciiTheme="minorHAnsi" w:hAnsiTheme="minorHAnsi" w:cstheme="minorHAnsi"/>
          <w:sz w:val="24"/>
          <w:szCs w:val="24"/>
        </w:rPr>
        <w:t xml:space="preserve"> </w:t>
      </w:r>
      <w:r w:rsidRPr="008142C5">
        <w:rPr>
          <w:rFonts w:asciiTheme="minorHAnsi" w:hAnsiTheme="minorHAnsi" w:cstheme="minorHAnsi"/>
          <w:sz w:val="24"/>
          <w:szCs w:val="24"/>
        </w:rPr>
        <w:t>zaměřovat na osoby s</w:t>
      </w:r>
      <w:r w:rsidR="00187E99">
        <w:rPr>
          <w:rFonts w:asciiTheme="minorHAnsi" w:hAnsiTheme="minorHAnsi" w:cstheme="minorHAnsi"/>
          <w:sz w:val="24"/>
          <w:szCs w:val="24"/>
        </w:rPr>
        <w:t xml:space="preserve"> </w:t>
      </w:r>
      <w:r w:rsidRPr="008142C5">
        <w:rPr>
          <w:rFonts w:asciiTheme="minorHAnsi" w:hAnsiTheme="minorHAnsi" w:cstheme="minorHAnsi"/>
          <w:sz w:val="24"/>
          <w:szCs w:val="24"/>
        </w:rPr>
        <w:t xml:space="preserve">bydlištěm na území </w:t>
      </w:r>
      <w:r w:rsidR="00C561C7" w:rsidRPr="008142C5">
        <w:rPr>
          <w:rFonts w:asciiTheme="minorHAnsi" w:hAnsiTheme="minorHAnsi" w:cstheme="minorHAnsi"/>
          <w:sz w:val="24"/>
          <w:szCs w:val="24"/>
        </w:rPr>
        <w:t>ČR</w:t>
      </w:r>
      <w:r w:rsidRPr="008142C5">
        <w:rPr>
          <w:rFonts w:asciiTheme="minorHAnsi" w:hAnsiTheme="minorHAnsi" w:cstheme="minorHAnsi"/>
          <w:sz w:val="24"/>
          <w:szCs w:val="24"/>
        </w:rPr>
        <w:t xml:space="preserve">. </w:t>
      </w:r>
      <w:r w:rsidR="00C14593">
        <w:rPr>
          <w:rFonts w:asciiTheme="minorHAnsi" w:hAnsiTheme="minorHAnsi" w:cstheme="minorHAnsi"/>
          <w:sz w:val="24"/>
          <w:szCs w:val="24"/>
        </w:rPr>
        <w:t>Ani u</w:t>
      </w:r>
      <w:r w:rsidR="00755D5D" w:rsidRPr="008142C5">
        <w:rPr>
          <w:rFonts w:asciiTheme="minorHAnsi" w:hAnsiTheme="minorHAnsi" w:cstheme="minorHAnsi"/>
          <w:sz w:val="24"/>
          <w:szCs w:val="24"/>
        </w:rPr>
        <w:t xml:space="preserve"> </w:t>
      </w:r>
      <w:r w:rsidR="00E45979">
        <w:rPr>
          <w:rFonts w:asciiTheme="minorHAnsi" w:hAnsiTheme="minorHAnsi" w:cstheme="minorHAnsi"/>
          <w:sz w:val="24"/>
          <w:szCs w:val="24"/>
        </w:rPr>
        <w:t>některých</w:t>
      </w:r>
      <w:r w:rsidRPr="008142C5">
        <w:rPr>
          <w:rFonts w:asciiTheme="minorHAnsi" w:hAnsiTheme="minorHAnsi" w:cstheme="minorHAnsi"/>
          <w:sz w:val="24"/>
          <w:szCs w:val="24"/>
        </w:rPr>
        <w:t xml:space="preserve"> internetových stránek s</w:t>
      </w:r>
      <w:r w:rsidR="000A0654">
        <w:rPr>
          <w:rFonts w:asciiTheme="minorHAnsi" w:hAnsiTheme="minorHAnsi" w:cstheme="minorHAnsi"/>
          <w:sz w:val="24"/>
          <w:szCs w:val="24"/>
        </w:rPr>
        <w:t xml:space="preserve"> </w:t>
      </w:r>
      <w:r w:rsidRPr="008142C5">
        <w:rPr>
          <w:rFonts w:asciiTheme="minorHAnsi" w:hAnsiTheme="minorHAnsi" w:cstheme="minorHAnsi"/>
          <w:sz w:val="24"/>
          <w:szCs w:val="24"/>
        </w:rPr>
        <w:t>vydaným rozhodnutím o zápisu na</w:t>
      </w:r>
      <w:r w:rsidR="00187E99">
        <w:rPr>
          <w:rFonts w:asciiTheme="minorHAnsi" w:hAnsiTheme="minorHAnsi" w:cstheme="minorHAnsi"/>
          <w:sz w:val="24"/>
          <w:szCs w:val="24"/>
        </w:rPr>
        <w:t xml:space="preserve"> </w:t>
      </w:r>
      <w:r w:rsidRPr="008142C5">
        <w:rPr>
          <w:rFonts w:asciiTheme="minorHAnsi" w:hAnsiTheme="minorHAnsi" w:cstheme="minorHAnsi"/>
          <w:sz w:val="24"/>
          <w:szCs w:val="24"/>
        </w:rPr>
        <w:t xml:space="preserve">seznam nepovolených </w:t>
      </w:r>
      <w:r w:rsidR="0056754D" w:rsidRPr="008142C5">
        <w:rPr>
          <w:rFonts w:asciiTheme="minorHAnsi" w:hAnsiTheme="minorHAnsi" w:cstheme="minorHAnsi"/>
          <w:sz w:val="24"/>
          <w:szCs w:val="24"/>
        </w:rPr>
        <w:t xml:space="preserve">internetových </w:t>
      </w:r>
      <w:r w:rsidRPr="008142C5">
        <w:rPr>
          <w:rFonts w:asciiTheme="minorHAnsi" w:hAnsiTheme="minorHAnsi" w:cstheme="minorHAnsi"/>
          <w:sz w:val="24"/>
          <w:szCs w:val="24"/>
        </w:rPr>
        <w:t xml:space="preserve">her </w:t>
      </w:r>
      <w:r w:rsidR="00AA3463">
        <w:rPr>
          <w:rFonts w:asciiTheme="minorHAnsi" w:hAnsiTheme="minorHAnsi" w:cstheme="minorHAnsi"/>
          <w:sz w:val="24"/>
          <w:szCs w:val="24"/>
        </w:rPr>
        <w:t>nedošlo</w:t>
      </w:r>
      <w:r w:rsidR="00AA3463" w:rsidRPr="008142C5">
        <w:rPr>
          <w:rFonts w:asciiTheme="minorHAnsi" w:hAnsiTheme="minorHAnsi" w:cstheme="minorHAnsi"/>
          <w:sz w:val="24"/>
          <w:szCs w:val="24"/>
        </w:rPr>
        <w:t xml:space="preserve"> </w:t>
      </w:r>
      <w:r w:rsidRPr="008142C5">
        <w:rPr>
          <w:rFonts w:asciiTheme="minorHAnsi" w:hAnsiTheme="minorHAnsi" w:cstheme="minorHAnsi"/>
          <w:sz w:val="24"/>
          <w:szCs w:val="24"/>
        </w:rPr>
        <w:t>ke zveřejnění příslušných údajů</w:t>
      </w:r>
      <w:r w:rsidR="00755D5D" w:rsidRPr="008142C5">
        <w:rPr>
          <w:rFonts w:asciiTheme="minorHAnsi" w:hAnsiTheme="minorHAnsi" w:cstheme="minorHAnsi"/>
          <w:sz w:val="24"/>
          <w:szCs w:val="24"/>
        </w:rPr>
        <w:t xml:space="preserve"> </w:t>
      </w:r>
      <w:r w:rsidR="00AA3463">
        <w:rPr>
          <w:rFonts w:asciiTheme="minorHAnsi" w:hAnsiTheme="minorHAnsi" w:cstheme="minorHAnsi"/>
          <w:sz w:val="24"/>
          <w:szCs w:val="24"/>
        </w:rPr>
        <w:t>v</w:t>
      </w:r>
      <w:r w:rsidR="00E45979">
        <w:rPr>
          <w:rFonts w:asciiTheme="minorHAnsi" w:hAnsiTheme="minorHAnsi" w:cstheme="minorHAnsi"/>
          <w:sz w:val="24"/>
          <w:szCs w:val="24"/>
        </w:rPr>
        <w:t xml:space="preserve"> seznamu, </w:t>
      </w:r>
      <w:r w:rsidR="00755D5D" w:rsidRPr="008142C5">
        <w:rPr>
          <w:rFonts w:asciiTheme="minorHAnsi" w:hAnsiTheme="minorHAnsi" w:cstheme="minorHAnsi"/>
          <w:sz w:val="24"/>
          <w:szCs w:val="24"/>
        </w:rPr>
        <w:t xml:space="preserve">neboť </w:t>
      </w:r>
      <w:r w:rsidRPr="008142C5">
        <w:rPr>
          <w:rFonts w:asciiTheme="minorHAnsi" w:hAnsiTheme="minorHAnsi" w:cstheme="minorHAnsi"/>
          <w:sz w:val="24"/>
          <w:szCs w:val="24"/>
        </w:rPr>
        <w:t xml:space="preserve">internetová hra </w:t>
      </w:r>
      <w:r w:rsidR="00E45979">
        <w:rPr>
          <w:rFonts w:asciiTheme="minorHAnsi" w:hAnsiTheme="minorHAnsi" w:cstheme="minorHAnsi"/>
          <w:sz w:val="24"/>
          <w:szCs w:val="24"/>
        </w:rPr>
        <w:t xml:space="preserve">mezitím </w:t>
      </w:r>
      <w:r w:rsidR="00875217">
        <w:rPr>
          <w:rFonts w:asciiTheme="minorHAnsi" w:hAnsiTheme="minorHAnsi" w:cstheme="minorHAnsi"/>
          <w:sz w:val="24"/>
          <w:szCs w:val="24"/>
        </w:rPr>
        <w:t xml:space="preserve">rovněž </w:t>
      </w:r>
      <w:r w:rsidRPr="008142C5">
        <w:rPr>
          <w:rFonts w:asciiTheme="minorHAnsi" w:hAnsiTheme="minorHAnsi" w:cstheme="minorHAnsi"/>
          <w:sz w:val="24"/>
          <w:szCs w:val="24"/>
        </w:rPr>
        <w:t xml:space="preserve">přestala cílit </w:t>
      </w:r>
      <w:r w:rsidR="00E45979">
        <w:rPr>
          <w:rFonts w:asciiTheme="minorHAnsi" w:hAnsiTheme="minorHAnsi" w:cstheme="minorHAnsi"/>
          <w:sz w:val="24"/>
          <w:szCs w:val="24"/>
        </w:rPr>
        <w:t xml:space="preserve">nebo se zaměřovat </w:t>
      </w:r>
      <w:r w:rsidR="00755D5D" w:rsidRPr="008142C5">
        <w:rPr>
          <w:rFonts w:asciiTheme="minorHAnsi" w:hAnsiTheme="minorHAnsi" w:cstheme="minorHAnsi"/>
          <w:sz w:val="24"/>
          <w:szCs w:val="24"/>
        </w:rPr>
        <w:t>na osoby s bydlištěm v</w:t>
      </w:r>
      <w:r w:rsidR="00E45979">
        <w:rPr>
          <w:rFonts w:asciiTheme="minorHAnsi" w:hAnsiTheme="minorHAnsi" w:cstheme="minorHAnsi"/>
          <w:sz w:val="24"/>
          <w:szCs w:val="24"/>
        </w:rPr>
        <w:t> </w:t>
      </w:r>
      <w:r w:rsidR="00755D5D" w:rsidRPr="008142C5">
        <w:rPr>
          <w:rFonts w:asciiTheme="minorHAnsi" w:hAnsiTheme="minorHAnsi" w:cstheme="minorHAnsi"/>
          <w:sz w:val="24"/>
          <w:szCs w:val="24"/>
        </w:rPr>
        <w:t>ČR</w:t>
      </w:r>
      <w:r w:rsidRPr="008142C5">
        <w:rPr>
          <w:rFonts w:asciiTheme="minorHAnsi" w:hAnsiTheme="minorHAnsi" w:cstheme="minorHAnsi"/>
          <w:sz w:val="24"/>
          <w:szCs w:val="24"/>
        </w:rPr>
        <w:t>.</w:t>
      </w:r>
    </w:p>
    <w:p w14:paraId="2867ABBF" w14:textId="46637642" w:rsidR="00E95625" w:rsidRPr="00754430" w:rsidRDefault="00754430" w:rsidP="006007E5">
      <w:pPr>
        <w:pStyle w:val="Odstavecseseznamem"/>
        <w:numPr>
          <w:ilvl w:val="1"/>
          <w:numId w:val="17"/>
        </w:numPr>
        <w:spacing w:after="240"/>
        <w:ind w:left="0" w:firstLine="0"/>
        <w:contextualSpacing w:val="0"/>
        <w:rPr>
          <w:sz w:val="24"/>
          <w:szCs w:val="24"/>
        </w:rPr>
      </w:pPr>
      <w:r w:rsidRPr="00754430">
        <w:rPr>
          <w:sz w:val="24"/>
          <w:szCs w:val="24"/>
        </w:rPr>
        <w:t>NKÚ zjistil, že výklad zákonného znaku nelegálně provozované hazardní hry „</w:t>
      </w:r>
      <w:r w:rsidRPr="00247CAB">
        <w:rPr>
          <w:i/>
          <w:sz w:val="24"/>
          <w:szCs w:val="24"/>
        </w:rPr>
        <w:t>zaměření nebo cílení na osoby, které mají bydliště na území ČR</w:t>
      </w:r>
      <w:r w:rsidRPr="00754430">
        <w:rPr>
          <w:sz w:val="24"/>
          <w:szCs w:val="24"/>
        </w:rPr>
        <w:t xml:space="preserve">“ se v rozhodovací praxi různí, jak je zřejmé z průběhu řízení se společností provozující </w:t>
      </w:r>
      <w:r w:rsidR="002E43AE">
        <w:rPr>
          <w:sz w:val="24"/>
          <w:szCs w:val="24"/>
        </w:rPr>
        <w:t>hazardní hry</w:t>
      </w:r>
      <w:r w:rsidRPr="00754430">
        <w:rPr>
          <w:sz w:val="24"/>
          <w:szCs w:val="24"/>
        </w:rPr>
        <w:t xml:space="preserve"> bez základního povolení</w:t>
      </w:r>
      <w:r w:rsidR="00590380">
        <w:rPr>
          <w:sz w:val="24"/>
          <w:szCs w:val="24"/>
        </w:rPr>
        <w:t>, viz následující příklad</w:t>
      </w:r>
      <w:r w:rsidRPr="00754430">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C90D00" w:rsidRPr="000C2D2E" w14:paraId="6EF570FC" w14:textId="77777777" w:rsidTr="00D720B9">
        <w:trPr>
          <w:trHeight w:val="771"/>
        </w:trPr>
        <w:tc>
          <w:tcPr>
            <w:tcW w:w="9062" w:type="dxa"/>
            <w:shd w:val="clear" w:color="auto" w:fill="F2C6C9"/>
          </w:tcPr>
          <w:p w14:paraId="30EA7530" w14:textId="219A2C8E" w:rsidR="00754430" w:rsidRPr="002C1F51" w:rsidRDefault="00754430" w:rsidP="00247CAB">
            <w:pPr>
              <w:spacing w:before="120" w:after="120" w:line="240" w:lineRule="auto"/>
              <w:ind w:left="1247" w:hanging="1247"/>
              <w:rPr>
                <w:rFonts w:asciiTheme="minorHAnsi" w:hAnsiTheme="minorHAnsi"/>
                <w:b/>
              </w:rPr>
            </w:pPr>
            <w:r w:rsidRPr="000C2D2E">
              <w:rPr>
                <w:b/>
              </w:rPr>
              <w:t>P</w:t>
            </w:r>
            <w:r w:rsidR="00E217C7" w:rsidRPr="002C1F51">
              <w:rPr>
                <w:rFonts w:asciiTheme="minorHAnsi" w:hAnsiTheme="minorHAnsi"/>
                <w:b/>
              </w:rPr>
              <w:t>říklad č. 4:</w:t>
            </w:r>
            <w:r w:rsidR="00E217C7">
              <w:rPr>
                <w:b/>
              </w:rPr>
              <w:tab/>
            </w:r>
            <w:r w:rsidR="00E217C7" w:rsidRPr="002C1F51">
              <w:rPr>
                <w:rFonts w:asciiTheme="minorHAnsi" w:hAnsiTheme="minorHAnsi"/>
                <w:b/>
              </w:rPr>
              <w:t xml:space="preserve">Posuzování </w:t>
            </w:r>
            <w:r w:rsidR="00E217C7">
              <w:rPr>
                <w:rFonts w:asciiTheme="minorHAnsi" w:hAnsiTheme="minorHAnsi"/>
                <w:b/>
              </w:rPr>
              <w:t>nelegálně provozované hazardní hry ve správním ří</w:t>
            </w:r>
            <w:r w:rsidR="00405B27">
              <w:rPr>
                <w:rFonts w:asciiTheme="minorHAnsi" w:hAnsiTheme="minorHAnsi"/>
                <w:b/>
              </w:rPr>
              <w:t>zení</w:t>
            </w:r>
          </w:p>
          <w:p w14:paraId="38E96ABF" w14:textId="0CA18A66" w:rsidR="00405B27" w:rsidRPr="002C1F51" w:rsidRDefault="00754430" w:rsidP="00E217C7">
            <w:pPr>
              <w:autoSpaceDE w:val="0"/>
              <w:autoSpaceDN w:val="0"/>
              <w:adjustRightInd w:val="0"/>
              <w:spacing w:after="80" w:line="240" w:lineRule="auto"/>
              <w:rPr>
                <w:rFonts w:asciiTheme="minorHAnsi" w:hAnsiTheme="minorHAnsi" w:cs="ArialMT"/>
              </w:rPr>
            </w:pPr>
            <w:r w:rsidRPr="002C1F51">
              <w:rPr>
                <w:rFonts w:asciiTheme="minorHAnsi" w:hAnsiTheme="minorHAnsi"/>
              </w:rPr>
              <w:t>Dne 21. 1. 2019 vydalo MF příkaz, kterým společnost</w:t>
            </w:r>
            <w:r>
              <w:rPr>
                <w:rFonts w:asciiTheme="minorHAnsi" w:hAnsiTheme="minorHAnsi"/>
              </w:rPr>
              <w:t xml:space="preserve"> provozující </w:t>
            </w:r>
            <w:r w:rsidR="002E43AE">
              <w:rPr>
                <w:rFonts w:asciiTheme="minorHAnsi" w:hAnsiTheme="minorHAnsi"/>
              </w:rPr>
              <w:t>h</w:t>
            </w:r>
            <w:r w:rsidR="002E43AE">
              <w:t xml:space="preserve">azardní hry </w:t>
            </w:r>
            <w:r>
              <w:rPr>
                <w:rFonts w:asciiTheme="minorHAnsi" w:hAnsiTheme="minorHAnsi"/>
              </w:rPr>
              <w:t xml:space="preserve">bez základního povolení </w:t>
            </w:r>
            <w:r w:rsidRPr="002C1F51">
              <w:rPr>
                <w:rFonts w:asciiTheme="minorHAnsi" w:hAnsiTheme="minorHAnsi"/>
              </w:rPr>
              <w:t>uznává vinnou ze spáchání přestupku spočívajícího v</w:t>
            </w:r>
            <w:r w:rsidR="00590380">
              <w:rPr>
                <w:rFonts w:asciiTheme="minorHAnsi" w:hAnsiTheme="minorHAnsi"/>
              </w:rPr>
              <w:t xml:space="preserve"> porušení </w:t>
            </w:r>
            <w:r w:rsidRPr="002C1F51">
              <w:rPr>
                <w:rFonts w:asciiTheme="minorHAnsi" w:hAnsiTheme="minorHAnsi"/>
              </w:rPr>
              <w:t>zákazu provozovat hazardní hru bez povolení</w:t>
            </w:r>
            <w:r w:rsidR="00AF2887">
              <w:rPr>
                <w:rStyle w:val="Znakapoznpodarou"/>
                <w:rFonts w:asciiTheme="minorHAnsi" w:hAnsiTheme="minorHAnsi"/>
              </w:rPr>
              <w:footnoteReference w:id="36"/>
            </w:r>
            <w:r w:rsidRPr="002C1F51">
              <w:rPr>
                <w:rFonts w:asciiTheme="minorHAnsi" w:hAnsiTheme="minorHAnsi"/>
              </w:rPr>
              <w:t xml:space="preserve">. Tohoto přestupku se společnost dopustila tím, že provozovala technickou hru prostřednictvím internetu </w:t>
            </w:r>
            <w:r w:rsidRPr="00247CAB">
              <w:rPr>
                <w:rFonts w:asciiTheme="minorHAnsi" w:hAnsiTheme="minorHAnsi"/>
              </w:rPr>
              <w:t>„</w:t>
            </w:r>
            <w:r w:rsidRPr="002C1F51">
              <w:rPr>
                <w:rFonts w:asciiTheme="minorHAnsi" w:hAnsiTheme="minorHAnsi" w:cs="ArialMT"/>
                <w:i/>
              </w:rPr>
              <w:t>bez jakéhokoliv omezení při zakládání hráčského účtu a přijímání nových sázek; internetová stránka umožňovala registraci osob, které mají bydliště na území České republiky, vklad peněžních prostředků na uživatelské konto a po zaplacení sázky v české měně umožňovala i účast na samotné hazardní hře</w:t>
            </w:r>
            <w:r w:rsidRPr="00247CAB">
              <w:rPr>
                <w:rFonts w:asciiTheme="minorHAnsi" w:hAnsiTheme="minorHAnsi" w:cs="ArialMT"/>
              </w:rPr>
              <w:t>“</w:t>
            </w:r>
            <w:r w:rsidR="00B43076" w:rsidRPr="00247CAB">
              <w:rPr>
                <w:rFonts w:asciiTheme="minorHAnsi" w:hAnsiTheme="minorHAnsi" w:cs="ArialMT"/>
              </w:rPr>
              <w:t>.</w:t>
            </w:r>
          </w:p>
          <w:p w14:paraId="37A308C3" w14:textId="3E06A91D" w:rsidR="00405B27" w:rsidRPr="00247CAB" w:rsidRDefault="00405B27" w:rsidP="00247CAB">
            <w:pPr>
              <w:pStyle w:val="Odstavecseseznamem"/>
              <w:spacing w:after="80"/>
              <w:ind w:left="0"/>
              <w:contextualSpacing w:val="0"/>
              <w:rPr>
                <w:rFonts w:asciiTheme="minorHAnsi" w:hAnsiTheme="minorHAnsi"/>
              </w:rPr>
            </w:pPr>
            <w:r w:rsidRPr="002C1F51">
              <w:rPr>
                <w:rFonts w:asciiTheme="minorHAnsi" w:hAnsiTheme="minorHAnsi"/>
                <w:sz w:val="24"/>
                <w:szCs w:val="24"/>
              </w:rPr>
              <w:t>28. 1. 2019 podala společnost proti tomuto příkazu odpor</w:t>
            </w:r>
            <w:r>
              <w:rPr>
                <w:rFonts w:asciiTheme="minorHAnsi" w:hAnsiTheme="minorHAnsi"/>
                <w:sz w:val="24"/>
                <w:szCs w:val="24"/>
              </w:rPr>
              <w:t xml:space="preserve"> a věc tak přešla do správního řízení.</w:t>
            </w:r>
            <w:r w:rsidR="00590380">
              <w:rPr>
                <w:rFonts w:asciiTheme="minorHAnsi" w:hAnsiTheme="minorHAnsi"/>
                <w:sz w:val="24"/>
                <w:szCs w:val="24"/>
              </w:rPr>
              <w:t xml:space="preserve"> </w:t>
            </w:r>
            <w:r w:rsidRPr="00247CAB">
              <w:rPr>
                <w:rFonts w:asciiTheme="minorHAnsi" w:hAnsiTheme="minorHAnsi"/>
                <w:sz w:val="24"/>
                <w:szCs w:val="24"/>
              </w:rPr>
              <w:t>V něm MF třikrát setrvalo na svém názoru a rozhodlo o udělení pokuty s tím, že „</w:t>
            </w:r>
            <w:r w:rsidRPr="00247CAB">
              <w:rPr>
                <w:rFonts w:asciiTheme="minorHAnsi" w:hAnsiTheme="minorHAnsi" w:cs="ArialMT"/>
                <w:i/>
                <w:sz w:val="24"/>
                <w:szCs w:val="24"/>
              </w:rPr>
              <w:t>považuje za nade vší pochybnost prokázané, že obviněný provozoval technickou hazardní hru prostřednictvím internetu na území České republiky, neboť přes své webové stránky poskytoval službu hazardních her, ke které bylo možné se zaregistrovat, zaplatit a hrát osobám s bydlištěm na území České republiky</w:t>
            </w:r>
            <w:r w:rsidR="00590380">
              <w:rPr>
                <w:rFonts w:asciiTheme="minorHAnsi" w:hAnsiTheme="minorHAnsi" w:cs="ArialMT"/>
                <w:sz w:val="24"/>
                <w:szCs w:val="24"/>
              </w:rPr>
              <w:t>.</w:t>
            </w:r>
            <w:r w:rsidRPr="00247CAB">
              <w:rPr>
                <w:rFonts w:asciiTheme="minorHAnsi" w:hAnsiTheme="minorHAnsi" w:cs="ArialMT"/>
                <w:sz w:val="24"/>
                <w:szCs w:val="24"/>
              </w:rPr>
              <w:t>“</w:t>
            </w:r>
          </w:p>
          <w:p w14:paraId="0493FEE1" w14:textId="32AC01ED" w:rsidR="00405B27" w:rsidRPr="005323D9" w:rsidRDefault="00405B27" w:rsidP="001C1E5F">
            <w:pPr>
              <w:pStyle w:val="Odstavecseseznamem"/>
              <w:spacing w:after="120"/>
              <w:ind w:left="0"/>
              <w:contextualSpacing w:val="0"/>
              <w:rPr>
                <w:rFonts w:asciiTheme="minorHAnsi" w:hAnsiTheme="minorHAnsi"/>
                <w:sz w:val="24"/>
                <w:szCs w:val="24"/>
              </w:rPr>
            </w:pPr>
            <w:r w:rsidRPr="005323D9">
              <w:rPr>
                <w:rFonts w:asciiTheme="minorHAnsi" w:hAnsiTheme="minorHAnsi"/>
                <w:sz w:val="24"/>
                <w:szCs w:val="24"/>
              </w:rPr>
              <w:t>Daná společnost proti těmto rozhodnutím třikrát podala rozklad.</w:t>
            </w:r>
          </w:p>
          <w:p w14:paraId="3CA5AFA4" w14:textId="2858C9DE" w:rsidR="00405B27" w:rsidRPr="005323D9" w:rsidRDefault="00405B27" w:rsidP="001C1E5F">
            <w:pPr>
              <w:pStyle w:val="Odstavecseseznamem"/>
              <w:spacing w:before="120" w:after="80"/>
              <w:ind w:left="0"/>
              <w:rPr>
                <w:rFonts w:asciiTheme="minorHAnsi" w:hAnsiTheme="minorHAnsi"/>
                <w:i/>
                <w:sz w:val="24"/>
                <w:szCs w:val="24"/>
              </w:rPr>
            </w:pPr>
            <w:r w:rsidRPr="005323D9">
              <w:rPr>
                <w:rFonts w:asciiTheme="minorHAnsi" w:hAnsiTheme="minorHAnsi"/>
                <w:sz w:val="24"/>
                <w:szCs w:val="24"/>
              </w:rPr>
              <w:t>Rozkladový orgán dvakrát rozhodl o zrušení rozhodnutí a vrácení k novému p</w:t>
            </w:r>
            <w:r w:rsidR="0040197B">
              <w:rPr>
                <w:rFonts w:asciiTheme="minorHAnsi" w:hAnsiTheme="minorHAnsi"/>
                <w:sz w:val="24"/>
                <w:szCs w:val="24"/>
              </w:rPr>
              <w:t>r</w:t>
            </w:r>
            <w:r w:rsidRPr="005323D9">
              <w:rPr>
                <w:rFonts w:asciiTheme="minorHAnsi" w:hAnsiTheme="minorHAnsi"/>
                <w:sz w:val="24"/>
                <w:szCs w:val="24"/>
              </w:rPr>
              <w:t>ojednání</w:t>
            </w:r>
            <w:r w:rsidR="00187E99">
              <w:rPr>
                <w:rFonts w:asciiTheme="minorHAnsi" w:hAnsiTheme="minorHAnsi"/>
                <w:sz w:val="24"/>
                <w:szCs w:val="24"/>
              </w:rPr>
              <w:t xml:space="preserve"> </w:t>
            </w:r>
            <w:r w:rsidR="00624345">
              <w:rPr>
                <w:rFonts w:asciiTheme="minorHAnsi" w:hAnsiTheme="minorHAnsi"/>
                <w:sz w:val="24"/>
                <w:szCs w:val="24"/>
              </w:rPr>
              <w:br/>
            </w:r>
            <w:r w:rsidRPr="005323D9">
              <w:rPr>
                <w:rFonts w:asciiTheme="minorHAnsi" w:hAnsiTheme="minorHAnsi"/>
                <w:sz w:val="24"/>
                <w:szCs w:val="24"/>
              </w:rPr>
              <w:t xml:space="preserve">a zavázal </w:t>
            </w:r>
            <w:r w:rsidRPr="005323D9">
              <w:rPr>
                <w:rFonts w:asciiTheme="minorHAnsi" w:hAnsiTheme="minorHAnsi" w:cs="ArialMT"/>
                <w:sz w:val="24"/>
                <w:szCs w:val="24"/>
              </w:rPr>
              <w:t xml:space="preserve">Ministerstvo financí k </w:t>
            </w:r>
            <w:r w:rsidR="00590380">
              <w:rPr>
                <w:rFonts w:asciiTheme="minorHAnsi" w:hAnsiTheme="minorHAnsi" w:cs="ArialMT"/>
                <w:sz w:val="24"/>
                <w:szCs w:val="24"/>
              </w:rPr>
              <w:t>přezkumu</w:t>
            </w:r>
            <w:r w:rsidRPr="005323D9">
              <w:rPr>
                <w:rFonts w:asciiTheme="minorHAnsi" w:hAnsiTheme="minorHAnsi" w:cs="ArialMT"/>
                <w:sz w:val="24"/>
                <w:szCs w:val="24"/>
              </w:rPr>
              <w:t xml:space="preserve"> indicií pro posouzení zaměření nebo zacílení provozování internetové hry na občany s bydlištěm na území České republiky s tím, že </w:t>
            </w:r>
            <w:r w:rsidRPr="005323D9">
              <w:rPr>
                <w:rFonts w:asciiTheme="minorHAnsi" w:hAnsiTheme="minorHAnsi"/>
                <w:sz w:val="24"/>
                <w:szCs w:val="24"/>
              </w:rPr>
              <w:t>„</w:t>
            </w:r>
            <w:r w:rsidRPr="005323D9">
              <w:rPr>
                <w:rFonts w:asciiTheme="minorHAnsi" w:hAnsiTheme="minorHAnsi" w:cs="Arial-ItalicMT"/>
                <w:i/>
                <w:iCs/>
                <w:sz w:val="24"/>
                <w:szCs w:val="24"/>
              </w:rPr>
              <w:t>pouhá skutečnost, že český hráč hraje na internetové (webové) stránce zahraničního provozovatele, neznamená sama o sobě jeho zaměření se na český trh</w:t>
            </w:r>
            <w:r w:rsidRPr="005323D9">
              <w:rPr>
                <w:rFonts w:asciiTheme="minorHAnsi" w:hAnsiTheme="minorHAnsi" w:cs="ArialMT"/>
                <w:sz w:val="24"/>
                <w:szCs w:val="24"/>
              </w:rPr>
              <w:t>,“ přičemž „</w:t>
            </w:r>
            <w:r w:rsidRPr="005323D9">
              <w:rPr>
                <w:rFonts w:asciiTheme="minorHAnsi" w:hAnsiTheme="minorHAnsi" w:cs="Arial-ItalicMT"/>
                <w:i/>
                <w:iCs/>
                <w:sz w:val="24"/>
                <w:szCs w:val="24"/>
              </w:rPr>
              <w:t>skutečnosti, že webové stránky účastníka řízení umožňovaly volbu české měny a předvolby českého telefonního čísla […] není samo o sobě dostatečnou indicií zaměření se na český trh</w:t>
            </w:r>
            <w:r w:rsidRPr="005323D9">
              <w:rPr>
                <w:rFonts w:asciiTheme="minorHAnsi" w:hAnsiTheme="minorHAnsi" w:cs="ArialMT"/>
                <w:sz w:val="24"/>
                <w:szCs w:val="24"/>
              </w:rPr>
              <w:t>.“</w:t>
            </w:r>
          </w:p>
          <w:p w14:paraId="0FACB055" w14:textId="5C2FEA5F" w:rsidR="00C90D00" w:rsidRPr="008142C5" w:rsidRDefault="00405B27" w:rsidP="001C1E5F">
            <w:pPr>
              <w:autoSpaceDE w:val="0"/>
              <w:autoSpaceDN w:val="0"/>
              <w:adjustRightInd w:val="0"/>
              <w:spacing w:after="120" w:line="240" w:lineRule="auto"/>
              <w:rPr>
                <w:rFonts w:asciiTheme="minorHAnsi" w:hAnsiTheme="minorHAnsi"/>
              </w:rPr>
            </w:pPr>
            <w:r w:rsidRPr="005323D9">
              <w:rPr>
                <w:rFonts w:asciiTheme="minorHAnsi" w:hAnsiTheme="minorHAnsi"/>
              </w:rPr>
              <w:lastRenderedPageBreak/>
              <w:t>Dne 31. 5. 2022, po téměř třech</w:t>
            </w:r>
            <w:r>
              <w:rPr>
                <w:rFonts w:asciiTheme="minorHAnsi" w:hAnsiTheme="minorHAnsi"/>
              </w:rPr>
              <w:t xml:space="preserve"> a půl letech od prvního ro</w:t>
            </w:r>
            <w:r w:rsidR="003A676B">
              <w:rPr>
                <w:rFonts w:asciiTheme="minorHAnsi" w:hAnsiTheme="minorHAnsi"/>
              </w:rPr>
              <w:t>z</w:t>
            </w:r>
            <w:r>
              <w:rPr>
                <w:rFonts w:asciiTheme="minorHAnsi" w:hAnsiTheme="minorHAnsi"/>
              </w:rPr>
              <w:t xml:space="preserve">hodnutí MF, rozkladový orgán </w:t>
            </w:r>
            <w:r w:rsidRPr="002C1F51">
              <w:rPr>
                <w:rFonts w:asciiTheme="minorHAnsi" w:hAnsiTheme="minorHAnsi"/>
              </w:rPr>
              <w:t>rozhodl o zamítnutí rozkladu a potvrdil předchozí rozhodnutí M</w:t>
            </w:r>
            <w:r w:rsidR="00754430" w:rsidRPr="002C1F51">
              <w:rPr>
                <w:rFonts w:asciiTheme="minorHAnsi" w:hAnsiTheme="minorHAnsi"/>
              </w:rPr>
              <w:t>F.</w:t>
            </w:r>
          </w:p>
        </w:tc>
      </w:tr>
    </w:tbl>
    <w:p w14:paraId="3F6DC264" w14:textId="1D3DB7F3" w:rsidR="00C90D00" w:rsidRPr="008142C5" w:rsidRDefault="00212BDF" w:rsidP="00A36482">
      <w:pPr>
        <w:pStyle w:val="Odstavecseseznamem"/>
        <w:numPr>
          <w:ilvl w:val="1"/>
          <w:numId w:val="17"/>
        </w:numPr>
        <w:spacing w:before="240" w:after="120"/>
        <w:ind w:left="0" w:firstLine="0"/>
        <w:contextualSpacing w:val="0"/>
        <w:rPr>
          <w:rFonts w:asciiTheme="minorHAnsi" w:hAnsiTheme="minorHAnsi" w:cstheme="minorHAnsi"/>
          <w:sz w:val="24"/>
          <w:szCs w:val="24"/>
        </w:rPr>
      </w:pPr>
      <w:r w:rsidRPr="008142C5">
        <w:rPr>
          <w:rFonts w:asciiTheme="minorHAnsi" w:hAnsiTheme="minorHAnsi" w:cstheme="minorHAnsi"/>
          <w:sz w:val="24"/>
          <w:szCs w:val="24"/>
        </w:rPr>
        <w:lastRenderedPageBreak/>
        <w:t xml:space="preserve">Také </w:t>
      </w:r>
      <w:r w:rsidR="00590380">
        <w:rPr>
          <w:rFonts w:asciiTheme="minorHAnsi" w:hAnsiTheme="minorHAnsi" w:cstheme="minorHAnsi"/>
          <w:sz w:val="24"/>
          <w:szCs w:val="24"/>
        </w:rPr>
        <w:t>u</w:t>
      </w:r>
      <w:r w:rsidRPr="008142C5">
        <w:rPr>
          <w:rFonts w:asciiTheme="minorHAnsi" w:hAnsiTheme="minorHAnsi" w:cstheme="minorHAnsi"/>
          <w:sz w:val="24"/>
          <w:szCs w:val="24"/>
        </w:rPr>
        <w:t xml:space="preserve"> </w:t>
      </w:r>
      <w:r w:rsidR="00C90D00" w:rsidRPr="008142C5">
        <w:rPr>
          <w:rFonts w:asciiTheme="minorHAnsi" w:hAnsiTheme="minorHAnsi" w:cstheme="minorHAnsi"/>
          <w:sz w:val="24"/>
          <w:szCs w:val="24"/>
        </w:rPr>
        <w:t xml:space="preserve">GŘC </w:t>
      </w:r>
      <w:r w:rsidR="00590380">
        <w:rPr>
          <w:rFonts w:asciiTheme="minorHAnsi" w:hAnsiTheme="minorHAnsi" w:cstheme="minorHAnsi"/>
          <w:sz w:val="24"/>
          <w:szCs w:val="24"/>
        </w:rPr>
        <w:t>kontrola</w:t>
      </w:r>
      <w:r w:rsidRPr="008142C5">
        <w:rPr>
          <w:rFonts w:asciiTheme="minorHAnsi" w:hAnsiTheme="minorHAnsi" w:cstheme="minorHAnsi"/>
          <w:sz w:val="24"/>
          <w:szCs w:val="24"/>
        </w:rPr>
        <w:t xml:space="preserve"> zji</w:t>
      </w:r>
      <w:r w:rsidR="00590380">
        <w:rPr>
          <w:rFonts w:asciiTheme="minorHAnsi" w:hAnsiTheme="minorHAnsi" w:cstheme="minorHAnsi"/>
          <w:sz w:val="24"/>
          <w:szCs w:val="24"/>
        </w:rPr>
        <w:t>stila,</w:t>
      </w:r>
      <w:r w:rsidR="00C90D00" w:rsidRPr="008142C5">
        <w:rPr>
          <w:rFonts w:asciiTheme="minorHAnsi" w:hAnsiTheme="minorHAnsi" w:cstheme="minorHAnsi"/>
          <w:sz w:val="24"/>
          <w:szCs w:val="24"/>
        </w:rPr>
        <w:t xml:space="preserve"> </w:t>
      </w:r>
      <w:r w:rsidR="00590380">
        <w:rPr>
          <w:rFonts w:asciiTheme="minorHAnsi" w:hAnsiTheme="minorHAnsi" w:cstheme="minorHAnsi"/>
          <w:sz w:val="24"/>
          <w:szCs w:val="24"/>
        </w:rPr>
        <w:t xml:space="preserve">že prošetřování </w:t>
      </w:r>
      <w:r w:rsidR="00C90D00" w:rsidRPr="008142C5">
        <w:rPr>
          <w:rFonts w:asciiTheme="minorHAnsi" w:hAnsiTheme="minorHAnsi" w:cstheme="minorHAnsi"/>
          <w:sz w:val="24"/>
          <w:szCs w:val="24"/>
        </w:rPr>
        <w:t>internetových stránek umožňujících provozování hazardních her</w:t>
      </w:r>
      <w:r w:rsidR="00590380" w:rsidRPr="00590380">
        <w:rPr>
          <w:rFonts w:asciiTheme="minorHAnsi" w:hAnsiTheme="minorHAnsi" w:cstheme="minorHAnsi"/>
          <w:sz w:val="24"/>
          <w:szCs w:val="24"/>
        </w:rPr>
        <w:t xml:space="preserve"> </w:t>
      </w:r>
      <w:r w:rsidR="006445B9">
        <w:rPr>
          <w:rFonts w:asciiTheme="minorHAnsi" w:hAnsiTheme="minorHAnsi" w:cstheme="minorHAnsi"/>
          <w:sz w:val="24"/>
          <w:szCs w:val="24"/>
        </w:rPr>
        <w:t xml:space="preserve">je </w:t>
      </w:r>
      <w:r w:rsidR="00590380" w:rsidRPr="008142C5">
        <w:rPr>
          <w:rFonts w:asciiTheme="minorHAnsi" w:hAnsiTheme="minorHAnsi" w:cstheme="minorHAnsi"/>
          <w:sz w:val="24"/>
          <w:szCs w:val="24"/>
        </w:rPr>
        <w:t>administrativn</w:t>
      </w:r>
      <w:r w:rsidR="006445B9">
        <w:rPr>
          <w:rFonts w:asciiTheme="minorHAnsi" w:hAnsiTheme="minorHAnsi" w:cstheme="minorHAnsi"/>
          <w:sz w:val="24"/>
          <w:szCs w:val="24"/>
        </w:rPr>
        <w:t>ě</w:t>
      </w:r>
      <w:r w:rsidR="00590380" w:rsidRPr="008142C5">
        <w:rPr>
          <w:rFonts w:asciiTheme="minorHAnsi" w:hAnsiTheme="minorHAnsi" w:cstheme="minorHAnsi"/>
          <w:sz w:val="24"/>
          <w:szCs w:val="24"/>
        </w:rPr>
        <w:t xml:space="preserve"> </w:t>
      </w:r>
      <w:r w:rsidR="006445B9">
        <w:rPr>
          <w:rFonts w:asciiTheme="minorHAnsi" w:hAnsiTheme="minorHAnsi" w:cstheme="minorHAnsi"/>
          <w:sz w:val="24"/>
          <w:szCs w:val="24"/>
        </w:rPr>
        <w:t>i</w:t>
      </w:r>
      <w:r w:rsidR="00590380" w:rsidRPr="008142C5">
        <w:rPr>
          <w:rFonts w:asciiTheme="minorHAnsi" w:hAnsiTheme="minorHAnsi" w:cstheme="minorHAnsi"/>
          <w:sz w:val="24"/>
          <w:szCs w:val="24"/>
        </w:rPr>
        <w:t xml:space="preserve"> časov</w:t>
      </w:r>
      <w:r w:rsidR="006445B9">
        <w:rPr>
          <w:rFonts w:asciiTheme="minorHAnsi" w:hAnsiTheme="minorHAnsi" w:cstheme="minorHAnsi"/>
          <w:sz w:val="24"/>
          <w:szCs w:val="24"/>
        </w:rPr>
        <w:t>ě</w:t>
      </w:r>
      <w:r w:rsidR="00590380" w:rsidRPr="008142C5">
        <w:rPr>
          <w:rFonts w:asciiTheme="minorHAnsi" w:hAnsiTheme="minorHAnsi" w:cstheme="minorHAnsi"/>
          <w:sz w:val="24"/>
          <w:szCs w:val="24"/>
        </w:rPr>
        <w:t xml:space="preserve"> náročn</w:t>
      </w:r>
      <w:r w:rsidR="006445B9">
        <w:rPr>
          <w:rFonts w:asciiTheme="minorHAnsi" w:hAnsiTheme="minorHAnsi" w:cstheme="minorHAnsi"/>
          <w:sz w:val="24"/>
          <w:szCs w:val="24"/>
        </w:rPr>
        <w:t>é</w:t>
      </w:r>
      <w:r w:rsidR="00C90D00" w:rsidRPr="008142C5">
        <w:rPr>
          <w:rFonts w:asciiTheme="minorHAnsi" w:hAnsiTheme="minorHAnsi" w:cstheme="minorHAnsi"/>
          <w:sz w:val="24"/>
          <w:szCs w:val="24"/>
        </w:rPr>
        <w:t xml:space="preserve">. </w:t>
      </w:r>
      <w:r w:rsidR="005A7215">
        <w:rPr>
          <w:rFonts w:asciiTheme="minorHAnsi" w:hAnsiTheme="minorHAnsi" w:cstheme="minorHAnsi"/>
          <w:sz w:val="24"/>
          <w:szCs w:val="24"/>
        </w:rPr>
        <w:t>Dozorující</w:t>
      </w:r>
      <w:r w:rsidR="005A7215" w:rsidRPr="008142C5">
        <w:rPr>
          <w:rFonts w:asciiTheme="minorHAnsi" w:hAnsiTheme="minorHAnsi" w:cstheme="minorHAnsi"/>
          <w:sz w:val="24"/>
          <w:szCs w:val="24"/>
        </w:rPr>
        <w:t xml:space="preserve"> </w:t>
      </w:r>
      <w:r w:rsidR="00C90D00" w:rsidRPr="008142C5">
        <w:rPr>
          <w:rFonts w:asciiTheme="minorHAnsi" w:hAnsiTheme="minorHAnsi" w:cstheme="minorHAnsi"/>
          <w:sz w:val="24"/>
          <w:szCs w:val="24"/>
        </w:rPr>
        <w:t>orgán prověřuje přibližně</w:t>
      </w:r>
      <w:r w:rsidR="00590380">
        <w:rPr>
          <w:rFonts w:asciiTheme="minorHAnsi" w:hAnsiTheme="minorHAnsi" w:cstheme="minorHAnsi"/>
          <w:sz w:val="24"/>
          <w:szCs w:val="24"/>
        </w:rPr>
        <w:t xml:space="preserve"> </w:t>
      </w:r>
      <w:r w:rsidR="00C90D00" w:rsidRPr="008142C5">
        <w:rPr>
          <w:rFonts w:asciiTheme="minorHAnsi" w:hAnsiTheme="minorHAnsi" w:cstheme="minorHAnsi"/>
          <w:sz w:val="24"/>
          <w:szCs w:val="24"/>
        </w:rPr>
        <w:t>20 bodů a prověřování je rozděleno minimálně do 2 dnů (po 14 dnech od prvotního prověření se zadokumentuje, zda i nadále trvá cílení internetové stránky na osoby s bydlištěm na území ČR). Zpracování jednoho podnětu trvá minimálně 3 týdny, ve složitějších případech (například větší počet zrcadlových stránek) i déle.</w:t>
      </w:r>
      <w:r w:rsidR="009338F7" w:rsidRPr="008142C5">
        <w:rPr>
          <w:rFonts w:asciiTheme="minorHAnsi" w:hAnsiTheme="minorHAnsi" w:cstheme="minorHAnsi"/>
          <w:sz w:val="24"/>
          <w:szCs w:val="24"/>
        </w:rPr>
        <w:t xml:space="preserve"> </w:t>
      </w:r>
      <w:r w:rsidR="00C90D00" w:rsidRPr="008142C5">
        <w:rPr>
          <w:rFonts w:asciiTheme="minorHAnsi" w:hAnsiTheme="minorHAnsi" w:cstheme="minorHAnsi"/>
          <w:sz w:val="24"/>
          <w:szCs w:val="24"/>
        </w:rPr>
        <w:t xml:space="preserve">NKÚ zjistil, že Celní úřad pro Plzeňský kraj </w:t>
      </w:r>
      <w:r w:rsidR="002D4B6E">
        <w:rPr>
          <w:rFonts w:asciiTheme="minorHAnsi" w:hAnsiTheme="minorHAnsi" w:cstheme="minorHAnsi"/>
          <w:sz w:val="24"/>
          <w:szCs w:val="24"/>
        </w:rPr>
        <w:t>(</w:t>
      </w:r>
      <w:r w:rsidR="009833A8">
        <w:rPr>
          <w:rFonts w:asciiTheme="minorHAnsi" w:hAnsiTheme="minorHAnsi" w:cstheme="minorHAnsi"/>
          <w:sz w:val="24"/>
          <w:szCs w:val="24"/>
        </w:rPr>
        <w:t xml:space="preserve">který je pověřen touto agendou na základě jednání mezi MF a GŘC z prosince 2018) </w:t>
      </w:r>
      <w:r w:rsidR="00C90D00" w:rsidRPr="008142C5">
        <w:rPr>
          <w:rFonts w:asciiTheme="minorHAnsi" w:hAnsiTheme="minorHAnsi" w:cstheme="minorHAnsi"/>
          <w:sz w:val="24"/>
          <w:szCs w:val="24"/>
        </w:rPr>
        <w:t>prověřil</w:t>
      </w:r>
      <w:r w:rsidR="00590380">
        <w:rPr>
          <w:rFonts w:asciiTheme="minorHAnsi" w:hAnsiTheme="minorHAnsi" w:cstheme="minorHAnsi"/>
          <w:sz w:val="24"/>
          <w:szCs w:val="24"/>
        </w:rPr>
        <w:t xml:space="preserve"> </w:t>
      </w:r>
      <w:r w:rsidR="00C90D00" w:rsidRPr="008142C5">
        <w:rPr>
          <w:rFonts w:asciiTheme="minorHAnsi" w:hAnsiTheme="minorHAnsi" w:cstheme="minorHAnsi"/>
          <w:sz w:val="24"/>
          <w:szCs w:val="24"/>
        </w:rPr>
        <w:t xml:space="preserve">od převzetí kompetence do konce roku 2021 celkem 127 podnětů týkajících se nelegálního provozování </w:t>
      </w:r>
      <w:r w:rsidR="00F32618" w:rsidRPr="008142C5">
        <w:rPr>
          <w:rFonts w:asciiTheme="minorHAnsi" w:hAnsiTheme="minorHAnsi" w:cstheme="minorHAnsi"/>
          <w:sz w:val="24"/>
          <w:szCs w:val="24"/>
        </w:rPr>
        <w:t>internetových</w:t>
      </w:r>
      <w:r w:rsidR="00C90D00" w:rsidRPr="008142C5">
        <w:rPr>
          <w:rFonts w:asciiTheme="minorHAnsi" w:hAnsiTheme="minorHAnsi" w:cstheme="minorHAnsi"/>
          <w:sz w:val="24"/>
          <w:szCs w:val="24"/>
        </w:rPr>
        <w:t xml:space="preserve"> </w:t>
      </w:r>
      <w:r w:rsidR="002E43AE">
        <w:rPr>
          <w:rFonts w:asciiTheme="minorHAnsi" w:hAnsiTheme="minorHAnsi" w:cstheme="minorHAnsi"/>
          <w:sz w:val="24"/>
          <w:szCs w:val="24"/>
        </w:rPr>
        <w:t>hazardních her</w:t>
      </w:r>
      <w:r w:rsidR="00C90D00" w:rsidRPr="008142C5">
        <w:rPr>
          <w:rFonts w:asciiTheme="minorHAnsi" w:hAnsiTheme="minorHAnsi" w:cstheme="minorHAnsi"/>
          <w:sz w:val="24"/>
          <w:szCs w:val="24"/>
        </w:rPr>
        <w:t xml:space="preserve"> a průměrná doba od zpracování podnětu k</w:t>
      </w:r>
      <w:r w:rsidR="00A07E70">
        <w:rPr>
          <w:rFonts w:asciiTheme="minorHAnsi" w:hAnsiTheme="minorHAnsi" w:cstheme="minorHAnsi"/>
          <w:sz w:val="24"/>
          <w:szCs w:val="24"/>
        </w:rPr>
        <w:t> </w:t>
      </w:r>
      <w:r w:rsidR="00C90D00" w:rsidRPr="008142C5">
        <w:rPr>
          <w:rFonts w:asciiTheme="minorHAnsi" w:hAnsiTheme="minorHAnsi" w:cstheme="minorHAnsi"/>
          <w:sz w:val="24"/>
          <w:szCs w:val="24"/>
        </w:rPr>
        <w:t>zahájení správního řízení trvala téměř 155 kalendářních dn</w:t>
      </w:r>
      <w:r w:rsidR="00590380">
        <w:rPr>
          <w:rFonts w:asciiTheme="minorHAnsi" w:hAnsiTheme="minorHAnsi" w:cstheme="minorHAnsi"/>
          <w:sz w:val="24"/>
          <w:szCs w:val="24"/>
        </w:rPr>
        <w:t>ů</w:t>
      </w:r>
      <w:r w:rsidR="00C90D00" w:rsidRPr="008142C5">
        <w:rPr>
          <w:rFonts w:asciiTheme="minorHAnsi" w:hAnsiTheme="minorHAnsi" w:cstheme="minorHAnsi"/>
          <w:sz w:val="24"/>
          <w:szCs w:val="24"/>
        </w:rPr>
        <w:t>.</w:t>
      </w:r>
    </w:p>
    <w:p w14:paraId="6982F39F" w14:textId="5A1A800A" w:rsidR="00E936F5" w:rsidRPr="0039345E" w:rsidRDefault="00C90D00" w:rsidP="0056497C">
      <w:pPr>
        <w:pStyle w:val="Odstavecseseznamem"/>
        <w:numPr>
          <w:ilvl w:val="1"/>
          <w:numId w:val="17"/>
        </w:numPr>
        <w:spacing w:before="120" w:after="120"/>
        <w:ind w:left="0" w:firstLine="0"/>
        <w:contextualSpacing w:val="0"/>
        <w:rPr>
          <w:rFonts w:asciiTheme="minorHAnsi" w:hAnsiTheme="minorHAnsi" w:cstheme="minorHAnsi"/>
          <w:sz w:val="24"/>
          <w:szCs w:val="24"/>
        </w:rPr>
      </w:pPr>
      <w:r w:rsidRPr="0039345E">
        <w:rPr>
          <w:rFonts w:asciiTheme="minorHAnsi" w:hAnsiTheme="minorHAnsi" w:cstheme="minorHAnsi"/>
          <w:sz w:val="24"/>
          <w:szCs w:val="24"/>
        </w:rPr>
        <w:t xml:space="preserve">NKÚ konstatuje, že stávající právní úprava cílení, konkrétně znění </w:t>
      </w:r>
      <w:r w:rsidR="00B9655B" w:rsidRPr="0039345E">
        <w:rPr>
          <w:rFonts w:asciiTheme="minorHAnsi" w:hAnsiTheme="minorHAnsi" w:cstheme="minorHAnsi"/>
          <w:color w:val="000000"/>
          <w:sz w:val="24"/>
          <w:szCs w:val="24"/>
        </w:rPr>
        <w:t xml:space="preserve">ustanovení </w:t>
      </w:r>
      <w:r w:rsidRPr="0039345E">
        <w:rPr>
          <w:rFonts w:asciiTheme="minorHAnsi" w:hAnsiTheme="minorHAnsi" w:cstheme="minorHAnsi"/>
          <w:sz w:val="24"/>
          <w:szCs w:val="24"/>
        </w:rPr>
        <w:t xml:space="preserve">§ 2 </w:t>
      </w:r>
      <w:r w:rsidR="000A0654">
        <w:rPr>
          <w:rFonts w:asciiTheme="minorHAnsi" w:hAnsiTheme="minorHAnsi" w:cstheme="minorHAnsi"/>
          <w:sz w:val="24"/>
          <w:szCs w:val="24"/>
        </w:rPr>
        <w:br/>
      </w:r>
      <w:r w:rsidRPr="0039345E">
        <w:rPr>
          <w:rFonts w:asciiTheme="minorHAnsi" w:hAnsiTheme="minorHAnsi" w:cstheme="minorHAnsi"/>
          <w:sz w:val="24"/>
          <w:szCs w:val="24"/>
        </w:rPr>
        <w:t>odst. 2 ZHH, je formulačně nejednoznačná, což</w:t>
      </w:r>
      <w:r w:rsidR="004109B0" w:rsidRPr="0039345E">
        <w:rPr>
          <w:rFonts w:asciiTheme="minorHAnsi" w:hAnsiTheme="minorHAnsi" w:cstheme="minorHAnsi"/>
          <w:sz w:val="24"/>
          <w:szCs w:val="24"/>
        </w:rPr>
        <w:t xml:space="preserve"> zvyšuje náročnost</w:t>
      </w:r>
      <w:r w:rsidRPr="0039345E" w:rsidDel="004109B0">
        <w:rPr>
          <w:rFonts w:asciiTheme="minorHAnsi" w:hAnsiTheme="minorHAnsi" w:cstheme="minorHAnsi"/>
          <w:sz w:val="24"/>
          <w:szCs w:val="24"/>
        </w:rPr>
        <w:t xml:space="preserve"> </w:t>
      </w:r>
      <w:r w:rsidRPr="0039345E">
        <w:rPr>
          <w:rFonts w:asciiTheme="minorHAnsi" w:hAnsiTheme="minorHAnsi" w:cstheme="minorHAnsi"/>
          <w:sz w:val="24"/>
          <w:szCs w:val="24"/>
        </w:rPr>
        <w:t>dozorové činnosti</w:t>
      </w:r>
      <w:r w:rsidR="004109B0" w:rsidRPr="0039345E">
        <w:rPr>
          <w:rFonts w:asciiTheme="minorHAnsi" w:hAnsiTheme="minorHAnsi" w:cstheme="minorHAnsi"/>
          <w:sz w:val="24"/>
          <w:szCs w:val="24"/>
        </w:rPr>
        <w:t xml:space="preserve"> </w:t>
      </w:r>
      <w:r w:rsidR="006445B9">
        <w:rPr>
          <w:rFonts w:asciiTheme="minorHAnsi" w:hAnsiTheme="minorHAnsi" w:cstheme="minorHAnsi"/>
          <w:sz w:val="24"/>
          <w:szCs w:val="24"/>
        </w:rPr>
        <w:t>i</w:t>
      </w:r>
      <w:r w:rsidR="004109B0" w:rsidRPr="0039345E">
        <w:rPr>
          <w:rFonts w:asciiTheme="minorHAnsi" w:hAnsiTheme="minorHAnsi" w:cstheme="minorHAnsi"/>
          <w:sz w:val="24"/>
          <w:szCs w:val="24"/>
        </w:rPr>
        <w:t xml:space="preserve"> </w:t>
      </w:r>
      <w:r w:rsidR="001C2AFB">
        <w:rPr>
          <w:rFonts w:asciiTheme="minorHAnsi" w:hAnsiTheme="minorHAnsi" w:cstheme="minorHAnsi"/>
          <w:sz w:val="24"/>
          <w:szCs w:val="24"/>
        </w:rPr>
        <w:t xml:space="preserve">objem </w:t>
      </w:r>
      <w:r w:rsidR="004109B0" w:rsidRPr="0039345E">
        <w:rPr>
          <w:rFonts w:asciiTheme="minorHAnsi" w:hAnsiTheme="minorHAnsi" w:cstheme="minorHAnsi"/>
          <w:sz w:val="24"/>
          <w:szCs w:val="24"/>
        </w:rPr>
        <w:t>peněžní</w:t>
      </w:r>
      <w:r w:rsidR="001C2AFB">
        <w:rPr>
          <w:rFonts w:asciiTheme="minorHAnsi" w:hAnsiTheme="minorHAnsi" w:cstheme="minorHAnsi"/>
          <w:sz w:val="24"/>
          <w:szCs w:val="24"/>
        </w:rPr>
        <w:t>ch</w:t>
      </w:r>
      <w:r w:rsidR="004109B0" w:rsidRPr="0039345E">
        <w:rPr>
          <w:rFonts w:asciiTheme="minorHAnsi" w:hAnsiTheme="minorHAnsi" w:cstheme="minorHAnsi"/>
          <w:sz w:val="24"/>
          <w:szCs w:val="24"/>
        </w:rPr>
        <w:t xml:space="preserve"> prostředk</w:t>
      </w:r>
      <w:r w:rsidR="001C2AFB">
        <w:rPr>
          <w:rFonts w:asciiTheme="minorHAnsi" w:hAnsiTheme="minorHAnsi" w:cstheme="minorHAnsi"/>
          <w:sz w:val="24"/>
          <w:szCs w:val="24"/>
        </w:rPr>
        <w:t>ů</w:t>
      </w:r>
      <w:r w:rsidR="004109B0" w:rsidRPr="0039345E">
        <w:rPr>
          <w:rFonts w:asciiTheme="minorHAnsi" w:hAnsiTheme="minorHAnsi" w:cstheme="minorHAnsi"/>
          <w:sz w:val="24"/>
          <w:szCs w:val="24"/>
        </w:rPr>
        <w:t xml:space="preserve"> státu na n</w:t>
      </w:r>
      <w:r w:rsidR="001C2AFB">
        <w:rPr>
          <w:rFonts w:asciiTheme="minorHAnsi" w:hAnsiTheme="minorHAnsi" w:cstheme="minorHAnsi"/>
          <w:sz w:val="24"/>
          <w:szCs w:val="24"/>
        </w:rPr>
        <w:t>i</w:t>
      </w:r>
      <w:r w:rsidR="004109B0" w:rsidRPr="0039345E">
        <w:rPr>
          <w:rFonts w:asciiTheme="minorHAnsi" w:hAnsiTheme="minorHAnsi" w:cstheme="minorHAnsi"/>
          <w:sz w:val="24"/>
          <w:szCs w:val="24"/>
        </w:rPr>
        <w:t xml:space="preserve"> vynakládan</w:t>
      </w:r>
      <w:r w:rsidR="001C2AFB">
        <w:rPr>
          <w:rFonts w:asciiTheme="minorHAnsi" w:hAnsiTheme="minorHAnsi" w:cstheme="minorHAnsi"/>
          <w:sz w:val="24"/>
          <w:szCs w:val="24"/>
        </w:rPr>
        <w:t>ých</w:t>
      </w:r>
      <w:r w:rsidRPr="0039345E">
        <w:rPr>
          <w:rFonts w:asciiTheme="minorHAnsi" w:hAnsiTheme="minorHAnsi" w:cstheme="minorHAnsi"/>
          <w:sz w:val="24"/>
          <w:szCs w:val="24"/>
        </w:rPr>
        <w:t>.</w:t>
      </w:r>
      <w:r w:rsidR="0039345E">
        <w:rPr>
          <w:rFonts w:asciiTheme="minorHAnsi" w:hAnsiTheme="minorHAnsi" w:cstheme="minorHAnsi"/>
          <w:sz w:val="24"/>
          <w:szCs w:val="24"/>
        </w:rPr>
        <w:t xml:space="preserve"> </w:t>
      </w:r>
      <w:r w:rsidR="006D59AE" w:rsidRPr="0039345E">
        <w:rPr>
          <w:rFonts w:asciiTheme="minorHAnsi" w:hAnsiTheme="minorHAnsi" w:cstheme="minorHAnsi"/>
          <w:sz w:val="24"/>
          <w:szCs w:val="24"/>
        </w:rPr>
        <w:t>Inspirací</w:t>
      </w:r>
      <w:r w:rsidR="00426EE4" w:rsidRPr="0039345E">
        <w:rPr>
          <w:rFonts w:asciiTheme="minorHAnsi" w:hAnsiTheme="minorHAnsi" w:cstheme="minorHAnsi"/>
          <w:sz w:val="24"/>
          <w:szCs w:val="24"/>
        </w:rPr>
        <w:t xml:space="preserve"> </w:t>
      </w:r>
      <w:r w:rsidRPr="0039345E">
        <w:rPr>
          <w:rFonts w:asciiTheme="minorHAnsi" w:hAnsiTheme="minorHAnsi" w:cstheme="minorHAnsi"/>
          <w:sz w:val="24"/>
          <w:szCs w:val="24"/>
        </w:rPr>
        <w:t>při změně právní úpravy by mohl</w:t>
      </w:r>
      <w:r w:rsidR="001011C7" w:rsidRPr="0039345E">
        <w:rPr>
          <w:rFonts w:asciiTheme="minorHAnsi" w:hAnsiTheme="minorHAnsi" w:cstheme="minorHAnsi"/>
          <w:sz w:val="24"/>
          <w:szCs w:val="24"/>
        </w:rPr>
        <w:t>o</w:t>
      </w:r>
      <w:r w:rsidRPr="0039345E">
        <w:rPr>
          <w:rFonts w:asciiTheme="minorHAnsi" w:hAnsiTheme="minorHAnsi" w:cstheme="minorHAnsi"/>
          <w:sz w:val="24"/>
          <w:szCs w:val="24"/>
        </w:rPr>
        <w:t xml:space="preserve"> být Slovensk</w:t>
      </w:r>
      <w:r w:rsidR="001011C7" w:rsidRPr="0039345E">
        <w:rPr>
          <w:rFonts w:asciiTheme="minorHAnsi" w:hAnsiTheme="minorHAnsi" w:cstheme="minorHAnsi"/>
          <w:sz w:val="24"/>
          <w:szCs w:val="24"/>
        </w:rPr>
        <w:t>o</w:t>
      </w:r>
      <w:r w:rsidRPr="0039345E">
        <w:rPr>
          <w:rFonts w:asciiTheme="minorHAnsi" w:hAnsiTheme="minorHAnsi" w:cstheme="minorHAnsi"/>
          <w:sz w:val="24"/>
          <w:szCs w:val="24"/>
        </w:rPr>
        <w:t>.</w:t>
      </w:r>
      <w:r w:rsidR="001F4D66" w:rsidRPr="0039345E">
        <w:rPr>
          <w:rFonts w:asciiTheme="minorHAnsi" w:hAnsiTheme="minorHAnsi" w:cstheme="minorHAnsi"/>
          <w:sz w:val="24"/>
          <w:szCs w:val="24"/>
        </w:rPr>
        <w:t xml:space="preserve"> Slovenské orgány při rozhodování o porušení zákona posuzují </w:t>
      </w:r>
      <w:r w:rsidR="001011C7" w:rsidRPr="0039345E">
        <w:rPr>
          <w:rFonts w:asciiTheme="minorHAnsi" w:hAnsiTheme="minorHAnsi" w:cstheme="minorHAnsi"/>
          <w:sz w:val="24"/>
          <w:szCs w:val="24"/>
        </w:rPr>
        <w:t>pouze</w:t>
      </w:r>
      <w:r w:rsidR="001F4D66" w:rsidRPr="0039345E">
        <w:rPr>
          <w:rFonts w:asciiTheme="minorHAnsi" w:hAnsiTheme="minorHAnsi" w:cstheme="minorHAnsi"/>
          <w:sz w:val="24"/>
          <w:szCs w:val="24"/>
        </w:rPr>
        <w:t xml:space="preserve"> </w:t>
      </w:r>
      <w:r w:rsidR="006445B9">
        <w:rPr>
          <w:rFonts w:asciiTheme="minorHAnsi" w:hAnsiTheme="minorHAnsi" w:cstheme="minorHAnsi"/>
          <w:sz w:val="24"/>
          <w:szCs w:val="24"/>
        </w:rPr>
        <w:t xml:space="preserve">to, </w:t>
      </w:r>
      <w:r w:rsidR="001F4D66" w:rsidRPr="0039345E">
        <w:rPr>
          <w:rFonts w:asciiTheme="minorHAnsi" w:hAnsiTheme="minorHAnsi" w:cstheme="minorHAnsi"/>
          <w:sz w:val="24"/>
          <w:szCs w:val="24"/>
        </w:rPr>
        <w:t xml:space="preserve">zda </w:t>
      </w:r>
      <w:r w:rsidR="006445B9" w:rsidRPr="0039345E">
        <w:rPr>
          <w:rFonts w:asciiTheme="minorHAnsi" w:hAnsiTheme="minorHAnsi" w:cstheme="minorHAnsi"/>
          <w:sz w:val="24"/>
          <w:szCs w:val="24"/>
        </w:rPr>
        <w:t xml:space="preserve">má </w:t>
      </w:r>
      <w:r w:rsidR="001F4D66" w:rsidRPr="0039345E">
        <w:rPr>
          <w:rFonts w:asciiTheme="minorHAnsi" w:hAnsiTheme="minorHAnsi" w:cstheme="minorHAnsi"/>
          <w:sz w:val="24"/>
          <w:szCs w:val="24"/>
        </w:rPr>
        <w:t>provozovatel licenci, zd</w:t>
      </w:r>
      <w:r w:rsidR="00A67B48">
        <w:rPr>
          <w:rFonts w:asciiTheme="minorHAnsi" w:hAnsiTheme="minorHAnsi" w:cstheme="minorHAnsi"/>
          <w:sz w:val="24"/>
          <w:szCs w:val="24"/>
        </w:rPr>
        <w:t>a</w:t>
      </w:r>
      <w:r w:rsidR="001F4D66" w:rsidRPr="0039345E">
        <w:rPr>
          <w:rFonts w:asciiTheme="minorHAnsi" w:hAnsiTheme="minorHAnsi" w:cstheme="minorHAnsi"/>
          <w:sz w:val="24"/>
          <w:szCs w:val="24"/>
        </w:rPr>
        <w:t xml:space="preserve"> j</w:t>
      </w:r>
      <w:r w:rsidR="001011C7" w:rsidRPr="0039345E">
        <w:rPr>
          <w:rFonts w:asciiTheme="minorHAnsi" w:hAnsiTheme="minorHAnsi" w:cstheme="minorHAnsi"/>
          <w:sz w:val="24"/>
          <w:szCs w:val="24"/>
        </w:rPr>
        <w:t>sou j</w:t>
      </w:r>
      <w:r w:rsidR="001F4D66" w:rsidRPr="0039345E">
        <w:rPr>
          <w:rFonts w:asciiTheme="minorHAnsi" w:hAnsiTheme="minorHAnsi" w:cstheme="minorHAnsi"/>
          <w:sz w:val="24"/>
          <w:szCs w:val="24"/>
        </w:rPr>
        <w:t xml:space="preserve">eho webové stránky v latinském písmu a zda je možné na území Slovenska vložit do hry peníze, uzavřít sázku </w:t>
      </w:r>
      <w:r w:rsidR="006445B9">
        <w:rPr>
          <w:rFonts w:asciiTheme="minorHAnsi" w:hAnsiTheme="minorHAnsi" w:cstheme="minorHAnsi"/>
          <w:sz w:val="24"/>
          <w:szCs w:val="24"/>
        </w:rPr>
        <w:t>a</w:t>
      </w:r>
      <w:r w:rsidR="001F4D66" w:rsidRPr="0039345E">
        <w:rPr>
          <w:rFonts w:asciiTheme="minorHAnsi" w:hAnsiTheme="minorHAnsi" w:cstheme="minorHAnsi"/>
          <w:sz w:val="24"/>
          <w:szCs w:val="24"/>
        </w:rPr>
        <w:t xml:space="preserve"> získat výhru. </w:t>
      </w:r>
      <w:r w:rsidR="004D73F5" w:rsidRPr="0039345E">
        <w:rPr>
          <w:rFonts w:asciiTheme="minorHAnsi" w:hAnsiTheme="minorHAnsi" w:cstheme="minorHAnsi"/>
          <w:sz w:val="24"/>
          <w:szCs w:val="24"/>
        </w:rPr>
        <w:t>Po rozhodnutí</w:t>
      </w:r>
      <w:r w:rsidR="00590380">
        <w:rPr>
          <w:rFonts w:asciiTheme="minorHAnsi" w:hAnsiTheme="minorHAnsi" w:cstheme="minorHAnsi"/>
          <w:sz w:val="24"/>
          <w:szCs w:val="24"/>
        </w:rPr>
        <w:t xml:space="preserve"> </w:t>
      </w:r>
      <w:r w:rsidR="004D73F5" w:rsidRPr="0039345E">
        <w:rPr>
          <w:rFonts w:asciiTheme="minorHAnsi" w:hAnsiTheme="minorHAnsi" w:cstheme="minorHAnsi"/>
          <w:sz w:val="24"/>
          <w:szCs w:val="24"/>
        </w:rPr>
        <w:t xml:space="preserve">o </w:t>
      </w:r>
      <w:r w:rsidR="001F4D66" w:rsidRPr="0039345E">
        <w:rPr>
          <w:rFonts w:asciiTheme="minorHAnsi" w:hAnsiTheme="minorHAnsi" w:cstheme="minorHAnsi"/>
          <w:sz w:val="24"/>
          <w:szCs w:val="24"/>
        </w:rPr>
        <w:t>zařazení na seznam zakázaných sídel</w:t>
      </w:r>
      <w:r w:rsidR="004D73F5" w:rsidRPr="0039345E">
        <w:rPr>
          <w:rFonts w:asciiTheme="minorHAnsi" w:hAnsiTheme="minorHAnsi" w:cstheme="minorHAnsi"/>
          <w:sz w:val="24"/>
          <w:szCs w:val="24"/>
        </w:rPr>
        <w:t xml:space="preserve"> </w:t>
      </w:r>
      <w:r w:rsidR="006445B9" w:rsidRPr="0039345E">
        <w:rPr>
          <w:rFonts w:asciiTheme="minorHAnsi" w:hAnsiTheme="minorHAnsi" w:cstheme="minorHAnsi"/>
          <w:sz w:val="24"/>
          <w:szCs w:val="24"/>
        </w:rPr>
        <w:t xml:space="preserve">vydá </w:t>
      </w:r>
      <w:r w:rsidR="001F4D66" w:rsidRPr="0039345E">
        <w:rPr>
          <w:rFonts w:asciiTheme="minorHAnsi" w:hAnsiTheme="minorHAnsi" w:cstheme="minorHAnsi"/>
          <w:sz w:val="24"/>
          <w:szCs w:val="24"/>
        </w:rPr>
        <w:t xml:space="preserve">příslušný soud příkaz </w:t>
      </w:r>
      <w:r w:rsidR="006445B9">
        <w:rPr>
          <w:rFonts w:asciiTheme="minorHAnsi" w:hAnsiTheme="minorHAnsi" w:cstheme="minorHAnsi"/>
          <w:sz w:val="24"/>
          <w:szCs w:val="24"/>
        </w:rPr>
        <w:t>k</w:t>
      </w:r>
      <w:r w:rsidR="001F4D66" w:rsidRPr="0039345E">
        <w:rPr>
          <w:rFonts w:asciiTheme="minorHAnsi" w:hAnsiTheme="minorHAnsi" w:cstheme="minorHAnsi"/>
          <w:sz w:val="24"/>
          <w:szCs w:val="24"/>
        </w:rPr>
        <w:t xml:space="preserve"> zamezení přístupu k webovému sídlu osobám, které poskytují elektronické komunikační sítě a elektronické komunikační služby. Soud je povinen rozhodnout do 7 dnů od podání žádosti. Proti rozhodnutí soudu není přípustný opravný prostředek.</w:t>
      </w:r>
      <w:r w:rsidR="00E936F5" w:rsidRPr="0039345E">
        <w:rPr>
          <w:rFonts w:asciiTheme="minorHAnsi" w:hAnsiTheme="minorHAnsi" w:cstheme="minorHAnsi"/>
          <w:sz w:val="24"/>
          <w:szCs w:val="24"/>
        </w:rPr>
        <w:t xml:space="preserve"> </w:t>
      </w:r>
    </w:p>
    <w:p w14:paraId="4FFADDBA" w14:textId="2F85E399" w:rsidR="008515FC" w:rsidRPr="008142C5" w:rsidRDefault="008515FC" w:rsidP="008515FC">
      <w:pPr>
        <w:pStyle w:val="Nadpis2"/>
        <w:contextualSpacing w:val="0"/>
        <w:rPr>
          <w:rFonts w:asciiTheme="minorHAnsi" w:hAnsiTheme="minorHAnsi"/>
        </w:rPr>
      </w:pPr>
      <w:bookmarkStart w:id="23" w:name="_Hlk135561949"/>
      <w:r>
        <w:rPr>
          <w:rFonts w:asciiTheme="minorHAnsi" w:hAnsiTheme="minorHAnsi"/>
        </w:rPr>
        <w:t>Ob</w:t>
      </w:r>
      <w:r w:rsidRPr="008142C5">
        <w:rPr>
          <w:rFonts w:asciiTheme="minorHAnsi" w:hAnsiTheme="minorHAnsi"/>
        </w:rPr>
        <w:t xml:space="preserve">dobné nedostatky v oblasti hazardu přetrvávají i </w:t>
      </w:r>
      <w:r>
        <w:rPr>
          <w:rFonts w:asciiTheme="minorHAnsi" w:hAnsiTheme="minorHAnsi"/>
        </w:rPr>
        <w:t>devět</w:t>
      </w:r>
      <w:r w:rsidRPr="008142C5">
        <w:rPr>
          <w:rFonts w:asciiTheme="minorHAnsi" w:hAnsiTheme="minorHAnsi"/>
        </w:rPr>
        <w:t xml:space="preserve"> let od předchozí kontroly NKÚ</w:t>
      </w:r>
    </w:p>
    <w:p w14:paraId="661918BC" w14:textId="42CB74B0" w:rsidR="008515FC" w:rsidRPr="008142C5" w:rsidRDefault="008515FC" w:rsidP="001E51C9">
      <w:pPr>
        <w:pStyle w:val="Odstavecseseznamem"/>
        <w:numPr>
          <w:ilvl w:val="1"/>
          <w:numId w:val="17"/>
        </w:numPr>
        <w:spacing w:before="240" w:after="120"/>
        <w:ind w:left="0" w:firstLine="0"/>
        <w:contextualSpacing w:val="0"/>
        <w:rPr>
          <w:rFonts w:asciiTheme="minorHAnsi" w:hAnsiTheme="minorHAnsi" w:cstheme="minorHAnsi"/>
          <w:sz w:val="24"/>
          <w:szCs w:val="24"/>
        </w:rPr>
      </w:pPr>
      <w:r w:rsidRPr="008142C5">
        <w:rPr>
          <w:rFonts w:asciiTheme="minorHAnsi" w:hAnsiTheme="minorHAnsi" w:cstheme="minorHAnsi"/>
          <w:sz w:val="24"/>
          <w:szCs w:val="24"/>
        </w:rPr>
        <w:t xml:space="preserve">NKÚ na základě výše </w:t>
      </w:r>
      <w:r w:rsidR="006445B9">
        <w:rPr>
          <w:rFonts w:asciiTheme="minorHAnsi" w:hAnsiTheme="minorHAnsi" w:cstheme="minorHAnsi"/>
          <w:sz w:val="24"/>
          <w:szCs w:val="24"/>
        </w:rPr>
        <w:t>uvedených</w:t>
      </w:r>
      <w:r w:rsidRPr="008142C5">
        <w:rPr>
          <w:rFonts w:asciiTheme="minorHAnsi" w:hAnsiTheme="minorHAnsi" w:cstheme="minorHAnsi"/>
          <w:sz w:val="24"/>
          <w:szCs w:val="24"/>
        </w:rPr>
        <w:t xml:space="preserve"> skutečností </w:t>
      </w:r>
      <w:r w:rsidR="006445B9">
        <w:rPr>
          <w:rFonts w:asciiTheme="minorHAnsi" w:hAnsiTheme="minorHAnsi" w:cstheme="minorHAnsi"/>
          <w:sz w:val="24"/>
          <w:szCs w:val="24"/>
        </w:rPr>
        <w:t>zjištěných touto</w:t>
      </w:r>
      <w:r w:rsidRPr="008142C5">
        <w:rPr>
          <w:rFonts w:asciiTheme="minorHAnsi" w:hAnsiTheme="minorHAnsi" w:cstheme="minorHAnsi"/>
          <w:sz w:val="24"/>
          <w:szCs w:val="24"/>
        </w:rPr>
        <w:t xml:space="preserve"> kontrol</w:t>
      </w:r>
      <w:r w:rsidR="006445B9">
        <w:rPr>
          <w:rFonts w:asciiTheme="minorHAnsi" w:hAnsiTheme="minorHAnsi" w:cstheme="minorHAnsi"/>
          <w:sz w:val="24"/>
          <w:szCs w:val="24"/>
        </w:rPr>
        <w:t>ní</w:t>
      </w:r>
      <w:r w:rsidRPr="008142C5">
        <w:rPr>
          <w:rFonts w:asciiTheme="minorHAnsi" w:hAnsiTheme="minorHAnsi" w:cstheme="minorHAnsi"/>
          <w:sz w:val="24"/>
          <w:szCs w:val="24"/>
        </w:rPr>
        <w:t xml:space="preserve"> </w:t>
      </w:r>
      <w:r w:rsidR="006445B9">
        <w:rPr>
          <w:rFonts w:asciiTheme="minorHAnsi" w:hAnsiTheme="minorHAnsi" w:cstheme="minorHAnsi"/>
          <w:sz w:val="24"/>
          <w:szCs w:val="24"/>
        </w:rPr>
        <w:t xml:space="preserve">akcí </w:t>
      </w:r>
      <w:r w:rsidRPr="008142C5">
        <w:rPr>
          <w:rFonts w:asciiTheme="minorHAnsi" w:hAnsiTheme="minorHAnsi" w:cstheme="minorHAnsi"/>
          <w:sz w:val="24"/>
          <w:szCs w:val="24"/>
        </w:rPr>
        <w:t xml:space="preserve">konstatuje, že po </w:t>
      </w:r>
      <w:r w:rsidR="006445B9">
        <w:rPr>
          <w:rFonts w:asciiTheme="minorHAnsi" w:hAnsiTheme="minorHAnsi" w:cstheme="minorHAnsi"/>
          <w:sz w:val="24"/>
          <w:szCs w:val="24"/>
        </w:rPr>
        <w:t xml:space="preserve">devíti </w:t>
      </w:r>
      <w:r w:rsidRPr="008142C5">
        <w:rPr>
          <w:rFonts w:asciiTheme="minorHAnsi" w:hAnsiTheme="minorHAnsi" w:cstheme="minorHAnsi"/>
          <w:sz w:val="24"/>
          <w:szCs w:val="24"/>
        </w:rPr>
        <w:t xml:space="preserve">letech od ukončení kontrolní akce č. 13/35 jsou v oblasti hazardu </w:t>
      </w:r>
      <w:r w:rsidR="001C2AFB">
        <w:rPr>
          <w:rFonts w:asciiTheme="minorHAnsi" w:hAnsiTheme="minorHAnsi" w:cstheme="minorHAnsi"/>
          <w:sz w:val="24"/>
          <w:szCs w:val="24"/>
        </w:rPr>
        <w:t>obdobné</w:t>
      </w:r>
      <w:r w:rsidRPr="008142C5">
        <w:rPr>
          <w:rFonts w:asciiTheme="minorHAnsi" w:hAnsiTheme="minorHAnsi" w:cstheme="minorHAnsi"/>
          <w:sz w:val="24"/>
          <w:szCs w:val="24"/>
        </w:rPr>
        <w:t xml:space="preserve"> nedostatky, a to i přes novou právní úpravu. V</w:t>
      </w:r>
      <w:r w:rsidR="006445B9">
        <w:rPr>
          <w:rFonts w:asciiTheme="minorHAnsi" w:hAnsiTheme="minorHAnsi" w:cstheme="minorHAnsi"/>
          <w:sz w:val="24"/>
          <w:szCs w:val="24"/>
        </w:rPr>
        <w:t xml:space="preserve"> kontrolním závěru z </w:t>
      </w:r>
      <w:r w:rsidRPr="008142C5">
        <w:rPr>
          <w:rFonts w:asciiTheme="minorHAnsi" w:hAnsiTheme="minorHAnsi" w:cstheme="minorHAnsi"/>
          <w:sz w:val="24"/>
          <w:szCs w:val="24"/>
        </w:rPr>
        <w:t>kontrolní akc</w:t>
      </w:r>
      <w:r w:rsidR="006445B9">
        <w:rPr>
          <w:rFonts w:asciiTheme="minorHAnsi" w:hAnsiTheme="minorHAnsi" w:cstheme="minorHAnsi"/>
          <w:sz w:val="24"/>
          <w:szCs w:val="24"/>
        </w:rPr>
        <w:t>e</w:t>
      </w:r>
      <w:r w:rsidRPr="008142C5">
        <w:rPr>
          <w:rFonts w:asciiTheme="minorHAnsi" w:hAnsiTheme="minorHAnsi" w:cstheme="minorHAnsi"/>
          <w:sz w:val="24"/>
          <w:szCs w:val="24"/>
        </w:rPr>
        <w:t xml:space="preserve"> č. 13/35 bylo mj. konstatováno:</w:t>
      </w:r>
    </w:p>
    <w:p w14:paraId="6BD6E146" w14:textId="1C313CE0" w:rsidR="008515FC" w:rsidRPr="00627344" w:rsidRDefault="008515FC" w:rsidP="008515FC">
      <w:pPr>
        <w:pStyle w:val="Odstavecseseznamem"/>
        <w:numPr>
          <w:ilvl w:val="0"/>
          <w:numId w:val="14"/>
        </w:numPr>
        <w:spacing w:after="120"/>
        <w:ind w:left="714" w:hanging="357"/>
        <w:rPr>
          <w:rFonts w:asciiTheme="minorHAnsi" w:hAnsiTheme="minorHAnsi" w:cstheme="minorHAnsi"/>
          <w:sz w:val="24"/>
          <w:szCs w:val="24"/>
        </w:rPr>
      </w:pPr>
      <w:r w:rsidRPr="00627344">
        <w:rPr>
          <w:rFonts w:asciiTheme="minorHAnsi" w:hAnsiTheme="minorHAnsi" w:cstheme="minorHAnsi"/>
          <w:sz w:val="24"/>
          <w:szCs w:val="24"/>
        </w:rPr>
        <w:t>Státní dozor byl neúčinný, neefektivní, nevyužíval všechna zákonná oprávnění</w:t>
      </w:r>
      <w:r w:rsidR="006445B9">
        <w:rPr>
          <w:rFonts w:asciiTheme="minorHAnsi" w:hAnsiTheme="minorHAnsi" w:cstheme="minorHAnsi"/>
          <w:sz w:val="24"/>
          <w:szCs w:val="24"/>
        </w:rPr>
        <w:t xml:space="preserve"> </w:t>
      </w:r>
      <w:r w:rsidR="006A6288">
        <w:rPr>
          <w:rFonts w:asciiTheme="minorHAnsi" w:hAnsiTheme="minorHAnsi" w:cstheme="minorHAnsi"/>
          <w:sz w:val="24"/>
          <w:szCs w:val="24"/>
        </w:rPr>
        <w:br/>
      </w:r>
      <w:r w:rsidRPr="00627344">
        <w:rPr>
          <w:rFonts w:asciiTheme="minorHAnsi" w:hAnsiTheme="minorHAnsi" w:cstheme="minorHAnsi"/>
          <w:sz w:val="24"/>
          <w:szCs w:val="24"/>
        </w:rPr>
        <w:t>a nezabýval se kontrolou finančních toků.</w:t>
      </w:r>
    </w:p>
    <w:p w14:paraId="2D8D39BC" w14:textId="2D64628D" w:rsidR="008515FC" w:rsidRPr="00627344" w:rsidRDefault="008515FC" w:rsidP="008515FC">
      <w:pPr>
        <w:pStyle w:val="Odstavecseseznamem"/>
        <w:numPr>
          <w:ilvl w:val="0"/>
          <w:numId w:val="14"/>
        </w:numPr>
        <w:spacing w:after="120"/>
        <w:ind w:left="714" w:hanging="357"/>
        <w:rPr>
          <w:rFonts w:asciiTheme="minorHAnsi" w:hAnsiTheme="minorHAnsi" w:cstheme="minorHAnsi"/>
          <w:sz w:val="24"/>
          <w:szCs w:val="24"/>
        </w:rPr>
      </w:pPr>
      <w:r w:rsidRPr="00627344">
        <w:rPr>
          <w:rFonts w:asciiTheme="minorHAnsi" w:hAnsiTheme="minorHAnsi" w:cstheme="minorHAnsi"/>
          <w:sz w:val="24"/>
          <w:szCs w:val="24"/>
        </w:rPr>
        <w:t>Zásadní nedostatky informačního systému ovlivňovaly výkon správy a kontroly celého segmentu trhu.</w:t>
      </w:r>
    </w:p>
    <w:p w14:paraId="1DECAC27" w14:textId="27F91E7D" w:rsidR="008515FC" w:rsidRPr="00627344" w:rsidRDefault="008515FC" w:rsidP="008515FC">
      <w:pPr>
        <w:pStyle w:val="Odstavecseseznamem"/>
        <w:numPr>
          <w:ilvl w:val="0"/>
          <w:numId w:val="14"/>
        </w:numPr>
        <w:spacing w:after="120"/>
        <w:ind w:left="714" w:hanging="357"/>
        <w:rPr>
          <w:rFonts w:asciiTheme="minorHAnsi" w:hAnsiTheme="minorHAnsi" w:cstheme="minorHAnsi"/>
          <w:sz w:val="24"/>
          <w:szCs w:val="24"/>
        </w:rPr>
      </w:pPr>
      <w:r w:rsidRPr="00627344">
        <w:rPr>
          <w:rFonts w:asciiTheme="minorHAnsi" w:hAnsiTheme="minorHAnsi" w:cstheme="minorHAnsi"/>
          <w:sz w:val="24"/>
          <w:szCs w:val="24"/>
        </w:rPr>
        <w:t>Kontrolované osoby měly nedostatečné informace pro správné vyměření odvodů</w:t>
      </w:r>
      <w:r w:rsidR="006445B9">
        <w:rPr>
          <w:rFonts w:asciiTheme="minorHAnsi" w:hAnsiTheme="minorHAnsi" w:cstheme="minorHAnsi"/>
          <w:sz w:val="24"/>
          <w:szCs w:val="24"/>
        </w:rPr>
        <w:t xml:space="preserve"> </w:t>
      </w:r>
      <w:r w:rsidR="006A6288">
        <w:rPr>
          <w:rFonts w:asciiTheme="minorHAnsi" w:hAnsiTheme="minorHAnsi" w:cstheme="minorHAnsi"/>
          <w:sz w:val="24"/>
          <w:szCs w:val="24"/>
        </w:rPr>
        <w:br/>
      </w:r>
      <w:r w:rsidRPr="00627344">
        <w:rPr>
          <w:rFonts w:asciiTheme="minorHAnsi" w:hAnsiTheme="minorHAnsi" w:cstheme="minorHAnsi"/>
          <w:sz w:val="24"/>
          <w:szCs w:val="24"/>
        </w:rPr>
        <w:t>a jejich rozdělení.</w:t>
      </w:r>
    </w:p>
    <w:p w14:paraId="60A1D426" w14:textId="02D20A9C" w:rsidR="001E51C9" w:rsidRDefault="008515FC" w:rsidP="001E51C9">
      <w:pPr>
        <w:pStyle w:val="Odstavecseseznamem"/>
        <w:numPr>
          <w:ilvl w:val="0"/>
          <w:numId w:val="14"/>
        </w:numPr>
        <w:spacing w:after="120"/>
        <w:ind w:left="714" w:hanging="357"/>
        <w:contextualSpacing w:val="0"/>
        <w:rPr>
          <w:rFonts w:asciiTheme="minorHAnsi" w:hAnsiTheme="minorHAnsi" w:cstheme="minorHAnsi"/>
          <w:sz w:val="24"/>
          <w:szCs w:val="24"/>
        </w:rPr>
      </w:pPr>
      <w:r w:rsidRPr="00627344">
        <w:rPr>
          <w:rFonts w:asciiTheme="minorHAnsi" w:hAnsiTheme="minorHAnsi" w:cstheme="minorHAnsi"/>
          <w:sz w:val="24"/>
          <w:szCs w:val="24"/>
        </w:rPr>
        <w:t>Data v informačním systému pro podporu činností dle zákona o loteriích byla neprůkazná.</w:t>
      </w:r>
    </w:p>
    <w:p w14:paraId="4EEDC0F0" w14:textId="7D31266C" w:rsidR="001E51C9" w:rsidRDefault="001E51C9" w:rsidP="001E51C9">
      <w:pPr>
        <w:spacing w:after="120"/>
        <w:rPr>
          <w:rFonts w:asciiTheme="minorHAnsi" w:hAnsiTheme="minorHAnsi"/>
        </w:rPr>
      </w:pPr>
    </w:p>
    <w:p w14:paraId="619BF831" w14:textId="378D4C7D" w:rsidR="006007E5" w:rsidRDefault="006007E5" w:rsidP="001E51C9">
      <w:pPr>
        <w:spacing w:after="120"/>
        <w:rPr>
          <w:rFonts w:asciiTheme="minorHAnsi" w:hAnsiTheme="minorHAnsi"/>
        </w:rPr>
      </w:pPr>
    </w:p>
    <w:p w14:paraId="42BC2556" w14:textId="77777777" w:rsidR="006007E5" w:rsidRDefault="006007E5" w:rsidP="001E51C9">
      <w:pPr>
        <w:spacing w:after="120"/>
        <w:rPr>
          <w:rFonts w:asciiTheme="minorHAnsi" w:hAnsiTheme="minorHAnsi"/>
        </w:rPr>
      </w:pPr>
    </w:p>
    <w:p w14:paraId="520F234B" w14:textId="2801D6A2" w:rsidR="009411A6" w:rsidRDefault="009411A6">
      <w:pPr>
        <w:jc w:val="left"/>
        <w:rPr>
          <w:rFonts w:asciiTheme="minorHAnsi" w:hAnsiTheme="minorHAnsi"/>
        </w:rPr>
      </w:pPr>
      <w:r>
        <w:rPr>
          <w:rFonts w:asciiTheme="minorHAnsi" w:hAnsiTheme="minorHAnsi"/>
        </w:rPr>
        <w:br w:type="page"/>
      </w:r>
    </w:p>
    <w:bookmarkEnd w:id="23"/>
    <w:p w14:paraId="7312EE62" w14:textId="476A7148" w:rsidR="00691ECA" w:rsidRPr="008142C5" w:rsidRDefault="00691ECA" w:rsidP="00647AA9">
      <w:pPr>
        <w:pStyle w:val="Nadpis2"/>
        <w:pBdr>
          <w:right w:val="single" w:sz="4" w:space="2" w:color="auto"/>
        </w:pBdr>
        <w:spacing w:before="480" w:after="240"/>
        <w:ind w:left="142" w:right="141"/>
        <w:rPr>
          <w:rFonts w:asciiTheme="minorHAnsi" w:hAnsiTheme="minorHAnsi"/>
        </w:rPr>
      </w:pPr>
      <w:r w:rsidRPr="008142C5">
        <w:rPr>
          <w:rFonts w:asciiTheme="minorHAnsi" w:hAnsiTheme="minorHAnsi"/>
        </w:rPr>
        <w:lastRenderedPageBreak/>
        <w:t>Seznam zkratek</w:t>
      </w:r>
    </w:p>
    <w:tbl>
      <w:tblPr>
        <w:tblW w:w="5000" w:type="pct"/>
        <w:tblCellMar>
          <w:left w:w="70" w:type="dxa"/>
          <w:right w:w="70" w:type="dxa"/>
        </w:tblCellMar>
        <w:tblLook w:val="04A0" w:firstRow="1" w:lastRow="0" w:firstColumn="1" w:lastColumn="0" w:noHBand="0" w:noVBand="1"/>
      </w:tblPr>
      <w:tblGrid>
        <w:gridCol w:w="8926"/>
        <w:gridCol w:w="146"/>
      </w:tblGrid>
      <w:tr w:rsidR="00691ECA" w:rsidRPr="009B5836" w14:paraId="0A680DD8" w14:textId="77777777" w:rsidTr="008515FC">
        <w:trPr>
          <w:trHeight w:val="334"/>
        </w:trPr>
        <w:tc>
          <w:tcPr>
            <w:tcW w:w="4805" w:type="pct"/>
            <w:shd w:val="clear" w:color="auto" w:fill="auto"/>
            <w:noWrap/>
            <w:vAlign w:val="center"/>
          </w:tcPr>
          <w:tbl>
            <w:tblPr>
              <w:tblStyle w:val="Mkatabulky"/>
              <w:tblW w:w="8851" w:type="dxa"/>
              <w:tblLook w:val="04A0" w:firstRow="1" w:lastRow="0" w:firstColumn="1" w:lastColumn="0" w:noHBand="0" w:noVBand="1"/>
            </w:tblPr>
            <w:tblGrid>
              <w:gridCol w:w="1574"/>
              <w:gridCol w:w="7277"/>
            </w:tblGrid>
            <w:tr w:rsidR="00691ECA" w14:paraId="167B946F" w14:textId="77777777" w:rsidTr="00CA7D7E">
              <w:trPr>
                <w:trHeight w:val="340"/>
              </w:trPr>
              <w:tc>
                <w:tcPr>
                  <w:tcW w:w="1574" w:type="dxa"/>
                  <w:vAlign w:val="center"/>
                </w:tcPr>
                <w:p w14:paraId="6B013871" w14:textId="7A4285AF" w:rsidR="00691ECA" w:rsidRPr="009411A6" w:rsidRDefault="00973558" w:rsidP="009411A6">
                  <w:pPr>
                    <w:jc w:val="left"/>
                    <w:rPr>
                      <w:rFonts w:asciiTheme="minorHAnsi" w:hAnsiTheme="minorHAnsi"/>
                      <w:sz w:val="22"/>
                      <w:szCs w:val="22"/>
                      <w:lang w:eastAsia="cs-CZ"/>
                    </w:rPr>
                  </w:pPr>
                  <w:r w:rsidRPr="009411A6">
                    <w:rPr>
                      <w:rFonts w:asciiTheme="minorHAnsi" w:hAnsiTheme="minorHAnsi"/>
                      <w:sz w:val="22"/>
                      <w:szCs w:val="22"/>
                      <w:lang w:eastAsia="cs-CZ"/>
                    </w:rPr>
                    <w:t>AM AISG</w:t>
                  </w:r>
                </w:p>
              </w:tc>
              <w:tc>
                <w:tcPr>
                  <w:tcW w:w="7277" w:type="dxa"/>
                  <w:vAlign w:val="center"/>
                </w:tcPr>
                <w:p w14:paraId="28DF3832" w14:textId="0F960040" w:rsidR="00691ECA" w:rsidRPr="009411A6" w:rsidRDefault="00973558" w:rsidP="009411A6">
                  <w:pPr>
                    <w:jc w:val="left"/>
                    <w:rPr>
                      <w:rFonts w:asciiTheme="minorHAnsi" w:hAnsiTheme="minorHAnsi"/>
                      <w:sz w:val="22"/>
                      <w:szCs w:val="22"/>
                      <w:lang w:eastAsia="cs-CZ"/>
                    </w:rPr>
                  </w:pPr>
                  <w:r w:rsidRPr="009411A6">
                    <w:rPr>
                      <w:rFonts w:asciiTheme="minorHAnsi" w:hAnsiTheme="minorHAnsi"/>
                      <w:sz w:val="22"/>
                      <w:szCs w:val="22"/>
                      <w:lang w:eastAsia="cs-CZ"/>
                    </w:rPr>
                    <w:t>Analytický modul AISG</w:t>
                  </w:r>
                </w:p>
              </w:tc>
            </w:tr>
            <w:tr w:rsidR="00F92348" w14:paraId="6093F5F3" w14:textId="77777777" w:rsidTr="00CA7D7E">
              <w:trPr>
                <w:trHeight w:val="340"/>
              </w:trPr>
              <w:tc>
                <w:tcPr>
                  <w:tcW w:w="1574" w:type="dxa"/>
                  <w:vAlign w:val="center"/>
                </w:tcPr>
                <w:p w14:paraId="508AEFF1" w14:textId="62839138" w:rsidR="00F92348" w:rsidRPr="009411A6" w:rsidRDefault="00F92348" w:rsidP="009411A6">
                  <w:pPr>
                    <w:jc w:val="left"/>
                    <w:rPr>
                      <w:rFonts w:asciiTheme="minorHAnsi" w:hAnsiTheme="minorHAnsi"/>
                      <w:sz w:val="22"/>
                      <w:szCs w:val="22"/>
                      <w:lang w:eastAsia="cs-CZ"/>
                    </w:rPr>
                  </w:pPr>
                  <w:r w:rsidRPr="009411A6">
                    <w:rPr>
                      <w:rFonts w:asciiTheme="minorHAnsi" w:hAnsiTheme="minorHAnsi"/>
                      <w:sz w:val="22"/>
                      <w:szCs w:val="22"/>
                      <w:lang w:eastAsia="cs-CZ"/>
                    </w:rPr>
                    <w:t>AISG</w:t>
                  </w:r>
                </w:p>
              </w:tc>
              <w:tc>
                <w:tcPr>
                  <w:tcW w:w="7277" w:type="dxa"/>
                  <w:vAlign w:val="center"/>
                </w:tcPr>
                <w:p w14:paraId="7D23C6F1" w14:textId="14D77409" w:rsidR="00F92348" w:rsidRPr="009411A6" w:rsidRDefault="00F92348" w:rsidP="009411A6">
                  <w:pPr>
                    <w:jc w:val="left"/>
                    <w:rPr>
                      <w:rFonts w:asciiTheme="minorHAnsi" w:hAnsiTheme="minorHAnsi"/>
                      <w:sz w:val="22"/>
                      <w:szCs w:val="22"/>
                      <w:lang w:eastAsia="cs-CZ"/>
                    </w:rPr>
                  </w:pPr>
                  <w:r w:rsidRPr="009411A6">
                    <w:rPr>
                      <w:rFonts w:asciiTheme="minorHAnsi" w:hAnsiTheme="minorHAnsi"/>
                      <w:sz w:val="22"/>
                      <w:szCs w:val="22"/>
                      <w:lang w:eastAsia="cs-CZ"/>
                    </w:rPr>
                    <w:t>Informační systém provozování hazardních her</w:t>
                  </w:r>
                </w:p>
              </w:tc>
            </w:tr>
            <w:tr w:rsidR="00691ECA" w14:paraId="47382900" w14:textId="77777777" w:rsidTr="00CA7D7E">
              <w:trPr>
                <w:trHeight w:val="340"/>
              </w:trPr>
              <w:tc>
                <w:tcPr>
                  <w:tcW w:w="1574" w:type="dxa"/>
                  <w:vAlign w:val="center"/>
                </w:tcPr>
                <w:p w14:paraId="1DFA17A1" w14:textId="77777777" w:rsidR="00691ECA" w:rsidRPr="009411A6" w:rsidRDefault="00691ECA" w:rsidP="009411A6">
                  <w:pPr>
                    <w:jc w:val="left"/>
                    <w:rPr>
                      <w:rFonts w:asciiTheme="minorHAnsi" w:hAnsiTheme="minorHAnsi"/>
                      <w:sz w:val="22"/>
                      <w:szCs w:val="22"/>
                      <w:lang w:eastAsia="cs-CZ"/>
                    </w:rPr>
                  </w:pPr>
                  <w:r w:rsidRPr="009411A6">
                    <w:rPr>
                      <w:rFonts w:asciiTheme="minorHAnsi" w:hAnsiTheme="minorHAnsi"/>
                      <w:sz w:val="22"/>
                      <w:szCs w:val="22"/>
                      <w:lang w:eastAsia="cs-CZ"/>
                    </w:rPr>
                    <w:t>CS ČR</w:t>
                  </w:r>
                </w:p>
              </w:tc>
              <w:tc>
                <w:tcPr>
                  <w:tcW w:w="7277" w:type="dxa"/>
                  <w:vAlign w:val="center"/>
                </w:tcPr>
                <w:p w14:paraId="1E6942E6" w14:textId="0185C0DE" w:rsidR="00691ECA" w:rsidRPr="009411A6" w:rsidRDefault="00691ECA" w:rsidP="009411A6">
                  <w:pPr>
                    <w:jc w:val="left"/>
                    <w:rPr>
                      <w:rFonts w:asciiTheme="minorHAnsi" w:hAnsiTheme="minorHAnsi"/>
                      <w:sz w:val="22"/>
                      <w:szCs w:val="22"/>
                      <w:lang w:eastAsia="cs-CZ"/>
                    </w:rPr>
                  </w:pPr>
                  <w:r w:rsidRPr="009411A6">
                    <w:rPr>
                      <w:rFonts w:asciiTheme="minorHAnsi" w:hAnsiTheme="minorHAnsi"/>
                      <w:sz w:val="22"/>
                      <w:szCs w:val="22"/>
                      <w:lang w:eastAsia="cs-CZ"/>
                    </w:rPr>
                    <w:t>Celní správa</w:t>
                  </w:r>
                  <w:r w:rsidR="005913D8" w:rsidRPr="009411A6">
                    <w:rPr>
                      <w:rFonts w:asciiTheme="minorHAnsi" w:hAnsiTheme="minorHAnsi"/>
                      <w:sz w:val="22"/>
                      <w:szCs w:val="22"/>
                      <w:lang w:eastAsia="cs-CZ"/>
                    </w:rPr>
                    <w:t xml:space="preserve"> Č</w:t>
                  </w:r>
                  <w:r w:rsidR="006445B9">
                    <w:rPr>
                      <w:rFonts w:asciiTheme="minorHAnsi" w:hAnsiTheme="minorHAnsi"/>
                      <w:sz w:val="22"/>
                      <w:szCs w:val="22"/>
                      <w:lang w:eastAsia="cs-CZ"/>
                    </w:rPr>
                    <w:t>eské republiky</w:t>
                  </w:r>
                </w:p>
              </w:tc>
            </w:tr>
            <w:tr w:rsidR="00973558" w14:paraId="2B98CF81" w14:textId="77777777" w:rsidTr="00CA7D7E">
              <w:trPr>
                <w:trHeight w:val="340"/>
              </w:trPr>
              <w:tc>
                <w:tcPr>
                  <w:tcW w:w="1574" w:type="dxa"/>
                  <w:vAlign w:val="center"/>
                </w:tcPr>
                <w:p w14:paraId="5089CEB9" w14:textId="72046FFF" w:rsidR="00973558" w:rsidRPr="009411A6" w:rsidRDefault="00973558" w:rsidP="009411A6">
                  <w:pPr>
                    <w:jc w:val="left"/>
                    <w:rPr>
                      <w:rFonts w:asciiTheme="minorHAnsi" w:hAnsiTheme="minorHAnsi"/>
                      <w:color w:val="auto"/>
                      <w:sz w:val="22"/>
                      <w:szCs w:val="22"/>
                      <w:lang w:eastAsia="cs-CZ"/>
                    </w:rPr>
                  </w:pPr>
                  <w:r w:rsidRPr="009411A6">
                    <w:rPr>
                      <w:rFonts w:asciiTheme="minorHAnsi" w:hAnsiTheme="minorHAnsi"/>
                      <w:color w:val="auto"/>
                      <w:sz w:val="22"/>
                      <w:szCs w:val="22"/>
                      <w:lang w:eastAsia="cs-CZ"/>
                    </w:rPr>
                    <w:t>DM AISG</w:t>
                  </w:r>
                </w:p>
              </w:tc>
              <w:tc>
                <w:tcPr>
                  <w:tcW w:w="7277" w:type="dxa"/>
                  <w:vAlign w:val="center"/>
                </w:tcPr>
                <w:p w14:paraId="51CC745C" w14:textId="17A38793" w:rsidR="00973558" w:rsidRPr="009411A6" w:rsidRDefault="00973558" w:rsidP="009411A6">
                  <w:pPr>
                    <w:jc w:val="left"/>
                    <w:rPr>
                      <w:rFonts w:asciiTheme="minorHAnsi" w:hAnsiTheme="minorHAnsi"/>
                      <w:color w:val="auto"/>
                      <w:sz w:val="22"/>
                      <w:szCs w:val="22"/>
                      <w:lang w:eastAsia="cs-CZ"/>
                    </w:rPr>
                  </w:pPr>
                  <w:r w:rsidRPr="009411A6">
                    <w:rPr>
                      <w:rFonts w:asciiTheme="minorHAnsi" w:hAnsiTheme="minorHAnsi"/>
                      <w:color w:val="auto"/>
                      <w:sz w:val="22"/>
                      <w:szCs w:val="22"/>
                      <w:lang w:eastAsia="cs-CZ"/>
                    </w:rPr>
                    <w:t>Dozorový modul AISG</w:t>
                  </w:r>
                </w:p>
              </w:tc>
            </w:tr>
            <w:tr w:rsidR="00FE165F" w14:paraId="652A9756" w14:textId="77777777" w:rsidTr="00CA7D7E">
              <w:trPr>
                <w:trHeight w:val="340"/>
              </w:trPr>
              <w:tc>
                <w:tcPr>
                  <w:tcW w:w="1574" w:type="dxa"/>
                  <w:vAlign w:val="center"/>
                </w:tcPr>
                <w:p w14:paraId="213C6B5B" w14:textId="43DD5367" w:rsidR="00FE165F" w:rsidRPr="009411A6" w:rsidRDefault="00FE165F" w:rsidP="009411A6">
                  <w:pPr>
                    <w:jc w:val="left"/>
                    <w:rPr>
                      <w:rFonts w:asciiTheme="minorHAnsi" w:hAnsiTheme="minorHAnsi"/>
                      <w:color w:val="auto"/>
                      <w:sz w:val="22"/>
                      <w:szCs w:val="22"/>
                      <w:lang w:eastAsia="cs-CZ"/>
                    </w:rPr>
                  </w:pPr>
                  <w:r>
                    <w:rPr>
                      <w:rFonts w:asciiTheme="minorHAnsi" w:hAnsiTheme="minorHAnsi"/>
                      <w:color w:val="auto"/>
                      <w:sz w:val="22"/>
                      <w:szCs w:val="22"/>
                      <w:lang w:eastAsia="cs-CZ"/>
                    </w:rPr>
                    <w:t>DPH</w:t>
                  </w:r>
                </w:p>
              </w:tc>
              <w:tc>
                <w:tcPr>
                  <w:tcW w:w="7277" w:type="dxa"/>
                  <w:vAlign w:val="center"/>
                </w:tcPr>
                <w:p w14:paraId="25EF3756" w14:textId="4449EE4B" w:rsidR="00FE165F" w:rsidRPr="009411A6" w:rsidRDefault="00FE165F" w:rsidP="009411A6">
                  <w:pPr>
                    <w:jc w:val="left"/>
                    <w:rPr>
                      <w:rFonts w:asciiTheme="minorHAnsi" w:hAnsiTheme="minorHAnsi"/>
                      <w:color w:val="auto"/>
                      <w:sz w:val="22"/>
                      <w:szCs w:val="22"/>
                      <w:lang w:eastAsia="cs-CZ"/>
                    </w:rPr>
                  </w:pPr>
                  <w:r>
                    <w:rPr>
                      <w:rFonts w:asciiTheme="minorHAnsi" w:hAnsiTheme="minorHAnsi"/>
                      <w:color w:val="auto"/>
                      <w:sz w:val="22"/>
                      <w:szCs w:val="22"/>
                      <w:lang w:eastAsia="cs-CZ"/>
                    </w:rPr>
                    <w:t>Daň z přidané hodnoty</w:t>
                  </w:r>
                </w:p>
              </w:tc>
            </w:tr>
            <w:tr w:rsidR="00DB5F46" w14:paraId="363F7B6D" w14:textId="77777777" w:rsidTr="00CA7D7E">
              <w:trPr>
                <w:trHeight w:val="340"/>
              </w:trPr>
              <w:tc>
                <w:tcPr>
                  <w:tcW w:w="1574" w:type="dxa"/>
                  <w:vAlign w:val="center"/>
                </w:tcPr>
                <w:p w14:paraId="43475A0A" w14:textId="0047AF2E" w:rsidR="00DB5F46" w:rsidRPr="009411A6" w:rsidRDefault="00DB5F46" w:rsidP="009411A6">
                  <w:pPr>
                    <w:jc w:val="left"/>
                    <w:rPr>
                      <w:rFonts w:asciiTheme="minorHAnsi" w:hAnsiTheme="minorHAnsi"/>
                      <w:color w:val="auto"/>
                      <w:sz w:val="22"/>
                      <w:szCs w:val="22"/>
                      <w:lang w:eastAsia="cs-CZ"/>
                    </w:rPr>
                  </w:pPr>
                  <w:r w:rsidRPr="009411A6">
                    <w:rPr>
                      <w:rFonts w:asciiTheme="minorHAnsi" w:hAnsiTheme="minorHAnsi"/>
                      <w:color w:val="auto"/>
                      <w:sz w:val="22"/>
                      <w:szCs w:val="22"/>
                      <w:lang w:eastAsia="cs-CZ"/>
                    </w:rPr>
                    <w:t>DŘ</w:t>
                  </w:r>
                </w:p>
              </w:tc>
              <w:tc>
                <w:tcPr>
                  <w:tcW w:w="7277" w:type="dxa"/>
                  <w:vAlign w:val="center"/>
                </w:tcPr>
                <w:p w14:paraId="23560661" w14:textId="28749164" w:rsidR="00DB5F46" w:rsidRPr="009411A6" w:rsidRDefault="004F07F6" w:rsidP="009411A6">
                  <w:pPr>
                    <w:jc w:val="left"/>
                    <w:rPr>
                      <w:rFonts w:asciiTheme="minorHAnsi" w:hAnsiTheme="minorHAnsi"/>
                      <w:color w:val="auto"/>
                      <w:sz w:val="22"/>
                      <w:szCs w:val="22"/>
                      <w:lang w:eastAsia="cs-CZ"/>
                    </w:rPr>
                  </w:pPr>
                  <w:r w:rsidRPr="009411A6">
                    <w:rPr>
                      <w:rFonts w:asciiTheme="minorHAnsi" w:hAnsiTheme="minorHAnsi"/>
                      <w:color w:val="auto"/>
                      <w:sz w:val="22"/>
                      <w:szCs w:val="22"/>
                      <w:lang w:eastAsia="cs-CZ"/>
                    </w:rPr>
                    <w:t>Zákon č. 280/2009 Sb., daňový řád</w:t>
                  </w:r>
                </w:p>
              </w:tc>
            </w:tr>
            <w:tr w:rsidR="00973558" w14:paraId="56D8EE36" w14:textId="77777777" w:rsidTr="00CA7D7E">
              <w:trPr>
                <w:trHeight w:val="340"/>
              </w:trPr>
              <w:tc>
                <w:tcPr>
                  <w:tcW w:w="1574" w:type="dxa"/>
                  <w:vAlign w:val="center"/>
                </w:tcPr>
                <w:p w14:paraId="205D58CA" w14:textId="77777777" w:rsidR="00973558" w:rsidRPr="009411A6" w:rsidRDefault="00973558" w:rsidP="009411A6">
                  <w:pPr>
                    <w:jc w:val="left"/>
                    <w:rPr>
                      <w:rFonts w:asciiTheme="minorHAnsi" w:hAnsiTheme="minorHAnsi"/>
                      <w:color w:val="auto"/>
                      <w:sz w:val="22"/>
                      <w:szCs w:val="22"/>
                      <w:lang w:eastAsia="cs-CZ"/>
                    </w:rPr>
                  </w:pPr>
                  <w:r w:rsidRPr="009411A6">
                    <w:rPr>
                      <w:rFonts w:asciiTheme="minorHAnsi" w:hAnsiTheme="minorHAnsi"/>
                      <w:color w:val="auto"/>
                      <w:sz w:val="22"/>
                      <w:szCs w:val="22"/>
                      <w:lang w:eastAsia="cs-CZ"/>
                    </w:rPr>
                    <w:t>GFŘ</w:t>
                  </w:r>
                </w:p>
              </w:tc>
              <w:tc>
                <w:tcPr>
                  <w:tcW w:w="7277" w:type="dxa"/>
                  <w:vAlign w:val="center"/>
                </w:tcPr>
                <w:p w14:paraId="3823F774" w14:textId="77777777" w:rsidR="00973558" w:rsidRPr="009411A6" w:rsidRDefault="00973558" w:rsidP="009411A6">
                  <w:pPr>
                    <w:jc w:val="left"/>
                    <w:rPr>
                      <w:rFonts w:asciiTheme="minorHAnsi" w:hAnsiTheme="minorHAnsi"/>
                      <w:color w:val="auto"/>
                      <w:sz w:val="22"/>
                      <w:szCs w:val="22"/>
                      <w:lang w:eastAsia="cs-CZ"/>
                    </w:rPr>
                  </w:pPr>
                  <w:r w:rsidRPr="009411A6">
                    <w:rPr>
                      <w:rFonts w:asciiTheme="minorHAnsi" w:hAnsiTheme="minorHAnsi"/>
                      <w:color w:val="auto"/>
                      <w:sz w:val="22"/>
                      <w:szCs w:val="22"/>
                      <w:lang w:eastAsia="cs-CZ"/>
                    </w:rPr>
                    <w:t>Generální finanční ředitelství</w:t>
                  </w:r>
                </w:p>
              </w:tc>
            </w:tr>
            <w:tr w:rsidR="00973558" w14:paraId="5C5E7EC7" w14:textId="77777777" w:rsidTr="00CA7D7E">
              <w:trPr>
                <w:trHeight w:val="340"/>
              </w:trPr>
              <w:tc>
                <w:tcPr>
                  <w:tcW w:w="1574" w:type="dxa"/>
                  <w:vAlign w:val="center"/>
                </w:tcPr>
                <w:p w14:paraId="5B377BFC" w14:textId="77777777" w:rsidR="00973558" w:rsidRPr="009411A6" w:rsidRDefault="00973558" w:rsidP="009411A6">
                  <w:pPr>
                    <w:jc w:val="left"/>
                    <w:rPr>
                      <w:rFonts w:asciiTheme="minorHAnsi" w:hAnsiTheme="minorHAnsi"/>
                      <w:color w:val="auto"/>
                      <w:sz w:val="22"/>
                      <w:szCs w:val="22"/>
                      <w:lang w:eastAsia="cs-CZ"/>
                    </w:rPr>
                  </w:pPr>
                  <w:r w:rsidRPr="009411A6">
                    <w:rPr>
                      <w:rFonts w:asciiTheme="minorHAnsi" w:hAnsiTheme="minorHAnsi"/>
                      <w:color w:val="auto"/>
                      <w:sz w:val="22"/>
                      <w:szCs w:val="22"/>
                      <w:lang w:eastAsia="cs-CZ"/>
                    </w:rPr>
                    <w:t>GŘC</w:t>
                  </w:r>
                </w:p>
              </w:tc>
              <w:tc>
                <w:tcPr>
                  <w:tcW w:w="7277" w:type="dxa"/>
                  <w:vAlign w:val="center"/>
                </w:tcPr>
                <w:p w14:paraId="7A9C61BD" w14:textId="77777777" w:rsidR="00973558" w:rsidRPr="009411A6" w:rsidRDefault="00973558" w:rsidP="009411A6">
                  <w:pPr>
                    <w:jc w:val="left"/>
                    <w:rPr>
                      <w:rFonts w:asciiTheme="minorHAnsi" w:hAnsiTheme="minorHAnsi"/>
                      <w:color w:val="auto"/>
                      <w:sz w:val="22"/>
                      <w:szCs w:val="22"/>
                      <w:lang w:eastAsia="cs-CZ"/>
                    </w:rPr>
                  </w:pPr>
                  <w:r w:rsidRPr="009411A6">
                    <w:rPr>
                      <w:rFonts w:asciiTheme="minorHAnsi" w:hAnsiTheme="minorHAnsi"/>
                      <w:color w:val="auto"/>
                      <w:sz w:val="22"/>
                      <w:szCs w:val="22"/>
                      <w:lang w:eastAsia="cs-CZ"/>
                    </w:rPr>
                    <w:t>Generální ředitelství cel</w:t>
                  </w:r>
                </w:p>
              </w:tc>
            </w:tr>
            <w:tr w:rsidR="003B2EF4" w14:paraId="4F5034DE" w14:textId="77777777" w:rsidTr="00CA7D7E">
              <w:trPr>
                <w:trHeight w:val="340"/>
              </w:trPr>
              <w:tc>
                <w:tcPr>
                  <w:tcW w:w="1574" w:type="dxa"/>
                  <w:vAlign w:val="center"/>
                </w:tcPr>
                <w:p w14:paraId="68B7FD8C" w14:textId="76B68D76" w:rsidR="003B2EF4" w:rsidRPr="009411A6" w:rsidRDefault="003B2EF4" w:rsidP="009411A6">
                  <w:pPr>
                    <w:jc w:val="left"/>
                    <w:rPr>
                      <w:rFonts w:asciiTheme="minorHAnsi" w:hAnsiTheme="minorHAnsi"/>
                      <w:sz w:val="22"/>
                      <w:szCs w:val="22"/>
                      <w:lang w:eastAsia="cs-CZ"/>
                    </w:rPr>
                  </w:pPr>
                  <w:r w:rsidRPr="009411A6">
                    <w:rPr>
                      <w:rFonts w:asciiTheme="minorHAnsi" w:hAnsiTheme="minorHAnsi"/>
                      <w:sz w:val="22"/>
                      <w:szCs w:val="22"/>
                      <w:lang w:eastAsia="cs-CZ"/>
                    </w:rPr>
                    <w:t>IS</w:t>
                  </w:r>
                </w:p>
              </w:tc>
              <w:tc>
                <w:tcPr>
                  <w:tcW w:w="7277" w:type="dxa"/>
                  <w:vAlign w:val="center"/>
                </w:tcPr>
                <w:p w14:paraId="7586CC15" w14:textId="73963123" w:rsidR="003B2EF4" w:rsidRPr="009411A6" w:rsidRDefault="003B2EF4" w:rsidP="009411A6">
                  <w:pPr>
                    <w:jc w:val="left"/>
                    <w:rPr>
                      <w:rFonts w:asciiTheme="minorHAnsi" w:hAnsiTheme="minorHAnsi"/>
                      <w:sz w:val="22"/>
                      <w:szCs w:val="22"/>
                      <w:lang w:eastAsia="cs-CZ"/>
                    </w:rPr>
                  </w:pPr>
                  <w:r w:rsidRPr="009411A6">
                    <w:rPr>
                      <w:rFonts w:asciiTheme="minorHAnsi" w:hAnsiTheme="minorHAnsi"/>
                      <w:sz w:val="22"/>
                      <w:szCs w:val="22"/>
                      <w:lang w:eastAsia="cs-CZ"/>
                    </w:rPr>
                    <w:t xml:space="preserve">Informační systém </w:t>
                  </w:r>
                </w:p>
              </w:tc>
            </w:tr>
            <w:tr w:rsidR="00A24D34" w14:paraId="7E1DA691" w14:textId="77777777" w:rsidTr="00CA7D7E">
              <w:trPr>
                <w:trHeight w:val="340"/>
              </w:trPr>
              <w:tc>
                <w:tcPr>
                  <w:tcW w:w="1574" w:type="dxa"/>
                  <w:vAlign w:val="center"/>
                </w:tcPr>
                <w:p w14:paraId="0F25B9C4" w14:textId="348B8D35" w:rsidR="00A24D34" w:rsidRPr="009411A6" w:rsidRDefault="00A24D34" w:rsidP="009411A6">
                  <w:pPr>
                    <w:jc w:val="left"/>
                    <w:rPr>
                      <w:rFonts w:asciiTheme="minorHAnsi" w:hAnsiTheme="minorHAnsi"/>
                      <w:sz w:val="22"/>
                      <w:szCs w:val="22"/>
                      <w:lang w:eastAsia="cs-CZ"/>
                    </w:rPr>
                  </w:pPr>
                  <w:r w:rsidRPr="009411A6">
                    <w:rPr>
                      <w:rFonts w:asciiTheme="minorHAnsi" w:hAnsiTheme="minorHAnsi"/>
                      <w:sz w:val="22"/>
                      <w:szCs w:val="22"/>
                      <w:lang w:eastAsia="cs-CZ"/>
                    </w:rPr>
                    <w:t>IS SDSL</w:t>
                  </w:r>
                </w:p>
              </w:tc>
              <w:tc>
                <w:tcPr>
                  <w:tcW w:w="7277" w:type="dxa"/>
                  <w:vAlign w:val="center"/>
                </w:tcPr>
                <w:p w14:paraId="35544D13" w14:textId="7BB4F3B0" w:rsidR="00A24D34" w:rsidRPr="009411A6" w:rsidRDefault="00A24D34" w:rsidP="009411A6">
                  <w:pPr>
                    <w:jc w:val="left"/>
                    <w:rPr>
                      <w:rFonts w:asciiTheme="minorHAnsi" w:hAnsiTheme="minorHAnsi"/>
                      <w:sz w:val="22"/>
                      <w:szCs w:val="22"/>
                      <w:lang w:eastAsia="cs-CZ"/>
                    </w:rPr>
                  </w:pPr>
                  <w:r w:rsidRPr="009411A6">
                    <w:rPr>
                      <w:rFonts w:asciiTheme="minorHAnsi" w:hAnsiTheme="minorHAnsi"/>
                      <w:sz w:val="22"/>
                      <w:szCs w:val="22"/>
                      <w:lang w:eastAsia="cs-CZ"/>
                    </w:rPr>
                    <w:t xml:space="preserve">Informační systém </w:t>
                  </w:r>
                  <w:r w:rsidRPr="00247CAB">
                    <w:rPr>
                      <w:rFonts w:asciiTheme="minorHAnsi" w:hAnsiTheme="minorHAnsi"/>
                      <w:i/>
                      <w:sz w:val="22"/>
                      <w:szCs w:val="22"/>
                      <w:lang w:eastAsia="cs-CZ"/>
                    </w:rPr>
                    <w:t>Státní dozor nad sázkami a loteriemi</w:t>
                  </w:r>
                </w:p>
              </w:tc>
            </w:tr>
            <w:tr w:rsidR="00FE165F" w14:paraId="5374F1B6" w14:textId="77777777" w:rsidTr="00CA7D7E">
              <w:trPr>
                <w:trHeight w:val="340"/>
              </w:trPr>
              <w:tc>
                <w:tcPr>
                  <w:tcW w:w="1574" w:type="dxa"/>
                  <w:vAlign w:val="center"/>
                </w:tcPr>
                <w:p w14:paraId="2C478335" w14:textId="196AA130" w:rsidR="00FE165F" w:rsidRPr="009411A6" w:rsidRDefault="00FE165F" w:rsidP="009411A6">
                  <w:pPr>
                    <w:jc w:val="left"/>
                    <w:rPr>
                      <w:rFonts w:asciiTheme="minorHAnsi" w:hAnsiTheme="minorHAnsi"/>
                      <w:sz w:val="22"/>
                      <w:szCs w:val="22"/>
                      <w:lang w:eastAsia="cs-CZ"/>
                    </w:rPr>
                  </w:pPr>
                  <w:r>
                    <w:rPr>
                      <w:rFonts w:asciiTheme="minorHAnsi" w:hAnsiTheme="minorHAnsi"/>
                      <w:sz w:val="22"/>
                      <w:szCs w:val="22"/>
                      <w:lang w:eastAsia="cs-CZ"/>
                    </w:rPr>
                    <w:t>KA</w:t>
                  </w:r>
                </w:p>
              </w:tc>
              <w:tc>
                <w:tcPr>
                  <w:tcW w:w="7277" w:type="dxa"/>
                  <w:vAlign w:val="center"/>
                </w:tcPr>
                <w:p w14:paraId="4E815A60" w14:textId="4BF9819F" w:rsidR="00FE165F" w:rsidRPr="009411A6" w:rsidRDefault="00FE165F" w:rsidP="009411A6">
                  <w:pPr>
                    <w:jc w:val="left"/>
                    <w:rPr>
                      <w:rFonts w:asciiTheme="minorHAnsi" w:hAnsiTheme="minorHAnsi"/>
                      <w:sz w:val="22"/>
                      <w:szCs w:val="22"/>
                      <w:lang w:eastAsia="cs-CZ"/>
                    </w:rPr>
                  </w:pPr>
                  <w:r>
                    <w:rPr>
                      <w:rFonts w:asciiTheme="minorHAnsi" w:hAnsiTheme="minorHAnsi"/>
                      <w:sz w:val="22"/>
                      <w:szCs w:val="22"/>
                      <w:lang w:eastAsia="cs-CZ"/>
                    </w:rPr>
                    <w:t>Kontrolní akce Nejvyššího kontrolního úřadu</w:t>
                  </w:r>
                </w:p>
              </w:tc>
            </w:tr>
            <w:tr w:rsidR="00973558" w14:paraId="09AEC485" w14:textId="77777777" w:rsidTr="00CA7D7E">
              <w:trPr>
                <w:trHeight w:val="340"/>
              </w:trPr>
              <w:tc>
                <w:tcPr>
                  <w:tcW w:w="1574" w:type="dxa"/>
                  <w:vAlign w:val="center"/>
                </w:tcPr>
                <w:p w14:paraId="53962D32" w14:textId="77777777" w:rsidR="00973558" w:rsidRPr="009411A6" w:rsidRDefault="00973558" w:rsidP="009411A6">
                  <w:pPr>
                    <w:jc w:val="left"/>
                    <w:rPr>
                      <w:rFonts w:asciiTheme="minorHAnsi" w:hAnsiTheme="minorHAnsi"/>
                      <w:sz w:val="22"/>
                      <w:szCs w:val="22"/>
                      <w:lang w:eastAsia="cs-CZ"/>
                    </w:rPr>
                  </w:pPr>
                  <w:r w:rsidRPr="009411A6">
                    <w:rPr>
                      <w:rFonts w:asciiTheme="minorHAnsi" w:hAnsiTheme="minorHAnsi"/>
                      <w:sz w:val="22"/>
                      <w:szCs w:val="22"/>
                      <w:lang w:eastAsia="cs-CZ"/>
                    </w:rPr>
                    <w:t>MF</w:t>
                  </w:r>
                </w:p>
              </w:tc>
              <w:tc>
                <w:tcPr>
                  <w:tcW w:w="7277" w:type="dxa"/>
                  <w:vAlign w:val="center"/>
                </w:tcPr>
                <w:p w14:paraId="4350B14E" w14:textId="77777777" w:rsidR="00973558" w:rsidRPr="009411A6" w:rsidRDefault="00973558" w:rsidP="009411A6">
                  <w:pPr>
                    <w:jc w:val="left"/>
                    <w:rPr>
                      <w:rFonts w:asciiTheme="minorHAnsi" w:hAnsiTheme="minorHAnsi"/>
                      <w:sz w:val="22"/>
                      <w:szCs w:val="22"/>
                      <w:lang w:eastAsia="cs-CZ"/>
                    </w:rPr>
                  </w:pPr>
                  <w:r w:rsidRPr="009411A6">
                    <w:rPr>
                      <w:rFonts w:asciiTheme="minorHAnsi" w:hAnsiTheme="minorHAnsi"/>
                      <w:sz w:val="22"/>
                      <w:szCs w:val="22"/>
                      <w:lang w:eastAsia="cs-CZ"/>
                    </w:rPr>
                    <w:t>Ministerstvo financí</w:t>
                  </w:r>
                </w:p>
              </w:tc>
            </w:tr>
            <w:tr w:rsidR="00973558" w14:paraId="5F8F94FD" w14:textId="77777777" w:rsidTr="00CA7D7E">
              <w:trPr>
                <w:trHeight w:val="340"/>
              </w:trPr>
              <w:tc>
                <w:tcPr>
                  <w:tcW w:w="1574" w:type="dxa"/>
                  <w:vAlign w:val="center"/>
                </w:tcPr>
                <w:p w14:paraId="10B5EB3A" w14:textId="77777777" w:rsidR="00973558" w:rsidRPr="009411A6" w:rsidRDefault="00973558" w:rsidP="009411A6">
                  <w:pPr>
                    <w:jc w:val="left"/>
                    <w:rPr>
                      <w:rFonts w:asciiTheme="minorHAnsi" w:hAnsiTheme="minorHAnsi"/>
                      <w:sz w:val="22"/>
                      <w:szCs w:val="22"/>
                      <w:lang w:eastAsia="cs-CZ"/>
                    </w:rPr>
                  </w:pPr>
                  <w:r w:rsidRPr="009411A6">
                    <w:rPr>
                      <w:rFonts w:asciiTheme="minorHAnsi" w:hAnsiTheme="minorHAnsi"/>
                      <w:sz w:val="22"/>
                      <w:szCs w:val="22"/>
                      <w:lang w:eastAsia="cs-CZ"/>
                    </w:rPr>
                    <w:t>NKÚ</w:t>
                  </w:r>
                </w:p>
              </w:tc>
              <w:tc>
                <w:tcPr>
                  <w:tcW w:w="7277" w:type="dxa"/>
                  <w:vAlign w:val="center"/>
                </w:tcPr>
                <w:p w14:paraId="2E0DB96F" w14:textId="77777777" w:rsidR="00973558" w:rsidRPr="009411A6" w:rsidRDefault="00973558" w:rsidP="009411A6">
                  <w:pPr>
                    <w:jc w:val="left"/>
                    <w:rPr>
                      <w:rFonts w:asciiTheme="minorHAnsi" w:hAnsiTheme="minorHAnsi"/>
                      <w:sz w:val="22"/>
                      <w:szCs w:val="22"/>
                      <w:lang w:eastAsia="cs-CZ"/>
                    </w:rPr>
                  </w:pPr>
                  <w:r w:rsidRPr="009411A6">
                    <w:rPr>
                      <w:rFonts w:asciiTheme="minorHAnsi" w:hAnsiTheme="minorHAnsi"/>
                      <w:sz w:val="22"/>
                      <w:szCs w:val="22"/>
                      <w:lang w:eastAsia="cs-CZ"/>
                    </w:rPr>
                    <w:t>Nejvyšší kontrolní úřad</w:t>
                  </w:r>
                </w:p>
              </w:tc>
            </w:tr>
            <w:tr w:rsidR="00D965CD" w14:paraId="506F53C9" w14:textId="77777777" w:rsidTr="00CA7D7E">
              <w:trPr>
                <w:trHeight w:val="340"/>
              </w:trPr>
              <w:tc>
                <w:tcPr>
                  <w:tcW w:w="1574" w:type="dxa"/>
                  <w:vAlign w:val="center"/>
                </w:tcPr>
                <w:p w14:paraId="1DAF57C0" w14:textId="357071CF" w:rsidR="00D965CD" w:rsidRPr="009411A6" w:rsidRDefault="00D965CD" w:rsidP="009411A6">
                  <w:pPr>
                    <w:jc w:val="left"/>
                    <w:rPr>
                      <w:rFonts w:asciiTheme="minorHAnsi" w:hAnsiTheme="minorHAnsi"/>
                      <w:sz w:val="22"/>
                      <w:szCs w:val="22"/>
                      <w:lang w:eastAsia="cs-CZ"/>
                    </w:rPr>
                  </w:pPr>
                  <w:r w:rsidRPr="009411A6">
                    <w:rPr>
                      <w:rFonts w:asciiTheme="minorHAnsi" w:hAnsiTheme="minorHAnsi"/>
                      <w:sz w:val="22"/>
                      <w:szCs w:val="22"/>
                      <w:lang w:eastAsia="cs-CZ"/>
                    </w:rPr>
                    <w:t>Provozovatel/é</w:t>
                  </w:r>
                </w:p>
              </w:tc>
              <w:tc>
                <w:tcPr>
                  <w:tcW w:w="7277" w:type="dxa"/>
                  <w:vAlign w:val="center"/>
                </w:tcPr>
                <w:p w14:paraId="6AC631BF" w14:textId="74526C44" w:rsidR="00D965CD" w:rsidRPr="009411A6" w:rsidRDefault="00D965CD" w:rsidP="009411A6">
                  <w:pPr>
                    <w:jc w:val="left"/>
                    <w:rPr>
                      <w:rFonts w:asciiTheme="minorHAnsi" w:hAnsiTheme="minorHAnsi"/>
                      <w:sz w:val="22"/>
                      <w:szCs w:val="22"/>
                      <w:lang w:eastAsia="cs-CZ"/>
                    </w:rPr>
                  </w:pPr>
                  <w:r w:rsidRPr="009411A6">
                    <w:rPr>
                      <w:rFonts w:asciiTheme="minorHAnsi" w:hAnsiTheme="minorHAnsi"/>
                      <w:sz w:val="22"/>
                      <w:szCs w:val="22"/>
                      <w:lang w:eastAsia="cs-CZ"/>
                    </w:rPr>
                    <w:t>Provozovatel/é hazardních her</w:t>
                  </w:r>
                </w:p>
              </w:tc>
            </w:tr>
            <w:tr w:rsidR="00E970E7" w14:paraId="5AE253E3" w14:textId="77777777" w:rsidTr="00CA7D7E">
              <w:trPr>
                <w:trHeight w:val="340"/>
              </w:trPr>
              <w:tc>
                <w:tcPr>
                  <w:tcW w:w="1574" w:type="dxa"/>
                  <w:vAlign w:val="center"/>
                </w:tcPr>
                <w:p w14:paraId="61D513E8" w14:textId="2FCBDC34" w:rsidR="00E970E7" w:rsidRPr="009411A6" w:rsidRDefault="00E970E7" w:rsidP="009411A6">
                  <w:pPr>
                    <w:jc w:val="left"/>
                    <w:rPr>
                      <w:rFonts w:asciiTheme="minorHAnsi" w:hAnsiTheme="minorHAnsi"/>
                      <w:sz w:val="22"/>
                      <w:szCs w:val="22"/>
                      <w:lang w:eastAsia="cs-CZ"/>
                    </w:rPr>
                  </w:pPr>
                  <w:r w:rsidRPr="009411A6">
                    <w:rPr>
                      <w:rFonts w:asciiTheme="minorHAnsi" w:hAnsiTheme="minorHAnsi"/>
                      <w:sz w:val="22"/>
                      <w:szCs w:val="22"/>
                      <w:lang w:eastAsia="cs-CZ"/>
                    </w:rPr>
                    <w:t>RVO</w:t>
                  </w:r>
                </w:p>
              </w:tc>
              <w:tc>
                <w:tcPr>
                  <w:tcW w:w="7277" w:type="dxa"/>
                  <w:vAlign w:val="center"/>
                </w:tcPr>
                <w:p w14:paraId="466990BC" w14:textId="67F59531" w:rsidR="00E970E7" w:rsidRPr="009411A6" w:rsidRDefault="00E970E7" w:rsidP="009411A6">
                  <w:pPr>
                    <w:jc w:val="left"/>
                    <w:rPr>
                      <w:rFonts w:asciiTheme="minorHAnsi" w:hAnsiTheme="minorHAnsi"/>
                      <w:sz w:val="22"/>
                      <w:szCs w:val="22"/>
                      <w:lang w:eastAsia="cs-CZ"/>
                    </w:rPr>
                  </w:pPr>
                  <w:r w:rsidRPr="009411A6">
                    <w:rPr>
                      <w:rFonts w:asciiTheme="minorHAnsi" w:hAnsiTheme="minorHAnsi"/>
                      <w:sz w:val="22"/>
                      <w:szCs w:val="22"/>
                      <w:lang w:eastAsia="cs-CZ"/>
                    </w:rPr>
                    <w:t>Rejstřík fyzických osob vyloučených z účasti na hazardních hrách</w:t>
                  </w:r>
                </w:p>
              </w:tc>
            </w:tr>
            <w:tr w:rsidR="00BF1C96" w14:paraId="78781864" w14:textId="77777777" w:rsidTr="00CA7D7E">
              <w:trPr>
                <w:trHeight w:val="340"/>
              </w:trPr>
              <w:tc>
                <w:tcPr>
                  <w:tcW w:w="1574" w:type="dxa"/>
                  <w:vAlign w:val="center"/>
                </w:tcPr>
                <w:p w14:paraId="24D1A431" w14:textId="60108075" w:rsidR="00BF1C96" w:rsidRPr="009411A6" w:rsidRDefault="00BF1C96" w:rsidP="009411A6">
                  <w:pPr>
                    <w:jc w:val="left"/>
                    <w:rPr>
                      <w:rFonts w:asciiTheme="minorHAnsi" w:hAnsiTheme="minorHAnsi"/>
                      <w:sz w:val="22"/>
                      <w:szCs w:val="22"/>
                      <w:lang w:eastAsia="cs-CZ"/>
                    </w:rPr>
                  </w:pPr>
                  <w:r w:rsidRPr="009411A6">
                    <w:rPr>
                      <w:rFonts w:asciiTheme="minorHAnsi" w:hAnsiTheme="minorHAnsi"/>
                      <w:sz w:val="22"/>
                      <w:szCs w:val="22"/>
                      <w:lang w:eastAsia="cs-CZ"/>
                    </w:rPr>
                    <w:t>SFÚ</w:t>
                  </w:r>
                </w:p>
              </w:tc>
              <w:tc>
                <w:tcPr>
                  <w:tcW w:w="7277" w:type="dxa"/>
                  <w:vAlign w:val="center"/>
                </w:tcPr>
                <w:p w14:paraId="1994B1DD" w14:textId="076D0E28" w:rsidR="00BF1C96" w:rsidRPr="009411A6" w:rsidRDefault="00BF1C96" w:rsidP="009411A6">
                  <w:pPr>
                    <w:jc w:val="left"/>
                    <w:rPr>
                      <w:rFonts w:asciiTheme="minorHAnsi" w:hAnsiTheme="minorHAnsi"/>
                      <w:sz w:val="22"/>
                      <w:szCs w:val="22"/>
                      <w:lang w:eastAsia="cs-CZ"/>
                    </w:rPr>
                  </w:pPr>
                  <w:r w:rsidRPr="009411A6">
                    <w:rPr>
                      <w:rFonts w:asciiTheme="minorHAnsi" w:hAnsiTheme="minorHAnsi"/>
                      <w:sz w:val="22"/>
                      <w:szCs w:val="22"/>
                      <w:lang w:eastAsia="cs-CZ"/>
                    </w:rPr>
                    <w:t>Specializovaný finanční úřad</w:t>
                  </w:r>
                </w:p>
              </w:tc>
            </w:tr>
            <w:tr w:rsidR="00973558" w14:paraId="2599DF08" w14:textId="77777777" w:rsidTr="00CA7D7E">
              <w:trPr>
                <w:trHeight w:val="340"/>
              </w:trPr>
              <w:tc>
                <w:tcPr>
                  <w:tcW w:w="1574" w:type="dxa"/>
                  <w:vAlign w:val="center"/>
                </w:tcPr>
                <w:p w14:paraId="7910F956" w14:textId="17CCA7DD" w:rsidR="00973558" w:rsidRPr="009411A6" w:rsidRDefault="00973558" w:rsidP="009411A6">
                  <w:pPr>
                    <w:jc w:val="left"/>
                    <w:rPr>
                      <w:rFonts w:asciiTheme="minorHAnsi" w:hAnsiTheme="minorHAnsi"/>
                      <w:sz w:val="22"/>
                      <w:szCs w:val="22"/>
                      <w:lang w:eastAsia="cs-CZ"/>
                    </w:rPr>
                  </w:pPr>
                  <w:r w:rsidRPr="009411A6">
                    <w:rPr>
                      <w:rFonts w:asciiTheme="minorHAnsi" w:hAnsiTheme="minorHAnsi"/>
                      <w:sz w:val="22"/>
                      <w:szCs w:val="22"/>
                      <w:lang w:eastAsia="cs-CZ"/>
                    </w:rPr>
                    <w:t>SM AISG</w:t>
                  </w:r>
                </w:p>
              </w:tc>
              <w:tc>
                <w:tcPr>
                  <w:tcW w:w="7277" w:type="dxa"/>
                  <w:vAlign w:val="center"/>
                </w:tcPr>
                <w:p w14:paraId="1B3A45F1" w14:textId="31FF1523" w:rsidR="00973558" w:rsidRPr="009411A6" w:rsidRDefault="00973558" w:rsidP="009411A6">
                  <w:pPr>
                    <w:jc w:val="left"/>
                    <w:rPr>
                      <w:rFonts w:asciiTheme="minorHAnsi" w:hAnsiTheme="minorHAnsi"/>
                      <w:sz w:val="22"/>
                      <w:szCs w:val="22"/>
                      <w:lang w:eastAsia="cs-CZ"/>
                    </w:rPr>
                  </w:pPr>
                  <w:r w:rsidRPr="009411A6">
                    <w:rPr>
                      <w:rFonts w:asciiTheme="minorHAnsi" w:hAnsiTheme="minorHAnsi"/>
                      <w:sz w:val="22"/>
                      <w:szCs w:val="22"/>
                      <w:lang w:eastAsia="cs-CZ"/>
                    </w:rPr>
                    <w:t>Správní modul AISG</w:t>
                  </w:r>
                </w:p>
              </w:tc>
            </w:tr>
            <w:tr w:rsidR="00973558" w14:paraId="7D253B45" w14:textId="77777777" w:rsidTr="00CA7D7E">
              <w:trPr>
                <w:trHeight w:val="340"/>
              </w:trPr>
              <w:tc>
                <w:tcPr>
                  <w:tcW w:w="1574" w:type="dxa"/>
                  <w:vAlign w:val="center"/>
                </w:tcPr>
                <w:p w14:paraId="62EF853E" w14:textId="77777777" w:rsidR="00973558" w:rsidRPr="009411A6" w:rsidRDefault="00973558" w:rsidP="009411A6">
                  <w:pPr>
                    <w:jc w:val="left"/>
                    <w:rPr>
                      <w:rFonts w:asciiTheme="minorHAnsi" w:hAnsiTheme="minorHAnsi"/>
                      <w:sz w:val="22"/>
                      <w:szCs w:val="22"/>
                      <w:lang w:eastAsia="cs-CZ"/>
                    </w:rPr>
                  </w:pPr>
                  <w:r w:rsidRPr="009411A6">
                    <w:rPr>
                      <w:rFonts w:asciiTheme="minorHAnsi" w:hAnsiTheme="minorHAnsi"/>
                      <w:sz w:val="22"/>
                      <w:szCs w:val="22"/>
                      <w:lang w:eastAsia="cs-CZ"/>
                    </w:rPr>
                    <w:t>SPCSS</w:t>
                  </w:r>
                </w:p>
              </w:tc>
              <w:tc>
                <w:tcPr>
                  <w:tcW w:w="7277" w:type="dxa"/>
                  <w:vAlign w:val="center"/>
                </w:tcPr>
                <w:p w14:paraId="19D78C12" w14:textId="77777777" w:rsidR="00973558" w:rsidRPr="009411A6" w:rsidRDefault="00973558" w:rsidP="009411A6">
                  <w:pPr>
                    <w:jc w:val="left"/>
                    <w:rPr>
                      <w:rFonts w:asciiTheme="minorHAnsi" w:hAnsiTheme="minorHAnsi"/>
                      <w:sz w:val="22"/>
                      <w:szCs w:val="22"/>
                      <w:lang w:eastAsia="cs-CZ"/>
                    </w:rPr>
                  </w:pPr>
                  <w:r w:rsidRPr="009411A6">
                    <w:rPr>
                      <w:rFonts w:asciiTheme="minorHAnsi" w:hAnsiTheme="minorHAnsi"/>
                      <w:sz w:val="22"/>
                      <w:szCs w:val="22"/>
                      <w:lang w:eastAsia="cs-CZ"/>
                    </w:rPr>
                    <w:t>Státní pokladna Centrum sdílených služeb, s. p.</w:t>
                  </w:r>
                </w:p>
              </w:tc>
            </w:tr>
            <w:tr w:rsidR="00BF1C96" w14:paraId="70EA460E" w14:textId="77777777" w:rsidTr="00CA7D7E">
              <w:trPr>
                <w:trHeight w:val="340"/>
              </w:trPr>
              <w:tc>
                <w:tcPr>
                  <w:tcW w:w="1574" w:type="dxa"/>
                  <w:vAlign w:val="center"/>
                </w:tcPr>
                <w:p w14:paraId="05C26415" w14:textId="7302A7EE" w:rsidR="00BF1C96" w:rsidRPr="009411A6" w:rsidRDefault="00BF1C96" w:rsidP="009411A6">
                  <w:pPr>
                    <w:jc w:val="left"/>
                    <w:rPr>
                      <w:rFonts w:asciiTheme="minorHAnsi" w:hAnsiTheme="minorHAnsi"/>
                      <w:sz w:val="22"/>
                      <w:szCs w:val="22"/>
                      <w:lang w:eastAsia="cs-CZ"/>
                    </w:rPr>
                  </w:pPr>
                  <w:r w:rsidRPr="009411A6">
                    <w:rPr>
                      <w:rFonts w:asciiTheme="minorHAnsi" w:hAnsiTheme="minorHAnsi"/>
                      <w:sz w:val="22"/>
                      <w:szCs w:val="22"/>
                      <w:lang w:eastAsia="cs-CZ"/>
                    </w:rPr>
                    <w:t>VZ</w:t>
                  </w:r>
                </w:p>
              </w:tc>
              <w:tc>
                <w:tcPr>
                  <w:tcW w:w="7277" w:type="dxa"/>
                  <w:vAlign w:val="center"/>
                </w:tcPr>
                <w:p w14:paraId="0D8636A0" w14:textId="77D8C989" w:rsidR="00BF1C96" w:rsidRPr="009411A6" w:rsidRDefault="00BF1C96" w:rsidP="009411A6">
                  <w:pPr>
                    <w:jc w:val="left"/>
                    <w:rPr>
                      <w:rFonts w:asciiTheme="minorHAnsi" w:hAnsiTheme="minorHAnsi"/>
                      <w:sz w:val="22"/>
                      <w:szCs w:val="22"/>
                      <w:lang w:eastAsia="cs-CZ"/>
                    </w:rPr>
                  </w:pPr>
                  <w:r w:rsidRPr="009411A6">
                    <w:rPr>
                      <w:rFonts w:asciiTheme="minorHAnsi" w:hAnsiTheme="minorHAnsi"/>
                      <w:sz w:val="22"/>
                      <w:szCs w:val="22"/>
                      <w:lang w:eastAsia="cs-CZ"/>
                    </w:rPr>
                    <w:t>Veřejná zakázka</w:t>
                  </w:r>
                </w:p>
              </w:tc>
            </w:tr>
            <w:tr w:rsidR="00B91BA5" w14:paraId="36F4148F" w14:textId="77777777" w:rsidTr="00CA7D7E">
              <w:trPr>
                <w:trHeight w:val="340"/>
              </w:trPr>
              <w:tc>
                <w:tcPr>
                  <w:tcW w:w="1574" w:type="dxa"/>
                  <w:vAlign w:val="center"/>
                </w:tcPr>
                <w:p w14:paraId="1D8A2731" w14:textId="6F33E2AE" w:rsidR="00B91BA5" w:rsidRPr="009411A6" w:rsidRDefault="00B91BA5" w:rsidP="009411A6">
                  <w:pPr>
                    <w:jc w:val="left"/>
                    <w:rPr>
                      <w:rFonts w:asciiTheme="minorHAnsi" w:hAnsiTheme="minorHAnsi"/>
                      <w:sz w:val="22"/>
                      <w:szCs w:val="22"/>
                      <w:lang w:eastAsia="cs-CZ"/>
                    </w:rPr>
                  </w:pPr>
                  <w:r w:rsidRPr="009411A6">
                    <w:rPr>
                      <w:rFonts w:asciiTheme="minorHAnsi" w:hAnsiTheme="minorHAnsi"/>
                      <w:sz w:val="22"/>
                      <w:szCs w:val="22"/>
                      <w:lang w:eastAsia="cs-CZ"/>
                    </w:rPr>
                    <w:t>VZ AISG</w:t>
                  </w:r>
                </w:p>
              </w:tc>
              <w:tc>
                <w:tcPr>
                  <w:tcW w:w="7277" w:type="dxa"/>
                  <w:vAlign w:val="center"/>
                </w:tcPr>
                <w:p w14:paraId="580E482F" w14:textId="536959D5" w:rsidR="00B91BA5" w:rsidRPr="009411A6" w:rsidRDefault="00FE165F" w:rsidP="009411A6">
                  <w:pPr>
                    <w:jc w:val="left"/>
                    <w:rPr>
                      <w:rFonts w:asciiTheme="minorHAnsi" w:hAnsiTheme="minorHAnsi"/>
                      <w:sz w:val="22"/>
                      <w:szCs w:val="22"/>
                      <w:lang w:eastAsia="cs-CZ"/>
                    </w:rPr>
                  </w:pPr>
                  <w:r>
                    <w:rPr>
                      <w:rFonts w:asciiTheme="minorHAnsi" w:hAnsiTheme="minorHAnsi"/>
                      <w:sz w:val="22"/>
                      <w:szCs w:val="22"/>
                      <w:lang w:eastAsia="cs-CZ"/>
                    </w:rPr>
                    <w:t>Veřejná zakázka</w:t>
                  </w:r>
                  <w:r w:rsidR="00B91BA5" w:rsidRPr="009411A6">
                    <w:rPr>
                      <w:rFonts w:asciiTheme="minorHAnsi" w:hAnsiTheme="minorHAnsi"/>
                      <w:sz w:val="22"/>
                      <w:szCs w:val="22"/>
                      <w:lang w:eastAsia="cs-CZ"/>
                    </w:rPr>
                    <w:t xml:space="preserve"> </w:t>
                  </w:r>
                  <w:r w:rsidR="00B91BA5" w:rsidRPr="00247CAB">
                    <w:rPr>
                      <w:rFonts w:asciiTheme="minorHAnsi" w:hAnsiTheme="minorHAnsi"/>
                      <w:i/>
                      <w:sz w:val="22"/>
                      <w:szCs w:val="22"/>
                      <w:lang w:eastAsia="cs-CZ"/>
                    </w:rPr>
                    <w:t>Dodávka a implementace informačního systému pro dohled nad hazardními hrami</w:t>
                  </w:r>
                </w:p>
              </w:tc>
            </w:tr>
            <w:tr w:rsidR="001D5F48" w14:paraId="297EBAAE" w14:textId="77777777" w:rsidTr="00CA7D7E">
              <w:trPr>
                <w:trHeight w:val="340"/>
              </w:trPr>
              <w:tc>
                <w:tcPr>
                  <w:tcW w:w="1574" w:type="dxa"/>
                  <w:vAlign w:val="center"/>
                </w:tcPr>
                <w:p w14:paraId="3582ADEA" w14:textId="01B12D36" w:rsidR="001D5F48" w:rsidRPr="009411A6" w:rsidRDefault="001D5F48" w:rsidP="009411A6">
                  <w:pPr>
                    <w:jc w:val="left"/>
                    <w:rPr>
                      <w:rFonts w:asciiTheme="minorHAnsi" w:hAnsiTheme="minorHAnsi"/>
                      <w:sz w:val="22"/>
                      <w:szCs w:val="22"/>
                      <w:lang w:eastAsia="cs-CZ"/>
                    </w:rPr>
                  </w:pPr>
                  <w:r w:rsidRPr="009411A6">
                    <w:rPr>
                      <w:rFonts w:asciiTheme="minorHAnsi" w:hAnsiTheme="minorHAnsi"/>
                      <w:sz w:val="22"/>
                      <w:szCs w:val="22"/>
                      <w:lang w:eastAsia="cs-CZ"/>
                    </w:rPr>
                    <w:t>ZD</w:t>
                  </w:r>
                </w:p>
              </w:tc>
              <w:tc>
                <w:tcPr>
                  <w:tcW w:w="7277" w:type="dxa"/>
                  <w:vAlign w:val="center"/>
                </w:tcPr>
                <w:p w14:paraId="7156C98B" w14:textId="31551D9D" w:rsidR="001D5F48" w:rsidRPr="009411A6" w:rsidRDefault="001D5F48" w:rsidP="009411A6">
                  <w:pPr>
                    <w:jc w:val="left"/>
                    <w:rPr>
                      <w:rFonts w:asciiTheme="minorHAnsi" w:hAnsiTheme="minorHAnsi"/>
                      <w:sz w:val="22"/>
                      <w:szCs w:val="22"/>
                      <w:lang w:eastAsia="cs-CZ"/>
                    </w:rPr>
                  </w:pPr>
                  <w:r w:rsidRPr="009411A6">
                    <w:rPr>
                      <w:rFonts w:asciiTheme="minorHAnsi" w:hAnsiTheme="minorHAnsi"/>
                      <w:sz w:val="22"/>
                      <w:szCs w:val="22"/>
                      <w:lang w:eastAsia="cs-CZ"/>
                    </w:rPr>
                    <w:t>Zadávací dokumentace</w:t>
                  </w:r>
                </w:p>
              </w:tc>
            </w:tr>
            <w:tr w:rsidR="00931E79" w14:paraId="6F462B12" w14:textId="77777777" w:rsidTr="00CA7D7E">
              <w:trPr>
                <w:trHeight w:val="340"/>
              </w:trPr>
              <w:tc>
                <w:tcPr>
                  <w:tcW w:w="1574" w:type="dxa"/>
                  <w:vAlign w:val="center"/>
                </w:tcPr>
                <w:p w14:paraId="07D4E3AF" w14:textId="411F1751" w:rsidR="00931E79" w:rsidRPr="009411A6" w:rsidRDefault="00931E79" w:rsidP="009411A6">
                  <w:pPr>
                    <w:jc w:val="left"/>
                    <w:rPr>
                      <w:rFonts w:asciiTheme="minorHAnsi" w:hAnsiTheme="minorHAnsi"/>
                      <w:sz w:val="22"/>
                      <w:szCs w:val="22"/>
                      <w:lang w:eastAsia="cs-CZ"/>
                    </w:rPr>
                  </w:pPr>
                  <w:r w:rsidRPr="009411A6">
                    <w:rPr>
                      <w:rFonts w:asciiTheme="minorHAnsi" w:hAnsiTheme="minorHAnsi"/>
                      <w:sz w:val="22"/>
                      <w:szCs w:val="22"/>
                      <w:lang w:eastAsia="cs-CZ"/>
                    </w:rPr>
                    <w:t>ZDHH</w:t>
                  </w:r>
                </w:p>
              </w:tc>
              <w:tc>
                <w:tcPr>
                  <w:tcW w:w="7277" w:type="dxa"/>
                  <w:vAlign w:val="center"/>
                </w:tcPr>
                <w:p w14:paraId="0D2F6BC5" w14:textId="1FBB6A2A" w:rsidR="00931E79" w:rsidRPr="009411A6" w:rsidRDefault="00931E79" w:rsidP="009411A6">
                  <w:pPr>
                    <w:jc w:val="left"/>
                    <w:rPr>
                      <w:rFonts w:asciiTheme="minorHAnsi" w:hAnsiTheme="minorHAnsi"/>
                      <w:sz w:val="22"/>
                      <w:szCs w:val="22"/>
                      <w:lang w:eastAsia="cs-CZ"/>
                    </w:rPr>
                  </w:pPr>
                  <w:r w:rsidRPr="009411A6">
                    <w:rPr>
                      <w:rFonts w:asciiTheme="minorHAnsi" w:hAnsiTheme="minorHAnsi"/>
                      <w:sz w:val="22"/>
                      <w:szCs w:val="22"/>
                      <w:lang w:eastAsia="cs-CZ"/>
                    </w:rPr>
                    <w:t xml:space="preserve">Zákon č. 187/2016 Sb., o dani z hazardních her </w:t>
                  </w:r>
                </w:p>
              </w:tc>
            </w:tr>
            <w:tr w:rsidR="00973558" w14:paraId="60E22CBC" w14:textId="77777777" w:rsidTr="00CA7D7E">
              <w:trPr>
                <w:trHeight w:val="340"/>
              </w:trPr>
              <w:tc>
                <w:tcPr>
                  <w:tcW w:w="1574" w:type="dxa"/>
                  <w:vAlign w:val="center"/>
                </w:tcPr>
                <w:p w14:paraId="174318C2" w14:textId="477E9736" w:rsidR="00973558" w:rsidRPr="009411A6" w:rsidRDefault="00D33F6D" w:rsidP="009411A6">
                  <w:pPr>
                    <w:jc w:val="left"/>
                    <w:rPr>
                      <w:rFonts w:asciiTheme="minorHAnsi" w:hAnsiTheme="minorHAnsi"/>
                      <w:sz w:val="22"/>
                      <w:szCs w:val="22"/>
                      <w:lang w:eastAsia="cs-CZ"/>
                    </w:rPr>
                  </w:pPr>
                  <w:r w:rsidRPr="009411A6">
                    <w:rPr>
                      <w:rFonts w:asciiTheme="minorHAnsi" w:hAnsiTheme="minorHAnsi"/>
                      <w:sz w:val="22"/>
                      <w:szCs w:val="22"/>
                      <w:lang w:eastAsia="cs-CZ"/>
                    </w:rPr>
                    <w:t>ZHH</w:t>
                  </w:r>
                </w:p>
              </w:tc>
              <w:tc>
                <w:tcPr>
                  <w:tcW w:w="7277" w:type="dxa"/>
                  <w:vAlign w:val="center"/>
                </w:tcPr>
                <w:p w14:paraId="04197D22" w14:textId="05399DB1" w:rsidR="00973558" w:rsidRPr="009411A6" w:rsidRDefault="00D12348" w:rsidP="009411A6">
                  <w:pPr>
                    <w:jc w:val="left"/>
                    <w:rPr>
                      <w:rFonts w:asciiTheme="minorHAnsi" w:hAnsiTheme="minorHAnsi"/>
                      <w:sz w:val="22"/>
                      <w:szCs w:val="22"/>
                      <w:lang w:eastAsia="cs-CZ"/>
                    </w:rPr>
                  </w:pPr>
                  <w:r w:rsidRPr="009411A6">
                    <w:rPr>
                      <w:rFonts w:asciiTheme="minorHAnsi" w:hAnsiTheme="minorHAnsi"/>
                      <w:sz w:val="22"/>
                      <w:szCs w:val="22"/>
                      <w:lang w:eastAsia="cs-CZ"/>
                    </w:rPr>
                    <w:t>Z</w:t>
                  </w:r>
                  <w:r w:rsidR="00C408AA" w:rsidRPr="009411A6">
                    <w:rPr>
                      <w:rFonts w:asciiTheme="minorHAnsi" w:hAnsiTheme="minorHAnsi"/>
                      <w:sz w:val="22"/>
                      <w:szCs w:val="22"/>
                      <w:lang w:eastAsia="cs-CZ"/>
                    </w:rPr>
                    <w:t>ákon č. 186/2016 Sb., o hazardních hrách</w:t>
                  </w:r>
                </w:p>
              </w:tc>
            </w:tr>
            <w:tr w:rsidR="00F255E7" w14:paraId="6773C90B" w14:textId="77777777" w:rsidTr="00CA7D7E">
              <w:trPr>
                <w:trHeight w:val="340"/>
              </w:trPr>
              <w:tc>
                <w:tcPr>
                  <w:tcW w:w="1574" w:type="dxa"/>
                  <w:vAlign w:val="center"/>
                </w:tcPr>
                <w:p w14:paraId="1A97A9A2" w14:textId="311E07B1" w:rsidR="00F255E7" w:rsidRPr="009411A6" w:rsidRDefault="00F255E7" w:rsidP="009411A6">
                  <w:pPr>
                    <w:jc w:val="left"/>
                    <w:rPr>
                      <w:rFonts w:asciiTheme="minorHAnsi" w:hAnsiTheme="minorHAnsi"/>
                      <w:sz w:val="22"/>
                      <w:szCs w:val="22"/>
                      <w:lang w:eastAsia="cs-CZ"/>
                    </w:rPr>
                  </w:pPr>
                  <w:r w:rsidRPr="009411A6">
                    <w:rPr>
                      <w:rFonts w:asciiTheme="minorHAnsi" w:hAnsiTheme="minorHAnsi"/>
                      <w:sz w:val="22"/>
                      <w:szCs w:val="22"/>
                      <w:lang w:eastAsia="cs-CZ"/>
                    </w:rPr>
                    <w:t>ZoL</w:t>
                  </w:r>
                </w:p>
              </w:tc>
              <w:tc>
                <w:tcPr>
                  <w:tcW w:w="7277" w:type="dxa"/>
                  <w:vAlign w:val="center"/>
                </w:tcPr>
                <w:p w14:paraId="4753731C" w14:textId="70379A77" w:rsidR="00F255E7" w:rsidRPr="009411A6" w:rsidRDefault="00F255E7" w:rsidP="009411A6">
                  <w:pPr>
                    <w:jc w:val="left"/>
                    <w:rPr>
                      <w:rFonts w:asciiTheme="minorHAnsi" w:hAnsiTheme="minorHAnsi"/>
                      <w:sz w:val="22"/>
                      <w:szCs w:val="22"/>
                      <w:lang w:eastAsia="cs-CZ"/>
                    </w:rPr>
                  </w:pPr>
                  <w:r w:rsidRPr="009411A6">
                    <w:rPr>
                      <w:rFonts w:asciiTheme="minorHAnsi" w:hAnsiTheme="minorHAnsi"/>
                      <w:sz w:val="22"/>
                      <w:szCs w:val="22"/>
                      <w:lang w:eastAsia="cs-CZ"/>
                    </w:rPr>
                    <w:t>Zákon č. 202/1990 Sb., o loteriích a jiných podobných hrách</w:t>
                  </w:r>
                </w:p>
              </w:tc>
            </w:tr>
            <w:tr w:rsidR="00F2157F" w14:paraId="560E415D" w14:textId="77777777" w:rsidTr="00CA7D7E">
              <w:trPr>
                <w:trHeight w:val="340"/>
              </w:trPr>
              <w:tc>
                <w:tcPr>
                  <w:tcW w:w="1574" w:type="dxa"/>
                  <w:vAlign w:val="center"/>
                </w:tcPr>
                <w:p w14:paraId="19AFAEC0" w14:textId="11BDD10B" w:rsidR="00F2157F" w:rsidRPr="009411A6" w:rsidRDefault="00F2157F" w:rsidP="009411A6">
                  <w:pPr>
                    <w:jc w:val="left"/>
                    <w:rPr>
                      <w:rFonts w:asciiTheme="minorHAnsi" w:hAnsiTheme="minorHAnsi"/>
                      <w:sz w:val="22"/>
                      <w:szCs w:val="22"/>
                      <w:lang w:eastAsia="cs-CZ"/>
                    </w:rPr>
                  </w:pPr>
                  <w:r w:rsidRPr="009411A6">
                    <w:rPr>
                      <w:rFonts w:asciiTheme="minorHAnsi" w:hAnsiTheme="minorHAnsi"/>
                      <w:sz w:val="22"/>
                      <w:szCs w:val="22"/>
                      <w:lang w:eastAsia="cs-CZ"/>
                    </w:rPr>
                    <w:t>ZZVZ</w:t>
                  </w:r>
                </w:p>
              </w:tc>
              <w:tc>
                <w:tcPr>
                  <w:tcW w:w="7277" w:type="dxa"/>
                  <w:vAlign w:val="center"/>
                </w:tcPr>
                <w:p w14:paraId="03CFCD93" w14:textId="7AD14E7B" w:rsidR="00F2157F" w:rsidRPr="009411A6" w:rsidRDefault="00F2157F" w:rsidP="009411A6">
                  <w:pPr>
                    <w:jc w:val="left"/>
                    <w:rPr>
                      <w:rFonts w:asciiTheme="minorHAnsi" w:hAnsiTheme="minorHAnsi"/>
                      <w:sz w:val="22"/>
                      <w:szCs w:val="22"/>
                      <w:lang w:eastAsia="cs-CZ"/>
                    </w:rPr>
                  </w:pPr>
                  <w:r w:rsidRPr="009411A6">
                    <w:rPr>
                      <w:rFonts w:asciiTheme="minorHAnsi" w:hAnsiTheme="minorHAnsi"/>
                      <w:sz w:val="22"/>
                      <w:szCs w:val="22"/>
                      <w:lang w:eastAsia="cs-CZ"/>
                    </w:rPr>
                    <w:t xml:space="preserve">Zákon č. 134/2016 Sb., o zadávání veřejných zakázek </w:t>
                  </w:r>
                </w:p>
              </w:tc>
            </w:tr>
          </w:tbl>
          <w:p w14:paraId="5FDB08A7" w14:textId="77777777" w:rsidR="00691ECA" w:rsidRPr="008142C5" w:rsidRDefault="00691ECA" w:rsidP="00A36482">
            <w:pPr>
              <w:spacing w:after="0" w:line="240" w:lineRule="auto"/>
              <w:jc w:val="left"/>
              <w:rPr>
                <w:rFonts w:asciiTheme="minorHAnsi" w:hAnsiTheme="minorHAnsi"/>
                <w:sz w:val="16"/>
                <w:szCs w:val="16"/>
                <w:lang w:eastAsia="cs-CZ"/>
              </w:rPr>
            </w:pPr>
          </w:p>
        </w:tc>
        <w:tc>
          <w:tcPr>
            <w:tcW w:w="195" w:type="pct"/>
            <w:shd w:val="clear" w:color="auto" w:fill="auto"/>
            <w:noWrap/>
            <w:vAlign w:val="center"/>
          </w:tcPr>
          <w:p w14:paraId="70E7DF22" w14:textId="1823B861" w:rsidR="005748A9" w:rsidRPr="008142C5" w:rsidRDefault="005748A9" w:rsidP="00A36482">
            <w:pPr>
              <w:spacing w:after="0" w:line="240" w:lineRule="auto"/>
              <w:jc w:val="left"/>
              <w:rPr>
                <w:rFonts w:asciiTheme="minorHAnsi" w:hAnsiTheme="minorHAnsi"/>
                <w:sz w:val="16"/>
                <w:szCs w:val="16"/>
                <w:lang w:eastAsia="cs-CZ"/>
              </w:rPr>
            </w:pPr>
          </w:p>
        </w:tc>
      </w:tr>
    </w:tbl>
    <w:p w14:paraId="06ACBA3F" w14:textId="14A4652E" w:rsidR="008515FC" w:rsidRPr="008515FC" w:rsidRDefault="008515FC" w:rsidP="00382B7D">
      <w:pPr>
        <w:keepNext/>
        <w:keepLines/>
        <w:spacing w:before="240" w:after="0"/>
        <w:outlineLvl w:val="0"/>
        <w:rPr>
          <w:rFonts w:eastAsia="Calibri" w:cs="Times New Roman"/>
          <w:b/>
          <w:color w:val="auto"/>
          <w:szCs w:val="22"/>
        </w:rPr>
      </w:pPr>
    </w:p>
    <w:sectPr w:rsidR="008515FC" w:rsidRPr="008515FC" w:rsidSect="005B786B">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56F3B" w14:textId="77777777" w:rsidR="00FF1AD0" w:rsidRDefault="00FF1AD0" w:rsidP="00214123">
      <w:pPr>
        <w:spacing w:after="0" w:line="240" w:lineRule="auto"/>
      </w:pPr>
      <w:r>
        <w:separator/>
      </w:r>
    </w:p>
  </w:endnote>
  <w:endnote w:type="continuationSeparator" w:id="0">
    <w:p w14:paraId="04D094A0" w14:textId="77777777" w:rsidR="00FF1AD0" w:rsidRDefault="00FF1AD0" w:rsidP="00214123">
      <w:pPr>
        <w:spacing w:after="0" w:line="240" w:lineRule="auto"/>
      </w:pPr>
      <w:r>
        <w:continuationSeparator/>
      </w:r>
    </w:p>
  </w:endnote>
  <w:endnote w:type="continuationNotice" w:id="1">
    <w:p w14:paraId="174A33DB" w14:textId="77777777" w:rsidR="00FF1AD0" w:rsidRDefault="00FF1A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7" w:usb1="00000000" w:usb2="00000000" w:usb3="00000000" w:csb0="00000003" w:csb1="00000000"/>
  </w:font>
  <w:font w:name="Georgia">
    <w:panose1 w:val="02040502050405020303"/>
    <w:charset w:val="EE"/>
    <w:family w:val="roman"/>
    <w:pitch w:val="variable"/>
    <w:sig w:usb0="00000287" w:usb1="00000000" w:usb2="00000000" w:usb3="00000000" w:csb0="0000009F" w:csb1="00000000"/>
  </w:font>
  <w:font w:name="ArialMT">
    <w:altName w:val="Arial"/>
    <w:panose1 w:val="00000000000000000000"/>
    <w:charset w:val="EE"/>
    <w:family w:val="auto"/>
    <w:notTrueType/>
    <w:pitch w:val="default"/>
    <w:sig w:usb0="00000007" w:usb1="00000000" w:usb2="00000000" w:usb3="00000000" w:csb0="00000003" w:csb1="00000000"/>
  </w:font>
  <w:font w:name="Arial-ItalicMT">
    <w:altName w:val="Arial"/>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8944003"/>
      <w:docPartObj>
        <w:docPartGallery w:val="Page Numbers (Bottom of Page)"/>
        <w:docPartUnique/>
      </w:docPartObj>
    </w:sdtPr>
    <w:sdtEndPr/>
    <w:sdtContent>
      <w:p w14:paraId="239A9C30" w14:textId="6FE9A112" w:rsidR="00FF1AD0" w:rsidRDefault="00FF1AD0">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0F0AF" w14:textId="77777777" w:rsidR="00FF1AD0" w:rsidRDefault="00FF1AD0" w:rsidP="00214123">
      <w:pPr>
        <w:spacing w:after="0" w:line="240" w:lineRule="auto"/>
      </w:pPr>
      <w:r>
        <w:separator/>
      </w:r>
    </w:p>
  </w:footnote>
  <w:footnote w:type="continuationSeparator" w:id="0">
    <w:p w14:paraId="25CABC7F" w14:textId="77777777" w:rsidR="00FF1AD0" w:rsidRDefault="00FF1AD0" w:rsidP="00214123">
      <w:pPr>
        <w:spacing w:after="0" w:line="240" w:lineRule="auto"/>
      </w:pPr>
      <w:r>
        <w:continuationSeparator/>
      </w:r>
    </w:p>
  </w:footnote>
  <w:footnote w:type="continuationNotice" w:id="1">
    <w:p w14:paraId="499A75DE" w14:textId="77777777" w:rsidR="00FF1AD0" w:rsidRDefault="00FF1AD0">
      <w:pPr>
        <w:spacing w:after="0" w:line="240" w:lineRule="auto"/>
      </w:pPr>
    </w:p>
  </w:footnote>
  <w:footnote w:id="2">
    <w:p w14:paraId="2A631F73" w14:textId="4C4D3925" w:rsidR="00FF1AD0" w:rsidRPr="00647AA9" w:rsidRDefault="00FF1AD0" w:rsidP="006B7CA7">
      <w:pPr>
        <w:pStyle w:val="Textpoznpodarou"/>
        <w:ind w:left="284" w:hanging="284"/>
      </w:pPr>
      <w:r w:rsidRPr="006B7CA7">
        <w:rPr>
          <w:rStyle w:val="Znakapoznpodarou"/>
        </w:rPr>
        <w:footnoteRef/>
      </w:r>
      <w:r w:rsidRPr="006B7CA7">
        <w:t xml:space="preserve"> </w:t>
      </w:r>
      <w:r>
        <w:tab/>
      </w:r>
      <w:r w:rsidRPr="00247CAB">
        <w:t xml:space="preserve">AISG </w:t>
      </w:r>
      <w:r>
        <w:t>–</w:t>
      </w:r>
      <w:r w:rsidRPr="00247CAB">
        <w:t xml:space="preserve"> </w:t>
      </w:r>
      <w:r>
        <w:t>i</w:t>
      </w:r>
      <w:r w:rsidRPr="00247CAB">
        <w:t>nformační systém provozování hazardních her.</w:t>
      </w:r>
    </w:p>
  </w:footnote>
  <w:footnote w:id="3">
    <w:p w14:paraId="0DBECD50" w14:textId="52286C9E" w:rsidR="00FF1AD0" w:rsidRDefault="00FF1AD0">
      <w:pPr>
        <w:spacing w:after="0"/>
        <w:ind w:left="284" w:hanging="284"/>
        <w:rPr>
          <w:color w:val="auto"/>
          <w:sz w:val="20"/>
          <w:szCs w:val="20"/>
        </w:rPr>
      </w:pPr>
      <w:r w:rsidRPr="00247CAB">
        <w:rPr>
          <w:rStyle w:val="Znakapoznpodarou"/>
          <w:sz w:val="20"/>
          <w:szCs w:val="20"/>
        </w:rPr>
        <w:footnoteRef/>
      </w:r>
      <w:r w:rsidRPr="00247CAB">
        <w:rPr>
          <w:sz w:val="20"/>
          <w:szCs w:val="20"/>
        </w:rPr>
        <w:t xml:space="preserve"> </w:t>
      </w:r>
      <w:r>
        <w:rPr>
          <w:sz w:val="20"/>
          <w:szCs w:val="20"/>
        </w:rPr>
        <w:tab/>
      </w:r>
      <w:r w:rsidRPr="00247CAB">
        <w:rPr>
          <w:sz w:val="20"/>
          <w:szCs w:val="20"/>
        </w:rPr>
        <w:t>KA č. 13/35</w:t>
      </w:r>
      <w:r>
        <w:rPr>
          <w:sz w:val="20"/>
          <w:szCs w:val="20"/>
        </w:rPr>
        <w:t xml:space="preserve"> – </w:t>
      </w:r>
      <w:r w:rsidRPr="00247CAB">
        <w:rPr>
          <w:i/>
          <w:sz w:val="20"/>
          <w:szCs w:val="20"/>
        </w:rPr>
        <w:t>Příjmy státního rozpočtu související s provozováním loterií a jiných podobných her.</w:t>
      </w:r>
      <w:r w:rsidRPr="00247CAB">
        <w:rPr>
          <w:color w:val="auto"/>
          <w:sz w:val="20"/>
          <w:szCs w:val="20"/>
        </w:rPr>
        <w:t xml:space="preserve"> NKÚ v roce 2013 v kontrolní akci č. 13/35 konstatoval, že: „</w:t>
      </w:r>
      <w:r w:rsidRPr="00247CAB">
        <w:rPr>
          <w:bCs/>
          <w:i/>
          <w:color w:val="auto"/>
          <w:sz w:val="20"/>
          <w:szCs w:val="20"/>
        </w:rPr>
        <w:t>MF nevytvořilo funkční systém státního dozoru a nezajistilo orgánům finanční správy podmínky nutné pro správné, úplné a včasné zjištění a vyměření odvodů. Zásadní nedostatky informačního systému ovlivňují výkon správy a kontroly celého tohoto segmentu trhu</w:t>
      </w:r>
      <w:r>
        <w:rPr>
          <w:bCs/>
          <w:i/>
          <w:color w:val="auto"/>
          <w:sz w:val="20"/>
          <w:szCs w:val="20"/>
        </w:rPr>
        <w:t>.</w:t>
      </w:r>
      <w:r w:rsidRPr="00247CAB">
        <w:rPr>
          <w:bCs/>
          <w:color w:val="auto"/>
          <w:sz w:val="20"/>
          <w:szCs w:val="20"/>
        </w:rPr>
        <w:t>“</w:t>
      </w:r>
    </w:p>
    <w:p w14:paraId="7604BCF9" w14:textId="6DF56979" w:rsidR="00FF1AD0" w:rsidRPr="00247CAB" w:rsidRDefault="00FF1AD0" w:rsidP="00247CAB">
      <w:pPr>
        <w:spacing w:after="0"/>
        <w:ind w:left="284"/>
        <w:rPr>
          <w:sz w:val="20"/>
          <w:szCs w:val="20"/>
        </w:rPr>
      </w:pPr>
      <w:r w:rsidRPr="00247CAB">
        <w:rPr>
          <w:bCs/>
          <w:color w:val="auto"/>
          <w:sz w:val="20"/>
          <w:szCs w:val="20"/>
        </w:rPr>
        <w:t>(</w:t>
      </w:r>
      <w:r>
        <w:rPr>
          <w:bCs/>
          <w:color w:val="auto"/>
          <w:sz w:val="20"/>
          <w:szCs w:val="20"/>
        </w:rPr>
        <w:t>V</w:t>
      </w:r>
      <w:r w:rsidRPr="00247CAB">
        <w:rPr>
          <w:bCs/>
          <w:color w:val="auto"/>
          <w:sz w:val="20"/>
          <w:szCs w:val="20"/>
        </w:rPr>
        <w:t>iz odst</w:t>
      </w:r>
      <w:r w:rsidRPr="00247CAB">
        <w:rPr>
          <w:color w:val="auto"/>
          <w:sz w:val="20"/>
          <w:szCs w:val="20"/>
        </w:rPr>
        <w:t>. 4.96</w:t>
      </w:r>
      <w:r>
        <w:rPr>
          <w:color w:val="auto"/>
          <w:sz w:val="20"/>
          <w:szCs w:val="20"/>
        </w:rPr>
        <w:t>.</w:t>
      </w:r>
      <w:r w:rsidRPr="00247CAB">
        <w:rPr>
          <w:bCs/>
          <w:color w:val="auto"/>
          <w:sz w:val="20"/>
          <w:szCs w:val="20"/>
        </w:rPr>
        <w:t>)</w:t>
      </w:r>
    </w:p>
  </w:footnote>
  <w:footnote w:id="4">
    <w:p w14:paraId="44FED790" w14:textId="7015BC77" w:rsidR="00FF1AD0" w:rsidRPr="00247CAB" w:rsidRDefault="00FF1AD0" w:rsidP="00247CAB">
      <w:pPr>
        <w:pStyle w:val="Textpoznpodarou"/>
        <w:ind w:left="284" w:hanging="284"/>
      </w:pPr>
      <w:r w:rsidRPr="00247CAB">
        <w:rPr>
          <w:rStyle w:val="Znakapoznpodarou"/>
        </w:rPr>
        <w:footnoteRef/>
      </w:r>
      <w:r w:rsidRPr="00247CAB">
        <w:t xml:space="preserve"> </w:t>
      </w:r>
      <w:r>
        <w:tab/>
      </w:r>
      <w:r w:rsidRPr="00247CAB">
        <w:t xml:space="preserve">IS SDSL </w:t>
      </w:r>
      <w:r>
        <w:t>–</w:t>
      </w:r>
      <w:r w:rsidRPr="00247CAB">
        <w:t xml:space="preserve"> </w:t>
      </w:r>
      <w:r>
        <w:t>i</w:t>
      </w:r>
      <w:r w:rsidRPr="00247CAB">
        <w:t xml:space="preserve">nformační systém </w:t>
      </w:r>
      <w:r w:rsidRPr="00247CAB">
        <w:rPr>
          <w:i/>
        </w:rPr>
        <w:t>Státní dozor nad sázkami a loteriemi</w:t>
      </w:r>
      <w:r w:rsidRPr="00247CAB">
        <w:t>.</w:t>
      </w:r>
    </w:p>
  </w:footnote>
  <w:footnote w:id="5">
    <w:p w14:paraId="7E1E4A12" w14:textId="5C097DF8" w:rsidR="00FF1AD0" w:rsidRPr="00247CAB" w:rsidRDefault="00FF1AD0" w:rsidP="00247CAB">
      <w:pPr>
        <w:pStyle w:val="Textpoznpodarou"/>
        <w:ind w:left="284" w:hanging="284"/>
      </w:pPr>
      <w:r w:rsidRPr="00247CAB">
        <w:rPr>
          <w:rStyle w:val="Znakapoznpodarou"/>
        </w:rPr>
        <w:footnoteRef/>
      </w:r>
      <w:r w:rsidRPr="00247CAB">
        <w:t xml:space="preserve"> </w:t>
      </w:r>
      <w:r>
        <w:tab/>
      </w:r>
      <w:r w:rsidRPr="00247CAB">
        <w:t>Ustanovení § 2 odst. 2 zákona č. 186/2016 Sb., o hazardních hrách.</w:t>
      </w:r>
    </w:p>
  </w:footnote>
  <w:footnote w:id="6">
    <w:p w14:paraId="165A43FF" w14:textId="59137959" w:rsidR="00FF1AD0" w:rsidRPr="00247CAB" w:rsidRDefault="00FF1AD0" w:rsidP="00247CAB">
      <w:pPr>
        <w:pStyle w:val="Textpoznpodarou"/>
        <w:ind w:left="284" w:hanging="284"/>
        <w:rPr>
          <w:rFonts w:asciiTheme="minorHAnsi" w:hAnsiTheme="minorHAnsi"/>
        </w:rPr>
      </w:pPr>
      <w:r w:rsidRPr="00247CAB">
        <w:rPr>
          <w:rStyle w:val="Znakapoznpodarou"/>
          <w:rFonts w:asciiTheme="minorHAnsi" w:hAnsiTheme="minorHAnsi"/>
        </w:rPr>
        <w:footnoteRef/>
      </w:r>
      <w:r w:rsidRPr="00247CAB">
        <w:rPr>
          <w:rFonts w:asciiTheme="minorHAnsi" w:hAnsiTheme="minorHAnsi"/>
        </w:rPr>
        <w:t xml:space="preserve"> </w:t>
      </w:r>
      <w:r>
        <w:rPr>
          <w:rFonts w:asciiTheme="minorHAnsi" w:hAnsiTheme="minorHAnsi"/>
        </w:rPr>
        <w:tab/>
      </w:r>
      <w:r w:rsidRPr="00247CAB">
        <w:rPr>
          <w:rFonts w:asciiTheme="minorHAnsi" w:hAnsiTheme="minorHAnsi"/>
        </w:rPr>
        <w:t xml:space="preserve">Po </w:t>
      </w:r>
      <w:r w:rsidRPr="00247CAB">
        <w:rPr>
          <w:rFonts w:asciiTheme="minorHAnsi" w:hAnsiTheme="minorHAnsi" w:cs="Calibri-Bold"/>
          <w:color w:val="auto"/>
        </w:rPr>
        <w:t>tomto datu činnosti vyplývající z původní právní úpravy (zákon č. 202/1990 Sb.) přestaly mít oporu v</w:t>
      </w:r>
      <w:r>
        <w:rPr>
          <w:rFonts w:asciiTheme="minorHAnsi" w:hAnsiTheme="minorHAnsi" w:cs="Calibri-Bold"/>
          <w:color w:val="auto"/>
        </w:rPr>
        <w:t> </w:t>
      </w:r>
      <w:r w:rsidRPr="00247CAB">
        <w:rPr>
          <w:rFonts w:asciiTheme="minorHAnsi" w:hAnsiTheme="minorHAnsi" w:cs="Calibri-Bold"/>
          <w:color w:val="auto"/>
        </w:rPr>
        <w:t xml:space="preserve">právních předpisech. </w:t>
      </w:r>
      <w:r w:rsidRPr="00247CAB">
        <w:t>Ustanovení § 136 odst. 9 zákona č. 186/2016 Sb., o hazardních hrách</w:t>
      </w:r>
      <w:r w:rsidRPr="00247CAB">
        <w:rPr>
          <w:rFonts w:asciiTheme="minorHAnsi" w:hAnsiTheme="minorHAnsi" w:cs="Calibri-Bold"/>
          <w:color w:val="auto"/>
        </w:rPr>
        <w:t>.</w:t>
      </w:r>
    </w:p>
  </w:footnote>
  <w:footnote w:id="7">
    <w:p w14:paraId="7E357210" w14:textId="2531B119" w:rsidR="00FF1AD0" w:rsidRPr="00247CAB" w:rsidRDefault="00FF1AD0" w:rsidP="00247CAB">
      <w:pPr>
        <w:pStyle w:val="Textpoznpodarou"/>
        <w:ind w:left="284" w:hanging="284"/>
      </w:pPr>
      <w:r w:rsidRPr="00247CAB">
        <w:rPr>
          <w:rStyle w:val="Znakapoznpodarou"/>
        </w:rPr>
        <w:footnoteRef/>
      </w:r>
      <w:r w:rsidRPr="00247CAB">
        <w:t xml:space="preserve"> </w:t>
      </w:r>
      <w:r>
        <w:tab/>
      </w:r>
      <w:r w:rsidRPr="00247CAB">
        <w:t>Ustanovení § 2 odst. 3 zákona č. 134/2016 Sb., o zadávání veřejných zakázek.</w:t>
      </w:r>
    </w:p>
  </w:footnote>
  <w:footnote w:id="8">
    <w:p w14:paraId="7167B938" w14:textId="7E63E0D3" w:rsidR="00FF1AD0" w:rsidRPr="00247CAB" w:rsidRDefault="00FF1AD0" w:rsidP="00247CAB">
      <w:pPr>
        <w:pStyle w:val="Textpoznpodarou"/>
        <w:ind w:left="284" w:hanging="284"/>
      </w:pPr>
      <w:r w:rsidRPr="00247CAB">
        <w:rPr>
          <w:rStyle w:val="Znakapoznpodarou"/>
        </w:rPr>
        <w:footnoteRef/>
      </w:r>
      <w:r w:rsidRPr="00247CAB">
        <w:t xml:space="preserve"> </w:t>
      </w:r>
      <w:r>
        <w:tab/>
      </w:r>
      <w:r w:rsidRPr="00247CAB">
        <w:t>Ustanovení § 6 odst. 1 zákona č. 134/2016 Sb., o zadávání veřejných zakázek.</w:t>
      </w:r>
    </w:p>
  </w:footnote>
  <w:footnote w:id="9">
    <w:p w14:paraId="0A85C8E5" w14:textId="58B4E933" w:rsidR="00FF1AD0" w:rsidRPr="00247CAB" w:rsidRDefault="00FF1AD0" w:rsidP="00247CAB">
      <w:pPr>
        <w:pStyle w:val="Textpoznpodarou"/>
        <w:ind w:left="284" w:hanging="284"/>
      </w:pPr>
      <w:r w:rsidRPr="00247CAB">
        <w:rPr>
          <w:rStyle w:val="Znakapoznpodarou"/>
        </w:rPr>
        <w:footnoteRef/>
      </w:r>
      <w:r w:rsidRPr="00247CAB">
        <w:t xml:space="preserve"> </w:t>
      </w:r>
      <w:r>
        <w:tab/>
      </w:r>
      <w:r w:rsidRPr="00247CAB">
        <w:t>Ustanovení § 1 odst. 2 zákona č. 280/2009 Sb., daňový řád</w:t>
      </w:r>
      <w:r>
        <w:t>.</w:t>
      </w:r>
    </w:p>
  </w:footnote>
  <w:footnote w:id="10">
    <w:p w14:paraId="3F8B9595" w14:textId="2F632EC2" w:rsidR="00FF1AD0" w:rsidRPr="00247CAB" w:rsidRDefault="00FF1AD0" w:rsidP="00247CAB">
      <w:pPr>
        <w:pStyle w:val="Textpoznpodarou"/>
        <w:ind w:left="284" w:hanging="284"/>
      </w:pPr>
      <w:r w:rsidRPr="00247CAB">
        <w:rPr>
          <w:rStyle w:val="Znakapoznpodarou"/>
        </w:rPr>
        <w:footnoteRef/>
      </w:r>
      <w:r w:rsidRPr="00247CAB">
        <w:t xml:space="preserve"> </w:t>
      </w:r>
      <w:r>
        <w:tab/>
      </w:r>
      <w:r w:rsidRPr="00247CAB">
        <w:t>Ustanovení § 8 zákona č. 187/2016 Sb., o dani z hazardních her.</w:t>
      </w:r>
    </w:p>
  </w:footnote>
  <w:footnote w:id="11">
    <w:p w14:paraId="6F288116" w14:textId="0B058B2B" w:rsidR="00FF1AD0" w:rsidRPr="00247CAB" w:rsidRDefault="00FF1AD0" w:rsidP="00247CAB">
      <w:pPr>
        <w:pStyle w:val="Textpoznpodarou"/>
        <w:ind w:left="284" w:hanging="284"/>
      </w:pPr>
      <w:r w:rsidRPr="00247CAB">
        <w:rPr>
          <w:rStyle w:val="Znakapoznpodarou"/>
        </w:rPr>
        <w:footnoteRef/>
      </w:r>
      <w:r w:rsidRPr="00247CAB">
        <w:t xml:space="preserve"> </w:t>
      </w:r>
      <w:r>
        <w:tab/>
      </w:r>
      <w:r w:rsidRPr="00247CAB">
        <w:t>Ustanovení § 95 odst. 2 písm. c) zákona č. 186/2016 Sb., o hazardních hrách.</w:t>
      </w:r>
    </w:p>
  </w:footnote>
  <w:footnote w:id="12">
    <w:p w14:paraId="7BE3049E" w14:textId="3565F3E7" w:rsidR="00FF1AD0" w:rsidRPr="00647AA9" w:rsidRDefault="00FF1AD0" w:rsidP="00247CAB">
      <w:pPr>
        <w:pStyle w:val="Textpoznpodarou"/>
        <w:ind w:left="284" w:hanging="284"/>
      </w:pPr>
      <w:r w:rsidRPr="00247CAB">
        <w:rPr>
          <w:rStyle w:val="Znakapoznpodarou"/>
          <w:color w:val="auto"/>
        </w:rPr>
        <w:footnoteRef/>
      </w:r>
      <w:r w:rsidRPr="00247CAB">
        <w:rPr>
          <w:color w:val="auto"/>
        </w:rPr>
        <w:t xml:space="preserve"> </w:t>
      </w:r>
      <w:r>
        <w:rPr>
          <w:color w:val="auto"/>
        </w:rPr>
        <w:tab/>
      </w:r>
      <w:r w:rsidRPr="00247CAB">
        <w:rPr>
          <w:color w:val="auto"/>
        </w:rPr>
        <w:t>Způsob provozování hazardní hry v tzv. kamenných provozovnách.</w:t>
      </w:r>
    </w:p>
  </w:footnote>
  <w:footnote w:id="13">
    <w:p w14:paraId="3C454002" w14:textId="234AC281" w:rsidR="00FF1AD0" w:rsidRPr="00247CAB" w:rsidRDefault="00FF1AD0" w:rsidP="00247CAB">
      <w:pPr>
        <w:pStyle w:val="Textpoznpodarou"/>
        <w:ind w:left="284" w:hanging="284"/>
      </w:pPr>
      <w:r w:rsidRPr="00247CAB">
        <w:rPr>
          <w:rStyle w:val="Znakapoznpodarou"/>
        </w:rPr>
        <w:footnoteRef/>
      </w:r>
      <w:r w:rsidRPr="00247CAB">
        <w:t xml:space="preserve"> </w:t>
      </w:r>
      <w:r>
        <w:tab/>
      </w:r>
      <w:r w:rsidRPr="00247CAB">
        <w:rPr>
          <w:rStyle w:val="ui-provider"/>
        </w:rPr>
        <w:t>Důvodová zpráva k zákonu č. 186/2016 Sb., o hazardních hrách.</w:t>
      </w:r>
    </w:p>
  </w:footnote>
  <w:footnote w:id="14">
    <w:p w14:paraId="4FDDA1C2" w14:textId="002967AC" w:rsidR="00FF1AD0" w:rsidRPr="00647AA9" w:rsidRDefault="00FF1AD0" w:rsidP="00247CAB">
      <w:pPr>
        <w:pStyle w:val="Textpoznpodarou"/>
        <w:ind w:left="284" w:hanging="284"/>
      </w:pPr>
      <w:r w:rsidRPr="00647AA9">
        <w:rPr>
          <w:rStyle w:val="Znakapoznpodarou"/>
        </w:rPr>
        <w:footnoteRef/>
      </w:r>
      <w:r w:rsidRPr="00647AA9">
        <w:t xml:space="preserve"> </w:t>
      </w:r>
      <w:r>
        <w:tab/>
      </w:r>
      <w:r w:rsidRPr="00247CAB">
        <w:t>Ustanovení § 51 ZHH stanoví podmínky nastavení herního podílu u technických her a jeho definici.</w:t>
      </w:r>
    </w:p>
  </w:footnote>
  <w:footnote w:id="15">
    <w:p w14:paraId="57C57A44" w14:textId="5705BBE8" w:rsidR="00FF1AD0" w:rsidRPr="00247CAB" w:rsidRDefault="00FF1AD0" w:rsidP="00247CAB">
      <w:pPr>
        <w:pStyle w:val="Textpoznpodarou"/>
        <w:ind w:left="284" w:hanging="284"/>
      </w:pPr>
      <w:r w:rsidRPr="00647AA9">
        <w:rPr>
          <w:rStyle w:val="Znakapoznpodarou"/>
        </w:rPr>
        <w:footnoteRef/>
      </w:r>
      <w:r w:rsidRPr="00247CAB">
        <w:t xml:space="preserve"> </w:t>
      </w:r>
      <w:r>
        <w:tab/>
      </w:r>
      <w:r w:rsidRPr="00247CAB">
        <w:t>Technick</w:t>
      </w:r>
      <w:r>
        <w:t>á</w:t>
      </w:r>
      <w:r w:rsidRPr="00247CAB">
        <w:t xml:space="preserve"> hra je provozov</w:t>
      </w:r>
      <w:r>
        <w:t>ána</w:t>
      </w:r>
      <w:r w:rsidRPr="00247CAB">
        <w:t xml:space="preserve"> prostřednictví</w:t>
      </w:r>
      <w:r>
        <w:t>m</w:t>
      </w:r>
      <w:r w:rsidRPr="00247CAB">
        <w:t xml:space="preserve"> technického zařízení obsluhovaného </w:t>
      </w:r>
      <w:r w:rsidRPr="006E47D5">
        <w:t xml:space="preserve">přímo </w:t>
      </w:r>
      <w:r w:rsidRPr="00247CAB">
        <w:t>sázejícím; rozumí se jí zejména válcová hra, elektromechanická ruleta a elektromechanické kostky.</w:t>
      </w:r>
    </w:p>
  </w:footnote>
  <w:footnote w:id="16">
    <w:p w14:paraId="54449002" w14:textId="544F1D4C" w:rsidR="00FF1AD0" w:rsidRPr="00247CAB" w:rsidRDefault="00FF1AD0" w:rsidP="00247CAB">
      <w:pPr>
        <w:pStyle w:val="Textpoznpodarou"/>
        <w:ind w:left="284" w:hanging="284"/>
      </w:pPr>
      <w:r w:rsidRPr="00247CAB">
        <w:rPr>
          <w:rStyle w:val="Znakapoznpodarou"/>
        </w:rPr>
        <w:footnoteRef/>
      </w:r>
      <w:r w:rsidRPr="00647AA9">
        <w:t xml:space="preserve"> </w:t>
      </w:r>
      <w:r>
        <w:tab/>
      </w:r>
      <w:r w:rsidRPr="00247CAB">
        <w:t>Ustanovení § 2 písm. m) zákona č. 320/2001 Sb., o finanční kontrole</w:t>
      </w:r>
      <w:r>
        <w:t xml:space="preserve"> </w:t>
      </w:r>
      <w:r w:rsidRPr="005612AA">
        <w:t>ve veřejné správě a o změně některých zákonů</w:t>
      </w:r>
      <w:r>
        <w:t xml:space="preserve"> </w:t>
      </w:r>
      <w:r w:rsidRPr="005612AA">
        <w:t>(zákon o finanční kontrole)</w:t>
      </w:r>
      <w:r>
        <w:t>.</w:t>
      </w:r>
    </w:p>
  </w:footnote>
  <w:footnote w:id="17">
    <w:p w14:paraId="720B1E28" w14:textId="5F7CBAE5" w:rsidR="00FF1AD0" w:rsidRPr="00247CAB" w:rsidRDefault="00FF1AD0" w:rsidP="00247CAB">
      <w:pPr>
        <w:pStyle w:val="Textpoznpodarou"/>
        <w:ind w:left="284" w:hanging="284"/>
      </w:pPr>
      <w:r w:rsidRPr="00247CAB">
        <w:rPr>
          <w:rStyle w:val="Znakapoznpodarou"/>
        </w:rPr>
        <w:footnoteRef/>
      </w:r>
      <w:r w:rsidRPr="00247CAB">
        <w:t xml:space="preserve"> </w:t>
      </w:r>
      <w:r>
        <w:tab/>
      </w:r>
      <w:r w:rsidRPr="00247CAB">
        <w:t>Ustanovení § 14 odst. 1 zákona č. 219/2000 Sb., o majetku České republiky a jejím vystupování v právních vztazích</w:t>
      </w:r>
      <w:r>
        <w:t>.</w:t>
      </w:r>
      <w:r w:rsidRPr="00247CAB">
        <w:t xml:space="preserve"> </w:t>
      </w:r>
    </w:p>
  </w:footnote>
  <w:footnote w:id="18">
    <w:p w14:paraId="5837CA61" w14:textId="7EFB7EA3" w:rsidR="00FF1AD0" w:rsidRPr="00247CAB" w:rsidRDefault="00FF1AD0" w:rsidP="00247CAB">
      <w:pPr>
        <w:pStyle w:val="Textpoznpodarou"/>
        <w:ind w:left="284" w:hanging="284"/>
      </w:pPr>
      <w:r w:rsidRPr="00247CAB">
        <w:rPr>
          <w:rStyle w:val="Znakapoznpodarou"/>
        </w:rPr>
        <w:footnoteRef/>
      </w:r>
      <w:r w:rsidRPr="00247CAB">
        <w:t xml:space="preserve"> </w:t>
      </w:r>
      <w:r>
        <w:tab/>
      </w:r>
      <w:r w:rsidRPr="00247CAB">
        <w:t>Ustanovení § 2 písm. n) zákona č. 320/2001 Sb., o finanční kontrole.</w:t>
      </w:r>
    </w:p>
  </w:footnote>
  <w:footnote w:id="19">
    <w:p w14:paraId="6F5BDE7A" w14:textId="1136215D" w:rsidR="00FF1AD0" w:rsidRPr="00247CAB" w:rsidRDefault="00FF1AD0" w:rsidP="00247CAB">
      <w:pPr>
        <w:pStyle w:val="Textpoznpodarou"/>
        <w:ind w:left="284" w:hanging="284"/>
      </w:pPr>
      <w:r w:rsidRPr="00247CAB">
        <w:rPr>
          <w:rStyle w:val="Znakapoznpodarou"/>
        </w:rPr>
        <w:footnoteRef/>
      </w:r>
      <w:r w:rsidRPr="00247CAB">
        <w:t xml:space="preserve"> </w:t>
      </w:r>
      <w:r>
        <w:tab/>
      </w:r>
      <w:r w:rsidRPr="00247CAB">
        <w:t>Ustanovení § 1 odst. 2 zákona č. 280/2009 Sb., daňový řád.</w:t>
      </w:r>
    </w:p>
  </w:footnote>
  <w:footnote w:id="20">
    <w:p w14:paraId="21F6EEE7" w14:textId="64AAA0DC" w:rsidR="00FF1AD0" w:rsidRPr="00247CAB" w:rsidRDefault="00FF1AD0" w:rsidP="00247CAB">
      <w:pPr>
        <w:pStyle w:val="Textpoznpodarou"/>
        <w:ind w:left="284" w:hanging="284"/>
      </w:pPr>
      <w:r w:rsidRPr="00247CAB">
        <w:rPr>
          <w:rStyle w:val="Znakapoznpodarou"/>
        </w:rPr>
        <w:footnoteRef/>
      </w:r>
      <w:r w:rsidRPr="00247CAB">
        <w:t xml:space="preserve"> </w:t>
      </w:r>
      <w:r>
        <w:tab/>
      </w:r>
      <w:r w:rsidRPr="00247CAB">
        <w:t>Ustanovení § 2 písm. o) zákona č. 320/2001 Sb., o finanční kontrole.</w:t>
      </w:r>
    </w:p>
  </w:footnote>
  <w:footnote w:id="21">
    <w:p w14:paraId="05F4F250" w14:textId="1FEDB51C" w:rsidR="00FF1AD0" w:rsidRPr="00247CAB" w:rsidRDefault="00FF1AD0" w:rsidP="00247CAB">
      <w:pPr>
        <w:pStyle w:val="Textpoznpodarou"/>
        <w:ind w:left="284" w:hanging="284"/>
      </w:pPr>
      <w:r w:rsidRPr="00247CAB">
        <w:rPr>
          <w:rStyle w:val="Znakapoznpodarou"/>
        </w:rPr>
        <w:footnoteRef/>
      </w:r>
      <w:r w:rsidRPr="00247CAB">
        <w:t xml:space="preserve"> </w:t>
      </w:r>
      <w:r>
        <w:tab/>
      </w:r>
      <w:r w:rsidRPr="00247CAB">
        <w:rPr>
          <w:rFonts w:asciiTheme="minorHAnsi" w:hAnsiTheme="minorHAnsi"/>
        </w:rPr>
        <w:t xml:space="preserve">Po </w:t>
      </w:r>
      <w:r w:rsidRPr="00247CAB">
        <w:rPr>
          <w:rFonts w:asciiTheme="minorHAnsi" w:hAnsiTheme="minorHAnsi" w:cs="Calibri-Bold"/>
          <w:color w:val="auto"/>
        </w:rPr>
        <w:t>tomto datu činnosti vyplývající z původní právní úpravy (zákon č. 202/1990 Sb.) přestaly mít oporu v</w:t>
      </w:r>
      <w:r>
        <w:rPr>
          <w:rFonts w:asciiTheme="minorHAnsi" w:hAnsiTheme="minorHAnsi" w:cs="Calibri-Bold"/>
          <w:color w:val="auto"/>
        </w:rPr>
        <w:t> </w:t>
      </w:r>
      <w:r w:rsidRPr="00247CAB">
        <w:rPr>
          <w:rFonts w:asciiTheme="minorHAnsi" w:hAnsiTheme="minorHAnsi" w:cs="Calibri-Bold"/>
          <w:color w:val="auto"/>
        </w:rPr>
        <w:t xml:space="preserve">právních předpisech. </w:t>
      </w:r>
      <w:r w:rsidRPr="00247CAB">
        <w:t>Ustanovení § 136 odst. 9 zákona č. 186/2016 Sb., o hazardních hrách.</w:t>
      </w:r>
    </w:p>
  </w:footnote>
  <w:footnote w:id="22">
    <w:p w14:paraId="7DCAE636" w14:textId="55C77FB7" w:rsidR="00FF1AD0" w:rsidRPr="00247CAB" w:rsidRDefault="00FF1AD0" w:rsidP="00247CAB">
      <w:pPr>
        <w:pStyle w:val="KP-normlntext"/>
        <w:ind w:left="284" w:hanging="284"/>
        <w:rPr>
          <w:sz w:val="20"/>
          <w:szCs w:val="20"/>
        </w:rPr>
      </w:pPr>
      <w:r w:rsidRPr="00247CAB">
        <w:rPr>
          <w:rStyle w:val="Znakapoznpodarou"/>
          <w:sz w:val="20"/>
          <w:szCs w:val="20"/>
        </w:rPr>
        <w:footnoteRef/>
      </w:r>
      <w:r w:rsidRPr="00247CAB">
        <w:rPr>
          <w:sz w:val="20"/>
          <w:szCs w:val="20"/>
        </w:rPr>
        <w:t xml:space="preserve"> </w:t>
      </w:r>
      <w:r>
        <w:rPr>
          <w:sz w:val="20"/>
          <w:szCs w:val="20"/>
        </w:rPr>
        <w:tab/>
      </w:r>
      <w:r w:rsidRPr="00247CAB">
        <w:rPr>
          <w:sz w:val="20"/>
          <w:szCs w:val="20"/>
        </w:rPr>
        <w:t>Základní dokument projektu AISG.</w:t>
      </w:r>
    </w:p>
  </w:footnote>
  <w:footnote w:id="23">
    <w:p w14:paraId="734B98DD" w14:textId="20F01E1E" w:rsidR="00FF1AD0" w:rsidRPr="00647AA9" w:rsidRDefault="00FF1AD0" w:rsidP="00247CAB">
      <w:pPr>
        <w:pStyle w:val="Textpoznpodarou"/>
        <w:ind w:left="284" w:hanging="284"/>
      </w:pPr>
      <w:r w:rsidRPr="00247CAB">
        <w:rPr>
          <w:rStyle w:val="Znakapoznpodarou"/>
        </w:rPr>
        <w:footnoteRef/>
      </w:r>
      <w:r>
        <w:t xml:space="preserve"> </w:t>
      </w:r>
      <w:r>
        <w:tab/>
      </w:r>
      <w:r w:rsidRPr="00247CAB">
        <w:rPr>
          <w:i/>
        </w:rPr>
        <w:t>Automatizovaný daňový informační systém</w:t>
      </w:r>
      <w:r>
        <w:t>.</w:t>
      </w:r>
    </w:p>
  </w:footnote>
  <w:footnote w:id="24">
    <w:p w14:paraId="590DE86E" w14:textId="132552CA" w:rsidR="00FF1AD0" w:rsidRDefault="00FF1AD0" w:rsidP="00247CAB">
      <w:pPr>
        <w:pStyle w:val="Textpoznpodarou"/>
        <w:ind w:left="284" w:hanging="284"/>
      </w:pPr>
      <w:r>
        <w:rPr>
          <w:rStyle w:val="Znakapoznpodarou"/>
        </w:rPr>
        <w:footnoteRef/>
      </w:r>
      <w:r>
        <w:t xml:space="preserve"> </w:t>
      </w:r>
      <w:r>
        <w:tab/>
        <w:t>Účet určený ke skládání kaucí.</w:t>
      </w:r>
    </w:p>
  </w:footnote>
  <w:footnote w:id="25">
    <w:p w14:paraId="273A55B9" w14:textId="7D49B195" w:rsidR="00FF1AD0" w:rsidRPr="00647AA9" w:rsidRDefault="00FF1AD0" w:rsidP="00247CAB">
      <w:pPr>
        <w:pStyle w:val="Textpoznpodarou"/>
        <w:ind w:left="284" w:hanging="284"/>
      </w:pPr>
      <w:r w:rsidRPr="00247CAB">
        <w:rPr>
          <w:rStyle w:val="Znakapoznpodarou"/>
        </w:rPr>
        <w:footnoteRef/>
      </w:r>
      <w:r w:rsidRPr="00247CAB">
        <w:t xml:space="preserve"> </w:t>
      </w:r>
      <w:r>
        <w:tab/>
      </w:r>
      <w:r w:rsidRPr="00247CAB">
        <w:t>Vyhláška č. 10/2019 Sb.</w:t>
      </w:r>
      <w:r>
        <w:t>,</w:t>
      </w:r>
      <w:r w:rsidRPr="00247CAB">
        <w:t xml:space="preserve"> o způsobu oznamování a zasílání informací a přenosu dat provozovatelem hazardních her, rozsahu přenášených dat a jiných technických parametrech přenosu dat.</w:t>
      </w:r>
    </w:p>
  </w:footnote>
  <w:footnote w:id="26">
    <w:p w14:paraId="64CB9535" w14:textId="0114ACD1" w:rsidR="00FF1AD0" w:rsidRPr="00247CAB" w:rsidRDefault="00FF1AD0" w:rsidP="00247CAB">
      <w:pPr>
        <w:pStyle w:val="Textpoznpodarou"/>
        <w:ind w:left="284" w:hanging="284"/>
      </w:pPr>
      <w:r w:rsidRPr="00247CAB">
        <w:rPr>
          <w:rStyle w:val="Znakapoznpodarou"/>
        </w:rPr>
        <w:footnoteRef/>
      </w:r>
      <w:r w:rsidRPr="00247CAB">
        <w:t xml:space="preserve"> </w:t>
      </w:r>
      <w:r>
        <w:tab/>
      </w:r>
      <w:r w:rsidRPr="00247CAB">
        <w:rPr>
          <w:rStyle w:val="ui-provider"/>
        </w:rPr>
        <w:t>Např. provozování koncového zařízení technické hry s nastavením vyšších než zákonných limitů jednotlivé sázky (100 Kč herna</w:t>
      </w:r>
      <w:r>
        <w:rPr>
          <w:rStyle w:val="ui-provider"/>
        </w:rPr>
        <w:t> </w:t>
      </w:r>
      <w:r w:rsidRPr="00247CAB">
        <w:rPr>
          <w:rStyle w:val="ui-provider"/>
        </w:rPr>
        <w:t>/</w:t>
      </w:r>
      <w:r>
        <w:rPr>
          <w:rStyle w:val="ui-provider"/>
        </w:rPr>
        <w:t> </w:t>
      </w:r>
      <w:r w:rsidRPr="00247CAB">
        <w:rPr>
          <w:rStyle w:val="ui-provider"/>
        </w:rPr>
        <w:t>1 000 Kč kasino).</w:t>
      </w:r>
    </w:p>
  </w:footnote>
  <w:footnote w:id="27">
    <w:p w14:paraId="3AC16EE1" w14:textId="77777777" w:rsidR="00FF1AD0" w:rsidRPr="00647AA9" w:rsidRDefault="00FF1AD0" w:rsidP="00762F44">
      <w:pPr>
        <w:pStyle w:val="Textpoznpodarou"/>
        <w:ind w:left="284" w:hanging="284"/>
      </w:pPr>
      <w:r w:rsidRPr="00647AA9">
        <w:rPr>
          <w:rStyle w:val="Znakapoznpodarou"/>
        </w:rPr>
        <w:footnoteRef/>
      </w:r>
      <w:r w:rsidRPr="00647AA9">
        <w:t xml:space="preserve"> </w:t>
      </w:r>
      <w:r>
        <w:tab/>
      </w:r>
      <w:r w:rsidRPr="00AD431F">
        <w:rPr>
          <w:rStyle w:val="ui-provider"/>
        </w:rPr>
        <w:t>Postupy pro odstranění pochybností jsou popsány v § 85 odst. 1 zákona č. 280/2009 Sb., daňový řád.</w:t>
      </w:r>
    </w:p>
  </w:footnote>
  <w:footnote w:id="28">
    <w:p w14:paraId="61586853" w14:textId="19DD2530" w:rsidR="00FF1AD0" w:rsidRPr="00647AA9" w:rsidRDefault="00FF1AD0" w:rsidP="00247CAB">
      <w:pPr>
        <w:pStyle w:val="Textpoznpodarou"/>
        <w:ind w:left="284" w:hanging="284"/>
      </w:pPr>
      <w:r w:rsidRPr="00647AA9">
        <w:rPr>
          <w:rStyle w:val="Znakapoznpodarou"/>
        </w:rPr>
        <w:footnoteRef/>
      </w:r>
      <w:r w:rsidRPr="00647AA9">
        <w:t xml:space="preserve"> </w:t>
      </w:r>
      <w:r>
        <w:tab/>
      </w:r>
      <w:r w:rsidRPr="00247CAB">
        <w:t xml:space="preserve">Ustanovení </w:t>
      </w:r>
      <w:r w:rsidRPr="00247CAB">
        <w:rPr>
          <w:rFonts w:asciiTheme="minorHAnsi" w:hAnsiTheme="minorHAnsi" w:cstheme="minorHAnsi"/>
        </w:rPr>
        <w:t>§ 8 ZDHH.</w:t>
      </w:r>
    </w:p>
  </w:footnote>
  <w:footnote w:id="29">
    <w:p w14:paraId="17A72EFE" w14:textId="0CB35740" w:rsidR="00FF1AD0" w:rsidRPr="00647AA9" w:rsidRDefault="00FF1AD0" w:rsidP="00247CAB">
      <w:pPr>
        <w:pStyle w:val="Textpoznpodarou"/>
        <w:ind w:left="284" w:hanging="284"/>
      </w:pPr>
      <w:r w:rsidRPr="00647AA9">
        <w:rPr>
          <w:rStyle w:val="Znakapoznpodarou"/>
        </w:rPr>
        <w:footnoteRef/>
      </w:r>
      <w:r w:rsidRPr="00647AA9">
        <w:t xml:space="preserve"> </w:t>
      </w:r>
      <w:r>
        <w:tab/>
      </w:r>
      <w:r w:rsidRPr="00247CAB">
        <w:rPr>
          <w:rFonts w:asciiTheme="minorHAnsi" w:hAnsiTheme="minorHAnsi" w:cstheme="minorHAnsi"/>
        </w:rPr>
        <w:t>Ustanovení § 95 odst. 2 písm. c) ZHH.</w:t>
      </w:r>
    </w:p>
  </w:footnote>
  <w:footnote w:id="30">
    <w:p w14:paraId="03C27CE6" w14:textId="5726EA72" w:rsidR="00FF1AD0" w:rsidRPr="00647AA9" w:rsidRDefault="00FF1AD0" w:rsidP="00247CAB">
      <w:pPr>
        <w:pStyle w:val="Textpoznpodarou"/>
        <w:ind w:left="284" w:hanging="284"/>
      </w:pPr>
      <w:r w:rsidRPr="00647AA9">
        <w:rPr>
          <w:rStyle w:val="Znakapoznpodarou"/>
        </w:rPr>
        <w:footnoteRef/>
      </w:r>
      <w:r w:rsidRPr="00647AA9">
        <w:t xml:space="preserve"> </w:t>
      </w:r>
      <w:r>
        <w:tab/>
      </w:r>
      <w:r w:rsidRPr="00247CAB">
        <w:rPr>
          <w:rFonts w:asciiTheme="minorHAnsi" w:hAnsiTheme="minorHAnsi" w:cstheme="minorHAnsi"/>
          <w:color w:val="000000"/>
        </w:rPr>
        <w:t xml:space="preserve">Ustanovení </w:t>
      </w:r>
      <w:r w:rsidRPr="00247CAB">
        <w:rPr>
          <w:rFonts w:asciiTheme="minorHAnsi" w:hAnsiTheme="minorHAnsi" w:cstheme="minorHAnsi"/>
        </w:rPr>
        <w:t>§ 95 odst. 2 písm. c) ZHH.</w:t>
      </w:r>
    </w:p>
  </w:footnote>
  <w:footnote w:id="31">
    <w:p w14:paraId="193FD230" w14:textId="77777777" w:rsidR="00FF1AD0" w:rsidRPr="00647AA9" w:rsidRDefault="00FF1AD0" w:rsidP="005715A0">
      <w:pPr>
        <w:pStyle w:val="Textpoznpodarou"/>
        <w:ind w:left="284" w:hanging="284"/>
      </w:pPr>
      <w:r w:rsidRPr="00647AA9">
        <w:rPr>
          <w:rStyle w:val="Znakapoznpodarou"/>
        </w:rPr>
        <w:footnoteRef/>
      </w:r>
      <w:r w:rsidRPr="00647AA9">
        <w:t xml:space="preserve"> </w:t>
      </w:r>
      <w:r>
        <w:tab/>
      </w:r>
      <w:r w:rsidRPr="00852970">
        <w:t xml:space="preserve">Ustanovení </w:t>
      </w:r>
      <w:r w:rsidRPr="00852970">
        <w:rPr>
          <w:rFonts w:asciiTheme="minorHAnsi" w:hAnsiTheme="minorHAnsi" w:cstheme="minorHAnsi"/>
        </w:rPr>
        <w:t xml:space="preserve">§ 156 odst. 1 </w:t>
      </w:r>
      <w:r w:rsidRPr="00852970">
        <w:t>zákona č. 280/2009 Sb., daňový řád</w:t>
      </w:r>
      <w:r w:rsidRPr="00852970">
        <w:rPr>
          <w:rFonts w:asciiTheme="minorHAnsi" w:hAnsiTheme="minorHAnsi" w:cstheme="minorHAnsi"/>
        </w:rPr>
        <w:t>.</w:t>
      </w:r>
    </w:p>
  </w:footnote>
  <w:footnote w:id="32">
    <w:p w14:paraId="751C59D2" w14:textId="1E371F50" w:rsidR="00FF1AD0" w:rsidRPr="00247CAB" w:rsidRDefault="00FF1AD0" w:rsidP="00247CAB">
      <w:pPr>
        <w:pStyle w:val="Textpoznpodarou"/>
        <w:ind w:left="284" w:hanging="284"/>
      </w:pPr>
      <w:r w:rsidRPr="00247CAB">
        <w:rPr>
          <w:rStyle w:val="Znakapoznpodarou"/>
        </w:rPr>
        <w:footnoteRef/>
      </w:r>
      <w:r w:rsidRPr="00247CAB">
        <w:t xml:space="preserve"> </w:t>
      </w:r>
      <w:r>
        <w:tab/>
      </w:r>
      <w:r w:rsidRPr="00247CAB">
        <w:t>Údaje z podaných daňových přiznání za roky 2017–2021.</w:t>
      </w:r>
    </w:p>
  </w:footnote>
  <w:footnote w:id="33">
    <w:p w14:paraId="491AC4F2" w14:textId="26134D07" w:rsidR="00FF1AD0" w:rsidRPr="00247CAB" w:rsidRDefault="00FF1AD0" w:rsidP="00247CAB">
      <w:pPr>
        <w:pStyle w:val="Textpoznpodarou"/>
        <w:ind w:left="284" w:hanging="284"/>
      </w:pPr>
      <w:r w:rsidRPr="00247CAB">
        <w:rPr>
          <w:rStyle w:val="Znakapoznpodarou"/>
        </w:rPr>
        <w:footnoteRef/>
      </w:r>
      <w:r w:rsidRPr="00247CAB">
        <w:t xml:space="preserve"> </w:t>
      </w:r>
      <w:r>
        <w:tab/>
      </w:r>
      <w:r w:rsidRPr="00247CAB">
        <w:t xml:space="preserve">K 1. 1. 2023 </w:t>
      </w:r>
      <w:r>
        <w:t>evidovalo MF v</w:t>
      </w:r>
      <w:r w:rsidRPr="00247CAB">
        <w:t xml:space="preserve"> </w:t>
      </w:r>
      <w:r>
        <w:t>„</w:t>
      </w:r>
      <w:r w:rsidRPr="00247CAB">
        <w:t>seznamu provozovatelů hazardních her podle ZHH</w:t>
      </w:r>
      <w:r>
        <w:t>“ tři provozovatele se sídlem mimo ČR.</w:t>
      </w:r>
      <w:r w:rsidRPr="00247CAB">
        <w:t xml:space="preserve"> </w:t>
      </w:r>
    </w:p>
  </w:footnote>
  <w:footnote w:id="34">
    <w:p w14:paraId="6CA83DA0" w14:textId="1358B1CD" w:rsidR="00FF1AD0" w:rsidRPr="00247CAB" w:rsidRDefault="00FF1AD0" w:rsidP="00247CAB">
      <w:pPr>
        <w:pStyle w:val="Textpoznpodarou"/>
        <w:ind w:left="284" w:hanging="284"/>
      </w:pPr>
      <w:r w:rsidRPr="00247CAB">
        <w:rPr>
          <w:rStyle w:val="Znakapoznpodarou"/>
        </w:rPr>
        <w:footnoteRef/>
      </w:r>
      <w:r w:rsidRPr="00247CAB">
        <w:t xml:space="preserve"> </w:t>
      </w:r>
      <w:r>
        <w:tab/>
      </w:r>
      <w:r w:rsidRPr="00247CAB">
        <w:t>Seznam nepovolených internetových her zveřejň</w:t>
      </w:r>
      <w:r>
        <w:t>uje</w:t>
      </w:r>
      <w:r w:rsidRPr="00247CAB">
        <w:t xml:space="preserve"> na</w:t>
      </w:r>
      <w:r>
        <w:t xml:space="preserve"> svých</w:t>
      </w:r>
      <w:r w:rsidRPr="00247CAB">
        <w:t xml:space="preserve"> internetových stránkách </w:t>
      </w:r>
      <w:r>
        <w:t>Ministerstvo financí</w:t>
      </w:r>
      <w:r w:rsidRPr="00247CAB">
        <w:t xml:space="preserve">. </w:t>
      </w:r>
    </w:p>
  </w:footnote>
  <w:footnote w:id="35">
    <w:p w14:paraId="7B0C081D" w14:textId="4CA9B14E" w:rsidR="00FF1AD0" w:rsidRPr="00647AA9" w:rsidRDefault="00FF1AD0" w:rsidP="00247CAB">
      <w:pPr>
        <w:pStyle w:val="Textpoznpodarou"/>
        <w:ind w:left="284" w:hanging="284"/>
      </w:pPr>
      <w:r w:rsidRPr="00247CAB">
        <w:rPr>
          <w:rStyle w:val="Znakapoznpodarou"/>
        </w:rPr>
        <w:footnoteRef/>
      </w:r>
      <w:r w:rsidRPr="00247CAB">
        <w:t xml:space="preserve"> </w:t>
      </w:r>
      <w:r>
        <w:tab/>
      </w:r>
      <w:r w:rsidRPr="00247CAB">
        <w:t>Hazardní hra provozovaná prostřednictvím internetu se považuje za provozovanou na území České republiky, je-li i jen z části zaměřena nebo cílena mimo jiné na osoby, které mají bydliště na území České republiky.</w:t>
      </w:r>
    </w:p>
  </w:footnote>
  <w:footnote w:id="36">
    <w:p w14:paraId="3AD6B162" w14:textId="28CA8725" w:rsidR="00FF1AD0" w:rsidRPr="00247CAB" w:rsidRDefault="00FF1AD0" w:rsidP="00247CAB">
      <w:pPr>
        <w:pStyle w:val="Textpoznpodarou"/>
        <w:ind w:left="284" w:hanging="284"/>
      </w:pPr>
      <w:r w:rsidRPr="00247CAB">
        <w:rPr>
          <w:rStyle w:val="Znakapoznpodarou"/>
        </w:rPr>
        <w:footnoteRef/>
      </w:r>
      <w:r w:rsidRPr="00247CAB">
        <w:t xml:space="preserve"> </w:t>
      </w:r>
      <w:r>
        <w:tab/>
        <w:t xml:space="preserve">Ustanovení </w:t>
      </w:r>
      <w:r w:rsidRPr="00247CAB">
        <w:rPr>
          <w:rFonts w:asciiTheme="minorHAnsi" w:hAnsiTheme="minorHAnsi"/>
        </w:rPr>
        <w:t>§ 123 odst. 1 písm. b) ZHH</w:t>
      </w:r>
      <w:r>
        <w:rPr>
          <w:rFonts w:asciiTheme="minorHAnsi" w:hAnsiTheme="min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14D"/>
    <w:multiLevelType w:val="hybridMultilevel"/>
    <w:tmpl w:val="1886252A"/>
    <w:lvl w:ilvl="0" w:tplc="0405000B">
      <w:start w:val="1"/>
      <w:numFmt w:val="bullet"/>
      <w:lvlText w:val=""/>
      <w:lvlJc w:val="left"/>
      <w:pPr>
        <w:ind w:left="928" w:hanging="360"/>
      </w:pPr>
      <w:rPr>
        <w:rFonts w:ascii="Wingdings" w:hAnsi="Wingdings"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1" w15:restartNumberingAfterBreak="0">
    <w:nsid w:val="0BFF65E8"/>
    <w:multiLevelType w:val="hybridMultilevel"/>
    <w:tmpl w:val="74D6CACC"/>
    <w:lvl w:ilvl="0" w:tplc="0405000B">
      <w:start w:val="1"/>
      <w:numFmt w:val="bullet"/>
      <w:lvlText w:val=""/>
      <w:lvlJc w:val="left"/>
      <w:pPr>
        <w:ind w:left="1661" w:hanging="360"/>
      </w:pPr>
      <w:rPr>
        <w:rFonts w:ascii="Wingdings" w:hAnsi="Wingdings" w:hint="default"/>
      </w:rPr>
    </w:lvl>
    <w:lvl w:ilvl="1" w:tplc="04050003">
      <w:start w:val="1"/>
      <w:numFmt w:val="bullet"/>
      <w:lvlText w:val="o"/>
      <w:lvlJc w:val="left"/>
      <w:pPr>
        <w:ind w:left="2381" w:hanging="360"/>
      </w:pPr>
      <w:rPr>
        <w:rFonts w:ascii="Courier New" w:hAnsi="Courier New" w:cs="Courier New" w:hint="default"/>
      </w:rPr>
    </w:lvl>
    <w:lvl w:ilvl="2" w:tplc="04050005" w:tentative="1">
      <w:start w:val="1"/>
      <w:numFmt w:val="bullet"/>
      <w:lvlText w:val=""/>
      <w:lvlJc w:val="left"/>
      <w:pPr>
        <w:ind w:left="3101" w:hanging="360"/>
      </w:pPr>
      <w:rPr>
        <w:rFonts w:ascii="Wingdings" w:hAnsi="Wingdings" w:hint="default"/>
      </w:rPr>
    </w:lvl>
    <w:lvl w:ilvl="3" w:tplc="04050001" w:tentative="1">
      <w:start w:val="1"/>
      <w:numFmt w:val="bullet"/>
      <w:lvlText w:val=""/>
      <w:lvlJc w:val="left"/>
      <w:pPr>
        <w:ind w:left="3821" w:hanging="360"/>
      </w:pPr>
      <w:rPr>
        <w:rFonts w:ascii="Symbol" w:hAnsi="Symbol" w:hint="default"/>
      </w:rPr>
    </w:lvl>
    <w:lvl w:ilvl="4" w:tplc="04050003" w:tentative="1">
      <w:start w:val="1"/>
      <w:numFmt w:val="bullet"/>
      <w:lvlText w:val="o"/>
      <w:lvlJc w:val="left"/>
      <w:pPr>
        <w:ind w:left="4541" w:hanging="360"/>
      </w:pPr>
      <w:rPr>
        <w:rFonts w:ascii="Courier New" w:hAnsi="Courier New" w:cs="Courier New" w:hint="default"/>
      </w:rPr>
    </w:lvl>
    <w:lvl w:ilvl="5" w:tplc="04050005" w:tentative="1">
      <w:start w:val="1"/>
      <w:numFmt w:val="bullet"/>
      <w:lvlText w:val=""/>
      <w:lvlJc w:val="left"/>
      <w:pPr>
        <w:ind w:left="5261" w:hanging="360"/>
      </w:pPr>
      <w:rPr>
        <w:rFonts w:ascii="Wingdings" w:hAnsi="Wingdings" w:hint="default"/>
      </w:rPr>
    </w:lvl>
    <w:lvl w:ilvl="6" w:tplc="04050001" w:tentative="1">
      <w:start w:val="1"/>
      <w:numFmt w:val="bullet"/>
      <w:lvlText w:val=""/>
      <w:lvlJc w:val="left"/>
      <w:pPr>
        <w:ind w:left="5981" w:hanging="360"/>
      </w:pPr>
      <w:rPr>
        <w:rFonts w:ascii="Symbol" w:hAnsi="Symbol" w:hint="default"/>
      </w:rPr>
    </w:lvl>
    <w:lvl w:ilvl="7" w:tplc="04050003" w:tentative="1">
      <w:start w:val="1"/>
      <w:numFmt w:val="bullet"/>
      <w:lvlText w:val="o"/>
      <w:lvlJc w:val="left"/>
      <w:pPr>
        <w:ind w:left="6701" w:hanging="360"/>
      </w:pPr>
      <w:rPr>
        <w:rFonts w:ascii="Courier New" w:hAnsi="Courier New" w:cs="Courier New" w:hint="default"/>
      </w:rPr>
    </w:lvl>
    <w:lvl w:ilvl="8" w:tplc="04050005" w:tentative="1">
      <w:start w:val="1"/>
      <w:numFmt w:val="bullet"/>
      <w:lvlText w:val=""/>
      <w:lvlJc w:val="left"/>
      <w:pPr>
        <w:ind w:left="7421" w:hanging="360"/>
      </w:pPr>
      <w:rPr>
        <w:rFonts w:ascii="Wingdings" w:hAnsi="Wingdings" w:hint="default"/>
      </w:rPr>
    </w:lvl>
  </w:abstractNum>
  <w:abstractNum w:abstractNumId="2" w15:restartNumberingAfterBreak="0">
    <w:nsid w:val="0C9C66B4"/>
    <w:multiLevelType w:val="hybridMultilevel"/>
    <w:tmpl w:val="A4806D30"/>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10565E18"/>
    <w:multiLevelType w:val="hybridMultilevel"/>
    <w:tmpl w:val="26E0DA6E"/>
    <w:lvl w:ilvl="0" w:tplc="283039FE">
      <w:start w:val="4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64060B"/>
    <w:multiLevelType w:val="hybridMultilevel"/>
    <w:tmpl w:val="A3AC783A"/>
    <w:lvl w:ilvl="0" w:tplc="18D86EFA">
      <w:start w:val="1"/>
      <w:numFmt w:val="bullet"/>
      <w:pStyle w:val="Odrkyvtextunemazat"/>
      <w:lvlText w:val="‒"/>
      <w:lvlJc w:val="left"/>
      <w:pPr>
        <w:ind w:left="720" w:hanging="360"/>
      </w:pPr>
      <w:rPr>
        <w:rFonts w:ascii="Calibri" w:eastAsia="Times New Roman" w:hAnsi="Calibri" w:cs="Calibri" w:hint="default"/>
      </w:rPr>
    </w:lvl>
    <w:lvl w:ilvl="1" w:tplc="A36AAA3E">
      <w:start w:val="1"/>
      <w:numFmt w:val="bullet"/>
      <w:lvlText w:val="-"/>
      <w:lvlJc w:val="left"/>
      <w:pPr>
        <w:ind w:left="1440" w:hanging="360"/>
      </w:pPr>
      <w:rPr>
        <w:rFonts w:ascii="Calibri" w:eastAsia="Times New Roman" w:hAnsi="Calibri" w:cs="Calibri" w:hint="default"/>
      </w:rPr>
    </w:lvl>
    <w:lvl w:ilvl="2" w:tplc="2EA27CE4">
      <w:start w:val="1"/>
      <w:numFmt w:val="bullet"/>
      <w:lvlText w:val=""/>
      <w:lvlJc w:val="left"/>
      <w:pPr>
        <w:ind w:left="2160" w:hanging="360"/>
      </w:pPr>
      <w:rPr>
        <w:rFonts w:ascii="Wingdings" w:hAnsi="Wingdings" w:hint="default"/>
      </w:rPr>
    </w:lvl>
    <w:lvl w:ilvl="3" w:tplc="C83A0B04" w:tentative="1">
      <w:start w:val="1"/>
      <w:numFmt w:val="bullet"/>
      <w:lvlText w:val=""/>
      <w:lvlJc w:val="left"/>
      <w:pPr>
        <w:ind w:left="2880" w:hanging="360"/>
      </w:pPr>
      <w:rPr>
        <w:rFonts w:ascii="Symbol" w:hAnsi="Symbol" w:hint="default"/>
      </w:rPr>
    </w:lvl>
    <w:lvl w:ilvl="4" w:tplc="0F6E3C20" w:tentative="1">
      <w:start w:val="1"/>
      <w:numFmt w:val="bullet"/>
      <w:lvlText w:val="o"/>
      <w:lvlJc w:val="left"/>
      <w:pPr>
        <w:ind w:left="3600" w:hanging="360"/>
      </w:pPr>
      <w:rPr>
        <w:rFonts w:ascii="Courier New" w:hAnsi="Courier New" w:cs="Courier New" w:hint="default"/>
      </w:rPr>
    </w:lvl>
    <w:lvl w:ilvl="5" w:tplc="282A47E6" w:tentative="1">
      <w:start w:val="1"/>
      <w:numFmt w:val="bullet"/>
      <w:lvlText w:val=""/>
      <w:lvlJc w:val="left"/>
      <w:pPr>
        <w:ind w:left="4320" w:hanging="360"/>
      </w:pPr>
      <w:rPr>
        <w:rFonts w:ascii="Wingdings" w:hAnsi="Wingdings" w:hint="default"/>
      </w:rPr>
    </w:lvl>
    <w:lvl w:ilvl="6" w:tplc="A57879F0" w:tentative="1">
      <w:start w:val="1"/>
      <w:numFmt w:val="bullet"/>
      <w:lvlText w:val=""/>
      <w:lvlJc w:val="left"/>
      <w:pPr>
        <w:ind w:left="5040" w:hanging="360"/>
      </w:pPr>
      <w:rPr>
        <w:rFonts w:ascii="Symbol" w:hAnsi="Symbol" w:hint="default"/>
      </w:rPr>
    </w:lvl>
    <w:lvl w:ilvl="7" w:tplc="4FA29200" w:tentative="1">
      <w:start w:val="1"/>
      <w:numFmt w:val="bullet"/>
      <w:lvlText w:val="o"/>
      <w:lvlJc w:val="left"/>
      <w:pPr>
        <w:ind w:left="5760" w:hanging="360"/>
      </w:pPr>
      <w:rPr>
        <w:rFonts w:ascii="Courier New" w:hAnsi="Courier New" w:cs="Courier New" w:hint="default"/>
      </w:rPr>
    </w:lvl>
    <w:lvl w:ilvl="8" w:tplc="78221EEE" w:tentative="1">
      <w:start w:val="1"/>
      <w:numFmt w:val="bullet"/>
      <w:lvlText w:val=""/>
      <w:lvlJc w:val="left"/>
      <w:pPr>
        <w:ind w:left="6480" w:hanging="360"/>
      </w:pPr>
      <w:rPr>
        <w:rFonts w:ascii="Wingdings" w:hAnsi="Wingdings" w:hint="default"/>
      </w:rPr>
    </w:lvl>
  </w:abstractNum>
  <w:abstractNum w:abstractNumId="5" w15:restartNumberingAfterBreak="0">
    <w:nsid w:val="13653B74"/>
    <w:multiLevelType w:val="hybridMultilevel"/>
    <w:tmpl w:val="16D09ADC"/>
    <w:lvl w:ilvl="0" w:tplc="97A88A6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D32DCA"/>
    <w:multiLevelType w:val="hybridMultilevel"/>
    <w:tmpl w:val="456E1D24"/>
    <w:lvl w:ilvl="0" w:tplc="373C520C">
      <w:start w:val="1"/>
      <w:numFmt w:val="decimal"/>
      <w:lvlText w:val="%1."/>
      <w:lvlJc w:val="left"/>
      <w:pPr>
        <w:ind w:left="502" w:hanging="360"/>
      </w:pPr>
      <w:rPr>
        <w:rFonts w:hint="default"/>
        <w:b/>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137254"/>
    <w:multiLevelType w:val="hybridMultilevel"/>
    <w:tmpl w:val="0E367636"/>
    <w:lvl w:ilvl="0" w:tplc="5C5ED8C8">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8" w15:restartNumberingAfterBreak="0">
    <w:nsid w:val="18081102"/>
    <w:multiLevelType w:val="hybridMultilevel"/>
    <w:tmpl w:val="4B348FE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A818F0"/>
    <w:multiLevelType w:val="hybridMultilevel"/>
    <w:tmpl w:val="36D2A1C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8A94E51"/>
    <w:multiLevelType w:val="hybridMultilevel"/>
    <w:tmpl w:val="456E1D24"/>
    <w:lvl w:ilvl="0" w:tplc="373C520C">
      <w:start w:val="1"/>
      <w:numFmt w:val="decimal"/>
      <w:lvlText w:val="%1."/>
      <w:lvlJc w:val="left"/>
      <w:pPr>
        <w:ind w:left="502" w:hanging="360"/>
      </w:pPr>
      <w:rPr>
        <w:rFonts w:hint="default"/>
        <w:b/>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8D12E6D"/>
    <w:multiLevelType w:val="hybridMultilevel"/>
    <w:tmpl w:val="963C183E"/>
    <w:lvl w:ilvl="0" w:tplc="4DEE3726">
      <w:start w:val="1"/>
      <w:numFmt w:val="bullet"/>
      <w:lvlText w:val=""/>
      <w:lvlJc w:val="left"/>
      <w:pPr>
        <w:ind w:left="720" w:hanging="360"/>
      </w:pPr>
      <w:rPr>
        <w:rFonts w:ascii="Symbol" w:hAnsi="Symbol" w:hint="default"/>
        <w:strike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9811413"/>
    <w:multiLevelType w:val="hybridMultilevel"/>
    <w:tmpl w:val="8A0EB90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1D2140D1"/>
    <w:multiLevelType w:val="hybridMultilevel"/>
    <w:tmpl w:val="22547A1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DF443BA"/>
    <w:multiLevelType w:val="hybridMultilevel"/>
    <w:tmpl w:val="E3025F4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22B663C2"/>
    <w:multiLevelType w:val="hybridMultilevel"/>
    <w:tmpl w:val="9AC01FA4"/>
    <w:lvl w:ilvl="0" w:tplc="0405000B">
      <w:start w:val="1"/>
      <w:numFmt w:val="bullet"/>
      <w:lvlText w:val=""/>
      <w:lvlJc w:val="left"/>
      <w:pPr>
        <w:ind w:left="1287" w:hanging="360"/>
      </w:pPr>
      <w:rPr>
        <w:rFonts w:ascii="Wingdings" w:hAnsi="Wingdings" w:hint="default"/>
      </w:rPr>
    </w:lvl>
    <w:lvl w:ilvl="1" w:tplc="0405000B">
      <w:start w:val="1"/>
      <w:numFmt w:val="bullet"/>
      <w:lvlText w:val=""/>
      <w:lvlJc w:val="left"/>
      <w:pPr>
        <w:ind w:left="2007" w:hanging="360"/>
      </w:pPr>
      <w:rPr>
        <w:rFonts w:ascii="Wingdings" w:hAnsi="Wingdings"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2310562D"/>
    <w:multiLevelType w:val="hybridMultilevel"/>
    <w:tmpl w:val="DB84CFDA"/>
    <w:lvl w:ilvl="0" w:tplc="83C21910">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4126DB5"/>
    <w:multiLevelType w:val="hybridMultilevel"/>
    <w:tmpl w:val="237CBEA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548627D"/>
    <w:multiLevelType w:val="hybridMultilevel"/>
    <w:tmpl w:val="1D7C913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78C6163"/>
    <w:multiLevelType w:val="hybridMultilevel"/>
    <w:tmpl w:val="D2162E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2BD074F3"/>
    <w:multiLevelType w:val="hybridMultilevel"/>
    <w:tmpl w:val="7A20C0C6"/>
    <w:lvl w:ilvl="0" w:tplc="17BCDCBC">
      <w:start w:val="1"/>
      <w:numFmt w:val="bullet"/>
      <w:lvlText w:val="‒"/>
      <w:lvlJc w:val="left"/>
      <w:pPr>
        <w:ind w:left="720" w:hanging="360"/>
      </w:pPr>
      <w:rPr>
        <w:rFonts w:ascii="Calibri" w:eastAsia="Times New Roman" w:hAnsi="Calibri" w:cs="Calibri" w:hint="default"/>
      </w:rPr>
    </w:lvl>
    <w:lvl w:ilvl="1" w:tplc="B308E398">
      <w:start w:val="1"/>
      <w:numFmt w:val="bullet"/>
      <w:lvlText w:val="o"/>
      <w:lvlJc w:val="left"/>
      <w:pPr>
        <w:ind w:left="1440" w:hanging="360"/>
      </w:pPr>
      <w:rPr>
        <w:rFonts w:ascii="Courier New" w:hAnsi="Courier New" w:cs="Courier New" w:hint="default"/>
      </w:rPr>
    </w:lvl>
    <w:lvl w:ilvl="2" w:tplc="F80ECAD0" w:tentative="1">
      <w:start w:val="1"/>
      <w:numFmt w:val="bullet"/>
      <w:lvlText w:val=""/>
      <w:lvlJc w:val="left"/>
      <w:pPr>
        <w:ind w:left="2160" w:hanging="360"/>
      </w:pPr>
      <w:rPr>
        <w:rFonts w:ascii="Wingdings" w:hAnsi="Wingdings" w:hint="default"/>
      </w:rPr>
    </w:lvl>
    <w:lvl w:ilvl="3" w:tplc="116E033C" w:tentative="1">
      <w:start w:val="1"/>
      <w:numFmt w:val="bullet"/>
      <w:lvlText w:val=""/>
      <w:lvlJc w:val="left"/>
      <w:pPr>
        <w:ind w:left="2880" w:hanging="360"/>
      </w:pPr>
      <w:rPr>
        <w:rFonts w:ascii="Symbol" w:hAnsi="Symbol" w:hint="default"/>
      </w:rPr>
    </w:lvl>
    <w:lvl w:ilvl="4" w:tplc="5D7237FA" w:tentative="1">
      <w:start w:val="1"/>
      <w:numFmt w:val="bullet"/>
      <w:lvlText w:val="o"/>
      <w:lvlJc w:val="left"/>
      <w:pPr>
        <w:ind w:left="3600" w:hanging="360"/>
      </w:pPr>
      <w:rPr>
        <w:rFonts w:ascii="Courier New" w:hAnsi="Courier New" w:cs="Courier New" w:hint="default"/>
      </w:rPr>
    </w:lvl>
    <w:lvl w:ilvl="5" w:tplc="F8A22894" w:tentative="1">
      <w:start w:val="1"/>
      <w:numFmt w:val="bullet"/>
      <w:lvlText w:val=""/>
      <w:lvlJc w:val="left"/>
      <w:pPr>
        <w:ind w:left="4320" w:hanging="360"/>
      </w:pPr>
      <w:rPr>
        <w:rFonts w:ascii="Wingdings" w:hAnsi="Wingdings" w:hint="default"/>
      </w:rPr>
    </w:lvl>
    <w:lvl w:ilvl="6" w:tplc="2CD43E96" w:tentative="1">
      <w:start w:val="1"/>
      <w:numFmt w:val="bullet"/>
      <w:lvlText w:val=""/>
      <w:lvlJc w:val="left"/>
      <w:pPr>
        <w:ind w:left="5040" w:hanging="360"/>
      </w:pPr>
      <w:rPr>
        <w:rFonts w:ascii="Symbol" w:hAnsi="Symbol" w:hint="default"/>
      </w:rPr>
    </w:lvl>
    <w:lvl w:ilvl="7" w:tplc="781C4228" w:tentative="1">
      <w:start w:val="1"/>
      <w:numFmt w:val="bullet"/>
      <w:lvlText w:val="o"/>
      <w:lvlJc w:val="left"/>
      <w:pPr>
        <w:ind w:left="5760" w:hanging="360"/>
      </w:pPr>
      <w:rPr>
        <w:rFonts w:ascii="Courier New" w:hAnsi="Courier New" w:cs="Courier New" w:hint="default"/>
      </w:rPr>
    </w:lvl>
    <w:lvl w:ilvl="8" w:tplc="8976005C" w:tentative="1">
      <w:start w:val="1"/>
      <w:numFmt w:val="bullet"/>
      <w:lvlText w:val=""/>
      <w:lvlJc w:val="left"/>
      <w:pPr>
        <w:ind w:left="6480" w:hanging="360"/>
      </w:pPr>
      <w:rPr>
        <w:rFonts w:ascii="Wingdings" w:hAnsi="Wingdings" w:hint="default"/>
      </w:rPr>
    </w:lvl>
  </w:abstractNum>
  <w:abstractNum w:abstractNumId="21" w15:restartNumberingAfterBreak="0">
    <w:nsid w:val="2D0842E6"/>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61D24D1"/>
    <w:multiLevelType w:val="hybridMultilevel"/>
    <w:tmpl w:val="4DB80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9315322"/>
    <w:multiLevelType w:val="hybridMultilevel"/>
    <w:tmpl w:val="15E68A26"/>
    <w:lvl w:ilvl="0" w:tplc="A56214FE">
      <w:start w:val="1"/>
      <w:numFmt w:val="bullet"/>
      <w:lvlText w:val=""/>
      <w:lvlJc w:val="left"/>
      <w:pPr>
        <w:ind w:left="720" w:hanging="360"/>
      </w:pPr>
      <w:rPr>
        <w:rFonts w:ascii="Symbol" w:hAnsi="Symbol" w:hint="default"/>
      </w:rPr>
    </w:lvl>
    <w:lvl w:ilvl="1" w:tplc="9D6A60D0" w:tentative="1">
      <w:start w:val="1"/>
      <w:numFmt w:val="bullet"/>
      <w:lvlText w:val="o"/>
      <w:lvlJc w:val="left"/>
      <w:pPr>
        <w:ind w:left="1440" w:hanging="360"/>
      </w:pPr>
      <w:rPr>
        <w:rFonts w:ascii="Courier New" w:hAnsi="Courier New" w:cs="Courier New" w:hint="default"/>
      </w:rPr>
    </w:lvl>
    <w:lvl w:ilvl="2" w:tplc="6D0AA1F6" w:tentative="1">
      <w:start w:val="1"/>
      <w:numFmt w:val="bullet"/>
      <w:lvlText w:val=""/>
      <w:lvlJc w:val="left"/>
      <w:pPr>
        <w:ind w:left="2160" w:hanging="360"/>
      </w:pPr>
      <w:rPr>
        <w:rFonts w:ascii="Wingdings" w:hAnsi="Wingdings" w:hint="default"/>
      </w:rPr>
    </w:lvl>
    <w:lvl w:ilvl="3" w:tplc="FB104C52" w:tentative="1">
      <w:start w:val="1"/>
      <w:numFmt w:val="bullet"/>
      <w:lvlText w:val=""/>
      <w:lvlJc w:val="left"/>
      <w:pPr>
        <w:ind w:left="2880" w:hanging="360"/>
      </w:pPr>
      <w:rPr>
        <w:rFonts w:ascii="Symbol" w:hAnsi="Symbol" w:hint="default"/>
      </w:rPr>
    </w:lvl>
    <w:lvl w:ilvl="4" w:tplc="367CAC88" w:tentative="1">
      <w:start w:val="1"/>
      <w:numFmt w:val="bullet"/>
      <w:lvlText w:val="o"/>
      <w:lvlJc w:val="left"/>
      <w:pPr>
        <w:ind w:left="3600" w:hanging="360"/>
      </w:pPr>
      <w:rPr>
        <w:rFonts w:ascii="Courier New" w:hAnsi="Courier New" w:cs="Courier New" w:hint="default"/>
      </w:rPr>
    </w:lvl>
    <w:lvl w:ilvl="5" w:tplc="8B1AC7A4" w:tentative="1">
      <w:start w:val="1"/>
      <w:numFmt w:val="bullet"/>
      <w:lvlText w:val=""/>
      <w:lvlJc w:val="left"/>
      <w:pPr>
        <w:ind w:left="4320" w:hanging="360"/>
      </w:pPr>
      <w:rPr>
        <w:rFonts w:ascii="Wingdings" w:hAnsi="Wingdings" w:hint="default"/>
      </w:rPr>
    </w:lvl>
    <w:lvl w:ilvl="6" w:tplc="8C8407DC" w:tentative="1">
      <w:start w:val="1"/>
      <w:numFmt w:val="bullet"/>
      <w:lvlText w:val=""/>
      <w:lvlJc w:val="left"/>
      <w:pPr>
        <w:ind w:left="5040" w:hanging="360"/>
      </w:pPr>
      <w:rPr>
        <w:rFonts w:ascii="Symbol" w:hAnsi="Symbol" w:hint="default"/>
      </w:rPr>
    </w:lvl>
    <w:lvl w:ilvl="7" w:tplc="F5A44678" w:tentative="1">
      <w:start w:val="1"/>
      <w:numFmt w:val="bullet"/>
      <w:lvlText w:val="o"/>
      <w:lvlJc w:val="left"/>
      <w:pPr>
        <w:ind w:left="5760" w:hanging="360"/>
      </w:pPr>
      <w:rPr>
        <w:rFonts w:ascii="Courier New" w:hAnsi="Courier New" w:cs="Courier New" w:hint="default"/>
      </w:rPr>
    </w:lvl>
    <w:lvl w:ilvl="8" w:tplc="DF66EE48" w:tentative="1">
      <w:start w:val="1"/>
      <w:numFmt w:val="bullet"/>
      <w:lvlText w:val=""/>
      <w:lvlJc w:val="left"/>
      <w:pPr>
        <w:ind w:left="6480" w:hanging="360"/>
      </w:pPr>
      <w:rPr>
        <w:rFonts w:ascii="Wingdings" w:hAnsi="Wingdings" w:hint="default"/>
      </w:rPr>
    </w:lvl>
  </w:abstractNum>
  <w:abstractNum w:abstractNumId="24" w15:restartNumberingAfterBreak="0">
    <w:nsid w:val="3ADF3019"/>
    <w:multiLevelType w:val="multilevel"/>
    <w:tmpl w:val="E6EA3182"/>
    <w:lvl w:ilvl="0">
      <w:start w:val="1"/>
      <w:numFmt w:val="decimal"/>
      <w:lvlText w:val="%1."/>
      <w:lvlJc w:val="left"/>
      <w:pPr>
        <w:ind w:left="720" w:hanging="360"/>
      </w:pPr>
      <w:rPr>
        <w:rFonts w:hint="default"/>
        <w:b/>
      </w:rPr>
    </w:lvl>
    <w:lvl w:ilvl="1">
      <w:start w:val="1"/>
      <w:numFmt w:val="bullet"/>
      <w:lvlText w:val=""/>
      <w:lvlJc w:val="left"/>
      <w:pPr>
        <w:ind w:left="942" w:hanging="375"/>
      </w:pPr>
      <w:rPr>
        <w:rFonts w:ascii="Wingdings" w:hAnsi="Wingding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25" w15:restartNumberingAfterBreak="0">
    <w:nsid w:val="3BE176FB"/>
    <w:multiLevelType w:val="hybridMultilevel"/>
    <w:tmpl w:val="92C40D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C7C2EB1"/>
    <w:multiLevelType w:val="hybridMultilevel"/>
    <w:tmpl w:val="D534E0F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CC22CE0"/>
    <w:multiLevelType w:val="hybridMultilevel"/>
    <w:tmpl w:val="AFF870FA"/>
    <w:lvl w:ilvl="0" w:tplc="0405000B">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5034B86"/>
    <w:multiLevelType w:val="hybridMultilevel"/>
    <w:tmpl w:val="3CE23C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AA42BCB"/>
    <w:multiLevelType w:val="hybridMultilevel"/>
    <w:tmpl w:val="6CF452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ABA1450"/>
    <w:multiLevelType w:val="hybridMultilevel"/>
    <w:tmpl w:val="EF844280"/>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31" w15:restartNumberingAfterBreak="0">
    <w:nsid w:val="4B5C3D1C"/>
    <w:multiLevelType w:val="hybridMultilevel"/>
    <w:tmpl w:val="E452A718"/>
    <w:lvl w:ilvl="0" w:tplc="71E0024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DDA6973"/>
    <w:multiLevelType w:val="hybridMultilevel"/>
    <w:tmpl w:val="2DFA4886"/>
    <w:lvl w:ilvl="0" w:tplc="2AC2AEAA">
      <w:start w:val="3"/>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12E1A94"/>
    <w:multiLevelType w:val="hybridMultilevel"/>
    <w:tmpl w:val="C9241BDE"/>
    <w:lvl w:ilvl="0" w:tplc="0405000B">
      <w:start w:val="1"/>
      <w:numFmt w:val="bullet"/>
      <w:lvlText w:val=""/>
      <w:lvlJc w:val="left"/>
      <w:pPr>
        <w:ind w:left="1236" w:hanging="360"/>
      </w:pPr>
      <w:rPr>
        <w:rFonts w:ascii="Wingdings" w:hAnsi="Wingdings" w:hint="default"/>
      </w:rPr>
    </w:lvl>
    <w:lvl w:ilvl="1" w:tplc="0405000B">
      <w:start w:val="1"/>
      <w:numFmt w:val="bullet"/>
      <w:lvlText w:val=""/>
      <w:lvlJc w:val="left"/>
      <w:pPr>
        <w:ind w:left="1956" w:hanging="360"/>
      </w:pPr>
      <w:rPr>
        <w:rFonts w:ascii="Wingdings" w:hAnsi="Wingdings" w:hint="default"/>
      </w:rPr>
    </w:lvl>
    <w:lvl w:ilvl="2" w:tplc="04050005" w:tentative="1">
      <w:start w:val="1"/>
      <w:numFmt w:val="bullet"/>
      <w:lvlText w:val=""/>
      <w:lvlJc w:val="left"/>
      <w:pPr>
        <w:ind w:left="2676" w:hanging="360"/>
      </w:pPr>
      <w:rPr>
        <w:rFonts w:ascii="Wingdings" w:hAnsi="Wingdings" w:hint="default"/>
      </w:rPr>
    </w:lvl>
    <w:lvl w:ilvl="3" w:tplc="04050001" w:tentative="1">
      <w:start w:val="1"/>
      <w:numFmt w:val="bullet"/>
      <w:lvlText w:val=""/>
      <w:lvlJc w:val="left"/>
      <w:pPr>
        <w:ind w:left="3396" w:hanging="360"/>
      </w:pPr>
      <w:rPr>
        <w:rFonts w:ascii="Symbol" w:hAnsi="Symbol" w:hint="default"/>
      </w:rPr>
    </w:lvl>
    <w:lvl w:ilvl="4" w:tplc="04050003" w:tentative="1">
      <w:start w:val="1"/>
      <w:numFmt w:val="bullet"/>
      <w:lvlText w:val="o"/>
      <w:lvlJc w:val="left"/>
      <w:pPr>
        <w:ind w:left="4116" w:hanging="360"/>
      </w:pPr>
      <w:rPr>
        <w:rFonts w:ascii="Courier New" w:hAnsi="Courier New" w:cs="Courier New" w:hint="default"/>
      </w:rPr>
    </w:lvl>
    <w:lvl w:ilvl="5" w:tplc="04050005" w:tentative="1">
      <w:start w:val="1"/>
      <w:numFmt w:val="bullet"/>
      <w:lvlText w:val=""/>
      <w:lvlJc w:val="left"/>
      <w:pPr>
        <w:ind w:left="4836" w:hanging="360"/>
      </w:pPr>
      <w:rPr>
        <w:rFonts w:ascii="Wingdings" w:hAnsi="Wingdings" w:hint="default"/>
      </w:rPr>
    </w:lvl>
    <w:lvl w:ilvl="6" w:tplc="04050001" w:tentative="1">
      <w:start w:val="1"/>
      <w:numFmt w:val="bullet"/>
      <w:lvlText w:val=""/>
      <w:lvlJc w:val="left"/>
      <w:pPr>
        <w:ind w:left="5556" w:hanging="360"/>
      </w:pPr>
      <w:rPr>
        <w:rFonts w:ascii="Symbol" w:hAnsi="Symbol" w:hint="default"/>
      </w:rPr>
    </w:lvl>
    <w:lvl w:ilvl="7" w:tplc="04050003" w:tentative="1">
      <w:start w:val="1"/>
      <w:numFmt w:val="bullet"/>
      <w:lvlText w:val="o"/>
      <w:lvlJc w:val="left"/>
      <w:pPr>
        <w:ind w:left="6276" w:hanging="360"/>
      </w:pPr>
      <w:rPr>
        <w:rFonts w:ascii="Courier New" w:hAnsi="Courier New" w:cs="Courier New" w:hint="default"/>
      </w:rPr>
    </w:lvl>
    <w:lvl w:ilvl="8" w:tplc="04050005" w:tentative="1">
      <w:start w:val="1"/>
      <w:numFmt w:val="bullet"/>
      <w:lvlText w:val=""/>
      <w:lvlJc w:val="left"/>
      <w:pPr>
        <w:ind w:left="6996" w:hanging="360"/>
      </w:pPr>
      <w:rPr>
        <w:rFonts w:ascii="Wingdings" w:hAnsi="Wingdings" w:hint="default"/>
      </w:rPr>
    </w:lvl>
  </w:abstractNum>
  <w:abstractNum w:abstractNumId="34" w15:restartNumberingAfterBreak="0">
    <w:nsid w:val="53FE11A2"/>
    <w:multiLevelType w:val="hybridMultilevel"/>
    <w:tmpl w:val="C73E217A"/>
    <w:lvl w:ilvl="0" w:tplc="8F46EF08">
      <w:start w:val="1"/>
      <w:numFmt w:val="decimal"/>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5" w15:restartNumberingAfterBreak="0">
    <w:nsid w:val="54F75BF1"/>
    <w:multiLevelType w:val="hybridMultilevel"/>
    <w:tmpl w:val="D9EE1C9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5FA1DE5"/>
    <w:multiLevelType w:val="multilevel"/>
    <w:tmpl w:val="DA300544"/>
    <w:styleLink w:val="Sty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color w:val="000000" w:themeColor="text1"/>
      </w:rPr>
    </w:lvl>
    <w:lvl w:ilvl="2">
      <w:start w:val="1"/>
      <w:numFmt w:val="decimal"/>
      <w:lvlText w:val="%1.%2.%3"/>
      <w:lvlJc w:val="left"/>
      <w:pPr>
        <w:ind w:left="1004" w:hanging="720"/>
      </w:pPr>
      <w:rPr>
        <w:rFonts w:hint="default"/>
        <w:b/>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5735590F"/>
    <w:multiLevelType w:val="multilevel"/>
    <w:tmpl w:val="DA300544"/>
    <w:numStyleLink w:val="Styl1"/>
  </w:abstractNum>
  <w:abstractNum w:abstractNumId="38" w15:restartNumberingAfterBreak="0">
    <w:nsid w:val="6063015A"/>
    <w:multiLevelType w:val="multilevel"/>
    <w:tmpl w:val="01FC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0FA2B4E"/>
    <w:multiLevelType w:val="hybridMultilevel"/>
    <w:tmpl w:val="9FBC6D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9A94AC5"/>
    <w:multiLevelType w:val="hybridMultilevel"/>
    <w:tmpl w:val="6D12A86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BA037CA"/>
    <w:multiLevelType w:val="multilevel"/>
    <w:tmpl w:val="A2BC9282"/>
    <w:lvl w:ilvl="0">
      <w:start w:val="1"/>
      <w:numFmt w:val="upperRoman"/>
      <w:pStyle w:val="Nadpis1"/>
      <w:suff w:val="space"/>
      <w:lvlText w:val="%1."/>
      <w:lvlJc w:val="left"/>
      <w:pPr>
        <w:ind w:left="720" w:hanging="360"/>
      </w:pPr>
      <w:rPr>
        <w:rFonts w:hint="default"/>
        <w:b/>
        <w:sz w:val="28"/>
        <w:szCs w:val="28"/>
      </w:rPr>
    </w:lvl>
    <w:lvl w:ilvl="1">
      <w:start w:val="1"/>
      <w:numFmt w:val="decimal"/>
      <w:isLgl/>
      <w:lvlText w:val="%1.%2"/>
      <w:lvlJc w:val="left"/>
      <w:pPr>
        <w:ind w:left="644" w:hanging="360"/>
      </w:pPr>
      <w:rPr>
        <w:rFonts w:hint="default"/>
        <w:b w:val="0"/>
        <w:i w:val="0"/>
        <w:strike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C2A4581"/>
    <w:multiLevelType w:val="hybridMultilevel"/>
    <w:tmpl w:val="5B26148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D45361B"/>
    <w:multiLevelType w:val="hybridMultilevel"/>
    <w:tmpl w:val="C01EE32C"/>
    <w:lvl w:ilvl="0" w:tplc="97A88A6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E643067"/>
    <w:multiLevelType w:val="multilevel"/>
    <w:tmpl w:val="278CA4E2"/>
    <w:lvl w:ilvl="0">
      <w:start w:val="1"/>
      <w:numFmt w:val="upperRoman"/>
      <w:lvlText w:val="%1."/>
      <w:lvlJc w:val="left"/>
      <w:pPr>
        <w:ind w:left="432" w:hanging="432"/>
      </w:pPr>
      <w:rPr>
        <w:rFonts w:hint="default"/>
      </w:rPr>
    </w:lvl>
    <w:lvl w:ilvl="1">
      <w:start w:val="1"/>
      <w:numFmt w:val="decimal"/>
      <w:lvlText w:val="%1.%2"/>
      <w:lvlJc w:val="left"/>
      <w:pPr>
        <w:ind w:left="576" w:hanging="576"/>
      </w:pPr>
      <w:rPr>
        <w:rFonts w:hint="default"/>
        <w:b/>
        <w:color w:val="000000" w:themeColor="text1"/>
      </w:rPr>
    </w:lvl>
    <w:lvl w:ilvl="2">
      <w:start w:val="1"/>
      <w:numFmt w:val="decimal"/>
      <w:lvlText w:val="%1.%2.%3"/>
      <w:lvlJc w:val="left"/>
      <w:pPr>
        <w:ind w:left="1004" w:hanging="720"/>
      </w:pPr>
      <w:rPr>
        <w:rFonts w:hint="default"/>
        <w:b/>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722B2D95"/>
    <w:multiLevelType w:val="hybridMultilevel"/>
    <w:tmpl w:val="963CE646"/>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6" w15:restartNumberingAfterBreak="0">
    <w:nsid w:val="76BD7F8B"/>
    <w:multiLevelType w:val="hybridMultilevel"/>
    <w:tmpl w:val="63A088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F8E5141"/>
    <w:multiLevelType w:val="multilevel"/>
    <w:tmpl w:val="DA30054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color w:val="000000" w:themeColor="text1"/>
      </w:rPr>
    </w:lvl>
    <w:lvl w:ilvl="2">
      <w:start w:val="1"/>
      <w:numFmt w:val="decimal"/>
      <w:lvlText w:val="%1.%2.%3"/>
      <w:lvlJc w:val="left"/>
      <w:pPr>
        <w:ind w:left="1004" w:hanging="720"/>
      </w:pPr>
      <w:rPr>
        <w:rFonts w:hint="default"/>
        <w:b/>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4"/>
  </w:num>
  <w:num w:numId="2">
    <w:abstractNumId w:val="46"/>
  </w:num>
  <w:num w:numId="3">
    <w:abstractNumId w:val="3"/>
  </w:num>
  <w:num w:numId="4">
    <w:abstractNumId w:val="38"/>
  </w:num>
  <w:num w:numId="5">
    <w:abstractNumId w:val="35"/>
  </w:num>
  <w:num w:numId="6">
    <w:abstractNumId w:val="7"/>
  </w:num>
  <w:num w:numId="7">
    <w:abstractNumId w:val="23"/>
  </w:num>
  <w:num w:numId="8">
    <w:abstractNumId w:val="14"/>
  </w:num>
  <w:num w:numId="9">
    <w:abstractNumId w:val="30"/>
  </w:num>
  <w:num w:numId="10">
    <w:abstractNumId w:val="25"/>
  </w:num>
  <w:num w:numId="11">
    <w:abstractNumId w:val="22"/>
  </w:num>
  <w:num w:numId="12">
    <w:abstractNumId w:val="29"/>
  </w:num>
  <w:num w:numId="13">
    <w:abstractNumId w:val="26"/>
  </w:num>
  <w:num w:numId="14">
    <w:abstractNumId w:val="27"/>
  </w:num>
  <w:num w:numId="15">
    <w:abstractNumId w:val="5"/>
  </w:num>
  <w:num w:numId="16">
    <w:abstractNumId w:val="43"/>
  </w:num>
  <w:num w:numId="17">
    <w:abstractNumId w:val="41"/>
  </w:num>
  <w:num w:numId="18">
    <w:abstractNumId w:val="41"/>
    <w:lvlOverride w:ilvl="0">
      <w:lvl w:ilvl="0">
        <w:start w:val="1"/>
        <w:numFmt w:val="upperRoman"/>
        <w:pStyle w:val="Nadpis1"/>
        <w:lvlText w:val="%1."/>
        <w:lvlJc w:val="left"/>
        <w:pPr>
          <w:ind w:left="720" w:hanging="360"/>
        </w:pPr>
        <w:rPr>
          <w:rFonts w:hint="default"/>
        </w:rPr>
      </w:lvl>
    </w:lvlOverride>
    <w:lvlOverride w:ilvl="1">
      <w:lvl w:ilvl="1">
        <w:start w:val="1"/>
        <w:numFmt w:val="decimal"/>
        <w:lvlText w:val="%1.%2"/>
        <w:lvlJc w:val="left"/>
        <w:pPr>
          <w:ind w:left="1440" w:hanging="144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9">
    <w:abstractNumId w:val="37"/>
  </w:num>
  <w:num w:numId="20">
    <w:abstractNumId w:val="36"/>
  </w:num>
  <w:num w:numId="21">
    <w:abstractNumId w:val="47"/>
  </w:num>
  <w:num w:numId="22">
    <w:abstractNumId w:val="44"/>
  </w:num>
  <w:num w:numId="23">
    <w:abstractNumId w:val="41"/>
  </w:num>
  <w:num w:numId="24">
    <w:abstractNumId w:val="15"/>
  </w:num>
  <w:num w:numId="25">
    <w:abstractNumId w:val="21"/>
  </w:num>
  <w:num w:numId="26">
    <w:abstractNumId w:val="24"/>
  </w:num>
  <w:num w:numId="27">
    <w:abstractNumId w:val="1"/>
  </w:num>
  <w:num w:numId="28">
    <w:abstractNumId w:val="2"/>
  </w:num>
  <w:num w:numId="29">
    <w:abstractNumId w:val="33"/>
  </w:num>
  <w:num w:numId="30">
    <w:abstractNumId w:val="45"/>
  </w:num>
  <w:num w:numId="31">
    <w:abstractNumId w:val="39"/>
  </w:num>
  <w:num w:numId="32">
    <w:abstractNumId w:val="9"/>
  </w:num>
  <w:num w:numId="33">
    <w:abstractNumId w:val="34"/>
  </w:num>
  <w:num w:numId="34">
    <w:abstractNumId w:val="31"/>
  </w:num>
  <w:num w:numId="35">
    <w:abstractNumId w:val="10"/>
  </w:num>
  <w:num w:numId="36">
    <w:abstractNumId w:val="16"/>
  </w:num>
  <w:num w:numId="37">
    <w:abstractNumId w:val="17"/>
  </w:num>
  <w:num w:numId="38">
    <w:abstractNumId w:val="41"/>
    <w:lvlOverride w:ilvl="0">
      <w:startOverride w:val="3"/>
    </w:lvlOverride>
    <w:lvlOverride w:ilvl="1">
      <w:startOverride w:val="1"/>
    </w:lvlOverride>
  </w:num>
  <w:num w:numId="39">
    <w:abstractNumId w:val="41"/>
    <w:lvlOverride w:ilvl="0">
      <w:startOverride w:val="3"/>
    </w:lvlOverride>
    <w:lvlOverride w:ilvl="1">
      <w:startOverride w:val="3"/>
    </w:lvlOverride>
  </w:num>
  <w:num w:numId="40">
    <w:abstractNumId w:val="41"/>
    <w:lvlOverride w:ilvl="0">
      <w:startOverride w:val="3"/>
    </w:lvlOverride>
    <w:lvlOverride w:ilvl="1">
      <w:startOverride w:val="3"/>
    </w:lvlOverride>
  </w:num>
  <w:num w:numId="41">
    <w:abstractNumId w:val="41"/>
  </w:num>
  <w:num w:numId="42">
    <w:abstractNumId w:val="41"/>
  </w:num>
  <w:num w:numId="43">
    <w:abstractNumId w:val="41"/>
  </w:num>
  <w:num w:numId="44">
    <w:abstractNumId w:val="6"/>
  </w:num>
  <w:num w:numId="45">
    <w:abstractNumId w:val="41"/>
  </w:num>
  <w:num w:numId="46">
    <w:abstractNumId w:val="8"/>
  </w:num>
  <w:num w:numId="47">
    <w:abstractNumId w:val="0"/>
  </w:num>
  <w:num w:numId="48">
    <w:abstractNumId w:val="18"/>
  </w:num>
  <w:num w:numId="49">
    <w:abstractNumId w:val="19"/>
  </w:num>
  <w:num w:numId="50">
    <w:abstractNumId w:val="12"/>
  </w:num>
  <w:num w:numId="51">
    <w:abstractNumId w:val="13"/>
  </w:num>
  <w:num w:numId="52">
    <w:abstractNumId w:val="42"/>
  </w:num>
  <w:num w:numId="53">
    <w:abstractNumId w:val="40"/>
  </w:num>
  <w:num w:numId="54">
    <w:abstractNumId w:val="20"/>
  </w:num>
  <w:num w:numId="5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1"/>
  </w:num>
  <w:num w:numId="57">
    <w:abstractNumId w:val="41"/>
  </w:num>
  <w:num w:numId="58">
    <w:abstractNumId w:val="11"/>
  </w:num>
  <w:num w:numId="59">
    <w:abstractNumId w:val="32"/>
  </w:num>
  <w:num w:numId="60">
    <w:abstractNumId w:val="41"/>
  </w:num>
  <w:num w:numId="61">
    <w:abstractNumId w:val="41"/>
  </w:num>
  <w:num w:numId="62">
    <w:abstractNumId w:val="41"/>
  </w:num>
  <w:num w:numId="63">
    <w:abstractNumId w:val="41"/>
  </w:num>
  <w:num w:numId="64">
    <w:abstractNumId w:val="2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oNotTrackMoves/>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123"/>
    <w:rsid w:val="00001D76"/>
    <w:rsid w:val="00001EA5"/>
    <w:rsid w:val="000026F5"/>
    <w:rsid w:val="00002BB5"/>
    <w:rsid w:val="00003518"/>
    <w:rsid w:val="00003F22"/>
    <w:rsid w:val="0000404F"/>
    <w:rsid w:val="00004F1C"/>
    <w:rsid w:val="00005056"/>
    <w:rsid w:val="000053D5"/>
    <w:rsid w:val="00005422"/>
    <w:rsid w:val="000054D1"/>
    <w:rsid w:val="000061F6"/>
    <w:rsid w:val="0000639E"/>
    <w:rsid w:val="00006998"/>
    <w:rsid w:val="0000753F"/>
    <w:rsid w:val="000076E1"/>
    <w:rsid w:val="00007AE3"/>
    <w:rsid w:val="00007C04"/>
    <w:rsid w:val="00010115"/>
    <w:rsid w:val="00010289"/>
    <w:rsid w:val="00010757"/>
    <w:rsid w:val="000110D9"/>
    <w:rsid w:val="00011158"/>
    <w:rsid w:val="0001183A"/>
    <w:rsid w:val="00011C2B"/>
    <w:rsid w:val="00012DF6"/>
    <w:rsid w:val="000132B9"/>
    <w:rsid w:val="00013B29"/>
    <w:rsid w:val="00013B32"/>
    <w:rsid w:val="0001428F"/>
    <w:rsid w:val="00014FAF"/>
    <w:rsid w:val="00015B3B"/>
    <w:rsid w:val="000160AC"/>
    <w:rsid w:val="00016134"/>
    <w:rsid w:val="00016645"/>
    <w:rsid w:val="000166C5"/>
    <w:rsid w:val="000169A9"/>
    <w:rsid w:val="00016AEE"/>
    <w:rsid w:val="00016B53"/>
    <w:rsid w:val="0001779F"/>
    <w:rsid w:val="0001798E"/>
    <w:rsid w:val="00020E7F"/>
    <w:rsid w:val="00021FD9"/>
    <w:rsid w:val="00022F64"/>
    <w:rsid w:val="00023078"/>
    <w:rsid w:val="00023D7B"/>
    <w:rsid w:val="00023FC7"/>
    <w:rsid w:val="00024A4A"/>
    <w:rsid w:val="000257A5"/>
    <w:rsid w:val="00025B40"/>
    <w:rsid w:val="00026177"/>
    <w:rsid w:val="00026421"/>
    <w:rsid w:val="0002647D"/>
    <w:rsid w:val="00026880"/>
    <w:rsid w:val="00026D75"/>
    <w:rsid w:val="00026D78"/>
    <w:rsid w:val="000271A1"/>
    <w:rsid w:val="000305C4"/>
    <w:rsid w:val="00030829"/>
    <w:rsid w:val="00030A63"/>
    <w:rsid w:val="00033738"/>
    <w:rsid w:val="00033792"/>
    <w:rsid w:val="00033ABA"/>
    <w:rsid w:val="00033B0F"/>
    <w:rsid w:val="0003480E"/>
    <w:rsid w:val="00034C84"/>
    <w:rsid w:val="000352DA"/>
    <w:rsid w:val="0003568B"/>
    <w:rsid w:val="00035966"/>
    <w:rsid w:val="000359E9"/>
    <w:rsid w:val="00035EEA"/>
    <w:rsid w:val="000365EF"/>
    <w:rsid w:val="00036C35"/>
    <w:rsid w:val="000372E6"/>
    <w:rsid w:val="000375F7"/>
    <w:rsid w:val="00037CAF"/>
    <w:rsid w:val="00037FDA"/>
    <w:rsid w:val="00040595"/>
    <w:rsid w:val="000409F2"/>
    <w:rsid w:val="00040C4F"/>
    <w:rsid w:val="000412C9"/>
    <w:rsid w:val="0004181A"/>
    <w:rsid w:val="00041D1C"/>
    <w:rsid w:val="00041FAA"/>
    <w:rsid w:val="0004278D"/>
    <w:rsid w:val="00042901"/>
    <w:rsid w:val="000430AE"/>
    <w:rsid w:val="00043B35"/>
    <w:rsid w:val="00045061"/>
    <w:rsid w:val="000460AA"/>
    <w:rsid w:val="00046EB8"/>
    <w:rsid w:val="00047088"/>
    <w:rsid w:val="00047FA0"/>
    <w:rsid w:val="0005019E"/>
    <w:rsid w:val="0005082B"/>
    <w:rsid w:val="0005176B"/>
    <w:rsid w:val="0005187A"/>
    <w:rsid w:val="000519FD"/>
    <w:rsid w:val="00051C90"/>
    <w:rsid w:val="00051DA3"/>
    <w:rsid w:val="00051E6B"/>
    <w:rsid w:val="00051FDE"/>
    <w:rsid w:val="0005254D"/>
    <w:rsid w:val="0005281F"/>
    <w:rsid w:val="0005287C"/>
    <w:rsid w:val="00053F62"/>
    <w:rsid w:val="0005429C"/>
    <w:rsid w:val="00054697"/>
    <w:rsid w:val="00055161"/>
    <w:rsid w:val="00055299"/>
    <w:rsid w:val="00056B3A"/>
    <w:rsid w:val="00056F36"/>
    <w:rsid w:val="00056FAB"/>
    <w:rsid w:val="00057431"/>
    <w:rsid w:val="000578DC"/>
    <w:rsid w:val="0005798F"/>
    <w:rsid w:val="00057EBE"/>
    <w:rsid w:val="000602E9"/>
    <w:rsid w:val="00060F60"/>
    <w:rsid w:val="00061332"/>
    <w:rsid w:val="00061D65"/>
    <w:rsid w:val="0006263C"/>
    <w:rsid w:val="00063CDB"/>
    <w:rsid w:val="000645FF"/>
    <w:rsid w:val="0006575B"/>
    <w:rsid w:val="00065954"/>
    <w:rsid w:val="00065A93"/>
    <w:rsid w:val="00065CB5"/>
    <w:rsid w:val="0006673E"/>
    <w:rsid w:val="00066A97"/>
    <w:rsid w:val="00066B46"/>
    <w:rsid w:val="00066D42"/>
    <w:rsid w:val="0006739D"/>
    <w:rsid w:val="000675E7"/>
    <w:rsid w:val="00067639"/>
    <w:rsid w:val="00067C23"/>
    <w:rsid w:val="00067DD4"/>
    <w:rsid w:val="00070473"/>
    <w:rsid w:val="000704F9"/>
    <w:rsid w:val="00070574"/>
    <w:rsid w:val="0007071D"/>
    <w:rsid w:val="00070BE4"/>
    <w:rsid w:val="00072241"/>
    <w:rsid w:val="000722C4"/>
    <w:rsid w:val="00072709"/>
    <w:rsid w:val="00073B4A"/>
    <w:rsid w:val="00074C5A"/>
    <w:rsid w:val="00074EE2"/>
    <w:rsid w:val="000759BB"/>
    <w:rsid w:val="000760CC"/>
    <w:rsid w:val="00076DEC"/>
    <w:rsid w:val="00076F1C"/>
    <w:rsid w:val="00076F3C"/>
    <w:rsid w:val="000773D2"/>
    <w:rsid w:val="00077437"/>
    <w:rsid w:val="0008074F"/>
    <w:rsid w:val="000808DF"/>
    <w:rsid w:val="000809A7"/>
    <w:rsid w:val="000809E7"/>
    <w:rsid w:val="00080DB0"/>
    <w:rsid w:val="00081087"/>
    <w:rsid w:val="0008150E"/>
    <w:rsid w:val="00081EF3"/>
    <w:rsid w:val="000825A8"/>
    <w:rsid w:val="00083027"/>
    <w:rsid w:val="00083139"/>
    <w:rsid w:val="000853FE"/>
    <w:rsid w:val="000859C0"/>
    <w:rsid w:val="00086627"/>
    <w:rsid w:val="00086CA0"/>
    <w:rsid w:val="0008789C"/>
    <w:rsid w:val="00087B18"/>
    <w:rsid w:val="00087E7C"/>
    <w:rsid w:val="00090CDE"/>
    <w:rsid w:val="00090D35"/>
    <w:rsid w:val="00091005"/>
    <w:rsid w:val="0009161D"/>
    <w:rsid w:val="00091EE5"/>
    <w:rsid w:val="00091F13"/>
    <w:rsid w:val="00093646"/>
    <w:rsid w:val="00093AA7"/>
    <w:rsid w:val="00093D77"/>
    <w:rsid w:val="0009448B"/>
    <w:rsid w:val="000948BE"/>
    <w:rsid w:val="0009497F"/>
    <w:rsid w:val="00094A2A"/>
    <w:rsid w:val="00095E8B"/>
    <w:rsid w:val="00096B9F"/>
    <w:rsid w:val="000973CC"/>
    <w:rsid w:val="00097760"/>
    <w:rsid w:val="00097E72"/>
    <w:rsid w:val="000A0654"/>
    <w:rsid w:val="000A10D0"/>
    <w:rsid w:val="000A1621"/>
    <w:rsid w:val="000A1C9D"/>
    <w:rsid w:val="000A1EBB"/>
    <w:rsid w:val="000A222B"/>
    <w:rsid w:val="000A2763"/>
    <w:rsid w:val="000A2A92"/>
    <w:rsid w:val="000A2E19"/>
    <w:rsid w:val="000A305C"/>
    <w:rsid w:val="000A3843"/>
    <w:rsid w:val="000A4052"/>
    <w:rsid w:val="000A5728"/>
    <w:rsid w:val="000A5B92"/>
    <w:rsid w:val="000A623B"/>
    <w:rsid w:val="000A656A"/>
    <w:rsid w:val="000A695E"/>
    <w:rsid w:val="000A744B"/>
    <w:rsid w:val="000B0494"/>
    <w:rsid w:val="000B2472"/>
    <w:rsid w:val="000B2BAE"/>
    <w:rsid w:val="000B343E"/>
    <w:rsid w:val="000B367A"/>
    <w:rsid w:val="000B3CED"/>
    <w:rsid w:val="000B415C"/>
    <w:rsid w:val="000B44EC"/>
    <w:rsid w:val="000B4DAF"/>
    <w:rsid w:val="000B5A03"/>
    <w:rsid w:val="000B6ACF"/>
    <w:rsid w:val="000B6CE9"/>
    <w:rsid w:val="000B6D71"/>
    <w:rsid w:val="000C00AD"/>
    <w:rsid w:val="000C011A"/>
    <w:rsid w:val="000C02F2"/>
    <w:rsid w:val="000C04E0"/>
    <w:rsid w:val="000C072B"/>
    <w:rsid w:val="000C0F2C"/>
    <w:rsid w:val="000C1490"/>
    <w:rsid w:val="000C1AB1"/>
    <w:rsid w:val="000C2A52"/>
    <w:rsid w:val="000C2D2E"/>
    <w:rsid w:val="000C2E3F"/>
    <w:rsid w:val="000C301C"/>
    <w:rsid w:val="000C4BCB"/>
    <w:rsid w:val="000C5007"/>
    <w:rsid w:val="000C57F3"/>
    <w:rsid w:val="000C58CB"/>
    <w:rsid w:val="000C5CC7"/>
    <w:rsid w:val="000C61A4"/>
    <w:rsid w:val="000C6882"/>
    <w:rsid w:val="000C69B1"/>
    <w:rsid w:val="000C6B5B"/>
    <w:rsid w:val="000C6C25"/>
    <w:rsid w:val="000C71FC"/>
    <w:rsid w:val="000C7BA3"/>
    <w:rsid w:val="000C7DBF"/>
    <w:rsid w:val="000D0423"/>
    <w:rsid w:val="000D0806"/>
    <w:rsid w:val="000D08D8"/>
    <w:rsid w:val="000D1129"/>
    <w:rsid w:val="000D1663"/>
    <w:rsid w:val="000D1FFF"/>
    <w:rsid w:val="000D224A"/>
    <w:rsid w:val="000D258D"/>
    <w:rsid w:val="000D2764"/>
    <w:rsid w:val="000D3106"/>
    <w:rsid w:val="000D3993"/>
    <w:rsid w:val="000D473B"/>
    <w:rsid w:val="000D4887"/>
    <w:rsid w:val="000D4921"/>
    <w:rsid w:val="000D4FA7"/>
    <w:rsid w:val="000D5298"/>
    <w:rsid w:val="000D5481"/>
    <w:rsid w:val="000D569C"/>
    <w:rsid w:val="000D5ADC"/>
    <w:rsid w:val="000D7484"/>
    <w:rsid w:val="000D756A"/>
    <w:rsid w:val="000D7B38"/>
    <w:rsid w:val="000D7C9D"/>
    <w:rsid w:val="000E00E9"/>
    <w:rsid w:val="000E05D0"/>
    <w:rsid w:val="000E0E6C"/>
    <w:rsid w:val="000E0F45"/>
    <w:rsid w:val="000E1699"/>
    <w:rsid w:val="000E1C04"/>
    <w:rsid w:val="000E2A22"/>
    <w:rsid w:val="000E4529"/>
    <w:rsid w:val="000E4605"/>
    <w:rsid w:val="000E471D"/>
    <w:rsid w:val="000E4726"/>
    <w:rsid w:val="000E4CC4"/>
    <w:rsid w:val="000E5382"/>
    <w:rsid w:val="000E62DB"/>
    <w:rsid w:val="000E6C3C"/>
    <w:rsid w:val="000E6DB1"/>
    <w:rsid w:val="000E725E"/>
    <w:rsid w:val="000E76A1"/>
    <w:rsid w:val="000E7A31"/>
    <w:rsid w:val="000E7C1F"/>
    <w:rsid w:val="000F039C"/>
    <w:rsid w:val="000F071C"/>
    <w:rsid w:val="000F0E67"/>
    <w:rsid w:val="000F1CA8"/>
    <w:rsid w:val="000F2784"/>
    <w:rsid w:val="000F31B7"/>
    <w:rsid w:val="000F32D9"/>
    <w:rsid w:val="000F33A9"/>
    <w:rsid w:val="000F4164"/>
    <w:rsid w:val="000F530F"/>
    <w:rsid w:val="000F53B4"/>
    <w:rsid w:val="000F567A"/>
    <w:rsid w:val="000F56B9"/>
    <w:rsid w:val="000F57E8"/>
    <w:rsid w:val="000F5A3C"/>
    <w:rsid w:val="000F5B05"/>
    <w:rsid w:val="000F5DE2"/>
    <w:rsid w:val="000F5E9F"/>
    <w:rsid w:val="000F6F61"/>
    <w:rsid w:val="000F76BE"/>
    <w:rsid w:val="000F7943"/>
    <w:rsid w:val="000F7C74"/>
    <w:rsid w:val="000F7F7A"/>
    <w:rsid w:val="00100821"/>
    <w:rsid w:val="00100E3C"/>
    <w:rsid w:val="00101175"/>
    <w:rsid w:val="001011C7"/>
    <w:rsid w:val="00101E81"/>
    <w:rsid w:val="00102646"/>
    <w:rsid w:val="001029C1"/>
    <w:rsid w:val="00103781"/>
    <w:rsid w:val="00103A23"/>
    <w:rsid w:val="001044A8"/>
    <w:rsid w:val="001044B8"/>
    <w:rsid w:val="00104841"/>
    <w:rsid w:val="001049A3"/>
    <w:rsid w:val="00104D50"/>
    <w:rsid w:val="00104DCC"/>
    <w:rsid w:val="001051C8"/>
    <w:rsid w:val="001054ED"/>
    <w:rsid w:val="0010579B"/>
    <w:rsid w:val="001057DF"/>
    <w:rsid w:val="00105888"/>
    <w:rsid w:val="00105DB5"/>
    <w:rsid w:val="00106499"/>
    <w:rsid w:val="00106B97"/>
    <w:rsid w:val="00106FF2"/>
    <w:rsid w:val="001073A4"/>
    <w:rsid w:val="001073F7"/>
    <w:rsid w:val="001101C6"/>
    <w:rsid w:val="00110A1D"/>
    <w:rsid w:val="00110D34"/>
    <w:rsid w:val="001111FE"/>
    <w:rsid w:val="001115AA"/>
    <w:rsid w:val="001120C2"/>
    <w:rsid w:val="00113518"/>
    <w:rsid w:val="0011394E"/>
    <w:rsid w:val="00113AB0"/>
    <w:rsid w:val="00114492"/>
    <w:rsid w:val="001148D7"/>
    <w:rsid w:val="001151D6"/>
    <w:rsid w:val="001157AD"/>
    <w:rsid w:val="001159AA"/>
    <w:rsid w:val="00115BA6"/>
    <w:rsid w:val="00115C8C"/>
    <w:rsid w:val="00115E1F"/>
    <w:rsid w:val="00115EF3"/>
    <w:rsid w:val="001162C6"/>
    <w:rsid w:val="001162DA"/>
    <w:rsid w:val="00116555"/>
    <w:rsid w:val="00116D06"/>
    <w:rsid w:val="00116DA9"/>
    <w:rsid w:val="00117084"/>
    <w:rsid w:val="00117255"/>
    <w:rsid w:val="00117AE4"/>
    <w:rsid w:val="00117D49"/>
    <w:rsid w:val="00117F3B"/>
    <w:rsid w:val="00117F4C"/>
    <w:rsid w:val="00120803"/>
    <w:rsid w:val="00121847"/>
    <w:rsid w:val="001221E6"/>
    <w:rsid w:val="001228AA"/>
    <w:rsid w:val="001231BA"/>
    <w:rsid w:val="0012323A"/>
    <w:rsid w:val="001233BD"/>
    <w:rsid w:val="00123DA4"/>
    <w:rsid w:val="001240F3"/>
    <w:rsid w:val="001244B6"/>
    <w:rsid w:val="00124CEF"/>
    <w:rsid w:val="00124E9D"/>
    <w:rsid w:val="00125554"/>
    <w:rsid w:val="00125E48"/>
    <w:rsid w:val="00126069"/>
    <w:rsid w:val="001262E1"/>
    <w:rsid w:val="0012652B"/>
    <w:rsid w:val="0012690E"/>
    <w:rsid w:val="00126D4D"/>
    <w:rsid w:val="00126E66"/>
    <w:rsid w:val="001274C9"/>
    <w:rsid w:val="00127A08"/>
    <w:rsid w:val="0013055A"/>
    <w:rsid w:val="00130ADE"/>
    <w:rsid w:val="00130BDD"/>
    <w:rsid w:val="00132F9F"/>
    <w:rsid w:val="00133036"/>
    <w:rsid w:val="00133BE9"/>
    <w:rsid w:val="00133CD0"/>
    <w:rsid w:val="00134D2A"/>
    <w:rsid w:val="00135A7D"/>
    <w:rsid w:val="00136153"/>
    <w:rsid w:val="00136A91"/>
    <w:rsid w:val="00136C76"/>
    <w:rsid w:val="00136C91"/>
    <w:rsid w:val="00136EA6"/>
    <w:rsid w:val="001400F4"/>
    <w:rsid w:val="00140244"/>
    <w:rsid w:val="001402C4"/>
    <w:rsid w:val="001425C4"/>
    <w:rsid w:val="00142744"/>
    <w:rsid w:val="00142826"/>
    <w:rsid w:val="00143298"/>
    <w:rsid w:val="0014356B"/>
    <w:rsid w:val="00143956"/>
    <w:rsid w:val="00143D79"/>
    <w:rsid w:val="00144104"/>
    <w:rsid w:val="00144417"/>
    <w:rsid w:val="0014478F"/>
    <w:rsid w:val="001449B9"/>
    <w:rsid w:val="00144D0D"/>
    <w:rsid w:val="0014526D"/>
    <w:rsid w:val="00145605"/>
    <w:rsid w:val="00145B62"/>
    <w:rsid w:val="00145C50"/>
    <w:rsid w:val="00146E52"/>
    <w:rsid w:val="00147786"/>
    <w:rsid w:val="00150138"/>
    <w:rsid w:val="0015042B"/>
    <w:rsid w:val="001504EC"/>
    <w:rsid w:val="001505B3"/>
    <w:rsid w:val="001505D0"/>
    <w:rsid w:val="00150D22"/>
    <w:rsid w:val="00150F8A"/>
    <w:rsid w:val="001512EA"/>
    <w:rsid w:val="001513D0"/>
    <w:rsid w:val="001520D9"/>
    <w:rsid w:val="001523E2"/>
    <w:rsid w:val="00152777"/>
    <w:rsid w:val="00153036"/>
    <w:rsid w:val="00153464"/>
    <w:rsid w:val="00153A82"/>
    <w:rsid w:val="001540FC"/>
    <w:rsid w:val="0015421C"/>
    <w:rsid w:val="001542EF"/>
    <w:rsid w:val="00154E2C"/>
    <w:rsid w:val="00156DB2"/>
    <w:rsid w:val="00156F4F"/>
    <w:rsid w:val="001572AB"/>
    <w:rsid w:val="00157565"/>
    <w:rsid w:val="00157A76"/>
    <w:rsid w:val="00157A86"/>
    <w:rsid w:val="0016081D"/>
    <w:rsid w:val="0016083C"/>
    <w:rsid w:val="0016237A"/>
    <w:rsid w:val="001623FF"/>
    <w:rsid w:val="00162B36"/>
    <w:rsid w:val="00162F1D"/>
    <w:rsid w:val="00163032"/>
    <w:rsid w:val="00163234"/>
    <w:rsid w:val="00163441"/>
    <w:rsid w:val="001639FF"/>
    <w:rsid w:val="00163C98"/>
    <w:rsid w:val="001642C5"/>
    <w:rsid w:val="0016481A"/>
    <w:rsid w:val="00164D15"/>
    <w:rsid w:val="00164D58"/>
    <w:rsid w:val="001652A6"/>
    <w:rsid w:val="001655E3"/>
    <w:rsid w:val="0016583F"/>
    <w:rsid w:val="00165C47"/>
    <w:rsid w:val="00165D72"/>
    <w:rsid w:val="00165EA2"/>
    <w:rsid w:val="00165EF0"/>
    <w:rsid w:val="00166212"/>
    <w:rsid w:val="00166BC6"/>
    <w:rsid w:val="00166C1F"/>
    <w:rsid w:val="00166FFE"/>
    <w:rsid w:val="00170501"/>
    <w:rsid w:val="00171CBC"/>
    <w:rsid w:val="00171DBC"/>
    <w:rsid w:val="00171DC3"/>
    <w:rsid w:val="00173805"/>
    <w:rsid w:val="00173DF2"/>
    <w:rsid w:val="00174209"/>
    <w:rsid w:val="00174537"/>
    <w:rsid w:val="00174B60"/>
    <w:rsid w:val="001750C1"/>
    <w:rsid w:val="00175BF9"/>
    <w:rsid w:val="00175DFA"/>
    <w:rsid w:val="00175ED0"/>
    <w:rsid w:val="00175FE4"/>
    <w:rsid w:val="00176BF1"/>
    <w:rsid w:val="001771D2"/>
    <w:rsid w:val="0017723F"/>
    <w:rsid w:val="00180043"/>
    <w:rsid w:val="0018054F"/>
    <w:rsid w:val="001808CA"/>
    <w:rsid w:val="00180CAA"/>
    <w:rsid w:val="00180ED0"/>
    <w:rsid w:val="001817DD"/>
    <w:rsid w:val="001826CA"/>
    <w:rsid w:val="001827A8"/>
    <w:rsid w:val="00182F78"/>
    <w:rsid w:val="00183040"/>
    <w:rsid w:val="00183468"/>
    <w:rsid w:val="00183819"/>
    <w:rsid w:val="00184599"/>
    <w:rsid w:val="00184F1F"/>
    <w:rsid w:val="00185151"/>
    <w:rsid w:val="00185352"/>
    <w:rsid w:val="00185A9C"/>
    <w:rsid w:val="00185D73"/>
    <w:rsid w:val="001869C9"/>
    <w:rsid w:val="00187E99"/>
    <w:rsid w:val="00187F59"/>
    <w:rsid w:val="001906EE"/>
    <w:rsid w:val="00190EC5"/>
    <w:rsid w:val="00191275"/>
    <w:rsid w:val="00191977"/>
    <w:rsid w:val="00191ABF"/>
    <w:rsid w:val="00191C7A"/>
    <w:rsid w:val="001926C6"/>
    <w:rsid w:val="00192944"/>
    <w:rsid w:val="00193101"/>
    <w:rsid w:val="00193716"/>
    <w:rsid w:val="00193955"/>
    <w:rsid w:val="00193E7F"/>
    <w:rsid w:val="00193FA4"/>
    <w:rsid w:val="001940D8"/>
    <w:rsid w:val="00194572"/>
    <w:rsid w:val="00194A11"/>
    <w:rsid w:val="0019501F"/>
    <w:rsid w:val="00195058"/>
    <w:rsid w:val="00195317"/>
    <w:rsid w:val="00195B93"/>
    <w:rsid w:val="0019616A"/>
    <w:rsid w:val="00197981"/>
    <w:rsid w:val="00197BAF"/>
    <w:rsid w:val="00197C3E"/>
    <w:rsid w:val="001A0B5F"/>
    <w:rsid w:val="001A0D2E"/>
    <w:rsid w:val="001A18EB"/>
    <w:rsid w:val="001A2304"/>
    <w:rsid w:val="001A2839"/>
    <w:rsid w:val="001A2ED2"/>
    <w:rsid w:val="001A302F"/>
    <w:rsid w:val="001A3859"/>
    <w:rsid w:val="001A4811"/>
    <w:rsid w:val="001A4E95"/>
    <w:rsid w:val="001A63A7"/>
    <w:rsid w:val="001A68EB"/>
    <w:rsid w:val="001A6D02"/>
    <w:rsid w:val="001A6FD0"/>
    <w:rsid w:val="001A74A5"/>
    <w:rsid w:val="001A77C1"/>
    <w:rsid w:val="001B0034"/>
    <w:rsid w:val="001B00CC"/>
    <w:rsid w:val="001B0897"/>
    <w:rsid w:val="001B08E4"/>
    <w:rsid w:val="001B15E3"/>
    <w:rsid w:val="001B186E"/>
    <w:rsid w:val="001B1CA4"/>
    <w:rsid w:val="001B2006"/>
    <w:rsid w:val="001B25C6"/>
    <w:rsid w:val="001B2679"/>
    <w:rsid w:val="001B30E6"/>
    <w:rsid w:val="001B3172"/>
    <w:rsid w:val="001B3704"/>
    <w:rsid w:val="001B3A74"/>
    <w:rsid w:val="001B3BB9"/>
    <w:rsid w:val="001B3CBB"/>
    <w:rsid w:val="001B4116"/>
    <w:rsid w:val="001B44F2"/>
    <w:rsid w:val="001B45CE"/>
    <w:rsid w:val="001B4AB3"/>
    <w:rsid w:val="001B4E42"/>
    <w:rsid w:val="001B4F2E"/>
    <w:rsid w:val="001B515B"/>
    <w:rsid w:val="001B534C"/>
    <w:rsid w:val="001B5377"/>
    <w:rsid w:val="001B5EF3"/>
    <w:rsid w:val="001B6679"/>
    <w:rsid w:val="001B66C1"/>
    <w:rsid w:val="001B6780"/>
    <w:rsid w:val="001B71B2"/>
    <w:rsid w:val="001B71F3"/>
    <w:rsid w:val="001B7D60"/>
    <w:rsid w:val="001C05A1"/>
    <w:rsid w:val="001C1179"/>
    <w:rsid w:val="001C179D"/>
    <w:rsid w:val="001C1868"/>
    <w:rsid w:val="001C188F"/>
    <w:rsid w:val="001C18BA"/>
    <w:rsid w:val="001C1E5F"/>
    <w:rsid w:val="001C2593"/>
    <w:rsid w:val="001C285F"/>
    <w:rsid w:val="001C2867"/>
    <w:rsid w:val="001C2AFB"/>
    <w:rsid w:val="001C2B20"/>
    <w:rsid w:val="001C3C04"/>
    <w:rsid w:val="001C4845"/>
    <w:rsid w:val="001C4A4F"/>
    <w:rsid w:val="001C4E25"/>
    <w:rsid w:val="001C536B"/>
    <w:rsid w:val="001C5E59"/>
    <w:rsid w:val="001C62BF"/>
    <w:rsid w:val="001C62DA"/>
    <w:rsid w:val="001C678B"/>
    <w:rsid w:val="001C6F61"/>
    <w:rsid w:val="001C717F"/>
    <w:rsid w:val="001C71DB"/>
    <w:rsid w:val="001C72E3"/>
    <w:rsid w:val="001C72F0"/>
    <w:rsid w:val="001C74F7"/>
    <w:rsid w:val="001C7C23"/>
    <w:rsid w:val="001D035C"/>
    <w:rsid w:val="001D07E0"/>
    <w:rsid w:val="001D1154"/>
    <w:rsid w:val="001D18DE"/>
    <w:rsid w:val="001D1D54"/>
    <w:rsid w:val="001D2EB0"/>
    <w:rsid w:val="001D3879"/>
    <w:rsid w:val="001D3B52"/>
    <w:rsid w:val="001D3E2C"/>
    <w:rsid w:val="001D40E8"/>
    <w:rsid w:val="001D411B"/>
    <w:rsid w:val="001D45CD"/>
    <w:rsid w:val="001D4A56"/>
    <w:rsid w:val="001D4ADB"/>
    <w:rsid w:val="001D4AE7"/>
    <w:rsid w:val="001D4BAC"/>
    <w:rsid w:val="001D5213"/>
    <w:rsid w:val="001D5591"/>
    <w:rsid w:val="001D5786"/>
    <w:rsid w:val="001D5F48"/>
    <w:rsid w:val="001D6499"/>
    <w:rsid w:val="001D7F38"/>
    <w:rsid w:val="001E0292"/>
    <w:rsid w:val="001E10B4"/>
    <w:rsid w:val="001E126F"/>
    <w:rsid w:val="001E1680"/>
    <w:rsid w:val="001E1B65"/>
    <w:rsid w:val="001E2021"/>
    <w:rsid w:val="001E2474"/>
    <w:rsid w:val="001E2D42"/>
    <w:rsid w:val="001E30CC"/>
    <w:rsid w:val="001E323B"/>
    <w:rsid w:val="001E3C38"/>
    <w:rsid w:val="001E422A"/>
    <w:rsid w:val="001E4859"/>
    <w:rsid w:val="001E51C9"/>
    <w:rsid w:val="001E62CE"/>
    <w:rsid w:val="001E6B81"/>
    <w:rsid w:val="001E6EFD"/>
    <w:rsid w:val="001E6F08"/>
    <w:rsid w:val="001E6FB2"/>
    <w:rsid w:val="001E728D"/>
    <w:rsid w:val="001E72E5"/>
    <w:rsid w:val="001E75B4"/>
    <w:rsid w:val="001E7E5A"/>
    <w:rsid w:val="001F03EC"/>
    <w:rsid w:val="001F08B2"/>
    <w:rsid w:val="001F099E"/>
    <w:rsid w:val="001F0EA4"/>
    <w:rsid w:val="001F108A"/>
    <w:rsid w:val="001F1845"/>
    <w:rsid w:val="001F1F0D"/>
    <w:rsid w:val="001F26E9"/>
    <w:rsid w:val="001F280E"/>
    <w:rsid w:val="001F315A"/>
    <w:rsid w:val="001F33DB"/>
    <w:rsid w:val="001F3B61"/>
    <w:rsid w:val="001F3E00"/>
    <w:rsid w:val="001F4093"/>
    <w:rsid w:val="001F4B83"/>
    <w:rsid w:val="001F4D66"/>
    <w:rsid w:val="001F5A70"/>
    <w:rsid w:val="001F5C6E"/>
    <w:rsid w:val="001F618F"/>
    <w:rsid w:val="001F74C5"/>
    <w:rsid w:val="001F77B3"/>
    <w:rsid w:val="001F78F8"/>
    <w:rsid w:val="0020026F"/>
    <w:rsid w:val="00200C86"/>
    <w:rsid w:val="00200E6E"/>
    <w:rsid w:val="00200F4A"/>
    <w:rsid w:val="00201039"/>
    <w:rsid w:val="00201F48"/>
    <w:rsid w:val="00202711"/>
    <w:rsid w:val="00202D66"/>
    <w:rsid w:val="0020316E"/>
    <w:rsid w:val="00203B52"/>
    <w:rsid w:val="00204586"/>
    <w:rsid w:val="00204A5F"/>
    <w:rsid w:val="00204E07"/>
    <w:rsid w:val="00204F58"/>
    <w:rsid w:val="002051F4"/>
    <w:rsid w:val="002052A5"/>
    <w:rsid w:val="002055FC"/>
    <w:rsid w:val="002065C3"/>
    <w:rsid w:val="00206C7B"/>
    <w:rsid w:val="00207A00"/>
    <w:rsid w:val="00207EBB"/>
    <w:rsid w:val="00207FF2"/>
    <w:rsid w:val="00210517"/>
    <w:rsid w:val="0021113B"/>
    <w:rsid w:val="00212BDF"/>
    <w:rsid w:val="00212C3B"/>
    <w:rsid w:val="00212C8A"/>
    <w:rsid w:val="00212D23"/>
    <w:rsid w:val="00213010"/>
    <w:rsid w:val="00213A3E"/>
    <w:rsid w:val="00213CF1"/>
    <w:rsid w:val="0021402D"/>
    <w:rsid w:val="0021405E"/>
    <w:rsid w:val="00214123"/>
    <w:rsid w:val="0021442E"/>
    <w:rsid w:val="002147A8"/>
    <w:rsid w:val="00214DF0"/>
    <w:rsid w:val="00215238"/>
    <w:rsid w:val="0021541D"/>
    <w:rsid w:val="002155B1"/>
    <w:rsid w:val="002163A5"/>
    <w:rsid w:val="00216E52"/>
    <w:rsid w:val="00216FC2"/>
    <w:rsid w:val="00220C4D"/>
    <w:rsid w:val="00220C75"/>
    <w:rsid w:val="0022213C"/>
    <w:rsid w:val="00222D6F"/>
    <w:rsid w:val="002236F3"/>
    <w:rsid w:val="002253B3"/>
    <w:rsid w:val="00225429"/>
    <w:rsid w:val="002256C1"/>
    <w:rsid w:val="002256ED"/>
    <w:rsid w:val="00225D36"/>
    <w:rsid w:val="00225D51"/>
    <w:rsid w:val="00225E0E"/>
    <w:rsid w:val="00225F56"/>
    <w:rsid w:val="002264EC"/>
    <w:rsid w:val="002267D8"/>
    <w:rsid w:val="00227C22"/>
    <w:rsid w:val="00230275"/>
    <w:rsid w:val="00230941"/>
    <w:rsid w:val="00230C07"/>
    <w:rsid w:val="00230C3A"/>
    <w:rsid w:val="002314D5"/>
    <w:rsid w:val="00231887"/>
    <w:rsid w:val="00231C70"/>
    <w:rsid w:val="00231EBF"/>
    <w:rsid w:val="00231F6D"/>
    <w:rsid w:val="00232B25"/>
    <w:rsid w:val="00233110"/>
    <w:rsid w:val="002342BB"/>
    <w:rsid w:val="00234430"/>
    <w:rsid w:val="0023473A"/>
    <w:rsid w:val="00234A29"/>
    <w:rsid w:val="00236066"/>
    <w:rsid w:val="00236AFF"/>
    <w:rsid w:val="00236C27"/>
    <w:rsid w:val="00236CCC"/>
    <w:rsid w:val="00236D6C"/>
    <w:rsid w:val="00236E4D"/>
    <w:rsid w:val="00236EBB"/>
    <w:rsid w:val="00237910"/>
    <w:rsid w:val="00240A22"/>
    <w:rsid w:val="00240AB8"/>
    <w:rsid w:val="00240FBC"/>
    <w:rsid w:val="002410E2"/>
    <w:rsid w:val="00241457"/>
    <w:rsid w:val="00241BDF"/>
    <w:rsid w:val="00242A0E"/>
    <w:rsid w:val="0024316B"/>
    <w:rsid w:val="002431BD"/>
    <w:rsid w:val="00243555"/>
    <w:rsid w:val="00244E8A"/>
    <w:rsid w:val="00244EE9"/>
    <w:rsid w:val="00244F2B"/>
    <w:rsid w:val="00245352"/>
    <w:rsid w:val="002455B8"/>
    <w:rsid w:val="002457CA"/>
    <w:rsid w:val="002458F5"/>
    <w:rsid w:val="002459A7"/>
    <w:rsid w:val="002465C0"/>
    <w:rsid w:val="0024695B"/>
    <w:rsid w:val="002469CD"/>
    <w:rsid w:val="00246B22"/>
    <w:rsid w:val="00246D29"/>
    <w:rsid w:val="0024706D"/>
    <w:rsid w:val="00247CAB"/>
    <w:rsid w:val="0025034D"/>
    <w:rsid w:val="00250916"/>
    <w:rsid w:val="002509D1"/>
    <w:rsid w:val="00250A2D"/>
    <w:rsid w:val="00250FCA"/>
    <w:rsid w:val="002514E4"/>
    <w:rsid w:val="0025187B"/>
    <w:rsid w:val="00252C13"/>
    <w:rsid w:val="00252EAA"/>
    <w:rsid w:val="00253635"/>
    <w:rsid w:val="0025407B"/>
    <w:rsid w:val="0025440A"/>
    <w:rsid w:val="00254461"/>
    <w:rsid w:val="00254AA2"/>
    <w:rsid w:val="00254D3E"/>
    <w:rsid w:val="00254E8D"/>
    <w:rsid w:val="0025506B"/>
    <w:rsid w:val="00255E5F"/>
    <w:rsid w:val="00256B8F"/>
    <w:rsid w:val="00257C0B"/>
    <w:rsid w:val="00257FD0"/>
    <w:rsid w:val="00260284"/>
    <w:rsid w:val="00260743"/>
    <w:rsid w:val="0026091C"/>
    <w:rsid w:val="00262281"/>
    <w:rsid w:val="00262A59"/>
    <w:rsid w:val="00262BEB"/>
    <w:rsid w:val="00262CA5"/>
    <w:rsid w:val="00263077"/>
    <w:rsid w:val="002630AF"/>
    <w:rsid w:val="002635AF"/>
    <w:rsid w:val="002639D6"/>
    <w:rsid w:val="002640D7"/>
    <w:rsid w:val="0026474B"/>
    <w:rsid w:val="00264AA8"/>
    <w:rsid w:val="00265219"/>
    <w:rsid w:val="00265805"/>
    <w:rsid w:val="00265F41"/>
    <w:rsid w:val="00266021"/>
    <w:rsid w:val="0026621E"/>
    <w:rsid w:val="0026649A"/>
    <w:rsid w:val="00266F13"/>
    <w:rsid w:val="00266F68"/>
    <w:rsid w:val="0026767E"/>
    <w:rsid w:val="00271005"/>
    <w:rsid w:val="002726D8"/>
    <w:rsid w:val="00273928"/>
    <w:rsid w:val="00273B4B"/>
    <w:rsid w:val="002740C4"/>
    <w:rsid w:val="00274B5C"/>
    <w:rsid w:val="00274B79"/>
    <w:rsid w:val="00274BAC"/>
    <w:rsid w:val="00274FF3"/>
    <w:rsid w:val="002754CA"/>
    <w:rsid w:val="00275D51"/>
    <w:rsid w:val="002764DC"/>
    <w:rsid w:val="00276744"/>
    <w:rsid w:val="00276FB2"/>
    <w:rsid w:val="00277A33"/>
    <w:rsid w:val="002807A2"/>
    <w:rsid w:val="00280C64"/>
    <w:rsid w:val="00281157"/>
    <w:rsid w:val="00281282"/>
    <w:rsid w:val="00281A27"/>
    <w:rsid w:val="00281CDC"/>
    <w:rsid w:val="00282669"/>
    <w:rsid w:val="0028298A"/>
    <w:rsid w:val="00283DF7"/>
    <w:rsid w:val="00283E90"/>
    <w:rsid w:val="0028404E"/>
    <w:rsid w:val="002848CF"/>
    <w:rsid w:val="00284D52"/>
    <w:rsid w:val="00284FEA"/>
    <w:rsid w:val="00285E43"/>
    <w:rsid w:val="00285E46"/>
    <w:rsid w:val="00286B10"/>
    <w:rsid w:val="00286B18"/>
    <w:rsid w:val="00286DA9"/>
    <w:rsid w:val="00287078"/>
    <w:rsid w:val="00287201"/>
    <w:rsid w:val="00290CA3"/>
    <w:rsid w:val="0029174E"/>
    <w:rsid w:val="00291E1C"/>
    <w:rsid w:val="002926F1"/>
    <w:rsid w:val="00292879"/>
    <w:rsid w:val="002928DD"/>
    <w:rsid w:val="00292BC9"/>
    <w:rsid w:val="00292D57"/>
    <w:rsid w:val="00292D83"/>
    <w:rsid w:val="0029302F"/>
    <w:rsid w:val="002930B7"/>
    <w:rsid w:val="00293E90"/>
    <w:rsid w:val="00294006"/>
    <w:rsid w:val="00294031"/>
    <w:rsid w:val="00294253"/>
    <w:rsid w:val="002943D6"/>
    <w:rsid w:val="002946C4"/>
    <w:rsid w:val="00294768"/>
    <w:rsid w:val="002954B8"/>
    <w:rsid w:val="0029554A"/>
    <w:rsid w:val="0029560C"/>
    <w:rsid w:val="00295640"/>
    <w:rsid w:val="0029619C"/>
    <w:rsid w:val="00296695"/>
    <w:rsid w:val="0029710A"/>
    <w:rsid w:val="00297338"/>
    <w:rsid w:val="00297690"/>
    <w:rsid w:val="00297F06"/>
    <w:rsid w:val="002A022F"/>
    <w:rsid w:val="002A0B59"/>
    <w:rsid w:val="002A1CA2"/>
    <w:rsid w:val="002A2024"/>
    <w:rsid w:val="002A2481"/>
    <w:rsid w:val="002A31E0"/>
    <w:rsid w:val="002A3C1D"/>
    <w:rsid w:val="002A3CBA"/>
    <w:rsid w:val="002A4856"/>
    <w:rsid w:val="002A5760"/>
    <w:rsid w:val="002A5910"/>
    <w:rsid w:val="002A5AAC"/>
    <w:rsid w:val="002A5D15"/>
    <w:rsid w:val="002A5D64"/>
    <w:rsid w:val="002A66DD"/>
    <w:rsid w:val="002A71DE"/>
    <w:rsid w:val="002A7218"/>
    <w:rsid w:val="002A7283"/>
    <w:rsid w:val="002A7F4A"/>
    <w:rsid w:val="002B0461"/>
    <w:rsid w:val="002B0B32"/>
    <w:rsid w:val="002B0BBE"/>
    <w:rsid w:val="002B0E8E"/>
    <w:rsid w:val="002B1413"/>
    <w:rsid w:val="002B1CBE"/>
    <w:rsid w:val="002B20F8"/>
    <w:rsid w:val="002B2471"/>
    <w:rsid w:val="002B258E"/>
    <w:rsid w:val="002B260E"/>
    <w:rsid w:val="002B2E21"/>
    <w:rsid w:val="002B3677"/>
    <w:rsid w:val="002B3731"/>
    <w:rsid w:val="002B38DE"/>
    <w:rsid w:val="002B3BC8"/>
    <w:rsid w:val="002B4C4F"/>
    <w:rsid w:val="002B5255"/>
    <w:rsid w:val="002B556B"/>
    <w:rsid w:val="002B56E9"/>
    <w:rsid w:val="002B591A"/>
    <w:rsid w:val="002B5F0A"/>
    <w:rsid w:val="002B6A09"/>
    <w:rsid w:val="002B70B9"/>
    <w:rsid w:val="002B7D2E"/>
    <w:rsid w:val="002B7FCD"/>
    <w:rsid w:val="002C0D91"/>
    <w:rsid w:val="002C1B9A"/>
    <w:rsid w:val="002C1BE9"/>
    <w:rsid w:val="002C24BF"/>
    <w:rsid w:val="002C2DBC"/>
    <w:rsid w:val="002C3D0E"/>
    <w:rsid w:val="002C404C"/>
    <w:rsid w:val="002C482D"/>
    <w:rsid w:val="002C4A8D"/>
    <w:rsid w:val="002C524A"/>
    <w:rsid w:val="002C5549"/>
    <w:rsid w:val="002C5657"/>
    <w:rsid w:val="002C5C2C"/>
    <w:rsid w:val="002C5C34"/>
    <w:rsid w:val="002C6F19"/>
    <w:rsid w:val="002C71FB"/>
    <w:rsid w:val="002C7974"/>
    <w:rsid w:val="002C7BB9"/>
    <w:rsid w:val="002C7CC6"/>
    <w:rsid w:val="002C7E38"/>
    <w:rsid w:val="002D0908"/>
    <w:rsid w:val="002D0B0C"/>
    <w:rsid w:val="002D10A8"/>
    <w:rsid w:val="002D16AE"/>
    <w:rsid w:val="002D17E9"/>
    <w:rsid w:val="002D1AA3"/>
    <w:rsid w:val="002D1E5D"/>
    <w:rsid w:val="002D260B"/>
    <w:rsid w:val="002D305D"/>
    <w:rsid w:val="002D361B"/>
    <w:rsid w:val="002D45CC"/>
    <w:rsid w:val="002D4B6E"/>
    <w:rsid w:val="002D5553"/>
    <w:rsid w:val="002D597A"/>
    <w:rsid w:val="002D67C8"/>
    <w:rsid w:val="002D6AB2"/>
    <w:rsid w:val="002D6B99"/>
    <w:rsid w:val="002D72B2"/>
    <w:rsid w:val="002D774F"/>
    <w:rsid w:val="002D7D22"/>
    <w:rsid w:val="002E03E0"/>
    <w:rsid w:val="002E041E"/>
    <w:rsid w:val="002E0953"/>
    <w:rsid w:val="002E10C0"/>
    <w:rsid w:val="002E142E"/>
    <w:rsid w:val="002E14E9"/>
    <w:rsid w:val="002E1FE7"/>
    <w:rsid w:val="002E22BB"/>
    <w:rsid w:val="002E2C2F"/>
    <w:rsid w:val="002E346E"/>
    <w:rsid w:val="002E39B3"/>
    <w:rsid w:val="002E3E66"/>
    <w:rsid w:val="002E40B5"/>
    <w:rsid w:val="002E4301"/>
    <w:rsid w:val="002E43AE"/>
    <w:rsid w:val="002E4556"/>
    <w:rsid w:val="002E45F4"/>
    <w:rsid w:val="002E5406"/>
    <w:rsid w:val="002E57EC"/>
    <w:rsid w:val="002E5DAA"/>
    <w:rsid w:val="002E67ED"/>
    <w:rsid w:val="002E6F0F"/>
    <w:rsid w:val="002E6FF2"/>
    <w:rsid w:val="002E7908"/>
    <w:rsid w:val="002E7A27"/>
    <w:rsid w:val="002E7C42"/>
    <w:rsid w:val="002F00CA"/>
    <w:rsid w:val="002F0BF0"/>
    <w:rsid w:val="002F0E18"/>
    <w:rsid w:val="002F0F93"/>
    <w:rsid w:val="002F1CB6"/>
    <w:rsid w:val="002F21EE"/>
    <w:rsid w:val="002F2BB5"/>
    <w:rsid w:val="002F373F"/>
    <w:rsid w:val="002F3F3E"/>
    <w:rsid w:val="002F409C"/>
    <w:rsid w:val="002F41C1"/>
    <w:rsid w:val="002F442C"/>
    <w:rsid w:val="002F446C"/>
    <w:rsid w:val="002F4977"/>
    <w:rsid w:val="002F590E"/>
    <w:rsid w:val="002F5AA4"/>
    <w:rsid w:val="002F5CB4"/>
    <w:rsid w:val="002F5E03"/>
    <w:rsid w:val="002F5E05"/>
    <w:rsid w:val="002F63EF"/>
    <w:rsid w:val="002F6653"/>
    <w:rsid w:val="002F67E6"/>
    <w:rsid w:val="002F6889"/>
    <w:rsid w:val="002F6D66"/>
    <w:rsid w:val="002F7570"/>
    <w:rsid w:val="002F7D01"/>
    <w:rsid w:val="003001D0"/>
    <w:rsid w:val="00300220"/>
    <w:rsid w:val="00300246"/>
    <w:rsid w:val="00300A3F"/>
    <w:rsid w:val="00300ADD"/>
    <w:rsid w:val="00301262"/>
    <w:rsid w:val="00301659"/>
    <w:rsid w:val="003017F4"/>
    <w:rsid w:val="003019E7"/>
    <w:rsid w:val="003019F1"/>
    <w:rsid w:val="003024E3"/>
    <w:rsid w:val="00302B39"/>
    <w:rsid w:val="00302BB3"/>
    <w:rsid w:val="00302CA3"/>
    <w:rsid w:val="00303EEA"/>
    <w:rsid w:val="003041E4"/>
    <w:rsid w:val="00304B88"/>
    <w:rsid w:val="00304C36"/>
    <w:rsid w:val="00305045"/>
    <w:rsid w:val="003058C8"/>
    <w:rsid w:val="00305AA3"/>
    <w:rsid w:val="003063B7"/>
    <w:rsid w:val="00306BAE"/>
    <w:rsid w:val="003077D0"/>
    <w:rsid w:val="003078A1"/>
    <w:rsid w:val="00307E56"/>
    <w:rsid w:val="00311258"/>
    <w:rsid w:val="003116A9"/>
    <w:rsid w:val="00311BB2"/>
    <w:rsid w:val="00311C76"/>
    <w:rsid w:val="00311DEE"/>
    <w:rsid w:val="003126EE"/>
    <w:rsid w:val="00312939"/>
    <w:rsid w:val="00312E43"/>
    <w:rsid w:val="0031333C"/>
    <w:rsid w:val="0031386E"/>
    <w:rsid w:val="00313B54"/>
    <w:rsid w:val="003144A8"/>
    <w:rsid w:val="0031462D"/>
    <w:rsid w:val="00315C33"/>
    <w:rsid w:val="0031600A"/>
    <w:rsid w:val="003161FE"/>
    <w:rsid w:val="00316F06"/>
    <w:rsid w:val="00317459"/>
    <w:rsid w:val="00317D50"/>
    <w:rsid w:val="00320405"/>
    <w:rsid w:val="00320880"/>
    <w:rsid w:val="00320B32"/>
    <w:rsid w:val="0032112F"/>
    <w:rsid w:val="00321820"/>
    <w:rsid w:val="0032191F"/>
    <w:rsid w:val="00321F7C"/>
    <w:rsid w:val="00322C0A"/>
    <w:rsid w:val="00322FCB"/>
    <w:rsid w:val="00323307"/>
    <w:rsid w:val="003234B3"/>
    <w:rsid w:val="00323AF6"/>
    <w:rsid w:val="0032421F"/>
    <w:rsid w:val="00324273"/>
    <w:rsid w:val="003242C6"/>
    <w:rsid w:val="003246B3"/>
    <w:rsid w:val="00324C17"/>
    <w:rsid w:val="003252CE"/>
    <w:rsid w:val="003253C7"/>
    <w:rsid w:val="00325AAD"/>
    <w:rsid w:val="00325C02"/>
    <w:rsid w:val="00325E3B"/>
    <w:rsid w:val="0032764B"/>
    <w:rsid w:val="003276AF"/>
    <w:rsid w:val="003277E9"/>
    <w:rsid w:val="003278EB"/>
    <w:rsid w:val="00330709"/>
    <w:rsid w:val="00330EF1"/>
    <w:rsid w:val="00331003"/>
    <w:rsid w:val="003310E8"/>
    <w:rsid w:val="00331149"/>
    <w:rsid w:val="0033150F"/>
    <w:rsid w:val="00331598"/>
    <w:rsid w:val="0033178A"/>
    <w:rsid w:val="00331864"/>
    <w:rsid w:val="003319C9"/>
    <w:rsid w:val="00331B7F"/>
    <w:rsid w:val="00331CC1"/>
    <w:rsid w:val="00331DF0"/>
    <w:rsid w:val="00332AC8"/>
    <w:rsid w:val="00332CFE"/>
    <w:rsid w:val="00332FAB"/>
    <w:rsid w:val="00333E54"/>
    <w:rsid w:val="003344D0"/>
    <w:rsid w:val="003351EC"/>
    <w:rsid w:val="00335264"/>
    <w:rsid w:val="003354EE"/>
    <w:rsid w:val="00335903"/>
    <w:rsid w:val="00336AB1"/>
    <w:rsid w:val="00336F6C"/>
    <w:rsid w:val="003370DD"/>
    <w:rsid w:val="003374CB"/>
    <w:rsid w:val="003374DA"/>
    <w:rsid w:val="003376FE"/>
    <w:rsid w:val="0034018D"/>
    <w:rsid w:val="003405F5"/>
    <w:rsid w:val="003405F8"/>
    <w:rsid w:val="00340828"/>
    <w:rsid w:val="003408B5"/>
    <w:rsid w:val="00340C1F"/>
    <w:rsid w:val="00340D56"/>
    <w:rsid w:val="00341660"/>
    <w:rsid w:val="0034184D"/>
    <w:rsid w:val="00342434"/>
    <w:rsid w:val="00342860"/>
    <w:rsid w:val="003431DA"/>
    <w:rsid w:val="00343C34"/>
    <w:rsid w:val="00343F8A"/>
    <w:rsid w:val="00344838"/>
    <w:rsid w:val="00344A30"/>
    <w:rsid w:val="00344FB1"/>
    <w:rsid w:val="003454A8"/>
    <w:rsid w:val="0034590B"/>
    <w:rsid w:val="00345BFB"/>
    <w:rsid w:val="003461CF"/>
    <w:rsid w:val="003463F3"/>
    <w:rsid w:val="003464BB"/>
    <w:rsid w:val="003468BA"/>
    <w:rsid w:val="00346F6E"/>
    <w:rsid w:val="00347185"/>
    <w:rsid w:val="003501D9"/>
    <w:rsid w:val="003505F3"/>
    <w:rsid w:val="00351B24"/>
    <w:rsid w:val="00352367"/>
    <w:rsid w:val="00352440"/>
    <w:rsid w:val="00352593"/>
    <w:rsid w:val="00353783"/>
    <w:rsid w:val="003537B5"/>
    <w:rsid w:val="0035391F"/>
    <w:rsid w:val="00353A53"/>
    <w:rsid w:val="00354781"/>
    <w:rsid w:val="00354C5C"/>
    <w:rsid w:val="003562E4"/>
    <w:rsid w:val="0035682E"/>
    <w:rsid w:val="00356E2A"/>
    <w:rsid w:val="0035754A"/>
    <w:rsid w:val="003605D5"/>
    <w:rsid w:val="003620AC"/>
    <w:rsid w:val="003621EF"/>
    <w:rsid w:val="003624EE"/>
    <w:rsid w:val="003628DF"/>
    <w:rsid w:val="00362B72"/>
    <w:rsid w:val="003633AA"/>
    <w:rsid w:val="003635B4"/>
    <w:rsid w:val="0036429B"/>
    <w:rsid w:val="00364BF9"/>
    <w:rsid w:val="00364C61"/>
    <w:rsid w:val="003651B3"/>
    <w:rsid w:val="003652C3"/>
    <w:rsid w:val="003654E8"/>
    <w:rsid w:val="00365891"/>
    <w:rsid w:val="00366984"/>
    <w:rsid w:val="00366C42"/>
    <w:rsid w:val="0037050F"/>
    <w:rsid w:val="00371E55"/>
    <w:rsid w:val="00371EE8"/>
    <w:rsid w:val="00371F42"/>
    <w:rsid w:val="00372416"/>
    <w:rsid w:val="003725E3"/>
    <w:rsid w:val="00372B01"/>
    <w:rsid w:val="00373560"/>
    <w:rsid w:val="003738BB"/>
    <w:rsid w:val="0037405F"/>
    <w:rsid w:val="003742F1"/>
    <w:rsid w:val="00374CB8"/>
    <w:rsid w:val="00375110"/>
    <w:rsid w:val="003753BC"/>
    <w:rsid w:val="003757B0"/>
    <w:rsid w:val="00375F52"/>
    <w:rsid w:val="00376601"/>
    <w:rsid w:val="003767B7"/>
    <w:rsid w:val="003767DF"/>
    <w:rsid w:val="00376916"/>
    <w:rsid w:val="003774CA"/>
    <w:rsid w:val="00377745"/>
    <w:rsid w:val="00377BD2"/>
    <w:rsid w:val="003803F1"/>
    <w:rsid w:val="0038062F"/>
    <w:rsid w:val="00381456"/>
    <w:rsid w:val="00381D0F"/>
    <w:rsid w:val="00381FB1"/>
    <w:rsid w:val="00382054"/>
    <w:rsid w:val="0038227C"/>
    <w:rsid w:val="00382510"/>
    <w:rsid w:val="00382A97"/>
    <w:rsid w:val="00382B76"/>
    <w:rsid w:val="00382B7D"/>
    <w:rsid w:val="00382B7F"/>
    <w:rsid w:val="00382EE6"/>
    <w:rsid w:val="003831C3"/>
    <w:rsid w:val="003834D2"/>
    <w:rsid w:val="003837AC"/>
    <w:rsid w:val="003837C9"/>
    <w:rsid w:val="00383968"/>
    <w:rsid w:val="003845F5"/>
    <w:rsid w:val="0038485F"/>
    <w:rsid w:val="0038488B"/>
    <w:rsid w:val="00384C64"/>
    <w:rsid w:val="00386410"/>
    <w:rsid w:val="00386C20"/>
    <w:rsid w:val="00386CBB"/>
    <w:rsid w:val="00386D9C"/>
    <w:rsid w:val="003871B3"/>
    <w:rsid w:val="00387292"/>
    <w:rsid w:val="00387C64"/>
    <w:rsid w:val="00390E75"/>
    <w:rsid w:val="00391423"/>
    <w:rsid w:val="0039149F"/>
    <w:rsid w:val="00391AFD"/>
    <w:rsid w:val="00392A23"/>
    <w:rsid w:val="0039345E"/>
    <w:rsid w:val="00393F6E"/>
    <w:rsid w:val="003943F2"/>
    <w:rsid w:val="003947AF"/>
    <w:rsid w:val="00395164"/>
    <w:rsid w:val="0039594B"/>
    <w:rsid w:val="00395E64"/>
    <w:rsid w:val="0039684F"/>
    <w:rsid w:val="00396A9F"/>
    <w:rsid w:val="00396BD2"/>
    <w:rsid w:val="00397074"/>
    <w:rsid w:val="003970D0"/>
    <w:rsid w:val="0039770F"/>
    <w:rsid w:val="00397F6B"/>
    <w:rsid w:val="003A00A2"/>
    <w:rsid w:val="003A1495"/>
    <w:rsid w:val="003A1A4A"/>
    <w:rsid w:val="003A23C4"/>
    <w:rsid w:val="003A2A2F"/>
    <w:rsid w:val="003A36D1"/>
    <w:rsid w:val="003A384F"/>
    <w:rsid w:val="003A4207"/>
    <w:rsid w:val="003A4935"/>
    <w:rsid w:val="003A56EA"/>
    <w:rsid w:val="003A5786"/>
    <w:rsid w:val="003A5875"/>
    <w:rsid w:val="003A5923"/>
    <w:rsid w:val="003A6048"/>
    <w:rsid w:val="003A676B"/>
    <w:rsid w:val="003A6BC9"/>
    <w:rsid w:val="003A6C1B"/>
    <w:rsid w:val="003A6C77"/>
    <w:rsid w:val="003A6CDB"/>
    <w:rsid w:val="003A7431"/>
    <w:rsid w:val="003A7A6E"/>
    <w:rsid w:val="003A7CEC"/>
    <w:rsid w:val="003B0A5F"/>
    <w:rsid w:val="003B0A67"/>
    <w:rsid w:val="003B0BB1"/>
    <w:rsid w:val="003B0E96"/>
    <w:rsid w:val="003B1787"/>
    <w:rsid w:val="003B1DBB"/>
    <w:rsid w:val="003B2EF4"/>
    <w:rsid w:val="003B32C8"/>
    <w:rsid w:val="003B33F4"/>
    <w:rsid w:val="003B3596"/>
    <w:rsid w:val="003B37C9"/>
    <w:rsid w:val="003B43CE"/>
    <w:rsid w:val="003B48E2"/>
    <w:rsid w:val="003B48E6"/>
    <w:rsid w:val="003B5DC0"/>
    <w:rsid w:val="003B780F"/>
    <w:rsid w:val="003C0031"/>
    <w:rsid w:val="003C0656"/>
    <w:rsid w:val="003C10B6"/>
    <w:rsid w:val="003C1F41"/>
    <w:rsid w:val="003C210B"/>
    <w:rsid w:val="003C215B"/>
    <w:rsid w:val="003C24AF"/>
    <w:rsid w:val="003C27F3"/>
    <w:rsid w:val="003C2AAF"/>
    <w:rsid w:val="003C2C4A"/>
    <w:rsid w:val="003C37F2"/>
    <w:rsid w:val="003C3E34"/>
    <w:rsid w:val="003C455D"/>
    <w:rsid w:val="003C4A88"/>
    <w:rsid w:val="003C4D19"/>
    <w:rsid w:val="003C4E67"/>
    <w:rsid w:val="003C5751"/>
    <w:rsid w:val="003C64B3"/>
    <w:rsid w:val="003C6BE6"/>
    <w:rsid w:val="003C6ECF"/>
    <w:rsid w:val="003C723E"/>
    <w:rsid w:val="003C75C1"/>
    <w:rsid w:val="003D02D1"/>
    <w:rsid w:val="003D097C"/>
    <w:rsid w:val="003D0E8B"/>
    <w:rsid w:val="003D12A0"/>
    <w:rsid w:val="003D183B"/>
    <w:rsid w:val="003D1C95"/>
    <w:rsid w:val="003D223B"/>
    <w:rsid w:val="003D2CD3"/>
    <w:rsid w:val="003D32D5"/>
    <w:rsid w:val="003D35DF"/>
    <w:rsid w:val="003D37DA"/>
    <w:rsid w:val="003D38C6"/>
    <w:rsid w:val="003D39D9"/>
    <w:rsid w:val="003D3C48"/>
    <w:rsid w:val="003D4BD9"/>
    <w:rsid w:val="003D538C"/>
    <w:rsid w:val="003D575B"/>
    <w:rsid w:val="003D5835"/>
    <w:rsid w:val="003D594F"/>
    <w:rsid w:val="003D6DCB"/>
    <w:rsid w:val="003D75B5"/>
    <w:rsid w:val="003D76BA"/>
    <w:rsid w:val="003E041E"/>
    <w:rsid w:val="003E0B20"/>
    <w:rsid w:val="003E1324"/>
    <w:rsid w:val="003E226B"/>
    <w:rsid w:val="003E238E"/>
    <w:rsid w:val="003E2533"/>
    <w:rsid w:val="003E3E25"/>
    <w:rsid w:val="003E45B8"/>
    <w:rsid w:val="003E4718"/>
    <w:rsid w:val="003E4EA7"/>
    <w:rsid w:val="003E5B70"/>
    <w:rsid w:val="003E5D29"/>
    <w:rsid w:val="003E6114"/>
    <w:rsid w:val="003E61BD"/>
    <w:rsid w:val="003E62FE"/>
    <w:rsid w:val="003E63EC"/>
    <w:rsid w:val="003E655D"/>
    <w:rsid w:val="003E6676"/>
    <w:rsid w:val="003E67FE"/>
    <w:rsid w:val="003E7241"/>
    <w:rsid w:val="003E7316"/>
    <w:rsid w:val="003E7630"/>
    <w:rsid w:val="003E7899"/>
    <w:rsid w:val="003F017B"/>
    <w:rsid w:val="003F05A9"/>
    <w:rsid w:val="003F0634"/>
    <w:rsid w:val="003F0715"/>
    <w:rsid w:val="003F0DFC"/>
    <w:rsid w:val="003F12A1"/>
    <w:rsid w:val="003F1974"/>
    <w:rsid w:val="003F1E80"/>
    <w:rsid w:val="003F2208"/>
    <w:rsid w:val="003F297C"/>
    <w:rsid w:val="003F2A48"/>
    <w:rsid w:val="003F331A"/>
    <w:rsid w:val="003F3424"/>
    <w:rsid w:val="003F39B4"/>
    <w:rsid w:val="003F3F80"/>
    <w:rsid w:val="003F4415"/>
    <w:rsid w:val="003F519A"/>
    <w:rsid w:val="003F52F0"/>
    <w:rsid w:val="003F61AD"/>
    <w:rsid w:val="003F6295"/>
    <w:rsid w:val="003F6987"/>
    <w:rsid w:val="003F6B47"/>
    <w:rsid w:val="003F6E2A"/>
    <w:rsid w:val="003F70DD"/>
    <w:rsid w:val="003F719F"/>
    <w:rsid w:val="003F7758"/>
    <w:rsid w:val="003F7EE0"/>
    <w:rsid w:val="004000A8"/>
    <w:rsid w:val="004008E3"/>
    <w:rsid w:val="00400D3B"/>
    <w:rsid w:val="004018FB"/>
    <w:rsid w:val="0040197B"/>
    <w:rsid w:val="004019C0"/>
    <w:rsid w:val="00401BA5"/>
    <w:rsid w:val="00401C2D"/>
    <w:rsid w:val="004022FA"/>
    <w:rsid w:val="00402B3B"/>
    <w:rsid w:val="00403C25"/>
    <w:rsid w:val="00403D4A"/>
    <w:rsid w:val="00404409"/>
    <w:rsid w:val="004049A5"/>
    <w:rsid w:val="00405064"/>
    <w:rsid w:val="00405194"/>
    <w:rsid w:val="00405B27"/>
    <w:rsid w:val="00405E8C"/>
    <w:rsid w:val="0040602D"/>
    <w:rsid w:val="004062A8"/>
    <w:rsid w:val="004063C7"/>
    <w:rsid w:val="0040718D"/>
    <w:rsid w:val="00407B76"/>
    <w:rsid w:val="004101E0"/>
    <w:rsid w:val="0041071B"/>
    <w:rsid w:val="004109B0"/>
    <w:rsid w:val="00410A09"/>
    <w:rsid w:val="00410F58"/>
    <w:rsid w:val="004111B2"/>
    <w:rsid w:val="00411271"/>
    <w:rsid w:val="004116C2"/>
    <w:rsid w:val="0041215B"/>
    <w:rsid w:val="0041276E"/>
    <w:rsid w:val="00412A31"/>
    <w:rsid w:val="00412B35"/>
    <w:rsid w:val="00413019"/>
    <w:rsid w:val="004131D1"/>
    <w:rsid w:val="0041328D"/>
    <w:rsid w:val="004142BC"/>
    <w:rsid w:val="00414446"/>
    <w:rsid w:val="00414AE8"/>
    <w:rsid w:val="00414F48"/>
    <w:rsid w:val="00415249"/>
    <w:rsid w:val="004157B0"/>
    <w:rsid w:val="00415A70"/>
    <w:rsid w:val="00416003"/>
    <w:rsid w:val="00416B55"/>
    <w:rsid w:val="00416BDA"/>
    <w:rsid w:val="00416E75"/>
    <w:rsid w:val="004174FC"/>
    <w:rsid w:val="004175C3"/>
    <w:rsid w:val="0042058A"/>
    <w:rsid w:val="004205F3"/>
    <w:rsid w:val="00421447"/>
    <w:rsid w:val="004216D8"/>
    <w:rsid w:val="004218E7"/>
    <w:rsid w:val="00423172"/>
    <w:rsid w:val="004231D0"/>
    <w:rsid w:val="00423836"/>
    <w:rsid w:val="004239F8"/>
    <w:rsid w:val="00423A2D"/>
    <w:rsid w:val="00423AF4"/>
    <w:rsid w:val="00424C07"/>
    <w:rsid w:val="00424C76"/>
    <w:rsid w:val="00424CBA"/>
    <w:rsid w:val="004250C5"/>
    <w:rsid w:val="004256E0"/>
    <w:rsid w:val="004259CA"/>
    <w:rsid w:val="00425A31"/>
    <w:rsid w:val="00425A50"/>
    <w:rsid w:val="00426252"/>
    <w:rsid w:val="004263A2"/>
    <w:rsid w:val="00426EE4"/>
    <w:rsid w:val="004270A1"/>
    <w:rsid w:val="004272DD"/>
    <w:rsid w:val="00427587"/>
    <w:rsid w:val="004275F7"/>
    <w:rsid w:val="004276B6"/>
    <w:rsid w:val="004277BD"/>
    <w:rsid w:val="00427B1A"/>
    <w:rsid w:val="00427B45"/>
    <w:rsid w:val="00427FFC"/>
    <w:rsid w:val="00430CA6"/>
    <w:rsid w:val="004318C7"/>
    <w:rsid w:val="00431E67"/>
    <w:rsid w:val="004320ED"/>
    <w:rsid w:val="004323F1"/>
    <w:rsid w:val="004330F6"/>
    <w:rsid w:val="0043313A"/>
    <w:rsid w:val="00433CE3"/>
    <w:rsid w:val="00433DBD"/>
    <w:rsid w:val="00434174"/>
    <w:rsid w:val="004343F8"/>
    <w:rsid w:val="00434424"/>
    <w:rsid w:val="00434733"/>
    <w:rsid w:val="00434E2C"/>
    <w:rsid w:val="00435ADB"/>
    <w:rsid w:val="00435B29"/>
    <w:rsid w:val="00435F77"/>
    <w:rsid w:val="00435FF3"/>
    <w:rsid w:val="004367FF"/>
    <w:rsid w:val="0043690E"/>
    <w:rsid w:val="00436F91"/>
    <w:rsid w:val="004377AD"/>
    <w:rsid w:val="00437FD9"/>
    <w:rsid w:val="00440768"/>
    <w:rsid w:val="00440790"/>
    <w:rsid w:val="0044200F"/>
    <w:rsid w:val="00442398"/>
    <w:rsid w:val="004428F0"/>
    <w:rsid w:val="00442C61"/>
    <w:rsid w:val="00442CD2"/>
    <w:rsid w:val="0044324B"/>
    <w:rsid w:val="004432A7"/>
    <w:rsid w:val="00443389"/>
    <w:rsid w:val="0044368F"/>
    <w:rsid w:val="00444053"/>
    <w:rsid w:val="00444410"/>
    <w:rsid w:val="004445FD"/>
    <w:rsid w:val="00444897"/>
    <w:rsid w:val="00444D89"/>
    <w:rsid w:val="00444EB5"/>
    <w:rsid w:val="00445B18"/>
    <w:rsid w:val="00445F86"/>
    <w:rsid w:val="00446538"/>
    <w:rsid w:val="00446D91"/>
    <w:rsid w:val="004471A0"/>
    <w:rsid w:val="0044783F"/>
    <w:rsid w:val="00447A8C"/>
    <w:rsid w:val="00450BFE"/>
    <w:rsid w:val="004517D0"/>
    <w:rsid w:val="00452049"/>
    <w:rsid w:val="004523C6"/>
    <w:rsid w:val="004527D0"/>
    <w:rsid w:val="00453550"/>
    <w:rsid w:val="0045380D"/>
    <w:rsid w:val="00453B9B"/>
    <w:rsid w:val="00453D0D"/>
    <w:rsid w:val="00453F1B"/>
    <w:rsid w:val="00454390"/>
    <w:rsid w:val="004543EC"/>
    <w:rsid w:val="0045442E"/>
    <w:rsid w:val="004546C3"/>
    <w:rsid w:val="004549BC"/>
    <w:rsid w:val="00454CAD"/>
    <w:rsid w:val="00454D4E"/>
    <w:rsid w:val="0045536E"/>
    <w:rsid w:val="00455408"/>
    <w:rsid w:val="00455C9E"/>
    <w:rsid w:val="00456093"/>
    <w:rsid w:val="004566B9"/>
    <w:rsid w:val="00457089"/>
    <w:rsid w:val="00457453"/>
    <w:rsid w:val="004577AD"/>
    <w:rsid w:val="00457901"/>
    <w:rsid w:val="00457A6C"/>
    <w:rsid w:val="00457E36"/>
    <w:rsid w:val="00460624"/>
    <w:rsid w:val="004608D7"/>
    <w:rsid w:val="00460906"/>
    <w:rsid w:val="00460918"/>
    <w:rsid w:val="004611D3"/>
    <w:rsid w:val="00462236"/>
    <w:rsid w:val="00462803"/>
    <w:rsid w:val="00462933"/>
    <w:rsid w:val="00462F81"/>
    <w:rsid w:val="00463A91"/>
    <w:rsid w:val="00463C3B"/>
    <w:rsid w:val="00463DF0"/>
    <w:rsid w:val="00463F61"/>
    <w:rsid w:val="004640EE"/>
    <w:rsid w:val="00464834"/>
    <w:rsid w:val="004649BB"/>
    <w:rsid w:val="00464CA9"/>
    <w:rsid w:val="0046554C"/>
    <w:rsid w:val="00465732"/>
    <w:rsid w:val="0046574F"/>
    <w:rsid w:val="004658BD"/>
    <w:rsid w:val="00465BB4"/>
    <w:rsid w:val="004669A4"/>
    <w:rsid w:val="004672A5"/>
    <w:rsid w:val="0046751E"/>
    <w:rsid w:val="0046782A"/>
    <w:rsid w:val="00467BFB"/>
    <w:rsid w:val="004701B5"/>
    <w:rsid w:val="0047028E"/>
    <w:rsid w:val="00470384"/>
    <w:rsid w:val="00471073"/>
    <w:rsid w:val="0047127C"/>
    <w:rsid w:val="004713B6"/>
    <w:rsid w:val="00471B06"/>
    <w:rsid w:val="00471B2C"/>
    <w:rsid w:val="00471C58"/>
    <w:rsid w:val="004723DC"/>
    <w:rsid w:val="00472425"/>
    <w:rsid w:val="004729DC"/>
    <w:rsid w:val="00472B8E"/>
    <w:rsid w:val="00472E30"/>
    <w:rsid w:val="00474DFA"/>
    <w:rsid w:val="00474FB5"/>
    <w:rsid w:val="00474FE1"/>
    <w:rsid w:val="004754C1"/>
    <w:rsid w:val="004758CB"/>
    <w:rsid w:val="004762F5"/>
    <w:rsid w:val="004763B3"/>
    <w:rsid w:val="00476CD6"/>
    <w:rsid w:val="00477262"/>
    <w:rsid w:val="00477AFC"/>
    <w:rsid w:val="00477C84"/>
    <w:rsid w:val="00477D7D"/>
    <w:rsid w:val="00480099"/>
    <w:rsid w:val="0048014E"/>
    <w:rsid w:val="00480302"/>
    <w:rsid w:val="0048050D"/>
    <w:rsid w:val="004805C5"/>
    <w:rsid w:val="00480C25"/>
    <w:rsid w:val="00480CBA"/>
    <w:rsid w:val="00480D27"/>
    <w:rsid w:val="004810AF"/>
    <w:rsid w:val="00481E51"/>
    <w:rsid w:val="00482D8C"/>
    <w:rsid w:val="004839C3"/>
    <w:rsid w:val="00483CB0"/>
    <w:rsid w:val="00483E64"/>
    <w:rsid w:val="00484002"/>
    <w:rsid w:val="00484475"/>
    <w:rsid w:val="004846F0"/>
    <w:rsid w:val="00484779"/>
    <w:rsid w:val="00484783"/>
    <w:rsid w:val="00484B75"/>
    <w:rsid w:val="00484C63"/>
    <w:rsid w:val="004854FB"/>
    <w:rsid w:val="00485910"/>
    <w:rsid w:val="00486693"/>
    <w:rsid w:val="00486FB7"/>
    <w:rsid w:val="0048706D"/>
    <w:rsid w:val="00487572"/>
    <w:rsid w:val="00490346"/>
    <w:rsid w:val="004907AD"/>
    <w:rsid w:val="004907F9"/>
    <w:rsid w:val="00491422"/>
    <w:rsid w:val="00491A40"/>
    <w:rsid w:val="00491BBE"/>
    <w:rsid w:val="00492029"/>
    <w:rsid w:val="0049286B"/>
    <w:rsid w:val="0049343D"/>
    <w:rsid w:val="00493962"/>
    <w:rsid w:val="00493980"/>
    <w:rsid w:val="00493D9A"/>
    <w:rsid w:val="004943EC"/>
    <w:rsid w:val="004949C3"/>
    <w:rsid w:val="00494C8D"/>
    <w:rsid w:val="00494CEB"/>
    <w:rsid w:val="00495F5D"/>
    <w:rsid w:val="00496029"/>
    <w:rsid w:val="00496BFE"/>
    <w:rsid w:val="00496D4E"/>
    <w:rsid w:val="004973B2"/>
    <w:rsid w:val="0049785A"/>
    <w:rsid w:val="00497B94"/>
    <w:rsid w:val="00497BCA"/>
    <w:rsid w:val="004A12EC"/>
    <w:rsid w:val="004A18DB"/>
    <w:rsid w:val="004A1A30"/>
    <w:rsid w:val="004A20DC"/>
    <w:rsid w:val="004A2AB7"/>
    <w:rsid w:val="004A3614"/>
    <w:rsid w:val="004A3D76"/>
    <w:rsid w:val="004A4022"/>
    <w:rsid w:val="004A423D"/>
    <w:rsid w:val="004A4266"/>
    <w:rsid w:val="004A43DF"/>
    <w:rsid w:val="004A4B6D"/>
    <w:rsid w:val="004A4FCA"/>
    <w:rsid w:val="004A54B1"/>
    <w:rsid w:val="004A58B8"/>
    <w:rsid w:val="004A5F72"/>
    <w:rsid w:val="004A7427"/>
    <w:rsid w:val="004A7898"/>
    <w:rsid w:val="004B02B9"/>
    <w:rsid w:val="004B038D"/>
    <w:rsid w:val="004B046A"/>
    <w:rsid w:val="004B0DF5"/>
    <w:rsid w:val="004B1329"/>
    <w:rsid w:val="004B2A43"/>
    <w:rsid w:val="004B2FB3"/>
    <w:rsid w:val="004B38B8"/>
    <w:rsid w:val="004B3945"/>
    <w:rsid w:val="004B3CCE"/>
    <w:rsid w:val="004B3E94"/>
    <w:rsid w:val="004B3F2F"/>
    <w:rsid w:val="004B4467"/>
    <w:rsid w:val="004B4E6B"/>
    <w:rsid w:val="004B5216"/>
    <w:rsid w:val="004B6112"/>
    <w:rsid w:val="004B6F91"/>
    <w:rsid w:val="004B706E"/>
    <w:rsid w:val="004B743D"/>
    <w:rsid w:val="004B7B2B"/>
    <w:rsid w:val="004C019E"/>
    <w:rsid w:val="004C28A9"/>
    <w:rsid w:val="004C2C21"/>
    <w:rsid w:val="004C3AE7"/>
    <w:rsid w:val="004C3BB6"/>
    <w:rsid w:val="004C44E4"/>
    <w:rsid w:val="004C4A8E"/>
    <w:rsid w:val="004C533C"/>
    <w:rsid w:val="004C54E1"/>
    <w:rsid w:val="004C6504"/>
    <w:rsid w:val="004C7C44"/>
    <w:rsid w:val="004D14EC"/>
    <w:rsid w:val="004D4561"/>
    <w:rsid w:val="004D502E"/>
    <w:rsid w:val="004D59E5"/>
    <w:rsid w:val="004D61AD"/>
    <w:rsid w:val="004D6860"/>
    <w:rsid w:val="004D70A0"/>
    <w:rsid w:val="004D73BD"/>
    <w:rsid w:val="004D73F5"/>
    <w:rsid w:val="004D76C0"/>
    <w:rsid w:val="004D7CBE"/>
    <w:rsid w:val="004E089B"/>
    <w:rsid w:val="004E0BF0"/>
    <w:rsid w:val="004E11E7"/>
    <w:rsid w:val="004E1FF6"/>
    <w:rsid w:val="004E21F5"/>
    <w:rsid w:val="004E2CD4"/>
    <w:rsid w:val="004E34AA"/>
    <w:rsid w:val="004E353F"/>
    <w:rsid w:val="004E3B8F"/>
    <w:rsid w:val="004E3F36"/>
    <w:rsid w:val="004E5BDC"/>
    <w:rsid w:val="004E5D88"/>
    <w:rsid w:val="004E650B"/>
    <w:rsid w:val="004E6825"/>
    <w:rsid w:val="004E69EB"/>
    <w:rsid w:val="004E7135"/>
    <w:rsid w:val="004E757E"/>
    <w:rsid w:val="004E784A"/>
    <w:rsid w:val="004E7E54"/>
    <w:rsid w:val="004E7E80"/>
    <w:rsid w:val="004F0462"/>
    <w:rsid w:val="004F07F6"/>
    <w:rsid w:val="004F0AD2"/>
    <w:rsid w:val="004F0DC9"/>
    <w:rsid w:val="004F0E93"/>
    <w:rsid w:val="004F1314"/>
    <w:rsid w:val="004F159E"/>
    <w:rsid w:val="004F1CC1"/>
    <w:rsid w:val="004F1E69"/>
    <w:rsid w:val="004F226F"/>
    <w:rsid w:val="004F24FB"/>
    <w:rsid w:val="004F26D2"/>
    <w:rsid w:val="004F2EBF"/>
    <w:rsid w:val="004F35B1"/>
    <w:rsid w:val="004F460A"/>
    <w:rsid w:val="004F491C"/>
    <w:rsid w:val="004F50D3"/>
    <w:rsid w:val="004F55C8"/>
    <w:rsid w:val="004F55FA"/>
    <w:rsid w:val="004F5BE8"/>
    <w:rsid w:val="004F5F51"/>
    <w:rsid w:val="004F5FE3"/>
    <w:rsid w:val="004F653B"/>
    <w:rsid w:val="004F666F"/>
    <w:rsid w:val="004F6990"/>
    <w:rsid w:val="004F6E51"/>
    <w:rsid w:val="004F6F17"/>
    <w:rsid w:val="004F71F0"/>
    <w:rsid w:val="004F7ADA"/>
    <w:rsid w:val="004F7EF1"/>
    <w:rsid w:val="0050031E"/>
    <w:rsid w:val="00501543"/>
    <w:rsid w:val="00501554"/>
    <w:rsid w:val="005015C3"/>
    <w:rsid w:val="00502643"/>
    <w:rsid w:val="0050299D"/>
    <w:rsid w:val="00502ABC"/>
    <w:rsid w:val="00503367"/>
    <w:rsid w:val="005039D8"/>
    <w:rsid w:val="00504881"/>
    <w:rsid w:val="00504928"/>
    <w:rsid w:val="005060CE"/>
    <w:rsid w:val="00506B86"/>
    <w:rsid w:val="00507283"/>
    <w:rsid w:val="005072D5"/>
    <w:rsid w:val="00507476"/>
    <w:rsid w:val="00507885"/>
    <w:rsid w:val="00507C80"/>
    <w:rsid w:val="00507FE4"/>
    <w:rsid w:val="0051064D"/>
    <w:rsid w:val="00510E68"/>
    <w:rsid w:val="0051173C"/>
    <w:rsid w:val="00511807"/>
    <w:rsid w:val="005118F9"/>
    <w:rsid w:val="00512676"/>
    <w:rsid w:val="00512AA4"/>
    <w:rsid w:val="0051363D"/>
    <w:rsid w:val="0051479E"/>
    <w:rsid w:val="00514978"/>
    <w:rsid w:val="00514B76"/>
    <w:rsid w:val="00514EB0"/>
    <w:rsid w:val="0051578B"/>
    <w:rsid w:val="0051660D"/>
    <w:rsid w:val="0051701D"/>
    <w:rsid w:val="005170DE"/>
    <w:rsid w:val="005176AD"/>
    <w:rsid w:val="00517A07"/>
    <w:rsid w:val="00517BD2"/>
    <w:rsid w:val="005209D5"/>
    <w:rsid w:val="00520C76"/>
    <w:rsid w:val="00520F93"/>
    <w:rsid w:val="0052129E"/>
    <w:rsid w:val="005215BA"/>
    <w:rsid w:val="00521F4A"/>
    <w:rsid w:val="00522026"/>
    <w:rsid w:val="00522777"/>
    <w:rsid w:val="00522D69"/>
    <w:rsid w:val="00522EB9"/>
    <w:rsid w:val="00523DA2"/>
    <w:rsid w:val="005242A9"/>
    <w:rsid w:val="00525034"/>
    <w:rsid w:val="005268B6"/>
    <w:rsid w:val="00526A4A"/>
    <w:rsid w:val="00526BBD"/>
    <w:rsid w:val="00530954"/>
    <w:rsid w:val="00530D4B"/>
    <w:rsid w:val="0053131A"/>
    <w:rsid w:val="0053145E"/>
    <w:rsid w:val="0053192B"/>
    <w:rsid w:val="00531A8D"/>
    <w:rsid w:val="0053210B"/>
    <w:rsid w:val="00532586"/>
    <w:rsid w:val="005325AF"/>
    <w:rsid w:val="00532880"/>
    <w:rsid w:val="00532FAC"/>
    <w:rsid w:val="0053396F"/>
    <w:rsid w:val="00533C79"/>
    <w:rsid w:val="00533D03"/>
    <w:rsid w:val="00533F58"/>
    <w:rsid w:val="005340EC"/>
    <w:rsid w:val="0053416F"/>
    <w:rsid w:val="005345FD"/>
    <w:rsid w:val="00534F4B"/>
    <w:rsid w:val="0053524B"/>
    <w:rsid w:val="00535894"/>
    <w:rsid w:val="0053610C"/>
    <w:rsid w:val="00536545"/>
    <w:rsid w:val="00536F20"/>
    <w:rsid w:val="005373C1"/>
    <w:rsid w:val="005374A7"/>
    <w:rsid w:val="00540C7A"/>
    <w:rsid w:val="0054115A"/>
    <w:rsid w:val="005413D1"/>
    <w:rsid w:val="005418EA"/>
    <w:rsid w:val="00541B70"/>
    <w:rsid w:val="00541F1E"/>
    <w:rsid w:val="00541FCD"/>
    <w:rsid w:val="005430D2"/>
    <w:rsid w:val="005435C2"/>
    <w:rsid w:val="00543745"/>
    <w:rsid w:val="005438FA"/>
    <w:rsid w:val="00543ECE"/>
    <w:rsid w:val="00543FC5"/>
    <w:rsid w:val="00545D84"/>
    <w:rsid w:val="00547711"/>
    <w:rsid w:val="00547D5F"/>
    <w:rsid w:val="0055033B"/>
    <w:rsid w:val="00550D44"/>
    <w:rsid w:val="00550EA2"/>
    <w:rsid w:val="005512BA"/>
    <w:rsid w:val="005514F8"/>
    <w:rsid w:val="00552A0B"/>
    <w:rsid w:val="00552E9E"/>
    <w:rsid w:val="00552F36"/>
    <w:rsid w:val="005537E8"/>
    <w:rsid w:val="0055397E"/>
    <w:rsid w:val="005539AB"/>
    <w:rsid w:val="00553BD4"/>
    <w:rsid w:val="00553D4D"/>
    <w:rsid w:val="00554743"/>
    <w:rsid w:val="00554CA5"/>
    <w:rsid w:val="00554F00"/>
    <w:rsid w:val="0055541B"/>
    <w:rsid w:val="00555F73"/>
    <w:rsid w:val="005567FB"/>
    <w:rsid w:val="00556E40"/>
    <w:rsid w:val="00557960"/>
    <w:rsid w:val="005579AB"/>
    <w:rsid w:val="00557B71"/>
    <w:rsid w:val="00557C5C"/>
    <w:rsid w:val="00560040"/>
    <w:rsid w:val="005603F9"/>
    <w:rsid w:val="0056043E"/>
    <w:rsid w:val="00560A56"/>
    <w:rsid w:val="00560B62"/>
    <w:rsid w:val="005612AA"/>
    <w:rsid w:val="00561367"/>
    <w:rsid w:val="005614CB"/>
    <w:rsid w:val="00561A82"/>
    <w:rsid w:val="00561C09"/>
    <w:rsid w:val="00562229"/>
    <w:rsid w:val="0056229B"/>
    <w:rsid w:val="0056319E"/>
    <w:rsid w:val="005631D3"/>
    <w:rsid w:val="00563AC7"/>
    <w:rsid w:val="0056497C"/>
    <w:rsid w:val="00564A63"/>
    <w:rsid w:val="00564E46"/>
    <w:rsid w:val="00565001"/>
    <w:rsid w:val="00565D87"/>
    <w:rsid w:val="00565F51"/>
    <w:rsid w:val="00566A40"/>
    <w:rsid w:val="00566ABB"/>
    <w:rsid w:val="0056704C"/>
    <w:rsid w:val="0056754D"/>
    <w:rsid w:val="0056757E"/>
    <w:rsid w:val="00567C41"/>
    <w:rsid w:val="00567C4F"/>
    <w:rsid w:val="005705B7"/>
    <w:rsid w:val="005709D2"/>
    <w:rsid w:val="00570C07"/>
    <w:rsid w:val="005715A0"/>
    <w:rsid w:val="00572845"/>
    <w:rsid w:val="0057345B"/>
    <w:rsid w:val="00573B6E"/>
    <w:rsid w:val="00573D4B"/>
    <w:rsid w:val="00574101"/>
    <w:rsid w:val="00574491"/>
    <w:rsid w:val="0057475E"/>
    <w:rsid w:val="00574887"/>
    <w:rsid w:val="005748A9"/>
    <w:rsid w:val="0057521B"/>
    <w:rsid w:val="005758CB"/>
    <w:rsid w:val="00575F29"/>
    <w:rsid w:val="0057647A"/>
    <w:rsid w:val="0057651F"/>
    <w:rsid w:val="00576788"/>
    <w:rsid w:val="00576E23"/>
    <w:rsid w:val="00577215"/>
    <w:rsid w:val="00577321"/>
    <w:rsid w:val="005775D5"/>
    <w:rsid w:val="00577BF7"/>
    <w:rsid w:val="005809CB"/>
    <w:rsid w:val="00580BD5"/>
    <w:rsid w:val="00582048"/>
    <w:rsid w:val="005829D9"/>
    <w:rsid w:val="005833C5"/>
    <w:rsid w:val="00583EFF"/>
    <w:rsid w:val="00584FE9"/>
    <w:rsid w:val="00585091"/>
    <w:rsid w:val="00585641"/>
    <w:rsid w:val="00585ABC"/>
    <w:rsid w:val="00585D42"/>
    <w:rsid w:val="0058671C"/>
    <w:rsid w:val="005867BD"/>
    <w:rsid w:val="005870EA"/>
    <w:rsid w:val="005874CB"/>
    <w:rsid w:val="00587968"/>
    <w:rsid w:val="00587CAC"/>
    <w:rsid w:val="00590261"/>
    <w:rsid w:val="00590380"/>
    <w:rsid w:val="00590D99"/>
    <w:rsid w:val="00591269"/>
    <w:rsid w:val="005913D8"/>
    <w:rsid w:val="005915A4"/>
    <w:rsid w:val="00591763"/>
    <w:rsid w:val="00591B47"/>
    <w:rsid w:val="00591BFB"/>
    <w:rsid w:val="00592656"/>
    <w:rsid w:val="00592B66"/>
    <w:rsid w:val="0059329E"/>
    <w:rsid w:val="00593ACB"/>
    <w:rsid w:val="005940CB"/>
    <w:rsid w:val="0059477F"/>
    <w:rsid w:val="005948EC"/>
    <w:rsid w:val="0059555F"/>
    <w:rsid w:val="00595A99"/>
    <w:rsid w:val="00595AAA"/>
    <w:rsid w:val="005969D8"/>
    <w:rsid w:val="00596ABF"/>
    <w:rsid w:val="00597170"/>
    <w:rsid w:val="00597233"/>
    <w:rsid w:val="0059765E"/>
    <w:rsid w:val="00597B63"/>
    <w:rsid w:val="005A061F"/>
    <w:rsid w:val="005A08D1"/>
    <w:rsid w:val="005A0967"/>
    <w:rsid w:val="005A0FC9"/>
    <w:rsid w:val="005A1087"/>
    <w:rsid w:val="005A1220"/>
    <w:rsid w:val="005A1408"/>
    <w:rsid w:val="005A1781"/>
    <w:rsid w:val="005A1FCB"/>
    <w:rsid w:val="005A2BB2"/>
    <w:rsid w:val="005A2BB3"/>
    <w:rsid w:val="005A2F8D"/>
    <w:rsid w:val="005A303F"/>
    <w:rsid w:val="005A345E"/>
    <w:rsid w:val="005A3D90"/>
    <w:rsid w:val="005A3DA7"/>
    <w:rsid w:val="005A43A6"/>
    <w:rsid w:val="005A49F8"/>
    <w:rsid w:val="005A4C97"/>
    <w:rsid w:val="005A55D5"/>
    <w:rsid w:val="005A5AD7"/>
    <w:rsid w:val="005A6C1D"/>
    <w:rsid w:val="005A7046"/>
    <w:rsid w:val="005A718E"/>
    <w:rsid w:val="005A7215"/>
    <w:rsid w:val="005A7E15"/>
    <w:rsid w:val="005B005A"/>
    <w:rsid w:val="005B04C4"/>
    <w:rsid w:val="005B0901"/>
    <w:rsid w:val="005B0B30"/>
    <w:rsid w:val="005B0C76"/>
    <w:rsid w:val="005B0F52"/>
    <w:rsid w:val="005B19B1"/>
    <w:rsid w:val="005B19CF"/>
    <w:rsid w:val="005B1EAC"/>
    <w:rsid w:val="005B24EB"/>
    <w:rsid w:val="005B264A"/>
    <w:rsid w:val="005B2A2A"/>
    <w:rsid w:val="005B32C6"/>
    <w:rsid w:val="005B48EA"/>
    <w:rsid w:val="005B4EB5"/>
    <w:rsid w:val="005B558F"/>
    <w:rsid w:val="005B57FC"/>
    <w:rsid w:val="005B598B"/>
    <w:rsid w:val="005B5A21"/>
    <w:rsid w:val="005B635E"/>
    <w:rsid w:val="005B63A1"/>
    <w:rsid w:val="005B6863"/>
    <w:rsid w:val="005B708E"/>
    <w:rsid w:val="005B715C"/>
    <w:rsid w:val="005B7381"/>
    <w:rsid w:val="005B786B"/>
    <w:rsid w:val="005B7DEB"/>
    <w:rsid w:val="005B7FAD"/>
    <w:rsid w:val="005C0EF8"/>
    <w:rsid w:val="005C0F42"/>
    <w:rsid w:val="005C1129"/>
    <w:rsid w:val="005C1EE6"/>
    <w:rsid w:val="005C1F1A"/>
    <w:rsid w:val="005C21E5"/>
    <w:rsid w:val="005C415F"/>
    <w:rsid w:val="005C41F6"/>
    <w:rsid w:val="005C4468"/>
    <w:rsid w:val="005C4674"/>
    <w:rsid w:val="005C5862"/>
    <w:rsid w:val="005C58DB"/>
    <w:rsid w:val="005C616B"/>
    <w:rsid w:val="005C6574"/>
    <w:rsid w:val="005C7191"/>
    <w:rsid w:val="005C71B5"/>
    <w:rsid w:val="005C7440"/>
    <w:rsid w:val="005C7743"/>
    <w:rsid w:val="005C7838"/>
    <w:rsid w:val="005D0387"/>
    <w:rsid w:val="005D0454"/>
    <w:rsid w:val="005D0FED"/>
    <w:rsid w:val="005D1BA0"/>
    <w:rsid w:val="005D2366"/>
    <w:rsid w:val="005D2713"/>
    <w:rsid w:val="005D2B63"/>
    <w:rsid w:val="005D2F5A"/>
    <w:rsid w:val="005D30DC"/>
    <w:rsid w:val="005D321B"/>
    <w:rsid w:val="005D359A"/>
    <w:rsid w:val="005D38F2"/>
    <w:rsid w:val="005D3919"/>
    <w:rsid w:val="005D3B18"/>
    <w:rsid w:val="005D3CA2"/>
    <w:rsid w:val="005D4E53"/>
    <w:rsid w:val="005D53D8"/>
    <w:rsid w:val="005D585D"/>
    <w:rsid w:val="005D5B53"/>
    <w:rsid w:val="005D6106"/>
    <w:rsid w:val="005D6DD0"/>
    <w:rsid w:val="005D6DF7"/>
    <w:rsid w:val="005D797D"/>
    <w:rsid w:val="005D7D35"/>
    <w:rsid w:val="005E0515"/>
    <w:rsid w:val="005E07C5"/>
    <w:rsid w:val="005E09FE"/>
    <w:rsid w:val="005E0F83"/>
    <w:rsid w:val="005E1838"/>
    <w:rsid w:val="005E1B48"/>
    <w:rsid w:val="005E2334"/>
    <w:rsid w:val="005E2598"/>
    <w:rsid w:val="005E29DA"/>
    <w:rsid w:val="005E3399"/>
    <w:rsid w:val="005E3418"/>
    <w:rsid w:val="005E3912"/>
    <w:rsid w:val="005E3E14"/>
    <w:rsid w:val="005E47F6"/>
    <w:rsid w:val="005E48AD"/>
    <w:rsid w:val="005E4A54"/>
    <w:rsid w:val="005E55A9"/>
    <w:rsid w:val="005E6161"/>
    <w:rsid w:val="005E70AA"/>
    <w:rsid w:val="005E7299"/>
    <w:rsid w:val="005E750E"/>
    <w:rsid w:val="005E75A6"/>
    <w:rsid w:val="005F02C0"/>
    <w:rsid w:val="005F0308"/>
    <w:rsid w:val="005F094E"/>
    <w:rsid w:val="005F1CB6"/>
    <w:rsid w:val="005F1D62"/>
    <w:rsid w:val="005F1E14"/>
    <w:rsid w:val="005F2335"/>
    <w:rsid w:val="005F28DD"/>
    <w:rsid w:val="005F2CA9"/>
    <w:rsid w:val="005F2D46"/>
    <w:rsid w:val="005F2E8D"/>
    <w:rsid w:val="005F337D"/>
    <w:rsid w:val="005F3867"/>
    <w:rsid w:val="005F3930"/>
    <w:rsid w:val="005F3A0B"/>
    <w:rsid w:val="005F3A12"/>
    <w:rsid w:val="005F401F"/>
    <w:rsid w:val="005F41D5"/>
    <w:rsid w:val="005F42A2"/>
    <w:rsid w:val="005F4371"/>
    <w:rsid w:val="005F61C8"/>
    <w:rsid w:val="005F6458"/>
    <w:rsid w:val="005F67CA"/>
    <w:rsid w:val="005F6A44"/>
    <w:rsid w:val="005F7135"/>
    <w:rsid w:val="005F763F"/>
    <w:rsid w:val="005F78C5"/>
    <w:rsid w:val="005F7A04"/>
    <w:rsid w:val="005F7C37"/>
    <w:rsid w:val="005F7E96"/>
    <w:rsid w:val="00600512"/>
    <w:rsid w:val="00600678"/>
    <w:rsid w:val="006007E5"/>
    <w:rsid w:val="00600C9A"/>
    <w:rsid w:val="00601133"/>
    <w:rsid w:val="006013FF"/>
    <w:rsid w:val="00601417"/>
    <w:rsid w:val="0060184C"/>
    <w:rsid w:val="00602C9E"/>
    <w:rsid w:val="00604082"/>
    <w:rsid w:val="00604FBF"/>
    <w:rsid w:val="0060510C"/>
    <w:rsid w:val="00605E29"/>
    <w:rsid w:val="00606495"/>
    <w:rsid w:val="00606F04"/>
    <w:rsid w:val="00606FE5"/>
    <w:rsid w:val="0060727D"/>
    <w:rsid w:val="00607421"/>
    <w:rsid w:val="0061029C"/>
    <w:rsid w:val="00610367"/>
    <w:rsid w:val="00610462"/>
    <w:rsid w:val="006106B0"/>
    <w:rsid w:val="006110F0"/>
    <w:rsid w:val="006116F4"/>
    <w:rsid w:val="00611A18"/>
    <w:rsid w:val="00611E41"/>
    <w:rsid w:val="00611F63"/>
    <w:rsid w:val="006120AC"/>
    <w:rsid w:val="0061220F"/>
    <w:rsid w:val="00612524"/>
    <w:rsid w:val="006127D7"/>
    <w:rsid w:val="006129FD"/>
    <w:rsid w:val="00612F89"/>
    <w:rsid w:val="00613038"/>
    <w:rsid w:val="006130A8"/>
    <w:rsid w:val="00613300"/>
    <w:rsid w:val="00613AFA"/>
    <w:rsid w:val="00613CA0"/>
    <w:rsid w:val="00613F31"/>
    <w:rsid w:val="0061415E"/>
    <w:rsid w:val="006149DF"/>
    <w:rsid w:val="00614C94"/>
    <w:rsid w:val="0061520A"/>
    <w:rsid w:val="00615276"/>
    <w:rsid w:val="00615DC0"/>
    <w:rsid w:val="006165ED"/>
    <w:rsid w:val="00616BC8"/>
    <w:rsid w:val="00616F89"/>
    <w:rsid w:val="00617B7C"/>
    <w:rsid w:val="00620135"/>
    <w:rsid w:val="00620CAF"/>
    <w:rsid w:val="00621770"/>
    <w:rsid w:val="006219C7"/>
    <w:rsid w:val="006221F2"/>
    <w:rsid w:val="00622786"/>
    <w:rsid w:val="006228CA"/>
    <w:rsid w:val="00622E9B"/>
    <w:rsid w:val="0062326F"/>
    <w:rsid w:val="006235A9"/>
    <w:rsid w:val="006236B8"/>
    <w:rsid w:val="006236E2"/>
    <w:rsid w:val="00623B02"/>
    <w:rsid w:val="00623CC3"/>
    <w:rsid w:val="0062420B"/>
    <w:rsid w:val="00624345"/>
    <w:rsid w:val="00624BB8"/>
    <w:rsid w:val="0062509F"/>
    <w:rsid w:val="006252E8"/>
    <w:rsid w:val="006256D7"/>
    <w:rsid w:val="0062574F"/>
    <w:rsid w:val="00625A0E"/>
    <w:rsid w:val="00625C1D"/>
    <w:rsid w:val="006267CF"/>
    <w:rsid w:val="00626C96"/>
    <w:rsid w:val="00627344"/>
    <w:rsid w:val="00630441"/>
    <w:rsid w:val="00630784"/>
    <w:rsid w:val="0063090E"/>
    <w:rsid w:val="00630C79"/>
    <w:rsid w:val="00630D7B"/>
    <w:rsid w:val="00630E1B"/>
    <w:rsid w:val="0063209B"/>
    <w:rsid w:val="00632137"/>
    <w:rsid w:val="00632415"/>
    <w:rsid w:val="00632556"/>
    <w:rsid w:val="00632EE6"/>
    <w:rsid w:val="006334AB"/>
    <w:rsid w:val="00634B87"/>
    <w:rsid w:val="0063550D"/>
    <w:rsid w:val="00635512"/>
    <w:rsid w:val="006355A1"/>
    <w:rsid w:val="00635B68"/>
    <w:rsid w:val="00636012"/>
    <w:rsid w:val="00636743"/>
    <w:rsid w:val="00637EEA"/>
    <w:rsid w:val="00640240"/>
    <w:rsid w:val="0064073E"/>
    <w:rsid w:val="00640B66"/>
    <w:rsid w:val="00640F45"/>
    <w:rsid w:val="0064146F"/>
    <w:rsid w:val="00641B9F"/>
    <w:rsid w:val="0064205C"/>
    <w:rsid w:val="006420E9"/>
    <w:rsid w:val="006421BF"/>
    <w:rsid w:val="006426A1"/>
    <w:rsid w:val="00642E9E"/>
    <w:rsid w:val="006436B9"/>
    <w:rsid w:val="006439AA"/>
    <w:rsid w:val="006445B9"/>
    <w:rsid w:val="006446B7"/>
    <w:rsid w:val="00645586"/>
    <w:rsid w:val="006455E9"/>
    <w:rsid w:val="0064646C"/>
    <w:rsid w:val="00646525"/>
    <w:rsid w:val="006467C1"/>
    <w:rsid w:val="00647AA9"/>
    <w:rsid w:val="00647BFD"/>
    <w:rsid w:val="00650CD3"/>
    <w:rsid w:val="00650E2F"/>
    <w:rsid w:val="0065112F"/>
    <w:rsid w:val="0065196E"/>
    <w:rsid w:val="00652ACA"/>
    <w:rsid w:val="00652F42"/>
    <w:rsid w:val="00653822"/>
    <w:rsid w:val="00654405"/>
    <w:rsid w:val="00654521"/>
    <w:rsid w:val="006546FB"/>
    <w:rsid w:val="00654CB2"/>
    <w:rsid w:val="006552B9"/>
    <w:rsid w:val="00655BED"/>
    <w:rsid w:val="00655F01"/>
    <w:rsid w:val="00655F20"/>
    <w:rsid w:val="00657BB7"/>
    <w:rsid w:val="00657F26"/>
    <w:rsid w:val="0066065A"/>
    <w:rsid w:val="006606A3"/>
    <w:rsid w:val="006607CE"/>
    <w:rsid w:val="00661037"/>
    <w:rsid w:val="006613A6"/>
    <w:rsid w:val="00661BDB"/>
    <w:rsid w:val="006621D8"/>
    <w:rsid w:val="00662695"/>
    <w:rsid w:val="006628AF"/>
    <w:rsid w:val="00662A2B"/>
    <w:rsid w:val="00662BAE"/>
    <w:rsid w:val="00662FD5"/>
    <w:rsid w:val="00663A6F"/>
    <w:rsid w:val="00663AC2"/>
    <w:rsid w:val="00663B53"/>
    <w:rsid w:val="00664941"/>
    <w:rsid w:val="00664B35"/>
    <w:rsid w:val="00664C0F"/>
    <w:rsid w:val="00664C35"/>
    <w:rsid w:val="0066522D"/>
    <w:rsid w:val="00665C9A"/>
    <w:rsid w:val="00665ED3"/>
    <w:rsid w:val="006675F6"/>
    <w:rsid w:val="006679D1"/>
    <w:rsid w:val="00667BEB"/>
    <w:rsid w:val="00667C25"/>
    <w:rsid w:val="00667C3E"/>
    <w:rsid w:val="00670905"/>
    <w:rsid w:val="00671A1E"/>
    <w:rsid w:val="00672478"/>
    <w:rsid w:val="00674735"/>
    <w:rsid w:val="00674932"/>
    <w:rsid w:val="00674B9E"/>
    <w:rsid w:val="00674D82"/>
    <w:rsid w:val="00674DFE"/>
    <w:rsid w:val="00676F00"/>
    <w:rsid w:val="006802F9"/>
    <w:rsid w:val="0068036F"/>
    <w:rsid w:val="006803F4"/>
    <w:rsid w:val="0068066D"/>
    <w:rsid w:val="00680770"/>
    <w:rsid w:val="00680D7E"/>
    <w:rsid w:val="00680D8E"/>
    <w:rsid w:val="00681388"/>
    <w:rsid w:val="00681F2C"/>
    <w:rsid w:val="00682531"/>
    <w:rsid w:val="0068292E"/>
    <w:rsid w:val="006836F9"/>
    <w:rsid w:val="00683EBD"/>
    <w:rsid w:val="00684018"/>
    <w:rsid w:val="006849EB"/>
    <w:rsid w:val="00684BFD"/>
    <w:rsid w:val="00684FF6"/>
    <w:rsid w:val="00685247"/>
    <w:rsid w:val="00685739"/>
    <w:rsid w:val="0068592F"/>
    <w:rsid w:val="00685B66"/>
    <w:rsid w:val="00685FFB"/>
    <w:rsid w:val="00686D01"/>
    <w:rsid w:val="00687A46"/>
    <w:rsid w:val="00687C26"/>
    <w:rsid w:val="00687C4B"/>
    <w:rsid w:val="00690D23"/>
    <w:rsid w:val="006910B8"/>
    <w:rsid w:val="006914BE"/>
    <w:rsid w:val="00691ECA"/>
    <w:rsid w:val="0069228E"/>
    <w:rsid w:val="006928E0"/>
    <w:rsid w:val="00693843"/>
    <w:rsid w:val="00693D19"/>
    <w:rsid w:val="00693ED6"/>
    <w:rsid w:val="00694307"/>
    <w:rsid w:val="00694900"/>
    <w:rsid w:val="00695101"/>
    <w:rsid w:val="0069523C"/>
    <w:rsid w:val="00695491"/>
    <w:rsid w:val="00695FD9"/>
    <w:rsid w:val="006964AC"/>
    <w:rsid w:val="006965F1"/>
    <w:rsid w:val="006974EA"/>
    <w:rsid w:val="00697A51"/>
    <w:rsid w:val="006A1133"/>
    <w:rsid w:val="006A1584"/>
    <w:rsid w:val="006A1757"/>
    <w:rsid w:val="006A19D7"/>
    <w:rsid w:val="006A2480"/>
    <w:rsid w:val="006A2A9D"/>
    <w:rsid w:val="006A2E28"/>
    <w:rsid w:val="006A334F"/>
    <w:rsid w:val="006A3D70"/>
    <w:rsid w:val="006A4537"/>
    <w:rsid w:val="006A5159"/>
    <w:rsid w:val="006A5213"/>
    <w:rsid w:val="006A5DCD"/>
    <w:rsid w:val="006A603B"/>
    <w:rsid w:val="006A6288"/>
    <w:rsid w:val="006A6566"/>
    <w:rsid w:val="006A685C"/>
    <w:rsid w:val="006A6888"/>
    <w:rsid w:val="006A6AF2"/>
    <w:rsid w:val="006A6DA8"/>
    <w:rsid w:val="006A72A8"/>
    <w:rsid w:val="006A7E00"/>
    <w:rsid w:val="006B0010"/>
    <w:rsid w:val="006B22E5"/>
    <w:rsid w:val="006B269E"/>
    <w:rsid w:val="006B28BA"/>
    <w:rsid w:val="006B2946"/>
    <w:rsid w:val="006B2E9F"/>
    <w:rsid w:val="006B35A6"/>
    <w:rsid w:val="006B3857"/>
    <w:rsid w:val="006B3A87"/>
    <w:rsid w:val="006B3ABC"/>
    <w:rsid w:val="006B4116"/>
    <w:rsid w:val="006B431B"/>
    <w:rsid w:val="006B4A77"/>
    <w:rsid w:val="006B4B74"/>
    <w:rsid w:val="006B4E53"/>
    <w:rsid w:val="006B6247"/>
    <w:rsid w:val="006B63A5"/>
    <w:rsid w:val="006B6432"/>
    <w:rsid w:val="006B6CEE"/>
    <w:rsid w:val="006B6EB4"/>
    <w:rsid w:val="006B70A7"/>
    <w:rsid w:val="006B7CA7"/>
    <w:rsid w:val="006B7D65"/>
    <w:rsid w:val="006C019E"/>
    <w:rsid w:val="006C039A"/>
    <w:rsid w:val="006C04A2"/>
    <w:rsid w:val="006C07CF"/>
    <w:rsid w:val="006C07E9"/>
    <w:rsid w:val="006C0F65"/>
    <w:rsid w:val="006C108D"/>
    <w:rsid w:val="006C1881"/>
    <w:rsid w:val="006C1D31"/>
    <w:rsid w:val="006C2102"/>
    <w:rsid w:val="006C25B0"/>
    <w:rsid w:val="006C2793"/>
    <w:rsid w:val="006C28A3"/>
    <w:rsid w:val="006C2AC0"/>
    <w:rsid w:val="006C3306"/>
    <w:rsid w:val="006C3D18"/>
    <w:rsid w:val="006C3DB3"/>
    <w:rsid w:val="006C3F55"/>
    <w:rsid w:val="006C42CB"/>
    <w:rsid w:val="006C4C5B"/>
    <w:rsid w:val="006C58F9"/>
    <w:rsid w:val="006C59BD"/>
    <w:rsid w:val="006C5B0A"/>
    <w:rsid w:val="006C5C16"/>
    <w:rsid w:val="006C5C3A"/>
    <w:rsid w:val="006C5DFA"/>
    <w:rsid w:val="006C6A65"/>
    <w:rsid w:val="006C6B50"/>
    <w:rsid w:val="006C6F11"/>
    <w:rsid w:val="006C7B10"/>
    <w:rsid w:val="006D008B"/>
    <w:rsid w:val="006D1161"/>
    <w:rsid w:val="006D116E"/>
    <w:rsid w:val="006D21E4"/>
    <w:rsid w:val="006D240E"/>
    <w:rsid w:val="006D29B3"/>
    <w:rsid w:val="006D2F0E"/>
    <w:rsid w:val="006D342D"/>
    <w:rsid w:val="006D3956"/>
    <w:rsid w:val="006D3C7F"/>
    <w:rsid w:val="006D440B"/>
    <w:rsid w:val="006D4613"/>
    <w:rsid w:val="006D4780"/>
    <w:rsid w:val="006D4BDD"/>
    <w:rsid w:val="006D4CA8"/>
    <w:rsid w:val="006D51D3"/>
    <w:rsid w:val="006D5331"/>
    <w:rsid w:val="006D5503"/>
    <w:rsid w:val="006D58B7"/>
    <w:rsid w:val="006D59AE"/>
    <w:rsid w:val="006D5B8D"/>
    <w:rsid w:val="006D61FA"/>
    <w:rsid w:val="006D64D9"/>
    <w:rsid w:val="006D6521"/>
    <w:rsid w:val="006D6640"/>
    <w:rsid w:val="006D76CA"/>
    <w:rsid w:val="006D785E"/>
    <w:rsid w:val="006D7CF9"/>
    <w:rsid w:val="006E0A48"/>
    <w:rsid w:val="006E21EE"/>
    <w:rsid w:val="006E2E30"/>
    <w:rsid w:val="006E367C"/>
    <w:rsid w:val="006E36F3"/>
    <w:rsid w:val="006E3ACF"/>
    <w:rsid w:val="006E3D55"/>
    <w:rsid w:val="006E3F54"/>
    <w:rsid w:val="006E429E"/>
    <w:rsid w:val="006E54CE"/>
    <w:rsid w:val="006E622B"/>
    <w:rsid w:val="006E6400"/>
    <w:rsid w:val="006E66A6"/>
    <w:rsid w:val="006E67A8"/>
    <w:rsid w:val="006E6DCB"/>
    <w:rsid w:val="006E70D6"/>
    <w:rsid w:val="006E7F61"/>
    <w:rsid w:val="006F04DE"/>
    <w:rsid w:val="006F0B1D"/>
    <w:rsid w:val="006F0BE6"/>
    <w:rsid w:val="006F10CD"/>
    <w:rsid w:val="006F147E"/>
    <w:rsid w:val="006F1708"/>
    <w:rsid w:val="006F1FCE"/>
    <w:rsid w:val="006F2508"/>
    <w:rsid w:val="006F25FF"/>
    <w:rsid w:val="006F2A10"/>
    <w:rsid w:val="006F2C8D"/>
    <w:rsid w:val="006F2CA2"/>
    <w:rsid w:val="006F3B30"/>
    <w:rsid w:val="006F3BFF"/>
    <w:rsid w:val="006F3F32"/>
    <w:rsid w:val="006F458C"/>
    <w:rsid w:val="006F4D09"/>
    <w:rsid w:val="006F50A5"/>
    <w:rsid w:val="006F54D5"/>
    <w:rsid w:val="006F566D"/>
    <w:rsid w:val="006F5A4E"/>
    <w:rsid w:val="006F6284"/>
    <w:rsid w:val="006F6B30"/>
    <w:rsid w:val="006F73DC"/>
    <w:rsid w:val="006F78CA"/>
    <w:rsid w:val="006F7B7E"/>
    <w:rsid w:val="007002FB"/>
    <w:rsid w:val="0070083F"/>
    <w:rsid w:val="00700927"/>
    <w:rsid w:val="00700A18"/>
    <w:rsid w:val="00700A90"/>
    <w:rsid w:val="00700C72"/>
    <w:rsid w:val="00700CB4"/>
    <w:rsid w:val="0070100B"/>
    <w:rsid w:val="007014DF"/>
    <w:rsid w:val="007014FA"/>
    <w:rsid w:val="0070169C"/>
    <w:rsid w:val="0070171B"/>
    <w:rsid w:val="007018EA"/>
    <w:rsid w:val="007019A4"/>
    <w:rsid w:val="00701F1B"/>
    <w:rsid w:val="0070216D"/>
    <w:rsid w:val="0070219E"/>
    <w:rsid w:val="0070339A"/>
    <w:rsid w:val="007033B6"/>
    <w:rsid w:val="007043AE"/>
    <w:rsid w:val="007043F4"/>
    <w:rsid w:val="00704411"/>
    <w:rsid w:val="00704647"/>
    <w:rsid w:val="00704D74"/>
    <w:rsid w:val="0070548B"/>
    <w:rsid w:val="007058E7"/>
    <w:rsid w:val="00706BAD"/>
    <w:rsid w:val="00706C55"/>
    <w:rsid w:val="0070735D"/>
    <w:rsid w:val="00707596"/>
    <w:rsid w:val="00707F1D"/>
    <w:rsid w:val="007105E4"/>
    <w:rsid w:val="007109E7"/>
    <w:rsid w:val="00710FC7"/>
    <w:rsid w:val="0071327E"/>
    <w:rsid w:val="00713AA6"/>
    <w:rsid w:val="007156DF"/>
    <w:rsid w:val="0071646D"/>
    <w:rsid w:val="00720165"/>
    <w:rsid w:val="00721153"/>
    <w:rsid w:val="0072132F"/>
    <w:rsid w:val="00721B34"/>
    <w:rsid w:val="00721D98"/>
    <w:rsid w:val="00721EBA"/>
    <w:rsid w:val="00721FC6"/>
    <w:rsid w:val="0072217E"/>
    <w:rsid w:val="00722752"/>
    <w:rsid w:val="007238CC"/>
    <w:rsid w:val="0072397F"/>
    <w:rsid w:val="00723A0E"/>
    <w:rsid w:val="007241A1"/>
    <w:rsid w:val="007254BE"/>
    <w:rsid w:val="00725D3B"/>
    <w:rsid w:val="00725F75"/>
    <w:rsid w:val="0072736C"/>
    <w:rsid w:val="007273C9"/>
    <w:rsid w:val="0073048B"/>
    <w:rsid w:val="00730E29"/>
    <w:rsid w:val="00730E4F"/>
    <w:rsid w:val="00731FA3"/>
    <w:rsid w:val="00732573"/>
    <w:rsid w:val="0073263B"/>
    <w:rsid w:val="00733819"/>
    <w:rsid w:val="00733C5A"/>
    <w:rsid w:val="007348C7"/>
    <w:rsid w:val="00734F41"/>
    <w:rsid w:val="00735152"/>
    <w:rsid w:val="0073535C"/>
    <w:rsid w:val="00736226"/>
    <w:rsid w:val="00736D75"/>
    <w:rsid w:val="0073786F"/>
    <w:rsid w:val="00737B29"/>
    <w:rsid w:val="00740648"/>
    <w:rsid w:val="00740815"/>
    <w:rsid w:val="00740B2F"/>
    <w:rsid w:val="00741196"/>
    <w:rsid w:val="00741B91"/>
    <w:rsid w:val="00741D36"/>
    <w:rsid w:val="00742681"/>
    <w:rsid w:val="00742990"/>
    <w:rsid w:val="00743824"/>
    <w:rsid w:val="00743C6E"/>
    <w:rsid w:val="0074425C"/>
    <w:rsid w:val="00744399"/>
    <w:rsid w:val="00744C44"/>
    <w:rsid w:val="00744EBD"/>
    <w:rsid w:val="0074549B"/>
    <w:rsid w:val="007459F4"/>
    <w:rsid w:val="00745F0C"/>
    <w:rsid w:val="00746633"/>
    <w:rsid w:val="007469EF"/>
    <w:rsid w:val="007470E7"/>
    <w:rsid w:val="00747EE4"/>
    <w:rsid w:val="00750192"/>
    <w:rsid w:val="0075054E"/>
    <w:rsid w:val="00750974"/>
    <w:rsid w:val="0075106F"/>
    <w:rsid w:val="00751CFB"/>
    <w:rsid w:val="0075206C"/>
    <w:rsid w:val="007520B3"/>
    <w:rsid w:val="00752716"/>
    <w:rsid w:val="00752E63"/>
    <w:rsid w:val="00753250"/>
    <w:rsid w:val="007534C6"/>
    <w:rsid w:val="007542B6"/>
    <w:rsid w:val="00754430"/>
    <w:rsid w:val="007548A5"/>
    <w:rsid w:val="00754A4C"/>
    <w:rsid w:val="00754AE9"/>
    <w:rsid w:val="00754C06"/>
    <w:rsid w:val="00754C0A"/>
    <w:rsid w:val="0075500D"/>
    <w:rsid w:val="007552F4"/>
    <w:rsid w:val="00755B2F"/>
    <w:rsid w:val="00755D5D"/>
    <w:rsid w:val="00756439"/>
    <w:rsid w:val="007575A8"/>
    <w:rsid w:val="007578C5"/>
    <w:rsid w:val="00757B06"/>
    <w:rsid w:val="0076013E"/>
    <w:rsid w:val="0076037F"/>
    <w:rsid w:val="0076092F"/>
    <w:rsid w:val="00760955"/>
    <w:rsid w:val="00761EF5"/>
    <w:rsid w:val="00761FB9"/>
    <w:rsid w:val="00762701"/>
    <w:rsid w:val="007628BD"/>
    <w:rsid w:val="00762908"/>
    <w:rsid w:val="00762A99"/>
    <w:rsid w:val="00762B2F"/>
    <w:rsid w:val="00762F44"/>
    <w:rsid w:val="0076396E"/>
    <w:rsid w:val="007644E6"/>
    <w:rsid w:val="0076494D"/>
    <w:rsid w:val="007652B4"/>
    <w:rsid w:val="00765399"/>
    <w:rsid w:val="00765416"/>
    <w:rsid w:val="007655B5"/>
    <w:rsid w:val="00765E69"/>
    <w:rsid w:val="00766165"/>
    <w:rsid w:val="0076617F"/>
    <w:rsid w:val="00766FC2"/>
    <w:rsid w:val="00767048"/>
    <w:rsid w:val="00767307"/>
    <w:rsid w:val="00767443"/>
    <w:rsid w:val="00767474"/>
    <w:rsid w:val="0076752D"/>
    <w:rsid w:val="00767620"/>
    <w:rsid w:val="00767FFA"/>
    <w:rsid w:val="00770A7B"/>
    <w:rsid w:val="00770FD3"/>
    <w:rsid w:val="00772041"/>
    <w:rsid w:val="0077219A"/>
    <w:rsid w:val="0077238B"/>
    <w:rsid w:val="007724BA"/>
    <w:rsid w:val="00772A90"/>
    <w:rsid w:val="00772BC8"/>
    <w:rsid w:val="00772BD7"/>
    <w:rsid w:val="00772D12"/>
    <w:rsid w:val="00772E1C"/>
    <w:rsid w:val="007731AC"/>
    <w:rsid w:val="007733D1"/>
    <w:rsid w:val="00774543"/>
    <w:rsid w:val="007746F1"/>
    <w:rsid w:val="00774C5F"/>
    <w:rsid w:val="00774D92"/>
    <w:rsid w:val="00775386"/>
    <w:rsid w:val="00775404"/>
    <w:rsid w:val="00775484"/>
    <w:rsid w:val="0077551F"/>
    <w:rsid w:val="00775AF9"/>
    <w:rsid w:val="00776236"/>
    <w:rsid w:val="00776883"/>
    <w:rsid w:val="00777318"/>
    <w:rsid w:val="007775B5"/>
    <w:rsid w:val="00777671"/>
    <w:rsid w:val="0077777E"/>
    <w:rsid w:val="0077786D"/>
    <w:rsid w:val="007800DD"/>
    <w:rsid w:val="00780113"/>
    <w:rsid w:val="007802E9"/>
    <w:rsid w:val="00780A40"/>
    <w:rsid w:val="00780F17"/>
    <w:rsid w:val="00781411"/>
    <w:rsid w:val="00781843"/>
    <w:rsid w:val="00782168"/>
    <w:rsid w:val="00782B56"/>
    <w:rsid w:val="007832BF"/>
    <w:rsid w:val="00783621"/>
    <w:rsid w:val="00785051"/>
    <w:rsid w:val="0078505B"/>
    <w:rsid w:val="00785CBF"/>
    <w:rsid w:val="00786044"/>
    <w:rsid w:val="007870B1"/>
    <w:rsid w:val="00787AB3"/>
    <w:rsid w:val="00790674"/>
    <w:rsid w:val="0079148D"/>
    <w:rsid w:val="0079198C"/>
    <w:rsid w:val="00791F98"/>
    <w:rsid w:val="00792915"/>
    <w:rsid w:val="00793382"/>
    <w:rsid w:val="007940BD"/>
    <w:rsid w:val="00795201"/>
    <w:rsid w:val="00795B7C"/>
    <w:rsid w:val="007965EA"/>
    <w:rsid w:val="007967A3"/>
    <w:rsid w:val="0079728A"/>
    <w:rsid w:val="00797BE9"/>
    <w:rsid w:val="007A00D7"/>
    <w:rsid w:val="007A08E0"/>
    <w:rsid w:val="007A11DD"/>
    <w:rsid w:val="007A20FE"/>
    <w:rsid w:val="007A2421"/>
    <w:rsid w:val="007A2522"/>
    <w:rsid w:val="007A2C90"/>
    <w:rsid w:val="007A3456"/>
    <w:rsid w:val="007A357E"/>
    <w:rsid w:val="007A369E"/>
    <w:rsid w:val="007A3B3F"/>
    <w:rsid w:val="007A3F31"/>
    <w:rsid w:val="007A3F4B"/>
    <w:rsid w:val="007A47AF"/>
    <w:rsid w:val="007A497C"/>
    <w:rsid w:val="007A5A45"/>
    <w:rsid w:val="007A5BB9"/>
    <w:rsid w:val="007A5F9E"/>
    <w:rsid w:val="007A69BF"/>
    <w:rsid w:val="007A6C98"/>
    <w:rsid w:val="007A789B"/>
    <w:rsid w:val="007A79F8"/>
    <w:rsid w:val="007B09CC"/>
    <w:rsid w:val="007B0D6C"/>
    <w:rsid w:val="007B1057"/>
    <w:rsid w:val="007B1D10"/>
    <w:rsid w:val="007B2111"/>
    <w:rsid w:val="007B25B4"/>
    <w:rsid w:val="007B2866"/>
    <w:rsid w:val="007B2942"/>
    <w:rsid w:val="007B3264"/>
    <w:rsid w:val="007B378C"/>
    <w:rsid w:val="007B3A9F"/>
    <w:rsid w:val="007B3CAA"/>
    <w:rsid w:val="007B3DFE"/>
    <w:rsid w:val="007B42B7"/>
    <w:rsid w:val="007B42C5"/>
    <w:rsid w:val="007B42E6"/>
    <w:rsid w:val="007B472A"/>
    <w:rsid w:val="007B505C"/>
    <w:rsid w:val="007B5AF1"/>
    <w:rsid w:val="007B5B41"/>
    <w:rsid w:val="007B5C72"/>
    <w:rsid w:val="007B5CBC"/>
    <w:rsid w:val="007B64FC"/>
    <w:rsid w:val="007B66A2"/>
    <w:rsid w:val="007B6B08"/>
    <w:rsid w:val="007B7609"/>
    <w:rsid w:val="007B76FF"/>
    <w:rsid w:val="007B7733"/>
    <w:rsid w:val="007C0071"/>
    <w:rsid w:val="007C0AF2"/>
    <w:rsid w:val="007C0BBB"/>
    <w:rsid w:val="007C0D6E"/>
    <w:rsid w:val="007C1628"/>
    <w:rsid w:val="007C2515"/>
    <w:rsid w:val="007C2ABE"/>
    <w:rsid w:val="007C300D"/>
    <w:rsid w:val="007C36FD"/>
    <w:rsid w:val="007C38AE"/>
    <w:rsid w:val="007C3D09"/>
    <w:rsid w:val="007C3F08"/>
    <w:rsid w:val="007C3FE8"/>
    <w:rsid w:val="007C4701"/>
    <w:rsid w:val="007C471E"/>
    <w:rsid w:val="007C473C"/>
    <w:rsid w:val="007C4C63"/>
    <w:rsid w:val="007C4EBB"/>
    <w:rsid w:val="007C5198"/>
    <w:rsid w:val="007C5B93"/>
    <w:rsid w:val="007D01FE"/>
    <w:rsid w:val="007D0533"/>
    <w:rsid w:val="007D108A"/>
    <w:rsid w:val="007D1EC3"/>
    <w:rsid w:val="007D2065"/>
    <w:rsid w:val="007D264F"/>
    <w:rsid w:val="007D338C"/>
    <w:rsid w:val="007D3578"/>
    <w:rsid w:val="007D3AAA"/>
    <w:rsid w:val="007D4252"/>
    <w:rsid w:val="007D54F5"/>
    <w:rsid w:val="007D57AC"/>
    <w:rsid w:val="007D660C"/>
    <w:rsid w:val="007D6A35"/>
    <w:rsid w:val="007D724D"/>
    <w:rsid w:val="007D786E"/>
    <w:rsid w:val="007D7A9C"/>
    <w:rsid w:val="007D7AB7"/>
    <w:rsid w:val="007E04FD"/>
    <w:rsid w:val="007E1E03"/>
    <w:rsid w:val="007E2695"/>
    <w:rsid w:val="007E285E"/>
    <w:rsid w:val="007E2FA5"/>
    <w:rsid w:val="007E4AF9"/>
    <w:rsid w:val="007E5113"/>
    <w:rsid w:val="007E5224"/>
    <w:rsid w:val="007E5294"/>
    <w:rsid w:val="007E56A2"/>
    <w:rsid w:val="007E5F75"/>
    <w:rsid w:val="007E61FB"/>
    <w:rsid w:val="007E6654"/>
    <w:rsid w:val="007E6BB8"/>
    <w:rsid w:val="007E703E"/>
    <w:rsid w:val="007F06B0"/>
    <w:rsid w:val="007F0DD3"/>
    <w:rsid w:val="007F1C0F"/>
    <w:rsid w:val="007F2753"/>
    <w:rsid w:val="007F2FB9"/>
    <w:rsid w:val="007F36B3"/>
    <w:rsid w:val="007F396D"/>
    <w:rsid w:val="007F41D1"/>
    <w:rsid w:val="007F48FF"/>
    <w:rsid w:val="007F4B4F"/>
    <w:rsid w:val="007F57D7"/>
    <w:rsid w:val="007F5A01"/>
    <w:rsid w:val="007F5E43"/>
    <w:rsid w:val="007F615F"/>
    <w:rsid w:val="007F68F6"/>
    <w:rsid w:val="007F6E39"/>
    <w:rsid w:val="007F709E"/>
    <w:rsid w:val="007F719E"/>
    <w:rsid w:val="007F7FF5"/>
    <w:rsid w:val="00800960"/>
    <w:rsid w:val="00801C2C"/>
    <w:rsid w:val="00801F91"/>
    <w:rsid w:val="0080237D"/>
    <w:rsid w:val="008024D1"/>
    <w:rsid w:val="008028B5"/>
    <w:rsid w:val="00802EA5"/>
    <w:rsid w:val="00803206"/>
    <w:rsid w:val="00803885"/>
    <w:rsid w:val="00803DF8"/>
    <w:rsid w:val="008042A6"/>
    <w:rsid w:val="008042A8"/>
    <w:rsid w:val="008044EB"/>
    <w:rsid w:val="00804D28"/>
    <w:rsid w:val="008050E4"/>
    <w:rsid w:val="00805422"/>
    <w:rsid w:val="008062DF"/>
    <w:rsid w:val="008063E3"/>
    <w:rsid w:val="008064BF"/>
    <w:rsid w:val="00806808"/>
    <w:rsid w:val="0080726F"/>
    <w:rsid w:val="008073DC"/>
    <w:rsid w:val="00807490"/>
    <w:rsid w:val="00807587"/>
    <w:rsid w:val="00807D8B"/>
    <w:rsid w:val="00807E8B"/>
    <w:rsid w:val="008104C8"/>
    <w:rsid w:val="008104E6"/>
    <w:rsid w:val="00810883"/>
    <w:rsid w:val="00810C21"/>
    <w:rsid w:val="00812282"/>
    <w:rsid w:val="00812288"/>
    <w:rsid w:val="008126A3"/>
    <w:rsid w:val="00812AD8"/>
    <w:rsid w:val="00812DF7"/>
    <w:rsid w:val="008131FD"/>
    <w:rsid w:val="008142C5"/>
    <w:rsid w:val="0081481D"/>
    <w:rsid w:val="00814F17"/>
    <w:rsid w:val="00814FB8"/>
    <w:rsid w:val="00815E12"/>
    <w:rsid w:val="00816D58"/>
    <w:rsid w:val="00817055"/>
    <w:rsid w:val="00817780"/>
    <w:rsid w:val="00820400"/>
    <w:rsid w:val="00820FA4"/>
    <w:rsid w:val="008211AB"/>
    <w:rsid w:val="0082137F"/>
    <w:rsid w:val="0082162F"/>
    <w:rsid w:val="0082170F"/>
    <w:rsid w:val="008217EA"/>
    <w:rsid w:val="008221A5"/>
    <w:rsid w:val="00822525"/>
    <w:rsid w:val="00822624"/>
    <w:rsid w:val="00822C50"/>
    <w:rsid w:val="00824493"/>
    <w:rsid w:val="0082480F"/>
    <w:rsid w:val="00824AF5"/>
    <w:rsid w:val="00824CC6"/>
    <w:rsid w:val="0082598B"/>
    <w:rsid w:val="0082646A"/>
    <w:rsid w:val="008264B8"/>
    <w:rsid w:val="00826AA2"/>
    <w:rsid w:val="00827736"/>
    <w:rsid w:val="00830459"/>
    <w:rsid w:val="00830C47"/>
    <w:rsid w:val="00830FE7"/>
    <w:rsid w:val="008310E6"/>
    <w:rsid w:val="00831A76"/>
    <w:rsid w:val="00831E41"/>
    <w:rsid w:val="00832A16"/>
    <w:rsid w:val="00832AF3"/>
    <w:rsid w:val="00833219"/>
    <w:rsid w:val="008334B2"/>
    <w:rsid w:val="00833529"/>
    <w:rsid w:val="00833A7A"/>
    <w:rsid w:val="00833E11"/>
    <w:rsid w:val="008349BB"/>
    <w:rsid w:val="008355F5"/>
    <w:rsid w:val="008358CB"/>
    <w:rsid w:val="00835A2D"/>
    <w:rsid w:val="00835AA0"/>
    <w:rsid w:val="00835B15"/>
    <w:rsid w:val="00836312"/>
    <w:rsid w:val="00836587"/>
    <w:rsid w:val="00836C16"/>
    <w:rsid w:val="008373B2"/>
    <w:rsid w:val="00837912"/>
    <w:rsid w:val="008402F2"/>
    <w:rsid w:val="008406BD"/>
    <w:rsid w:val="00840BC2"/>
    <w:rsid w:val="00840EB3"/>
    <w:rsid w:val="008418AA"/>
    <w:rsid w:val="008419FB"/>
    <w:rsid w:val="00841A8B"/>
    <w:rsid w:val="00841F08"/>
    <w:rsid w:val="00842575"/>
    <w:rsid w:val="008428EB"/>
    <w:rsid w:val="00842CF0"/>
    <w:rsid w:val="008430C4"/>
    <w:rsid w:val="00843E49"/>
    <w:rsid w:val="008444E1"/>
    <w:rsid w:val="00844BB8"/>
    <w:rsid w:val="0084501B"/>
    <w:rsid w:val="008456CC"/>
    <w:rsid w:val="00845773"/>
    <w:rsid w:val="0084649B"/>
    <w:rsid w:val="00846FBF"/>
    <w:rsid w:val="008476B7"/>
    <w:rsid w:val="00847704"/>
    <w:rsid w:val="00850613"/>
    <w:rsid w:val="008511A6"/>
    <w:rsid w:val="008515FC"/>
    <w:rsid w:val="00851A5F"/>
    <w:rsid w:val="0085266A"/>
    <w:rsid w:val="00852A30"/>
    <w:rsid w:val="00853293"/>
    <w:rsid w:val="008538E7"/>
    <w:rsid w:val="00853CE3"/>
    <w:rsid w:val="0085444E"/>
    <w:rsid w:val="008547B9"/>
    <w:rsid w:val="00854C62"/>
    <w:rsid w:val="00855116"/>
    <w:rsid w:val="008554A9"/>
    <w:rsid w:val="00856404"/>
    <w:rsid w:val="00856ABD"/>
    <w:rsid w:val="00856BE3"/>
    <w:rsid w:val="008577EB"/>
    <w:rsid w:val="00857C73"/>
    <w:rsid w:val="00860E15"/>
    <w:rsid w:val="00861165"/>
    <w:rsid w:val="008615F8"/>
    <w:rsid w:val="00862242"/>
    <w:rsid w:val="0086312F"/>
    <w:rsid w:val="00863203"/>
    <w:rsid w:val="0086350F"/>
    <w:rsid w:val="00864663"/>
    <w:rsid w:val="0086493B"/>
    <w:rsid w:val="00864CCD"/>
    <w:rsid w:val="00865863"/>
    <w:rsid w:val="0086621E"/>
    <w:rsid w:val="0086650F"/>
    <w:rsid w:val="008668EF"/>
    <w:rsid w:val="00866FBB"/>
    <w:rsid w:val="00867B39"/>
    <w:rsid w:val="00867BFE"/>
    <w:rsid w:val="00867E85"/>
    <w:rsid w:val="00870564"/>
    <w:rsid w:val="00870D09"/>
    <w:rsid w:val="008713FD"/>
    <w:rsid w:val="008716BA"/>
    <w:rsid w:val="00872036"/>
    <w:rsid w:val="00872392"/>
    <w:rsid w:val="00872874"/>
    <w:rsid w:val="00872AFB"/>
    <w:rsid w:val="00872B31"/>
    <w:rsid w:val="00873FF4"/>
    <w:rsid w:val="0087402F"/>
    <w:rsid w:val="0087456D"/>
    <w:rsid w:val="008745B7"/>
    <w:rsid w:val="008749D7"/>
    <w:rsid w:val="00874FF4"/>
    <w:rsid w:val="00875217"/>
    <w:rsid w:val="008752CF"/>
    <w:rsid w:val="00875E48"/>
    <w:rsid w:val="008766E2"/>
    <w:rsid w:val="00876756"/>
    <w:rsid w:val="00876C5A"/>
    <w:rsid w:val="00876ECC"/>
    <w:rsid w:val="008771C9"/>
    <w:rsid w:val="00877353"/>
    <w:rsid w:val="008773CB"/>
    <w:rsid w:val="008801BA"/>
    <w:rsid w:val="00880760"/>
    <w:rsid w:val="00880ADF"/>
    <w:rsid w:val="00880DE2"/>
    <w:rsid w:val="00881193"/>
    <w:rsid w:val="00881490"/>
    <w:rsid w:val="00881765"/>
    <w:rsid w:val="00881865"/>
    <w:rsid w:val="00881B84"/>
    <w:rsid w:val="00882263"/>
    <w:rsid w:val="00882655"/>
    <w:rsid w:val="00882CF8"/>
    <w:rsid w:val="00882D38"/>
    <w:rsid w:val="00882F6D"/>
    <w:rsid w:val="0088509C"/>
    <w:rsid w:val="0088640E"/>
    <w:rsid w:val="008868A6"/>
    <w:rsid w:val="00886B2F"/>
    <w:rsid w:val="00890574"/>
    <w:rsid w:val="008909A0"/>
    <w:rsid w:val="00890B19"/>
    <w:rsid w:val="00890DDF"/>
    <w:rsid w:val="00891C9D"/>
    <w:rsid w:val="008924D5"/>
    <w:rsid w:val="0089287B"/>
    <w:rsid w:val="0089291A"/>
    <w:rsid w:val="00893F97"/>
    <w:rsid w:val="008941BC"/>
    <w:rsid w:val="00894B91"/>
    <w:rsid w:val="00894FC4"/>
    <w:rsid w:val="0089502F"/>
    <w:rsid w:val="008955C5"/>
    <w:rsid w:val="00895B70"/>
    <w:rsid w:val="0089624C"/>
    <w:rsid w:val="00896771"/>
    <w:rsid w:val="00896844"/>
    <w:rsid w:val="0089689C"/>
    <w:rsid w:val="00896A00"/>
    <w:rsid w:val="00896FEC"/>
    <w:rsid w:val="00897817"/>
    <w:rsid w:val="008979E2"/>
    <w:rsid w:val="00897A3F"/>
    <w:rsid w:val="008A084F"/>
    <w:rsid w:val="008A092F"/>
    <w:rsid w:val="008A0C96"/>
    <w:rsid w:val="008A0EAC"/>
    <w:rsid w:val="008A0EE2"/>
    <w:rsid w:val="008A11F1"/>
    <w:rsid w:val="008A1F21"/>
    <w:rsid w:val="008A25D3"/>
    <w:rsid w:val="008A29F1"/>
    <w:rsid w:val="008A29FC"/>
    <w:rsid w:val="008A2DC1"/>
    <w:rsid w:val="008A2EEF"/>
    <w:rsid w:val="008A35C7"/>
    <w:rsid w:val="008A4267"/>
    <w:rsid w:val="008A452F"/>
    <w:rsid w:val="008A4D07"/>
    <w:rsid w:val="008A4D96"/>
    <w:rsid w:val="008A5358"/>
    <w:rsid w:val="008A543C"/>
    <w:rsid w:val="008A5694"/>
    <w:rsid w:val="008A58B0"/>
    <w:rsid w:val="008A646F"/>
    <w:rsid w:val="008A7044"/>
    <w:rsid w:val="008A7491"/>
    <w:rsid w:val="008A76A4"/>
    <w:rsid w:val="008A7C2B"/>
    <w:rsid w:val="008B0087"/>
    <w:rsid w:val="008B022D"/>
    <w:rsid w:val="008B02EF"/>
    <w:rsid w:val="008B059D"/>
    <w:rsid w:val="008B1652"/>
    <w:rsid w:val="008B17C6"/>
    <w:rsid w:val="008B1B36"/>
    <w:rsid w:val="008B2347"/>
    <w:rsid w:val="008B262D"/>
    <w:rsid w:val="008B2731"/>
    <w:rsid w:val="008B274E"/>
    <w:rsid w:val="008B3160"/>
    <w:rsid w:val="008B3895"/>
    <w:rsid w:val="008B48FC"/>
    <w:rsid w:val="008B4993"/>
    <w:rsid w:val="008B56F8"/>
    <w:rsid w:val="008B5D83"/>
    <w:rsid w:val="008B6364"/>
    <w:rsid w:val="008B6E65"/>
    <w:rsid w:val="008B7413"/>
    <w:rsid w:val="008C0A21"/>
    <w:rsid w:val="008C0EEC"/>
    <w:rsid w:val="008C111A"/>
    <w:rsid w:val="008C122F"/>
    <w:rsid w:val="008C25D6"/>
    <w:rsid w:val="008C28DA"/>
    <w:rsid w:val="008C2987"/>
    <w:rsid w:val="008C2B55"/>
    <w:rsid w:val="008C314F"/>
    <w:rsid w:val="008C41BD"/>
    <w:rsid w:val="008C46DA"/>
    <w:rsid w:val="008C569C"/>
    <w:rsid w:val="008C59E8"/>
    <w:rsid w:val="008C5DA4"/>
    <w:rsid w:val="008C6380"/>
    <w:rsid w:val="008C6BF0"/>
    <w:rsid w:val="008C6C26"/>
    <w:rsid w:val="008C7140"/>
    <w:rsid w:val="008C737B"/>
    <w:rsid w:val="008C7CA7"/>
    <w:rsid w:val="008D081D"/>
    <w:rsid w:val="008D1101"/>
    <w:rsid w:val="008D287B"/>
    <w:rsid w:val="008D2E5C"/>
    <w:rsid w:val="008D3578"/>
    <w:rsid w:val="008D3846"/>
    <w:rsid w:val="008D3974"/>
    <w:rsid w:val="008D3A55"/>
    <w:rsid w:val="008D3DF0"/>
    <w:rsid w:val="008D3FEC"/>
    <w:rsid w:val="008D467A"/>
    <w:rsid w:val="008D48C4"/>
    <w:rsid w:val="008D4C59"/>
    <w:rsid w:val="008D66EE"/>
    <w:rsid w:val="008D6749"/>
    <w:rsid w:val="008D680B"/>
    <w:rsid w:val="008D680C"/>
    <w:rsid w:val="008D6E42"/>
    <w:rsid w:val="008D75FC"/>
    <w:rsid w:val="008D7A52"/>
    <w:rsid w:val="008D7C13"/>
    <w:rsid w:val="008E0AE1"/>
    <w:rsid w:val="008E103C"/>
    <w:rsid w:val="008E128F"/>
    <w:rsid w:val="008E17EB"/>
    <w:rsid w:val="008E196E"/>
    <w:rsid w:val="008E1FE7"/>
    <w:rsid w:val="008E1FEE"/>
    <w:rsid w:val="008E2051"/>
    <w:rsid w:val="008E226C"/>
    <w:rsid w:val="008E26E0"/>
    <w:rsid w:val="008E3B74"/>
    <w:rsid w:val="008E3DB9"/>
    <w:rsid w:val="008E3E7F"/>
    <w:rsid w:val="008E41F5"/>
    <w:rsid w:val="008E4B3E"/>
    <w:rsid w:val="008E525E"/>
    <w:rsid w:val="008E568A"/>
    <w:rsid w:val="008E6E9D"/>
    <w:rsid w:val="008E7E9E"/>
    <w:rsid w:val="008F03AB"/>
    <w:rsid w:val="008F226B"/>
    <w:rsid w:val="008F2384"/>
    <w:rsid w:val="008F269C"/>
    <w:rsid w:val="008F3454"/>
    <w:rsid w:val="008F3E58"/>
    <w:rsid w:val="008F3F7A"/>
    <w:rsid w:val="008F441B"/>
    <w:rsid w:val="008F488F"/>
    <w:rsid w:val="008F4F91"/>
    <w:rsid w:val="008F5095"/>
    <w:rsid w:val="008F5309"/>
    <w:rsid w:val="008F5563"/>
    <w:rsid w:val="008F5887"/>
    <w:rsid w:val="008F592F"/>
    <w:rsid w:val="008F5E1A"/>
    <w:rsid w:val="008F6F4C"/>
    <w:rsid w:val="008F743A"/>
    <w:rsid w:val="008F789A"/>
    <w:rsid w:val="008F79BB"/>
    <w:rsid w:val="008F7F2E"/>
    <w:rsid w:val="008F7FE5"/>
    <w:rsid w:val="00900224"/>
    <w:rsid w:val="00900AB1"/>
    <w:rsid w:val="00900D6C"/>
    <w:rsid w:val="00901796"/>
    <w:rsid w:val="00901CA8"/>
    <w:rsid w:val="0090252C"/>
    <w:rsid w:val="0090257E"/>
    <w:rsid w:val="0090303B"/>
    <w:rsid w:val="00904B4A"/>
    <w:rsid w:val="00904CC4"/>
    <w:rsid w:val="00904F1B"/>
    <w:rsid w:val="00904F2F"/>
    <w:rsid w:val="009051CA"/>
    <w:rsid w:val="00905294"/>
    <w:rsid w:val="0090560D"/>
    <w:rsid w:val="0090561D"/>
    <w:rsid w:val="0090584F"/>
    <w:rsid w:val="00906168"/>
    <w:rsid w:val="00906378"/>
    <w:rsid w:val="00906457"/>
    <w:rsid w:val="00906507"/>
    <w:rsid w:val="00906807"/>
    <w:rsid w:val="0090786F"/>
    <w:rsid w:val="00907894"/>
    <w:rsid w:val="00907A53"/>
    <w:rsid w:val="00907BB3"/>
    <w:rsid w:val="00907ECD"/>
    <w:rsid w:val="00907F80"/>
    <w:rsid w:val="00910833"/>
    <w:rsid w:val="00913989"/>
    <w:rsid w:val="00913AAE"/>
    <w:rsid w:val="00914214"/>
    <w:rsid w:val="0091442D"/>
    <w:rsid w:val="00914588"/>
    <w:rsid w:val="00914D94"/>
    <w:rsid w:val="009154E8"/>
    <w:rsid w:val="009163F5"/>
    <w:rsid w:val="0091679A"/>
    <w:rsid w:val="00916F70"/>
    <w:rsid w:val="00917101"/>
    <w:rsid w:val="0091721F"/>
    <w:rsid w:val="00917709"/>
    <w:rsid w:val="00917793"/>
    <w:rsid w:val="009178A2"/>
    <w:rsid w:val="00917977"/>
    <w:rsid w:val="00917D37"/>
    <w:rsid w:val="00917D42"/>
    <w:rsid w:val="00917E3A"/>
    <w:rsid w:val="009202DE"/>
    <w:rsid w:val="0092068C"/>
    <w:rsid w:val="009208E1"/>
    <w:rsid w:val="00920C6A"/>
    <w:rsid w:val="00921D81"/>
    <w:rsid w:val="009220D4"/>
    <w:rsid w:val="00922515"/>
    <w:rsid w:val="00922CA1"/>
    <w:rsid w:val="0092308F"/>
    <w:rsid w:val="00923267"/>
    <w:rsid w:val="00923A1F"/>
    <w:rsid w:val="00923AD8"/>
    <w:rsid w:val="00923B4C"/>
    <w:rsid w:val="00924233"/>
    <w:rsid w:val="00924404"/>
    <w:rsid w:val="00924617"/>
    <w:rsid w:val="0092517E"/>
    <w:rsid w:val="00925898"/>
    <w:rsid w:val="00925F5E"/>
    <w:rsid w:val="00926558"/>
    <w:rsid w:val="00926A3C"/>
    <w:rsid w:val="00927456"/>
    <w:rsid w:val="00927CF4"/>
    <w:rsid w:val="009300ED"/>
    <w:rsid w:val="00930496"/>
    <w:rsid w:val="00930F73"/>
    <w:rsid w:val="00931E58"/>
    <w:rsid w:val="00931E79"/>
    <w:rsid w:val="009327DE"/>
    <w:rsid w:val="00932F1D"/>
    <w:rsid w:val="009332FB"/>
    <w:rsid w:val="00933431"/>
    <w:rsid w:val="009338F7"/>
    <w:rsid w:val="00933AC0"/>
    <w:rsid w:val="00933D65"/>
    <w:rsid w:val="00934399"/>
    <w:rsid w:val="00934D13"/>
    <w:rsid w:val="00934DFC"/>
    <w:rsid w:val="00935191"/>
    <w:rsid w:val="00935E45"/>
    <w:rsid w:val="00936DA7"/>
    <w:rsid w:val="009377B7"/>
    <w:rsid w:val="009379A1"/>
    <w:rsid w:val="00940ED9"/>
    <w:rsid w:val="009411A6"/>
    <w:rsid w:val="00942310"/>
    <w:rsid w:val="0094232B"/>
    <w:rsid w:val="009423A7"/>
    <w:rsid w:val="00942CCE"/>
    <w:rsid w:val="00943A11"/>
    <w:rsid w:val="0094491A"/>
    <w:rsid w:val="00944BEB"/>
    <w:rsid w:val="00944EEE"/>
    <w:rsid w:val="00945B79"/>
    <w:rsid w:val="00946B3F"/>
    <w:rsid w:val="00946D28"/>
    <w:rsid w:val="009470FC"/>
    <w:rsid w:val="009472A4"/>
    <w:rsid w:val="00947454"/>
    <w:rsid w:val="00947717"/>
    <w:rsid w:val="0095036A"/>
    <w:rsid w:val="00950BAD"/>
    <w:rsid w:val="00950CA1"/>
    <w:rsid w:val="00950D48"/>
    <w:rsid w:val="0095154F"/>
    <w:rsid w:val="009521FD"/>
    <w:rsid w:val="00952824"/>
    <w:rsid w:val="00952BCE"/>
    <w:rsid w:val="00953132"/>
    <w:rsid w:val="00953830"/>
    <w:rsid w:val="009545BC"/>
    <w:rsid w:val="009546F0"/>
    <w:rsid w:val="009548BE"/>
    <w:rsid w:val="00955571"/>
    <w:rsid w:val="00955A11"/>
    <w:rsid w:val="00955AA3"/>
    <w:rsid w:val="00956CCD"/>
    <w:rsid w:val="00956D6A"/>
    <w:rsid w:val="00956E13"/>
    <w:rsid w:val="00957A26"/>
    <w:rsid w:val="00957F6B"/>
    <w:rsid w:val="00957FB4"/>
    <w:rsid w:val="0096006D"/>
    <w:rsid w:val="009601A4"/>
    <w:rsid w:val="009601E8"/>
    <w:rsid w:val="00960390"/>
    <w:rsid w:val="0096081B"/>
    <w:rsid w:val="00961DA3"/>
    <w:rsid w:val="009624B6"/>
    <w:rsid w:val="009626B3"/>
    <w:rsid w:val="00962CF9"/>
    <w:rsid w:val="00962F75"/>
    <w:rsid w:val="00962FD4"/>
    <w:rsid w:val="009630FE"/>
    <w:rsid w:val="0096352C"/>
    <w:rsid w:val="00963647"/>
    <w:rsid w:val="00965664"/>
    <w:rsid w:val="00965865"/>
    <w:rsid w:val="00965C85"/>
    <w:rsid w:val="0096607D"/>
    <w:rsid w:val="00966406"/>
    <w:rsid w:val="009665B5"/>
    <w:rsid w:val="009673A4"/>
    <w:rsid w:val="009676B9"/>
    <w:rsid w:val="00967B04"/>
    <w:rsid w:val="00967DC6"/>
    <w:rsid w:val="00967F25"/>
    <w:rsid w:val="0097019A"/>
    <w:rsid w:val="00970385"/>
    <w:rsid w:val="00970A0D"/>
    <w:rsid w:val="00970E7F"/>
    <w:rsid w:val="0097176C"/>
    <w:rsid w:val="00971F9D"/>
    <w:rsid w:val="00972172"/>
    <w:rsid w:val="009725CC"/>
    <w:rsid w:val="00972A85"/>
    <w:rsid w:val="00972DFC"/>
    <w:rsid w:val="00973558"/>
    <w:rsid w:val="009739C6"/>
    <w:rsid w:val="00973BC0"/>
    <w:rsid w:val="009745C8"/>
    <w:rsid w:val="0097489E"/>
    <w:rsid w:val="00974D0A"/>
    <w:rsid w:val="009751C7"/>
    <w:rsid w:val="009758D3"/>
    <w:rsid w:val="00975CD8"/>
    <w:rsid w:val="00975D03"/>
    <w:rsid w:val="00975EE5"/>
    <w:rsid w:val="00975FFE"/>
    <w:rsid w:val="009761E3"/>
    <w:rsid w:val="00976B3C"/>
    <w:rsid w:val="00976EFA"/>
    <w:rsid w:val="00977233"/>
    <w:rsid w:val="00980CA5"/>
    <w:rsid w:val="00981044"/>
    <w:rsid w:val="0098112A"/>
    <w:rsid w:val="00981DDB"/>
    <w:rsid w:val="00982252"/>
    <w:rsid w:val="00982608"/>
    <w:rsid w:val="00982E60"/>
    <w:rsid w:val="00982E79"/>
    <w:rsid w:val="009833A0"/>
    <w:rsid w:val="009833A8"/>
    <w:rsid w:val="0098473C"/>
    <w:rsid w:val="00984825"/>
    <w:rsid w:val="00985646"/>
    <w:rsid w:val="00985E12"/>
    <w:rsid w:val="00985E60"/>
    <w:rsid w:val="00985F70"/>
    <w:rsid w:val="0098624C"/>
    <w:rsid w:val="00986B9E"/>
    <w:rsid w:val="00987685"/>
    <w:rsid w:val="0098783C"/>
    <w:rsid w:val="00987CBE"/>
    <w:rsid w:val="00987F40"/>
    <w:rsid w:val="00990471"/>
    <w:rsid w:val="009906AC"/>
    <w:rsid w:val="00991BD4"/>
    <w:rsid w:val="00991E72"/>
    <w:rsid w:val="0099213F"/>
    <w:rsid w:val="009926D2"/>
    <w:rsid w:val="00992F93"/>
    <w:rsid w:val="009931C5"/>
    <w:rsid w:val="009945FD"/>
    <w:rsid w:val="00994C1F"/>
    <w:rsid w:val="00994D25"/>
    <w:rsid w:val="0099526D"/>
    <w:rsid w:val="009954B4"/>
    <w:rsid w:val="009954EE"/>
    <w:rsid w:val="009959E4"/>
    <w:rsid w:val="00995D49"/>
    <w:rsid w:val="00996336"/>
    <w:rsid w:val="0099636B"/>
    <w:rsid w:val="009963DF"/>
    <w:rsid w:val="00996B5A"/>
    <w:rsid w:val="00997142"/>
    <w:rsid w:val="0099720E"/>
    <w:rsid w:val="0099759A"/>
    <w:rsid w:val="009975F0"/>
    <w:rsid w:val="00997997"/>
    <w:rsid w:val="009A038D"/>
    <w:rsid w:val="009A047B"/>
    <w:rsid w:val="009A0760"/>
    <w:rsid w:val="009A07DF"/>
    <w:rsid w:val="009A0CF5"/>
    <w:rsid w:val="009A138E"/>
    <w:rsid w:val="009A1B40"/>
    <w:rsid w:val="009A216B"/>
    <w:rsid w:val="009A298C"/>
    <w:rsid w:val="009A2E12"/>
    <w:rsid w:val="009A313B"/>
    <w:rsid w:val="009A34A1"/>
    <w:rsid w:val="009A37CB"/>
    <w:rsid w:val="009A3C0E"/>
    <w:rsid w:val="009A45DC"/>
    <w:rsid w:val="009A4992"/>
    <w:rsid w:val="009A4A5F"/>
    <w:rsid w:val="009A4C15"/>
    <w:rsid w:val="009A686D"/>
    <w:rsid w:val="009A6C51"/>
    <w:rsid w:val="009A72E5"/>
    <w:rsid w:val="009A7FF3"/>
    <w:rsid w:val="009B01CE"/>
    <w:rsid w:val="009B01FA"/>
    <w:rsid w:val="009B0E55"/>
    <w:rsid w:val="009B1525"/>
    <w:rsid w:val="009B1901"/>
    <w:rsid w:val="009B1D24"/>
    <w:rsid w:val="009B1EB0"/>
    <w:rsid w:val="009B253C"/>
    <w:rsid w:val="009B2730"/>
    <w:rsid w:val="009B2812"/>
    <w:rsid w:val="009B32E0"/>
    <w:rsid w:val="009B359E"/>
    <w:rsid w:val="009B4796"/>
    <w:rsid w:val="009B4FEA"/>
    <w:rsid w:val="009B58D4"/>
    <w:rsid w:val="009B6661"/>
    <w:rsid w:val="009B6BD8"/>
    <w:rsid w:val="009B6FEC"/>
    <w:rsid w:val="009B7410"/>
    <w:rsid w:val="009B771D"/>
    <w:rsid w:val="009B7E0B"/>
    <w:rsid w:val="009B7FEB"/>
    <w:rsid w:val="009C009C"/>
    <w:rsid w:val="009C0CAF"/>
    <w:rsid w:val="009C1954"/>
    <w:rsid w:val="009C1BC8"/>
    <w:rsid w:val="009C1E65"/>
    <w:rsid w:val="009C20EF"/>
    <w:rsid w:val="009C26C1"/>
    <w:rsid w:val="009C37C8"/>
    <w:rsid w:val="009C3B92"/>
    <w:rsid w:val="009C3C79"/>
    <w:rsid w:val="009C409C"/>
    <w:rsid w:val="009C4636"/>
    <w:rsid w:val="009C46CF"/>
    <w:rsid w:val="009C4930"/>
    <w:rsid w:val="009C4E26"/>
    <w:rsid w:val="009C58BB"/>
    <w:rsid w:val="009C5FBC"/>
    <w:rsid w:val="009C65F6"/>
    <w:rsid w:val="009C669F"/>
    <w:rsid w:val="009C6B2F"/>
    <w:rsid w:val="009C756C"/>
    <w:rsid w:val="009C7ADA"/>
    <w:rsid w:val="009C7BCB"/>
    <w:rsid w:val="009D1150"/>
    <w:rsid w:val="009D13CD"/>
    <w:rsid w:val="009D13FF"/>
    <w:rsid w:val="009D1BF6"/>
    <w:rsid w:val="009D20ED"/>
    <w:rsid w:val="009D3133"/>
    <w:rsid w:val="009D32EB"/>
    <w:rsid w:val="009D3399"/>
    <w:rsid w:val="009D3BC3"/>
    <w:rsid w:val="009D403C"/>
    <w:rsid w:val="009D44B8"/>
    <w:rsid w:val="009D4530"/>
    <w:rsid w:val="009D48E1"/>
    <w:rsid w:val="009D4975"/>
    <w:rsid w:val="009D5634"/>
    <w:rsid w:val="009D5744"/>
    <w:rsid w:val="009D59C9"/>
    <w:rsid w:val="009D5B77"/>
    <w:rsid w:val="009D5DC2"/>
    <w:rsid w:val="009D5F5F"/>
    <w:rsid w:val="009D62C5"/>
    <w:rsid w:val="009D7C9B"/>
    <w:rsid w:val="009E047E"/>
    <w:rsid w:val="009E0722"/>
    <w:rsid w:val="009E0750"/>
    <w:rsid w:val="009E0B38"/>
    <w:rsid w:val="009E0B70"/>
    <w:rsid w:val="009E0B8C"/>
    <w:rsid w:val="009E1108"/>
    <w:rsid w:val="009E1545"/>
    <w:rsid w:val="009E1547"/>
    <w:rsid w:val="009E2142"/>
    <w:rsid w:val="009E3065"/>
    <w:rsid w:val="009E31F7"/>
    <w:rsid w:val="009E347A"/>
    <w:rsid w:val="009E36DA"/>
    <w:rsid w:val="009E3E90"/>
    <w:rsid w:val="009E404F"/>
    <w:rsid w:val="009E4085"/>
    <w:rsid w:val="009E4255"/>
    <w:rsid w:val="009E46AC"/>
    <w:rsid w:val="009E4729"/>
    <w:rsid w:val="009E475C"/>
    <w:rsid w:val="009E4FAD"/>
    <w:rsid w:val="009E5589"/>
    <w:rsid w:val="009E60CA"/>
    <w:rsid w:val="009E672B"/>
    <w:rsid w:val="009E6763"/>
    <w:rsid w:val="009E6A86"/>
    <w:rsid w:val="009E741C"/>
    <w:rsid w:val="009E74F7"/>
    <w:rsid w:val="009E7613"/>
    <w:rsid w:val="009E775F"/>
    <w:rsid w:val="009E7A34"/>
    <w:rsid w:val="009E7F15"/>
    <w:rsid w:val="009F0248"/>
    <w:rsid w:val="009F093B"/>
    <w:rsid w:val="009F0C43"/>
    <w:rsid w:val="009F0D5E"/>
    <w:rsid w:val="009F0F04"/>
    <w:rsid w:val="009F0F42"/>
    <w:rsid w:val="009F113E"/>
    <w:rsid w:val="009F1691"/>
    <w:rsid w:val="009F21A1"/>
    <w:rsid w:val="009F2982"/>
    <w:rsid w:val="009F2DA1"/>
    <w:rsid w:val="009F3048"/>
    <w:rsid w:val="009F37AE"/>
    <w:rsid w:val="009F3A95"/>
    <w:rsid w:val="009F3C7E"/>
    <w:rsid w:val="009F3D6A"/>
    <w:rsid w:val="009F452E"/>
    <w:rsid w:val="009F5296"/>
    <w:rsid w:val="009F53EB"/>
    <w:rsid w:val="009F5873"/>
    <w:rsid w:val="009F63B4"/>
    <w:rsid w:val="009F7694"/>
    <w:rsid w:val="009F79BF"/>
    <w:rsid w:val="009F79DA"/>
    <w:rsid w:val="00A0045B"/>
    <w:rsid w:val="00A00642"/>
    <w:rsid w:val="00A00B4B"/>
    <w:rsid w:val="00A01521"/>
    <w:rsid w:val="00A01CDA"/>
    <w:rsid w:val="00A0211E"/>
    <w:rsid w:val="00A02187"/>
    <w:rsid w:val="00A0252E"/>
    <w:rsid w:val="00A0350D"/>
    <w:rsid w:val="00A041D0"/>
    <w:rsid w:val="00A0431A"/>
    <w:rsid w:val="00A046DD"/>
    <w:rsid w:val="00A04CC7"/>
    <w:rsid w:val="00A0533B"/>
    <w:rsid w:val="00A05AF2"/>
    <w:rsid w:val="00A05EF1"/>
    <w:rsid w:val="00A060BE"/>
    <w:rsid w:val="00A06209"/>
    <w:rsid w:val="00A067A5"/>
    <w:rsid w:val="00A06B42"/>
    <w:rsid w:val="00A06BE8"/>
    <w:rsid w:val="00A07E70"/>
    <w:rsid w:val="00A10787"/>
    <w:rsid w:val="00A10FA6"/>
    <w:rsid w:val="00A11C03"/>
    <w:rsid w:val="00A11C15"/>
    <w:rsid w:val="00A11E02"/>
    <w:rsid w:val="00A1232F"/>
    <w:rsid w:val="00A13A8C"/>
    <w:rsid w:val="00A14464"/>
    <w:rsid w:val="00A1514A"/>
    <w:rsid w:val="00A1581E"/>
    <w:rsid w:val="00A1619C"/>
    <w:rsid w:val="00A172EA"/>
    <w:rsid w:val="00A177C4"/>
    <w:rsid w:val="00A17F14"/>
    <w:rsid w:val="00A20448"/>
    <w:rsid w:val="00A20EBE"/>
    <w:rsid w:val="00A210F2"/>
    <w:rsid w:val="00A21E65"/>
    <w:rsid w:val="00A22982"/>
    <w:rsid w:val="00A24025"/>
    <w:rsid w:val="00A240B7"/>
    <w:rsid w:val="00A240FE"/>
    <w:rsid w:val="00A24D34"/>
    <w:rsid w:val="00A25C92"/>
    <w:rsid w:val="00A26016"/>
    <w:rsid w:val="00A262C8"/>
    <w:rsid w:val="00A2702F"/>
    <w:rsid w:val="00A27854"/>
    <w:rsid w:val="00A27BDE"/>
    <w:rsid w:val="00A30300"/>
    <w:rsid w:val="00A304B2"/>
    <w:rsid w:val="00A30783"/>
    <w:rsid w:val="00A30B81"/>
    <w:rsid w:val="00A31A02"/>
    <w:rsid w:val="00A31CE6"/>
    <w:rsid w:val="00A31FC1"/>
    <w:rsid w:val="00A32000"/>
    <w:rsid w:val="00A33161"/>
    <w:rsid w:val="00A338E2"/>
    <w:rsid w:val="00A33E57"/>
    <w:rsid w:val="00A345B5"/>
    <w:rsid w:val="00A34B1B"/>
    <w:rsid w:val="00A34EAE"/>
    <w:rsid w:val="00A357C5"/>
    <w:rsid w:val="00A35BD7"/>
    <w:rsid w:val="00A36482"/>
    <w:rsid w:val="00A3663B"/>
    <w:rsid w:val="00A36CD8"/>
    <w:rsid w:val="00A37348"/>
    <w:rsid w:val="00A37757"/>
    <w:rsid w:val="00A378F2"/>
    <w:rsid w:val="00A401C8"/>
    <w:rsid w:val="00A410D6"/>
    <w:rsid w:val="00A41266"/>
    <w:rsid w:val="00A41924"/>
    <w:rsid w:val="00A41D0B"/>
    <w:rsid w:val="00A424B8"/>
    <w:rsid w:val="00A4279F"/>
    <w:rsid w:val="00A43362"/>
    <w:rsid w:val="00A43D9E"/>
    <w:rsid w:val="00A43EFB"/>
    <w:rsid w:val="00A44201"/>
    <w:rsid w:val="00A4472F"/>
    <w:rsid w:val="00A4499F"/>
    <w:rsid w:val="00A44A02"/>
    <w:rsid w:val="00A45FDA"/>
    <w:rsid w:val="00A463DB"/>
    <w:rsid w:val="00A46502"/>
    <w:rsid w:val="00A46593"/>
    <w:rsid w:val="00A466AA"/>
    <w:rsid w:val="00A474EA"/>
    <w:rsid w:val="00A500AA"/>
    <w:rsid w:val="00A50F72"/>
    <w:rsid w:val="00A51164"/>
    <w:rsid w:val="00A518D2"/>
    <w:rsid w:val="00A51983"/>
    <w:rsid w:val="00A52183"/>
    <w:rsid w:val="00A52DDE"/>
    <w:rsid w:val="00A52E2D"/>
    <w:rsid w:val="00A52ED6"/>
    <w:rsid w:val="00A53999"/>
    <w:rsid w:val="00A54AFB"/>
    <w:rsid w:val="00A54DDA"/>
    <w:rsid w:val="00A55206"/>
    <w:rsid w:val="00A55FA2"/>
    <w:rsid w:val="00A560A4"/>
    <w:rsid w:val="00A5639E"/>
    <w:rsid w:val="00A56712"/>
    <w:rsid w:val="00A56926"/>
    <w:rsid w:val="00A57216"/>
    <w:rsid w:val="00A57A51"/>
    <w:rsid w:val="00A57B70"/>
    <w:rsid w:val="00A60341"/>
    <w:rsid w:val="00A60347"/>
    <w:rsid w:val="00A606C2"/>
    <w:rsid w:val="00A60B4F"/>
    <w:rsid w:val="00A60CD2"/>
    <w:rsid w:val="00A60FC4"/>
    <w:rsid w:val="00A615C5"/>
    <w:rsid w:val="00A61CEA"/>
    <w:rsid w:val="00A627D9"/>
    <w:rsid w:val="00A62D1C"/>
    <w:rsid w:val="00A6345C"/>
    <w:rsid w:val="00A63582"/>
    <w:rsid w:val="00A6358E"/>
    <w:rsid w:val="00A635EC"/>
    <w:rsid w:val="00A63CB7"/>
    <w:rsid w:val="00A63FCE"/>
    <w:rsid w:val="00A6434F"/>
    <w:rsid w:val="00A652FC"/>
    <w:rsid w:val="00A659F1"/>
    <w:rsid w:val="00A662E6"/>
    <w:rsid w:val="00A665CD"/>
    <w:rsid w:val="00A6698C"/>
    <w:rsid w:val="00A66AA0"/>
    <w:rsid w:val="00A66C8D"/>
    <w:rsid w:val="00A67B48"/>
    <w:rsid w:val="00A700B9"/>
    <w:rsid w:val="00A7042B"/>
    <w:rsid w:val="00A704B9"/>
    <w:rsid w:val="00A70921"/>
    <w:rsid w:val="00A70946"/>
    <w:rsid w:val="00A71163"/>
    <w:rsid w:val="00A71318"/>
    <w:rsid w:val="00A716F6"/>
    <w:rsid w:val="00A7181E"/>
    <w:rsid w:val="00A71CA6"/>
    <w:rsid w:val="00A725F7"/>
    <w:rsid w:val="00A72674"/>
    <w:rsid w:val="00A72B19"/>
    <w:rsid w:val="00A72CB5"/>
    <w:rsid w:val="00A72D4F"/>
    <w:rsid w:val="00A730B2"/>
    <w:rsid w:val="00A732EB"/>
    <w:rsid w:val="00A736A5"/>
    <w:rsid w:val="00A73AFE"/>
    <w:rsid w:val="00A73C3B"/>
    <w:rsid w:val="00A73C3D"/>
    <w:rsid w:val="00A741E3"/>
    <w:rsid w:val="00A741F4"/>
    <w:rsid w:val="00A74CD3"/>
    <w:rsid w:val="00A75855"/>
    <w:rsid w:val="00A766A6"/>
    <w:rsid w:val="00A76CD7"/>
    <w:rsid w:val="00A77031"/>
    <w:rsid w:val="00A774A4"/>
    <w:rsid w:val="00A77B76"/>
    <w:rsid w:val="00A77CAF"/>
    <w:rsid w:val="00A77F7B"/>
    <w:rsid w:val="00A801A6"/>
    <w:rsid w:val="00A80B5E"/>
    <w:rsid w:val="00A80DB4"/>
    <w:rsid w:val="00A80E50"/>
    <w:rsid w:val="00A812FF"/>
    <w:rsid w:val="00A81632"/>
    <w:rsid w:val="00A81AA9"/>
    <w:rsid w:val="00A81DBA"/>
    <w:rsid w:val="00A81FDF"/>
    <w:rsid w:val="00A8246F"/>
    <w:rsid w:val="00A824CC"/>
    <w:rsid w:val="00A83182"/>
    <w:rsid w:val="00A835C6"/>
    <w:rsid w:val="00A839DE"/>
    <w:rsid w:val="00A83A7E"/>
    <w:rsid w:val="00A84A5A"/>
    <w:rsid w:val="00A8572D"/>
    <w:rsid w:val="00A8645E"/>
    <w:rsid w:val="00A86850"/>
    <w:rsid w:val="00A86CC0"/>
    <w:rsid w:val="00A87BDE"/>
    <w:rsid w:val="00A9061D"/>
    <w:rsid w:val="00A9076D"/>
    <w:rsid w:val="00A90A1B"/>
    <w:rsid w:val="00A910A0"/>
    <w:rsid w:val="00A9191F"/>
    <w:rsid w:val="00A9248B"/>
    <w:rsid w:val="00A92604"/>
    <w:rsid w:val="00A927DA"/>
    <w:rsid w:val="00A92AEE"/>
    <w:rsid w:val="00A92D7A"/>
    <w:rsid w:val="00A93983"/>
    <w:rsid w:val="00A93BA3"/>
    <w:rsid w:val="00A93D65"/>
    <w:rsid w:val="00A943D5"/>
    <w:rsid w:val="00A950C6"/>
    <w:rsid w:val="00A95140"/>
    <w:rsid w:val="00A95B96"/>
    <w:rsid w:val="00A95BC9"/>
    <w:rsid w:val="00A95C38"/>
    <w:rsid w:val="00A95F0E"/>
    <w:rsid w:val="00A963E0"/>
    <w:rsid w:val="00A977D5"/>
    <w:rsid w:val="00AA0A31"/>
    <w:rsid w:val="00AA0B7B"/>
    <w:rsid w:val="00AA0E9A"/>
    <w:rsid w:val="00AA1873"/>
    <w:rsid w:val="00AA19DC"/>
    <w:rsid w:val="00AA2C89"/>
    <w:rsid w:val="00AA2EE7"/>
    <w:rsid w:val="00AA32BC"/>
    <w:rsid w:val="00AA3463"/>
    <w:rsid w:val="00AA39CF"/>
    <w:rsid w:val="00AA3C57"/>
    <w:rsid w:val="00AA3FCA"/>
    <w:rsid w:val="00AA4712"/>
    <w:rsid w:val="00AA4A32"/>
    <w:rsid w:val="00AA4EE2"/>
    <w:rsid w:val="00AA6732"/>
    <w:rsid w:val="00AA6B0C"/>
    <w:rsid w:val="00AB0A16"/>
    <w:rsid w:val="00AB0F59"/>
    <w:rsid w:val="00AB1E46"/>
    <w:rsid w:val="00AB271D"/>
    <w:rsid w:val="00AB27B0"/>
    <w:rsid w:val="00AB2958"/>
    <w:rsid w:val="00AB29D2"/>
    <w:rsid w:val="00AB36B2"/>
    <w:rsid w:val="00AB380F"/>
    <w:rsid w:val="00AB3E1F"/>
    <w:rsid w:val="00AB3E41"/>
    <w:rsid w:val="00AB4463"/>
    <w:rsid w:val="00AB4501"/>
    <w:rsid w:val="00AB4773"/>
    <w:rsid w:val="00AB4A8A"/>
    <w:rsid w:val="00AB537E"/>
    <w:rsid w:val="00AB57AA"/>
    <w:rsid w:val="00AB5DB5"/>
    <w:rsid w:val="00AB624F"/>
    <w:rsid w:val="00AB7B68"/>
    <w:rsid w:val="00AC00DC"/>
    <w:rsid w:val="00AC069D"/>
    <w:rsid w:val="00AC09D2"/>
    <w:rsid w:val="00AC09FB"/>
    <w:rsid w:val="00AC0D82"/>
    <w:rsid w:val="00AC0DE9"/>
    <w:rsid w:val="00AC1014"/>
    <w:rsid w:val="00AC196A"/>
    <w:rsid w:val="00AC1E93"/>
    <w:rsid w:val="00AC22E2"/>
    <w:rsid w:val="00AC25E1"/>
    <w:rsid w:val="00AC3172"/>
    <w:rsid w:val="00AC320B"/>
    <w:rsid w:val="00AC33FE"/>
    <w:rsid w:val="00AC34CF"/>
    <w:rsid w:val="00AC4006"/>
    <w:rsid w:val="00AC4B3E"/>
    <w:rsid w:val="00AC4B81"/>
    <w:rsid w:val="00AC75E7"/>
    <w:rsid w:val="00AC7862"/>
    <w:rsid w:val="00AC7CD9"/>
    <w:rsid w:val="00AD001C"/>
    <w:rsid w:val="00AD02B4"/>
    <w:rsid w:val="00AD08CB"/>
    <w:rsid w:val="00AD0960"/>
    <w:rsid w:val="00AD16D9"/>
    <w:rsid w:val="00AD1B43"/>
    <w:rsid w:val="00AD200E"/>
    <w:rsid w:val="00AD22DE"/>
    <w:rsid w:val="00AD28E8"/>
    <w:rsid w:val="00AD315F"/>
    <w:rsid w:val="00AD3264"/>
    <w:rsid w:val="00AD3498"/>
    <w:rsid w:val="00AD3954"/>
    <w:rsid w:val="00AD3F9F"/>
    <w:rsid w:val="00AD4144"/>
    <w:rsid w:val="00AD45AF"/>
    <w:rsid w:val="00AD53BB"/>
    <w:rsid w:val="00AD5C67"/>
    <w:rsid w:val="00AD6582"/>
    <w:rsid w:val="00AD677D"/>
    <w:rsid w:val="00AD6B15"/>
    <w:rsid w:val="00AD7B95"/>
    <w:rsid w:val="00AD7CAD"/>
    <w:rsid w:val="00AE0A18"/>
    <w:rsid w:val="00AE158D"/>
    <w:rsid w:val="00AE1610"/>
    <w:rsid w:val="00AE1760"/>
    <w:rsid w:val="00AE179F"/>
    <w:rsid w:val="00AE2061"/>
    <w:rsid w:val="00AE2E15"/>
    <w:rsid w:val="00AE3392"/>
    <w:rsid w:val="00AE49E2"/>
    <w:rsid w:val="00AE54F1"/>
    <w:rsid w:val="00AE694E"/>
    <w:rsid w:val="00AE6BE5"/>
    <w:rsid w:val="00AE6D1C"/>
    <w:rsid w:val="00AE7539"/>
    <w:rsid w:val="00AE7F78"/>
    <w:rsid w:val="00AF00DA"/>
    <w:rsid w:val="00AF0E97"/>
    <w:rsid w:val="00AF1393"/>
    <w:rsid w:val="00AF2887"/>
    <w:rsid w:val="00AF2FBF"/>
    <w:rsid w:val="00AF31A2"/>
    <w:rsid w:val="00AF337B"/>
    <w:rsid w:val="00AF4542"/>
    <w:rsid w:val="00AF4D2F"/>
    <w:rsid w:val="00AF6C57"/>
    <w:rsid w:val="00AF6F42"/>
    <w:rsid w:val="00AF749B"/>
    <w:rsid w:val="00AF7C37"/>
    <w:rsid w:val="00AF7F5B"/>
    <w:rsid w:val="00B000BB"/>
    <w:rsid w:val="00B00C41"/>
    <w:rsid w:val="00B00EA9"/>
    <w:rsid w:val="00B00F8F"/>
    <w:rsid w:val="00B00FCC"/>
    <w:rsid w:val="00B018FB"/>
    <w:rsid w:val="00B01A4D"/>
    <w:rsid w:val="00B020AE"/>
    <w:rsid w:val="00B02E2F"/>
    <w:rsid w:val="00B03B0E"/>
    <w:rsid w:val="00B04D23"/>
    <w:rsid w:val="00B05BC8"/>
    <w:rsid w:val="00B06388"/>
    <w:rsid w:val="00B06A19"/>
    <w:rsid w:val="00B07247"/>
    <w:rsid w:val="00B072B1"/>
    <w:rsid w:val="00B078CD"/>
    <w:rsid w:val="00B07A14"/>
    <w:rsid w:val="00B07A42"/>
    <w:rsid w:val="00B07AF7"/>
    <w:rsid w:val="00B106C2"/>
    <w:rsid w:val="00B11344"/>
    <w:rsid w:val="00B11F47"/>
    <w:rsid w:val="00B120D8"/>
    <w:rsid w:val="00B12429"/>
    <w:rsid w:val="00B126DA"/>
    <w:rsid w:val="00B1319A"/>
    <w:rsid w:val="00B136F8"/>
    <w:rsid w:val="00B148CF"/>
    <w:rsid w:val="00B15349"/>
    <w:rsid w:val="00B15384"/>
    <w:rsid w:val="00B1545E"/>
    <w:rsid w:val="00B16B52"/>
    <w:rsid w:val="00B173E1"/>
    <w:rsid w:val="00B174B2"/>
    <w:rsid w:val="00B174C8"/>
    <w:rsid w:val="00B1782A"/>
    <w:rsid w:val="00B17878"/>
    <w:rsid w:val="00B17B18"/>
    <w:rsid w:val="00B205B9"/>
    <w:rsid w:val="00B2064C"/>
    <w:rsid w:val="00B20929"/>
    <w:rsid w:val="00B20A27"/>
    <w:rsid w:val="00B20BCF"/>
    <w:rsid w:val="00B20C0E"/>
    <w:rsid w:val="00B212D5"/>
    <w:rsid w:val="00B215AF"/>
    <w:rsid w:val="00B21948"/>
    <w:rsid w:val="00B2202B"/>
    <w:rsid w:val="00B229E0"/>
    <w:rsid w:val="00B22C48"/>
    <w:rsid w:val="00B22DDE"/>
    <w:rsid w:val="00B22FB8"/>
    <w:rsid w:val="00B2321E"/>
    <w:rsid w:val="00B2397C"/>
    <w:rsid w:val="00B23A54"/>
    <w:rsid w:val="00B242EC"/>
    <w:rsid w:val="00B24E1D"/>
    <w:rsid w:val="00B24E56"/>
    <w:rsid w:val="00B2578E"/>
    <w:rsid w:val="00B257C6"/>
    <w:rsid w:val="00B25E20"/>
    <w:rsid w:val="00B26D96"/>
    <w:rsid w:val="00B27145"/>
    <w:rsid w:val="00B27B53"/>
    <w:rsid w:val="00B30110"/>
    <w:rsid w:val="00B30257"/>
    <w:rsid w:val="00B30E18"/>
    <w:rsid w:val="00B3120C"/>
    <w:rsid w:val="00B31608"/>
    <w:rsid w:val="00B31635"/>
    <w:rsid w:val="00B31D83"/>
    <w:rsid w:val="00B32269"/>
    <w:rsid w:val="00B32A51"/>
    <w:rsid w:val="00B32E10"/>
    <w:rsid w:val="00B32EF3"/>
    <w:rsid w:val="00B3367C"/>
    <w:rsid w:val="00B33E9E"/>
    <w:rsid w:val="00B33F32"/>
    <w:rsid w:val="00B34388"/>
    <w:rsid w:val="00B34F9B"/>
    <w:rsid w:val="00B35FD6"/>
    <w:rsid w:val="00B3640E"/>
    <w:rsid w:val="00B36B44"/>
    <w:rsid w:val="00B36B63"/>
    <w:rsid w:val="00B36D5F"/>
    <w:rsid w:val="00B37376"/>
    <w:rsid w:val="00B37C87"/>
    <w:rsid w:val="00B407EF"/>
    <w:rsid w:val="00B40A4D"/>
    <w:rsid w:val="00B41483"/>
    <w:rsid w:val="00B41523"/>
    <w:rsid w:val="00B41F9E"/>
    <w:rsid w:val="00B4239A"/>
    <w:rsid w:val="00B42B13"/>
    <w:rsid w:val="00B43076"/>
    <w:rsid w:val="00B43401"/>
    <w:rsid w:val="00B438C5"/>
    <w:rsid w:val="00B43DF6"/>
    <w:rsid w:val="00B44233"/>
    <w:rsid w:val="00B44284"/>
    <w:rsid w:val="00B44380"/>
    <w:rsid w:val="00B44693"/>
    <w:rsid w:val="00B44716"/>
    <w:rsid w:val="00B44780"/>
    <w:rsid w:val="00B45414"/>
    <w:rsid w:val="00B45C30"/>
    <w:rsid w:val="00B45E9F"/>
    <w:rsid w:val="00B4629E"/>
    <w:rsid w:val="00B4650A"/>
    <w:rsid w:val="00B470B4"/>
    <w:rsid w:val="00B47870"/>
    <w:rsid w:val="00B47A50"/>
    <w:rsid w:val="00B47BA2"/>
    <w:rsid w:val="00B47D31"/>
    <w:rsid w:val="00B47F8C"/>
    <w:rsid w:val="00B508EC"/>
    <w:rsid w:val="00B50A52"/>
    <w:rsid w:val="00B51308"/>
    <w:rsid w:val="00B51764"/>
    <w:rsid w:val="00B517FD"/>
    <w:rsid w:val="00B522C1"/>
    <w:rsid w:val="00B5327A"/>
    <w:rsid w:val="00B53309"/>
    <w:rsid w:val="00B545A8"/>
    <w:rsid w:val="00B5510F"/>
    <w:rsid w:val="00B55479"/>
    <w:rsid w:val="00B55666"/>
    <w:rsid w:val="00B55B53"/>
    <w:rsid w:val="00B55C2C"/>
    <w:rsid w:val="00B56896"/>
    <w:rsid w:val="00B56933"/>
    <w:rsid w:val="00B569D6"/>
    <w:rsid w:val="00B57032"/>
    <w:rsid w:val="00B572D0"/>
    <w:rsid w:val="00B576DB"/>
    <w:rsid w:val="00B57701"/>
    <w:rsid w:val="00B57D42"/>
    <w:rsid w:val="00B6048E"/>
    <w:rsid w:val="00B60645"/>
    <w:rsid w:val="00B606F4"/>
    <w:rsid w:val="00B60D1F"/>
    <w:rsid w:val="00B61403"/>
    <w:rsid w:val="00B6166E"/>
    <w:rsid w:val="00B619BD"/>
    <w:rsid w:val="00B61A03"/>
    <w:rsid w:val="00B61B89"/>
    <w:rsid w:val="00B61D9B"/>
    <w:rsid w:val="00B62857"/>
    <w:rsid w:val="00B62FAF"/>
    <w:rsid w:val="00B634FA"/>
    <w:rsid w:val="00B652EC"/>
    <w:rsid w:val="00B653E6"/>
    <w:rsid w:val="00B65895"/>
    <w:rsid w:val="00B65D36"/>
    <w:rsid w:val="00B66317"/>
    <w:rsid w:val="00B664C6"/>
    <w:rsid w:val="00B667BC"/>
    <w:rsid w:val="00B66B6A"/>
    <w:rsid w:val="00B66E5B"/>
    <w:rsid w:val="00B66F91"/>
    <w:rsid w:val="00B67A16"/>
    <w:rsid w:val="00B70619"/>
    <w:rsid w:val="00B70E0B"/>
    <w:rsid w:val="00B71825"/>
    <w:rsid w:val="00B72F76"/>
    <w:rsid w:val="00B73327"/>
    <w:rsid w:val="00B73758"/>
    <w:rsid w:val="00B73C30"/>
    <w:rsid w:val="00B740C5"/>
    <w:rsid w:val="00B744C2"/>
    <w:rsid w:val="00B754FD"/>
    <w:rsid w:val="00B755E8"/>
    <w:rsid w:val="00B75954"/>
    <w:rsid w:val="00B75D00"/>
    <w:rsid w:val="00B760DF"/>
    <w:rsid w:val="00B76580"/>
    <w:rsid w:val="00B76C91"/>
    <w:rsid w:val="00B76DEF"/>
    <w:rsid w:val="00B76E3F"/>
    <w:rsid w:val="00B77136"/>
    <w:rsid w:val="00B772F3"/>
    <w:rsid w:val="00B77C33"/>
    <w:rsid w:val="00B77D57"/>
    <w:rsid w:val="00B77EBF"/>
    <w:rsid w:val="00B77EF5"/>
    <w:rsid w:val="00B801F7"/>
    <w:rsid w:val="00B811EF"/>
    <w:rsid w:val="00B81A29"/>
    <w:rsid w:val="00B81EB6"/>
    <w:rsid w:val="00B82466"/>
    <w:rsid w:val="00B8299C"/>
    <w:rsid w:val="00B82C3F"/>
    <w:rsid w:val="00B82DFB"/>
    <w:rsid w:val="00B82F46"/>
    <w:rsid w:val="00B82F76"/>
    <w:rsid w:val="00B8320C"/>
    <w:rsid w:val="00B83B14"/>
    <w:rsid w:val="00B84091"/>
    <w:rsid w:val="00B86198"/>
    <w:rsid w:val="00B861DB"/>
    <w:rsid w:val="00B86419"/>
    <w:rsid w:val="00B866AD"/>
    <w:rsid w:val="00B870E7"/>
    <w:rsid w:val="00B87BF9"/>
    <w:rsid w:val="00B87CE1"/>
    <w:rsid w:val="00B87E77"/>
    <w:rsid w:val="00B9075D"/>
    <w:rsid w:val="00B911E4"/>
    <w:rsid w:val="00B91BA5"/>
    <w:rsid w:val="00B920C3"/>
    <w:rsid w:val="00B9249F"/>
    <w:rsid w:val="00B9257C"/>
    <w:rsid w:val="00B925AA"/>
    <w:rsid w:val="00B92889"/>
    <w:rsid w:val="00B9293E"/>
    <w:rsid w:val="00B935DD"/>
    <w:rsid w:val="00B936C1"/>
    <w:rsid w:val="00B937C4"/>
    <w:rsid w:val="00B93815"/>
    <w:rsid w:val="00B94510"/>
    <w:rsid w:val="00B94CBA"/>
    <w:rsid w:val="00B955F7"/>
    <w:rsid w:val="00B95641"/>
    <w:rsid w:val="00B95C06"/>
    <w:rsid w:val="00B95F31"/>
    <w:rsid w:val="00B964CB"/>
    <w:rsid w:val="00B9655B"/>
    <w:rsid w:val="00B97653"/>
    <w:rsid w:val="00B97720"/>
    <w:rsid w:val="00B97C35"/>
    <w:rsid w:val="00B97DB1"/>
    <w:rsid w:val="00BA1024"/>
    <w:rsid w:val="00BA20A4"/>
    <w:rsid w:val="00BA2339"/>
    <w:rsid w:val="00BA2ED6"/>
    <w:rsid w:val="00BA30C9"/>
    <w:rsid w:val="00BA3DE4"/>
    <w:rsid w:val="00BA3EAA"/>
    <w:rsid w:val="00BA428B"/>
    <w:rsid w:val="00BA4B50"/>
    <w:rsid w:val="00BA51C2"/>
    <w:rsid w:val="00BA5F20"/>
    <w:rsid w:val="00BA5F29"/>
    <w:rsid w:val="00BA67DE"/>
    <w:rsid w:val="00BA6B0C"/>
    <w:rsid w:val="00BA6BB1"/>
    <w:rsid w:val="00BA6BE8"/>
    <w:rsid w:val="00BA6E76"/>
    <w:rsid w:val="00BA7569"/>
    <w:rsid w:val="00BA7583"/>
    <w:rsid w:val="00BA7A87"/>
    <w:rsid w:val="00BA7FF2"/>
    <w:rsid w:val="00BB07D2"/>
    <w:rsid w:val="00BB0A94"/>
    <w:rsid w:val="00BB18D1"/>
    <w:rsid w:val="00BB1A33"/>
    <w:rsid w:val="00BB1BAE"/>
    <w:rsid w:val="00BB2433"/>
    <w:rsid w:val="00BB2434"/>
    <w:rsid w:val="00BB265D"/>
    <w:rsid w:val="00BB2BFA"/>
    <w:rsid w:val="00BB2D02"/>
    <w:rsid w:val="00BB2FD6"/>
    <w:rsid w:val="00BB36E0"/>
    <w:rsid w:val="00BB3B3A"/>
    <w:rsid w:val="00BB3CE9"/>
    <w:rsid w:val="00BB427C"/>
    <w:rsid w:val="00BB43FB"/>
    <w:rsid w:val="00BB450B"/>
    <w:rsid w:val="00BB4912"/>
    <w:rsid w:val="00BB505E"/>
    <w:rsid w:val="00BB5154"/>
    <w:rsid w:val="00BB515F"/>
    <w:rsid w:val="00BB5369"/>
    <w:rsid w:val="00BB54D1"/>
    <w:rsid w:val="00BB5F6F"/>
    <w:rsid w:val="00BB6595"/>
    <w:rsid w:val="00BB701F"/>
    <w:rsid w:val="00BB7964"/>
    <w:rsid w:val="00BC04A5"/>
    <w:rsid w:val="00BC072B"/>
    <w:rsid w:val="00BC10F7"/>
    <w:rsid w:val="00BC147E"/>
    <w:rsid w:val="00BC17EE"/>
    <w:rsid w:val="00BC1A90"/>
    <w:rsid w:val="00BC1AB2"/>
    <w:rsid w:val="00BC1AC2"/>
    <w:rsid w:val="00BC1CD1"/>
    <w:rsid w:val="00BC23FA"/>
    <w:rsid w:val="00BC2540"/>
    <w:rsid w:val="00BC2A1A"/>
    <w:rsid w:val="00BC3496"/>
    <w:rsid w:val="00BC3D07"/>
    <w:rsid w:val="00BC40F9"/>
    <w:rsid w:val="00BC428E"/>
    <w:rsid w:val="00BC4C76"/>
    <w:rsid w:val="00BC4CCF"/>
    <w:rsid w:val="00BC4DCB"/>
    <w:rsid w:val="00BC5193"/>
    <w:rsid w:val="00BC52CF"/>
    <w:rsid w:val="00BC563C"/>
    <w:rsid w:val="00BC6B00"/>
    <w:rsid w:val="00BC73DA"/>
    <w:rsid w:val="00BC7FFE"/>
    <w:rsid w:val="00BD0CA5"/>
    <w:rsid w:val="00BD0CAD"/>
    <w:rsid w:val="00BD155D"/>
    <w:rsid w:val="00BD1584"/>
    <w:rsid w:val="00BD19E5"/>
    <w:rsid w:val="00BD24AA"/>
    <w:rsid w:val="00BD3054"/>
    <w:rsid w:val="00BD3599"/>
    <w:rsid w:val="00BD3710"/>
    <w:rsid w:val="00BD3807"/>
    <w:rsid w:val="00BD3F15"/>
    <w:rsid w:val="00BD44B9"/>
    <w:rsid w:val="00BD459F"/>
    <w:rsid w:val="00BD5D1A"/>
    <w:rsid w:val="00BD6C6F"/>
    <w:rsid w:val="00BD753D"/>
    <w:rsid w:val="00BD7776"/>
    <w:rsid w:val="00BE071C"/>
    <w:rsid w:val="00BE0D9B"/>
    <w:rsid w:val="00BE10CC"/>
    <w:rsid w:val="00BE11D7"/>
    <w:rsid w:val="00BE15E0"/>
    <w:rsid w:val="00BE195F"/>
    <w:rsid w:val="00BE1AA1"/>
    <w:rsid w:val="00BE2F04"/>
    <w:rsid w:val="00BE3206"/>
    <w:rsid w:val="00BE35BA"/>
    <w:rsid w:val="00BE403F"/>
    <w:rsid w:val="00BE4484"/>
    <w:rsid w:val="00BE5005"/>
    <w:rsid w:val="00BE526A"/>
    <w:rsid w:val="00BE528B"/>
    <w:rsid w:val="00BE5B49"/>
    <w:rsid w:val="00BE5CF0"/>
    <w:rsid w:val="00BE5DEE"/>
    <w:rsid w:val="00BE608E"/>
    <w:rsid w:val="00BE6093"/>
    <w:rsid w:val="00BE682F"/>
    <w:rsid w:val="00BE6E65"/>
    <w:rsid w:val="00BE6EFB"/>
    <w:rsid w:val="00BE7177"/>
    <w:rsid w:val="00BE73BB"/>
    <w:rsid w:val="00BE7497"/>
    <w:rsid w:val="00BE7600"/>
    <w:rsid w:val="00BF0520"/>
    <w:rsid w:val="00BF09B9"/>
    <w:rsid w:val="00BF1C96"/>
    <w:rsid w:val="00BF3C01"/>
    <w:rsid w:val="00BF3C64"/>
    <w:rsid w:val="00BF3C75"/>
    <w:rsid w:val="00BF4301"/>
    <w:rsid w:val="00BF44B5"/>
    <w:rsid w:val="00BF4635"/>
    <w:rsid w:val="00BF4660"/>
    <w:rsid w:val="00BF46AB"/>
    <w:rsid w:val="00BF4CC3"/>
    <w:rsid w:val="00BF5902"/>
    <w:rsid w:val="00BF618A"/>
    <w:rsid w:val="00BF79D6"/>
    <w:rsid w:val="00BF7AFA"/>
    <w:rsid w:val="00BF7B90"/>
    <w:rsid w:val="00BF7C91"/>
    <w:rsid w:val="00C003B8"/>
    <w:rsid w:val="00C004AA"/>
    <w:rsid w:val="00C009E4"/>
    <w:rsid w:val="00C00ABB"/>
    <w:rsid w:val="00C00B65"/>
    <w:rsid w:val="00C01365"/>
    <w:rsid w:val="00C01580"/>
    <w:rsid w:val="00C03666"/>
    <w:rsid w:val="00C037DE"/>
    <w:rsid w:val="00C03836"/>
    <w:rsid w:val="00C0388F"/>
    <w:rsid w:val="00C03AEB"/>
    <w:rsid w:val="00C03E3F"/>
    <w:rsid w:val="00C03EC8"/>
    <w:rsid w:val="00C0440E"/>
    <w:rsid w:val="00C04760"/>
    <w:rsid w:val="00C05085"/>
    <w:rsid w:val="00C052D9"/>
    <w:rsid w:val="00C0545E"/>
    <w:rsid w:val="00C058CA"/>
    <w:rsid w:val="00C0660B"/>
    <w:rsid w:val="00C06681"/>
    <w:rsid w:val="00C06A30"/>
    <w:rsid w:val="00C07064"/>
    <w:rsid w:val="00C074E3"/>
    <w:rsid w:val="00C078FB"/>
    <w:rsid w:val="00C0791E"/>
    <w:rsid w:val="00C07CA4"/>
    <w:rsid w:val="00C10470"/>
    <w:rsid w:val="00C10497"/>
    <w:rsid w:val="00C10720"/>
    <w:rsid w:val="00C10BCA"/>
    <w:rsid w:val="00C11A0E"/>
    <w:rsid w:val="00C11F8D"/>
    <w:rsid w:val="00C122D8"/>
    <w:rsid w:val="00C1258F"/>
    <w:rsid w:val="00C12D03"/>
    <w:rsid w:val="00C13314"/>
    <w:rsid w:val="00C14593"/>
    <w:rsid w:val="00C14B5A"/>
    <w:rsid w:val="00C14C07"/>
    <w:rsid w:val="00C14E65"/>
    <w:rsid w:val="00C163AC"/>
    <w:rsid w:val="00C16A65"/>
    <w:rsid w:val="00C16E8E"/>
    <w:rsid w:val="00C16FF6"/>
    <w:rsid w:val="00C17880"/>
    <w:rsid w:val="00C17A75"/>
    <w:rsid w:val="00C17B4D"/>
    <w:rsid w:val="00C21515"/>
    <w:rsid w:val="00C21D3A"/>
    <w:rsid w:val="00C224C2"/>
    <w:rsid w:val="00C22779"/>
    <w:rsid w:val="00C2288A"/>
    <w:rsid w:val="00C230B9"/>
    <w:rsid w:val="00C23C93"/>
    <w:rsid w:val="00C23CE4"/>
    <w:rsid w:val="00C23FB4"/>
    <w:rsid w:val="00C2490F"/>
    <w:rsid w:val="00C261DC"/>
    <w:rsid w:val="00C2689E"/>
    <w:rsid w:val="00C2757F"/>
    <w:rsid w:val="00C27B44"/>
    <w:rsid w:val="00C27BF7"/>
    <w:rsid w:val="00C30044"/>
    <w:rsid w:val="00C30254"/>
    <w:rsid w:val="00C304C9"/>
    <w:rsid w:val="00C30D4C"/>
    <w:rsid w:val="00C315CA"/>
    <w:rsid w:val="00C31958"/>
    <w:rsid w:val="00C31A73"/>
    <w:rsid w:val="00C3252A"/>
    <w:rsid w:val="00C327C0"/>
    <w:rsid w:val="00C3288C"/>
    <w:rsid w:val="00C3291D"/>
    <w:rsid w:val="00C32C89"/>
    <w:rsid w:val="00C32F66"/>
    <w:rsid w:val="00C3337F"/>
    <w:rsid w:val="00C33981"/>
    <w:rsid w:val="00C34B4F"/>
    <w:rsid w:val="00C3503A"/>
    <w:rsid w:val="00C35F48"/>
    <w:rsid w:val="00C401C8"/>
    <w:rsid w:val="00C407A7"/>
    <w:rsid w:val="00C408AA"/>
    <w:rsid w:val="00C408AE"/>
    <w:rsid w:val="00C408AF"/>
    <w:rsid w:val="00C408D1"/>
    <w:rsid w:val="00C412C6"/>
    <w:rsid w:val="00C413FC"/>
    <w:rsid w:val="00C41634"/>
    <w:rsid w:val="00C4179B"/>
    <w:rsid w:val="00C421ED"/>
    <w:rsid w:val="00C42382"/>
    <w:rsid w:val="00C4255F"/>
    <w:rsid w:val="00C438C4"/>
    <w:rsid w:val="00C44335"/>
    <w:rsid w:val="00C443D4"/>
    <w:rsid w:val="00C44C69"/>
    <w:rsid w:val="00C45355"/>
    <w:rsid w:val="00C45A37"/>
    <w:rsid w:val="00C45CB3"/>
    <w:rsid w:val="00C466BB"/>
    <w:rsid w:val="00C466BE"/>
    <w:rsid w:val="00C46729"/>
    <w:rsid w:val="00C46804"/>
    <w:rsid w:val="00C46D4B"/>
    <w:rsid w:val="00C46F64"/>
    <w:rsid w:val="00C50049"/>
    <w:rsid w:val="00C5144A"/>
    <w:rsid w:val="00C51487"/>
    <w:rsid w:val="00C5241C"/>
    <w:rsid w:val="00C52AA9"/>
    <w:rsid w:val="00C52D83"/>
    <w:rsid w:val="00C52E7C"/>
    <w:rsid w:val="00C5306F"/>
    <w:rsid w:val="00C54157"/>
    <w:rsid w:val="00C543D7"/>
    <w:rsid w:val="00C54A07"/>
    <w:rsid w:val="00C54F28"/>
    <w:rsid w:val="00C5537F"/>
    <w:rsid w:val="00C55BFC"/>
    <w:rsid w:val="00C55CBC"/>
    <w:rsid w:val="00C561C7"/>
    <w:rsid w:val="00C5697B"/>
    <w:rsid w:val="00C56D21"/>
    <w:rsid w:val="00C570B7"/>
    <w:rsid w:val="00C5743C"/>
    <w:rsid w:val="00C5777D"/>
    <w:rsid w:val="00C57C98"/>
    <w:rsid w:val="00C57D49"/>
    <w:rsid w:val="00C6116B"/>
    <w:rsid w:val="00C61A97"/>
    <w:rsid w:val="00C61EC6"/>
    <w:rsid w:val="00C6210E"/>
    <w:rsid w:val="00C62440"/>
    <w:rsid w:val="00C6275B"/>
    <w:rsid w:val="00C62FBC"/>
    <w:rsid w:val="00C6354E"/>
    <w:rsid w:val="00C63ACF"/>
    <w:rsid w:val="00C63E1C"/>
    <w:rsid w:val="00C64E3F"/>
    <w:rsid w:val="00C653F0"/>
    <w:rsid w:val="00C65647"/>
    <w:rsid w:val="00C661EC"/>
    <w:rsid w:val="00C66393"/>
    <w:rsid w:val="00C66574"/>
    <w:rsid w:val="00C66DD2"/>
    <w:rsid w:val="00C673C8"/>
    <w:rsid w:val="00C674CA"/>
    <w:rsid w:val="00C675B3"/>
    <w:rsid w:val="00C67638"/>
    <w:rsid w:val="00C67AD1"/>
    <w:rsid w:val="00C67D01"/>
    <w:rsid w:val="00C7038E"/>
    <w:rsid w:val="00C70765"/>
    <w:rsid w:val="00C711BB"/>
    <w:rsid w:val="00C718CE"/>
    <w:rsid w:val="00C71C5F"/>
    <w:rsid w:val="00C71DE0"/>
    <w:rsid w:val="00C723FF"/>
    <w:rsid w:val="00C7276C"/>
    <w:rsid w:val="00C728C9"/>
    <w:rsid w:val="00C730B7"/>
    <w:rsid w:val="00C733DD"/>
    <w:rsid w:val="00C73F88"/>
    <w:rsid w:val="00C7495C"/>
    <w:rsid w:val="00C74DD4"/>
    <w:rsid w:val="00C75955"/>
    <w:rsid w:val="00C760F4"/>
    <w:rsid w:val="00C764C1"/>
    <w:rsid w:val="00C7654D"/>
    <w:rsid w:val="00C767E8"/>
    <w:rsid w:val="00C76AE1"/>
    <w:rsid w:val="00C77A39"/>
    <w:rsid w:val="00C80886"/>
    <w:rsid w:val="00C80DA9"/>
    <w:rsid w:val="00C80FBE"/>
    <w:rsid w:val="00C80FF8"/>
    <w:rsid w:val="00C8108B"/>
    <w:rsid w:val="00C815C3"/>
    <w:rsid w:val="00C81BDE"/>
    <w:rsid w:val="00C8265A"/>
    <w:rsid w:val="00C833AC"/>
    <w:rsid w:val="00C83751"/>
    <w:rsid w:val="00C83C78"/>
    <w:rsid w:val="00C83E8E"/>
    <w:rsid w:val="00C84632"/>
    <w:rsid w:val="00C86854"/>
    <w:rsid w:val="00C86B7F"/>
    <w:rsid w:val="00C86F9E"/>
    <w:rsid w:val="00C9074A"/>
    <w:rsid w:val="00C90D00"/>
    <w:rsid w:val="00C911F7"/>
    <w:rsid w:val="00C91481"/>
    <w:rsid w:val="00C917C9"/>
    <w:rsid w:val="00C91A1C"/>
    <w:rsid w:val="00C9236D"/>
    <w:rsid w:val="00C9265F"/>
    <w:rsid w:val="00C92B4C"/>
    <w:rsid w:val="00C93247"/>
    <w:rsid w:val="00C9340D"/>
    <w:rsid w:val="00C9380E"/>
    <w:rsid w:val="00C93A4D"/>
    <w:rsid w:val="00C93FDC"/>
    <w:rsid w:val="00C941C0"/>
    <w:rsid w:val="00C941FA"/>
    <w:rsid w:val="00C9468F"/>
    <w:rsid w:val="00C954AA"/>
    <w:rsid w:val="00C95AE7"/>
    <w:rsid w:val="00C95C43"/>
    <w:rsid w:val="00C9600E"/>
    <w:rsid w:val="00C96212"/>
    <w:rsid w:val="00C96BC3"/>
    <w:rsid w:val="00C96BF7"/>
    <w:rsid w:val="00C96E60"/>
    <w:rsid w:val="00C97080"/>
    <w:rsid w:val="00C9766A"/>
    <w:rsid w:val="00C97861"/>
    <w:rsid w:val="00C97D89"/>
    <w:rsid w:val="00CA05DB"/>
    <w:rsid w:val="00CA07C7"/>
    <w:rsid w:val="00CA1338"/>
    <w:rsid w:val="00CA1503"/>
    <w:rsid w:val="00CA1522"/>
    <w:rsid w:val="00CA1687"/>
    <w:rsid w:val="00CA19ED"/>
    <w:rsid w:val="00CA1B2D"/>
    <w:rsid w:val="00CA1B76"/>
    <w:rsid w:val="00CA1D40"/>
    <w:rsid w:val="00CA3498"/>
    <w:rsid w:val="00CA5866"/>
    <w:rsid w:val="00CA7AE5"/>
    <w:rsid w:val="00CA7D7E"/>
    <w:rsid w:val="00CB012F"/>
    <w:rsid w:val="00CB01BB"/>
    <w:rsid w:val="00CB0532"/>
    <w:rsid w:val="00CB08F7"/>
    <w:rsid w:val="00CB1032"/>
    <w:rsid w:val="00CB12C3"/>
    <w:rsid w:val="00CB233B"/>
    <w:rsid w:val="00CB2C9C"/>
    <w:rsid w:val="00CB2F9D"/>
    <w:rsid w:val="00CB3909"/>
    <w:rsid w:val="00CB425B"/>
    <w:rsid w:val="00CB4730"/>
    <w:rsid w:val="00CB4C22"/>
    <w:rsid w:val="00CB5A44"/>
    <w:rsid w:val="00CB63F5"/>
    <w:rsid w:val="00CB6BAC"/>
    <w:rsid w:val="00CB6C18"/>
    <w:rsid w:val="00CC03BD"/>
    <w:rsid w:val="00CC0DC4"/>
    <w:rsid w:val="00CC0DE1"/>
    <w:rsid w:val="00CC161F"/>
    <w:rsid w:val="00CC16AC"/>
    <w:rsid w:val="00CC19F5"/>
    <w:rsid w:val="00CC1D67"/>
    <w:rsid w:val="00CC1E3D"/>
    <w:rsid w:val="00CC2378"/>
    <w:rsid w:val="00CC2DAB"/>
    <w:rsid w:val="00CC306E"/>
    <w:rsid w:val="00CC3F1B"/>
    <w:rsid w:val="00CC409C"/>
    <w:rsid w:val="00CC42B6"/>
    <w:rsid w:val="00CC51A1"/>
    <w:rsid w:val="00CC5234"/>
    <w:rsid w:val="00CC567F"/>
    <w:rsid w:val="00CC56C0"/>
    <w:rsid w:val="00CC592B"/>
    <w:rsid w:val="00CC5E53"/>
    <w:rsid w:val="00CC627A"/>
    <w:rsid w:val="00CC687B"/>
    <w:rsid w:val="00CC6D90"/>
    <w:rsid w:val="00CC726E"/>
    <w:rsid w:val="00CC7515"/>
    <w:rsid w:val="00CD0404"/>
    <w:rsid w:val="00CD0548"/>
    <w:rsid w:val="00CD08F4"/>
    <w:rsid w:val="00CD09F4"/>
    <w:rsid w:val="00CD10AE"/>
    <w:rsid w:val="00CD1870"/>
    <w:rsid w:val="00CD20C7"/>
    <w:rsid w:val="00CD2396"/>
    <w:rsid w:val="00CD304F"/>
    <w:rsid w:val="00CD338D"/>
    <w:rsid w:val="00CD39D5"/>
    <w:rsid w:val="00CD3C69"/>
    <w:rsid w:val="00CD40D6"/>
    <w:rsid w:val="00CD47D3"/>
    <w:rsid w:val="00CD47D8"/>
    <w:rsid w:val="00CD5FA7"/>
    <w:rsid w:val="00CD6892"/>
    <w:rsid w:val="00CD68AB"/>
    <w:rsid w:val="00CD6B2E"/>
    <w:rsid w:val="00CD76CF"/>
    <w:rsid w:val="00CD77AF"/>
    <w:rsid w:val="00CD7E41"/>
    <w:rsid w:val="00CE0105"/>
    <w:rsid w:val="00CE0B72"/>
    <w:rsid w:val="00CE134E"/>
    <w:rsid w:val="00CE19BC"/>
    <w:rsid w:val="00CE1BF0"/>
    <w:rsid w:val="00CE1F0C"/>
    <w:rsid w:val="00CE1F82"/>
    <w:rsid w:val="00CE2613"/>
    <w:rsid w:val="00CE26BC"/>
    <w:rsid w:val="00CE28EE"/>
    <w:rsid w:val="00CE2FA4"/>
    <w:rsid w:val="00CE3068"/>
    <w:rsid w:val="00CE30D8"/>
    <w:rsid w:val="00CE458F"/>
    <w:rsid w:val="00CE45D2"/>
    <w:rsid w:val="00CE4A4B"/>
    <w:rsid w:val="00CE58D9"/>
    <w:rsid w:val="00CE5A52"/>
    <w:rsid w:val="00CE5F25"/>
    <w:rsid w:val="00CE69CF"/>
    <w:rsid w:val="00CE6AA7"/>
    <w:rsid w:val="00CE6B2F"/>
    <w:rsid w:val="00CE6D10"/>
    <w:rsid w:val="00CE77E2"/>
    <w:rsid w:val="00CE7998"/>
    <w:rsid w:val="00CF0192"/>
    <w:rsid w:val="00CF0B58"/>
    <w:rsid w:val="00CF1114"/>
    <w:rsid w:val="00CF144C"/>
    <w:rsid w:val="00CF1902"/>
    <w:rsid w:val="00CF1DFA"/>
    <w:rsid w:val="00CF21BB"/>
    <w:rsid w:val="00CF2802"/>
    <w:rsid w:val="00CF2C77"/>
    <w:rsid w:val="00CF2F25"/>
    <w:rsid w:val="00CF33A8"/>
    <w:rsid w:val="00CF3574"/>
    <w:rsid w:val="00CF395E"/>
    <w:rsid w:val="00CF3BEE"/>
    <w:rsid w:val="00CF4C74"/>
    <w:rsid w:val="00CF4CA9"/>
    <w:rsid w:val="00CF4E27"/>
    <w:rsid w:val="00CF5357"/>
    <w:rsid w:val="00CF59D9"/>
    <w:rsid w:val="00CF5D52"/>
    <w:rsid w:val="00CF7204"/>
    <w:rsid w:val="00CF785C"/>
    <w:rsid w:val="00D007ED"/>
    <w:rsid w:val="00D00FFA"/>
    <w:rsid w:val="00D0225F"/>
    <w:rsid w:val="00D02385"/>
    <w:rsid w:val="00D029C2"/>
    <w:rsid w:val="00D030CE"/>
    <w:rsid w:val="00D03704"/>
    <w:rsid w:val="00D04113"/>
    <w:rsid w:val="00D04490"/>
    <w:rsid w:val="00D04898"/>
    <w:rsid w:val="00D04E0F"/>
    <w:rsid w:val="00D04EAA"/>
    <w:rsid w:val="00D04F8C"/>
    <w:rsid w:val="00D059B0"/>
    <w:rsid w:val="00D05BAF"/>
    <w:rsid w:val="00D05D11"/>
    <w:rsid w:val="00D060B2"/>
    <w:rsid w:val="00D06AE5"/>
    <w:rsid w:val="00D06EA7"/>
    <w:rsid w:val="00D06FE9"/>
    <w:rsid w:val="00D0782D"/>
    <w:rsid w:val="00D07B27"/>
    <w:rsid w:val="00D10B9E"/>
    <w:rsid w:val="00D10D62"/>
    <w:rsid w:val="00D11132"/>
    <w:rsid w:val="00D12348"/>
    <w:rsid w:val="00D1274C"/>
    <w:rsid w:val="00D129AA"/>
    <w:rsid w:val="00D129B1"/>
    <w:rsid w:val="00D146A6"/>
    <w:rsid w:val="00D14C41"/>
    <w:rsid w:val="00D14DF8"/>
    <w:rsid w:val="00D14DFD"/>
    <w:rsid w:val="00D14FC0"/>
    <w:rsid w:val="00D1529F"/>
    <w:rsid w:val="00D1535C"/>
    <w:rsid w:val="00D168B2"/>
    <w:rsid w:val="00D16AEB"/>
    <w:rsid w:val="00D16D04"/>
    <w:rsid w:val="00D16E7A"/>
    <w:rsid w:val="00D1707B"/>
    <w:rsid w:val="00D17BA6"/>
    <w:rsid w:val="00D17CD1"/>
    <w:rsid w:val="00D17E1D"/>
    <w:rsid w:val="00D205D6"/>
    <w:rsid w:val="00D2073D"/>
    <w:rsid w:val="00D209FF"/>
    <w:rsid w:val="00D20BFC"/>
    <w:rsid w:val="00D20FBF"/>
    <w:rsid w:val="00D210B1"/>
    <w:rsid w:val="00D21187"/>
    <w:rsid w:val="00D21E19"/>
    <w:rsid w:val="00D21FED"/>
    <w:rsid w:val="00D220A0"/>
    <w:rsid w:val="00D223BD"/>
    <w:rsid w:val="00D22678"/>
    <w:rsid w:val="00D233B7"/>
    <w:rsid w:val="00D23B8D"/>
    <w:rsid w:val="00D23C2B"/>
    <w:rsid w:val="00D24362"/>
    <w:rsid w:val="00D25605"/>
    <w:rsid w:val="00D25C76"/>
    <w:rsid w:val="00D25D4B"/>
    <w:rsid w:val="00D27241"/>
    <w:rsid w:val="00D274DF"/>
    <w:rsid w:val="00D277AD"/>
    <w:rsid w:val="00D2792C"/>
    <w:rsid w:val="00D279BE"/>
    <w:rsid w:val="00D27F8B"/>
    <w:rsid w:val="00D3013E"/>
    <w:rsid w:val="00D30418"/>
    <w:rsid w:val="00D3052B"/>
    <w:rsid w:val="00D307EF"/>
    <w:rsid w:val="00D308DB"/>
    <w:rsid w:val="00D31553"/>
    <w:rsid w:val="00D31EAF"/>
    <w:rsid w:val="00D3211E"/>
    <w:rsid w:val="00D322E1"/>
    <w:rsid w:val="00D3248A"/>
    <w:rsid w:val="00D32EDF"/>
    <w:rsid w:val="00D336D2"/>
    <w:rsid w:val="00D336D4"/>
    <w:rsid w:val="00D33D2B"/>
    <w:rsid w:val="00D33F6D"/>
    <w:rsid w:val="00D341CE"/>
    <w:rsid w:val="00D342A2"/>
    <w:rsid w:val="00D346DC"/>
    <w:rsid w:val="00D34A5D"/>
    <w:rsid w:val="00D34F29"/>
    <w:rsid w:val="00D34FFE"/>
    <w:rsid w:val="00D35210"/>
    <w:rsid w:val="00D35709"/>
    <w:rsid w:val="00D360BE"/>
    <w:rsid w:val="00D361BC"/>
    <w:rsid w:val="00D363F2"/>
    <w:rsid w:val="00D36776"/>
    <w:rsid w:val="00D36CAF"/>
    <w:rsid w:val="00D370EB"/>
    <w:rsid w:val="00D379E6"/>
    <w:rsid w:val="00D40446"/>
    <w:rsid w:val="00D40EA5"/>
    <w:rsid w:val="00D41061"/>
    <w:rsid w:val="00D414B6"/>
    <w:rsid w:val="00D41BA0"/>
    <w:rsid w:val="00D426F3"/>
    <w:rsid w:val="00D42980"/>
    <w:rsid w:val="00D42EF9"/>
    <w:rsid w:val="00D43CD6"/>
    <w:rsid w:val="00D44A5A"/>
    <w:rsid w:val="00D44DB0"/>
    <w:rsid w:val="00D44F6C"/>
    <w:rsid w:val="00D4528D"/>
    <w:rsid w:val="00D455ED"/>
    <w:rsid w:val="00D459A4"/>
    <w:rsid w:val="00D46021"/>
    <w:rsid w:val="00D465AC"/>
    <w:rsid w:val="00D46A1F"/>
    <w:rsid w:val="00D4737A"/>
    <w:rsid w:val="00D47570"/>
    <w:rsid w:val="00D4769C"/>
    <w:rsid w:val="00D4784F"/>
    <w:rsid w:val="00D47AEB"/>
    <w:rsid w:val="00D5036E"/>
    <w:rsid w:val="00D50579"/>
    <w:rsid w:val="00D51255"/>
    <w:rsid w:val="00D519DA"/>
    <w:rsid w:val="00D521CD"/>
    <w:rsid w:val="00D523D8"/>
    <w:rsid w:val="00D52701"/>
    <w:rsid w:val="00D52743"/>
    <w:rsid w:val="00D53578"/>
    <w:rsid w:val="00D54D7F"/>
    <w:rsid w:val="00D55596"/>
    <w:rsid w:val="00D55AA0"/>
    <w:rsid w:val="00D55C8D"/>
    <w:rsid w:val="00D55EA4"/>
    <w:rsid w:val="00D55FBF"/>
    <w:rsid w:val="00D5611B"/>
    <w:rsid w:val="00D56816"/>
    <w:rsid w:val="00D56B21"/>
    <w:rsid w:val="00D56E4C"/>
    <w:rsid w:val="00D56EB7"/>
    <w:rsid w:val="00D56F13"/>
    <w:rsid w:val="00D57AE3"/>
    <w:rsid w:val="00D6002C"/>
    <w:rsid w:val="00D60965"/>
    <w:rsid w:val="00D60DDB"/>
    <w:rsid w:val="00D61EA5"/>
    <w:rsid w:val="00D6264A"/>
    <w:rsid w:val="00D627DC"/>
    <w:rsid w:val="00D62D4F"/>
    <w:rsid w:val="00D6314D"/>
    <w:rsid w:val="00D63150"/>
    <w:rsid w:val="00D63D72"/>
    <w:rsid w:val="00D6406D"/>
    <w:rsid w:val="00D643E4"/>
    <w:rsid w:val="00D64418"/>
    <w:rsid w:val="00D64C35"/>
    <w:rsid w:val="00D64FD7"/>
    <w:rsid w:val="00D65117"/>
    <w:rsid w:val="00D65262"/>
    <w:rsid w:val="00D65272"/>
    <w:rsid w:val="00D6552E"/>
    <w:rsid w:val="00D65727"/>
    <w:rsid w:val="00D667A2"/>
    <w:rsid w:val="00D66E40"/>
    <w:rsid w:val="00D66ECE"/>
    <w:rsid w:val="00D66EE0"/>
    <w:rsid w:val="00D67C90"/>
    <w:rsid w:val="00D709C4"/>
    <w:rsid w:val="00D71723"/>
    <w:rsid w:val="00D71B32"/>
    <w:rsid w:val="00D720B9"/>
    <w:rsid w:val="00D72384"/>
    <w:rsid w:val="00D73665"/>
    <w:rsid w:val="00D73BCD"/>
    <w:rsid w:val="00D73F86"/>
    <w:rsid w:val="00D74215"/>
    <w:rsid w:val="00D74226"/>
    <w:rsid w:val="00D7435F"/>
    <w:rsid w:val="00D745BA"/>
    <w:rsid w:val="00D74642"/>
    <w:rsid w:val="00D7518A"/>
    <w:rsid w:val="00D7529B"/>
    <w:rsid w:val="00D75730"/>
    <w:rsid w:val="00D76160"/>
    <w:rsid w:val="00D761BC"/>
    <w:rsid w:val="00D764D9"/>
    <w:rsid w:val="00D7678A"/>
    <w:rsid w:val="00D76CF7"/>
    <w:rsid w:val="00D775DC"/>
    <w:rsid w:val="00D775E7"/>
    <w:rsid w:val="00D776D8"/>
    <w:rsid w:val="00D77AC0"/>
    <w:rsid w:val="00D77DD2"/>
    <w:rsid w:val="00D800E5"/>
    <w:rsid w:val="00D816B6"/>
    <w:rsid w:val="00D81ECE"/>
    <w:rsid w:val="00D820CA"/>
    <w:rsid w:val="00D8234A"/>
    <w:rsid w:val="00D8299C"/>
    <w:rsid w:val="00D83271"/>
    <w:rsid w:val="00D83829"/>
    <w:rsid w:val="00D83C0C"/>
    <w:rsid w:val="00D8458C"/>
    <w:rsid w:val="00D860E8"/>
    <w:rsid w:val="00D86A69"/>
    <w:rsid w:val="00D86A7E"/>
    <w:rsid w:val="00D86D93"/>
    <w:rsid w:val="00D86F75"/>
    <w:rsid w:val="00D87613"/>
    <w:rsid w:val="00D877D3"/>
    <w:rsid w:val="00D879E9"/>
    <w:rsid w:val="00D87A04"/>
    <w:rsid w:val="00D87ACB"/>
    <w:rsid w:val="00D90283"/>
    <w:rsid w:val="00D90C2E"/>
    <w:rsid w:val="00D90F9C"/>
    <w:rsid w:val="00D91304"/>
    <w:rsid w:val="00D93081"/>
    <w:rsid w:val="00D930CB"/>
    <w:rsid w:val="00D93BF0"/>
    <w:rsid w:val="00D93E64"/>
    <w:rsid w:val="00D9415A"/>
    <w:rsid w:val="00D9416C"/>
    <w:rsid w:val="00D944FD"/>
    <w:rsid w:val="00D94C9F"/>
    <w:rsid w:val="00D94E30"/>
    <w:rsid w:val="00D950C5"/>
    <w:rsid w:val="00D95C7A"/>
    <w:rsid w:val="00D95DFE"/>
    <w:rsid w:val="00D960B5"/>
    <w:rsid w:val="00D965CD"/>
    <w:rsid w:val="00D96D9E"/>
    <w:rsid w:val="00D97EBC"/>
    <w:rsid w:val="00DA002F"/>
    <w:rsid w:val="00DA01F8"/>
    <w:rsid w:val="00DA0409"/>
    <w:rsid w:val="00DA0C17"/>
    <w:rsid w:val="00DA119A"/>
    <w:rsid w:val="00DA15CD"/>
    <w:rsid w:val="00DA2D74"/>
    <w:rsid w:val="00DA343F"/>
    <w:rsid w:val="00DA4A03"/>
    <w:rsid w:val="00DA4F71"/>
    <w:rsid w:val="00DA5D1D"/>
    <w:rsid w:val="00DA6B2A"/>
    <w:rsid w:val="00DA6B36"/>
    <w:rsid w:val="00DA6C5B"/>
    <w:rsid w:val="00DB0187"/>
    <w:rsid w:val="00DB04B8"/>
    <w:rsid w:val="00DB0586"/>
    <w:rsid w:val="00DB0AAE"/>
    <w:rsid w:val="00DB1087"/>
    <w:rsid w:val="00DB1A70"/>
    <w:rsid w:val="00DB1F43"/>
    <w:rsid w:val="00DB2214"/>
    <w:rsid w:val="00DB2C7A"/>
    <w:rsid w:val="00DB322D"/>
    <w:rsid w:val="00DB3AD6"/>
    <w:rsid w:val="00DB421B"/>
    <w:rsid w:val="00DB454F"/>
    <w:rsid w:val="00DB46A5"/>
    <w:rsid w:val="00DB4AC2"/>
    <w:rsid w:val="00DB4E3C"/>
    <w:rsid w:val="00DB538F"/>
    <w:rsid w:val="00DB5A77"/>
    <w:rsid w:val="00DB5C00"/>
    <w:rsid w:val="00DB5F46"/>
    <w:rsid w:val="00DB60DC"/>
    <w:rsid w:val="00DB624A"/>
    <w:rsid w:val="00DB69DA"/>
    <w:rsid w:val="00DB785D"/>
    <w:rsid w:val="00DB7BD9"/>
    <w:rsid w:val="00DC099C"/>
    <w:rsid w:val="00DC0F41"/>
    <w:rsid w:val="00DC1F7E"/>
    <w:rsid w:val="00DC23A7"/>
    <w:rsid w:val="00DC2434"/>
    <w:rsid w:val="00DC3047"/>
    <w:rsid w:val="00DC3320"/>
    <w:rsid w:val="00DC35AF"/>
    <w:rsid w:val="00DC36AE"/>
    <w:rsid w:val="00DC3A25"/>
    <w:rsid w:val="00DC3C89"/>
    <w:rsid w:val="00DC4135"/>
    <w:rsid w:val="00DC4282"/>
    <w:rsid w:val="00DC494D"/>
    <w:rsid w:val="00DC4D8A"/>
    <w:rsid w:val="00DC5223"/>
    <w:rsid w:val="00DC54A5"/>
    <w:rsid w:val="00DC5797"/>
    <w:rsid w:val="00DC5EAC"/>
    <w:rsid w:val="00DC6999"/>
    <w:rsid w:val="00DC6E91"/>
    <w:rsid w:val="00DC7329"/>
    <w:rsid w:val="00DC748A"/>
    <w:rsid w:val="00DC74EA"/>
    <w:rsid w:val="00DC7803"/>
    <w:rsid w:val="00DC7F3D"/>
    <w:rsid w:val="00DD0513"/>
    <w:rsid w:val="00DD0805"/>
    <w:rsid w:val="00DD1D8F"/>
    <w:rsid w:val="00DD27FA"/>
    <w:rsid w:val="00DD28A2"/>
    <w:rsid w:val="00DD2E6F"/>
    <w:rsid w:val="00DD3302"/>
    <w:rsid w:val="00DD3807"/>
    <w:rsid w:val="00DD3D3C"/>
    <w:rsid w:val="00DD3D61"/>
    <w:rsid w:val="00DD3E2B"/>
    <w:rsid w:val="00DD3FC3"/>
    <w:rsid w:val="00DD3FCF"/>
    <w:rsid w:val="00DD4437"/>
    <w:rsid w:val="00DD4550"/>
    <w:rsid w:val="00DD51CB"/>
    <w:rsid w:val="00DD557D"/>
    <w:rsid w:val="00DD5F24"/>
    <w:rsid w:val="00DD636C"/>
    <w:rsid w:val="00DD66CF"/>
    <w:rsid w:val="00DD70E4"/>
    <w:rsid w:val="00DD7429"/>
    <w:rsid w:val="00DD77F6"/>
    <w:rsid w:val="00DD798D"/>
    <w:rsid w:val="00DE0533"/>
    <w:rsid w:val="00DE0826"/>
    <w:rsid w:val="00DE0869"/>
    <w:rsid w:val="00DE09EF"/>
    <w:rsid w:val="00DE1302"/>
    <w:rsid w:val="00DE1475"/>
    <w:rsid w:val="00DE1B46"/>
    <w:rsid w:val="00DE2B27"/>
    <w:rsid w:val="00DE3414"/>
    <w:rsid w:val="00DE372B"/>
    <w:rsid w:val="00DE3829"/>
    <w:rsid w:val="00DE4C9F"/>
    <w:rsid w:val="00DE54BB"/>
    <w:rsid w:val="00DE5F39"/>
    <w:rsid w:val="00DE652F"/>
    <w:rsid w:val="00DE6939"/>
    <w:rsid w:val="00DE6AFF"/>
    <w:rsid w:val="00DE6B73"/>
    <w:rsid w:val="00DE7883"/>
    <w:rsid w:val="00DF00E1"/>
    <w:rsid w:val="00DF0D77"/>
    <w:rsid w:val="00DF0E1C"/>
    <w:rsid w:val="00DF1261"/>
    <w:rsid w:val="00DF1387"/>
    <w:rsid w:val="00DF2C29"/>
    <w:rsid w:val="00DF2F1A"/>
    <w:rsid w:val="00DF2F32"/>
    <w:rsid w:val="00DF2F6B"/>
    <w:rsid w:val="00DF3679"/>
    <w:rsid w:val="00DF3D9C"/>
    <w:rsid w:val="00DF3EEB"/>
    <w:rsid w:val="00DF4066"/>
    <w:rsid w:val="00DF4867"/>
    <w:rsid w:val="00DF4AA5"/>
    <w:rsid w:val="00DF5968"/>
    <w:rsid w:val="00DF65E0"/>
    <w:rsid w:val="00DF66C3"/>
    <w:rsid w:val="00DF68FE"/>
    <w:rsid w:val="00DF6A06"/>
    <w:rsid w:val="00DF7198"/>
    <w:rsid w:val="00DF72AF"/>
    <w:rsid w:val="00DF7898"/>
    <w:rsid w:val="00E00183"/>
    <w:rsid w:val="00E00591"/>
    <w:rsid w:val="00E00811"/>
    <w:rsid w:val="00E00C0E"/>
    <w:rsid w:val="00E00D08"/>
    <w:rsid w:val="00E0139A"/>
    <w:rsid w:val="00E01C4D"/>
    <w:rsid w:val="00E0373E"/>
    <w:rsid w:val="00E0395D"/>
    <w:rsid w:val="00E03B1C"/>
    <w:rsid w:val="00E03D51"/>
    <w:rsid w:val="00E0447C"/>
    <w:rsid w:val="00E0498C"/>
    <w:rsid w:val="00E04A78"/>
    <w:rsid w:val="00E053F4"/>
    <w:rsid w:val="00E054FB"/>
    <w:rsid w:val="00E055BE"/>
    <w:rsid w:val="00E05728"/>
    <w:rsid w:val="00E05D0F"/>
    <w:rsid w:val="00E064FB"/>
    <w:rsid w:val="00E0695A"/>
    <w:rsid w:val="00E071E1"/>
    <w:rsid w:val="00E0792B"/>
    <w:rsid w:val="00E07AAC"/>
    <w:rsid w:val="00E07ABF"/>
    <w:rsid w:val="00E07E63"/>
    <w:rsid w:val="00E10879"/>
    <w:rsid w:val="00E10EEF"/>
    <w:rsid w:val="00E10FE9"/>
    <w:rsid w:val="00E11645"/>
    <w:rsid w:val="00E11A9E"/>
    <w:rsid w:val="00E122F8"/>
    <w:rsid w:val="00E12599"/>
    <w:rsid w:val="00E1478C"/>
    <w:rsid w:val="00E14C33"/>
    <w:rsid w:val="00E15E63"/>
    <w:rsid w:val="00E1605E"/>
    <w:rsid w:val="00E163DB"/>
    <w:rsid w:val="00E16925"/>
    <w:rsid w:val="00E179D1"/>
    <w:rsid w:val="00E17E0D"/>
    <w:rsid w:val="00E200F3"/>
    <w:rsid w:val="00E20BFB"/>
    <w:rsid w:val="00E217C7"/>
    <w:rsid w:val="00E2251B"/>
    <w:rsid w:val="00E228C3"/>
    <w:rsid w:val="00E23113"/>
    <w:rsid w:val="00E23646"/>
    <w:rsid w:val="00E23C1B"/>
    <w:rsid w:val="00E23CE5"/>
    <w:rsid w:val="00E249E4"/>
    <w:rsid w:val="00E24A2D"/>
    <w:rsid w:val="00E25011"/>
    <w:rsid w:val="00E268DF"/>
    <w:rsid w:val="00E26E36"/>
    <w:rsid w:val="00E2708A"/>
    <w:rsid w:val="00E2733E"/>
    <w:rsid w:val="00E30AFA"/>
    <w:rsid w:val="00E30B10"/>
    <w:rsid w:val="00E30F65"/>
    <w:rsid w:val="00E3133E"/>
    <w:rsid w:val="00E31549"/>
    <w:rsid w:val="00E31CBC"/>
    <w:rsid w:val="00E329B9"/>
    <w:rsid w:val="00E32D66"/>
    <w:rsid w:val="00E33650"/>
    <w:rsid w:val="00E33D6D"/>
    <w:rsid w:val="00E33D78"/>
    <w:rsid w:val="00E33D84"/>
    <w:rsid w:val="00E344C9"/>
    <w:rsid w:val="00E35404"/>
    <w:rsid w:val="00E359F8"/>
    <w:rsid w:val="00E35EEC"/>
    <w:rsid w:val="00E3618D"/>
    <w:rsid w:val="00E36705"/>
    <w:rsid w:val="00E371FA"/>
    <w:rsid w:val="00E372AC"/>
    <w:rsid w:val="00E37BE3"/>
    <w:rsid w:val="00E4008F"/>
    <w:rsid w:val="00E40A1A"/>
    <w:rsid w:val="00E40E3C"/>
    <w:rsid w:val="00E42286"/>
    <w:rsid w:val="00E43E58"/>
    <w:rsid w:val="00E441FB"/>
    <w:rsid w:val="00E44B7E"/>
    <w:rsid w:val="00E44B93"/>
    <w:rsid w:val="00E44ECA"/>
    <w:rsid w:val="00E45336"/>
    <w:rsid w:val="00E4553F"/>
    <w:rsid w:val="00E45979"/>
    <w:rsid w:val="00E4617A"/>
    <w:rsid w:val="00E4638E"/>
    <w:rsid w:val="00E466BB"/>
    <w:rsid w:val="00E46A89"/>
    <w:rsid w:val="00E47A80"/>
    <w:rsid w:val="00E50BA8"/>
    <w:rsid w:val="00E51077"/>
    <w:rsid w:val="00E511DA"/>
    <w:rsid w:val="00E51221"/>
    <w:rsid w:val="00E512EB"/>
    <w:rsid w:val="00E5312F"/>
    <w:rsid w:val="00E5388A"/>
    <w:rsid w:val="00E544E4"/>
    <w:rsid w:val="00E54930"/>
    <w:rsid w:val="00E556E2"/>
    <w:rsid w:val="00E557F6"/>
    <w:rsid w:val="00E56CFC"/>
    <w:rsid w:val="00E57326"/>
    <w:rsid w:val="00E60024"/>
    <w:rsid w:val="00E60702"/>
    <w:rsid w:val="00E60841"/>
    <w:rsid w:val="00E60C9F"/>
    <w:rsid w:val="00E618A1"/>
    <w:rsid w:val="00E61C39"/>
    <w:rsid w:val="00E61C96"/>
    <w:rsid w:val="00E61F5A"/>
    <w:rsid w:val="00E62000"/>
    <w:rsid w:val="00E6225E"/>
    <w:rsid w:val="00E629D9"/>
    <w:rsid w:val="00E648F3"/>
    <w:rsid w:val="00E649EA"/>
    <w:rsid w:val="00E64B15"/>
    <w:rsid w:val="00E64DEF"/>
    <w:rsid w:val="00E65C2A"/>
    <w:rsid w:val="00E660F2"/>
    <w:rsid w:val="00E6686E"/>
    <w:rsid w:val="00E66A5B"/>
    <w:rsid w:val="00E66E93"/>
    <w:rsid w:val="00E670F0"/>
    <w:rsid w:val="00E70AE1"/>
    <w:rsid w:val="00E71248"/>
    <w:rsid w:val="00E71EC7"/>
    <w:rsid w:val="00E72376"/>
    <w:rsid w:val="00E728EE"/>
    <w:rsid w:val="00E7323E"/>
    <w:rsid w:val="00E7334F"/>
    <w:rsid w:val="00E738C1"/>
    <w:rsid w:val="00E7396D"/>
    <w:rsid w:val="00E73A4C"/>
    <w:rsid w:val="00E73BDC"/>
    <w:rsid w:val="00E73BFB"/>
    <w:rsid w:val="00E73D1A"/>
    <w:rsid w:val="00E73E80"/>
    <w:rsid w:val="00E74136"/>
    <w:rsid w:val="00E741B2"/>
    <w:rsid w:val="00E745CE"/>
    <w:rsid w:val="00E75225"/>
    <w:rsid w:val="00E752A2"/>
    <w:rsid w:val="00E752F7"/>
    <w:rsid w:val="00E757CE"/>
    <w:rsid w:val="00E75821"/>
    <w:rsid w:val="00E75861"/>
    <w:rsid w:val="00E762EE"/>
    <w:rsid w:val="00E76499"/>
    <w:rsid w:val="00E76566"/>
    <w:rsid w:val="00E769FD"/>
    <w:rsid w:val="00E7782C"/>
    <w:rsid w:val="00E7784E"/>
    <w:rsid w:val="00E77A89"/>
    <w:rsid w:val="00E77C04"/>
    <w:rsid w:val="00E77DD5"/>
    <w:rsid w:val="00E8013E"/>
    <w:rsid w:val="00E81025"/>
    <w:rsid w:val="00E810C2"/>
    <w:rsid w:val="00E816CC"/>
    <w:rsid w:val="00E81D2D"/>
    <w:rsid w:val="00E81F11"/>
    <w:rsid w:val="00E82A8B"/>
    <w:rsid w:val="00E82BE2"/>
    <w:rsid w:val="00E82E4D"/>
    <w:rsid w:val="00E84091"/>
    <w:rsid w:val="00E84231"/>
    <w:rsid w:val="00E84374"/>
    <w:rsid w:val="00E84908"/>
    <w:rsid w:val="00E85072"/>
    <w:rsid w:val="00E85BF7"/>
    <w:rsid w:val="00E86576"/>
    <w:rsid w:val="00E87B66"/>
    <w:rsid w:val="00E87E32"/>
    <w:rsid w:val="00E905EB"/>
    <w:rsid w:val="00E90DF0"/>
    <w:rsid w:val="00E91B3C"/>
    <w:rsid w:val="00E92B57"/>
    <w:rsid w:val="00E9318C"/>
    <w:rsid w:val="00E9334D"/>
    <w:rsid w:val="00E936F5"/>
    <w:rsid w:val="00E937F1"/>
    <w:rsid w:val="00E93F46"/>
    <w:rsid w:val="00E94010"/>
    <w:rsid w:val="00E9530F"/>
    <w:rsid w:val="00E95625"/>
    <w:rsid w:val="00E95A61"/>
    <w:rsid w:val="00E95ED4"/>
    <w:rsid w:val="00E96495"/>
    <w:rsid w:val="00E9651A"/>
    <w:rsid w:val="00E96855"/>
    <w:rsid w:val="00E97032"/>
    <w:rsid w:val="00E970E7"/>
    <w:rsid w:val="00EA0265"/>
    <w:rsid w:val="00EA0F81"/>
    <w:rsid w:val="00EA16DA"/>
    <w:rsid w:val="00EA188B"/>
    <w:rsid w:val="00EA1CA4"/>
    <w:rsid w:val="00EA214E"/>
    <w:rsid w:val="00EA257D"/>
    <w:rsid w:val="00EA257E"/>
    <w:rsid w:val="00EA25F8"/>
    <w:rsid w:val="00EA2B5E"/>
    <w:rsid w:val="00EA433E"/>
    <w:rsid w:val="00EA4343"/>
    <w:rsid w:val="00EA48BE"/>
    <w:rsid w:val="00EA4952"/>
    <w:rsid w:val="00EA4965"/>
    <w:rsid w:val="00EA4AF9"/>
    <w:rsid w:val="00EA529A"/>
    <w:rsid w:val="00EA54A5"/>
    <w:rsid w:val="00EA5FEE"/>
    <w:rsid w:val="00EA6BE8"/>
    <w:rsid w:val="00EA6F2F"/>
    <w:rsid w:val="00EA721F"/>
    <w:rsid w:val="00EB0382"/>
    <w:rsid w:val="00EB03A6"/>
    <w:rsid w:val="00EB0B7B"/>
    <w:rsid w:val="00EB0C34"/>
    <w:rsid w:val="00EB1577"/>
    <w:rsid w:val="00EB1956"/>
    <w:rsid w:val="00EB1BB3"/>
    <w:rsid w:val="00EB355E"/>
    <w:rsid w:val="00EB45DE"/>
    <w:rsid w:val="00EB5179"/>
    <w:rsid w:val="00EB59DB"/>
    <w:rsid w:val="00EB6424"/>
    <w:rsid w:val="00EB665D"/>
    <w:rsid w:val="00EB6C96"/>
    <w:rsid w:val="00EB6CC8"/>
    <w:rsid w:val="00EB6DC0"/>
    <w:rsid w:val="00EB705C"/>
    <w:rsid w:val="00EB7741"/>
    <w:rsid w:val="00EB7963"/>
    <w:rsid w:val="00EC059F"/>
    <w:rsid w:val="00EC0A4B"/>
    <w:rsid w:val="00EC0F09"/>
    <w:rsid w:val="00EC0FF5"/>
    <w:rsid w:val="00EC18FD"/>
    <w:rsid w:val="00EC292B"/>
    <w:rsid w:val="00EC2B81"/>
    <w:rsid w:val="00EC2BB4"/>
    <w:rsid w:val="00EC2CDC"/>
    <w:rsid w:val="00EC35AB"/>
    <w:rsid w:val="00EC3645"/>
    <w:rsid w:val="00EC4090"/>
    <w:rsid w:val="00EC415D"/>
    <w:rsid w:val="00EC41DA"/>
    <w:rsid w:val="00EC45D1"/>
    <w:rsid w:val="00EC5566"/>
    <w:rsid w:val="00EC782B"/>
    <w:rsid w:val="00EC7A1C"/>
    <w:rsid w:val="00ED133B"/>
    <w:rsid w:val="00ED1DFB"/>
    <w:rsid w:val="00ED208A"/>
    <w:rsid w:val="00ED26E2"/>
    <w:rsid w:val="00ED27A7"/>
    <w:rsid w:val="00ED3DF3"/>
    <w:rsid w:val="00ED3FD7"/>
    <w:rsid w:val="00ED4C6E"/>
    <w:rsid w:val="00ED5A19"/>
    <w:rsid w:val="00ED5ADB"/>
    <w:rsid w:val="00ED5FB3"/>
    <w:rsid w:val="00ED6544"/>
    <w:rsid w:val="00ED6C80"/>
    <w:rsid w:val="00ED7157"/>
    <w:rsid w:val="00ED753E"/>
    <w:rsid w:val="00ED765E"/>
    <w:rsid w:val="00ED7A4E"/>
    <w:rsid w:val="00EE0255"/>
    <w:rsid w:val="00EE0976"/>
    <w:rsid w:val="00EE0A92"/>
    <w:rsid w:val="00EE0F42"/>
    <w:rsid w:val="00EE11F8"/>
    <w:rsid w:val="00EE16A6"/>
    <w:rsid w:val="00EE1740"/>
    <w:rsid w:val="00EE17CD"/>
    <w:rsid w:val="00EE212E"/>
    <w:rsid w:val="00EE2321"/>
    <w:rsid w:val="00EE2570"/>
    <w:rsid w:val="00EE26F1"/>
    <w:rsid w:val="00EE2835"/>
    <w:rsid w:val="00EE286F"/>
    <w:rsid w:val="00EE2DBB"/>
    <w:rsid w:val="00EE2E41"/>
    <w:rsid w:val="00EE31CF"/>
    <w:rsid w:val="00EE3361"/>
    <w:rsid w:val="00EE34DA"/>
    <w:rsid w:val="00EE3830"/>
    <w:rsid w:val="00EE3A3B"/>
    <w:rsid w:val="00EE3B4A"/>
    <w:rsid w:val="00EE3C99"/>
    <w:rsid w:val="00EE3DFA"/>
    <w:rsid w:val="00EE49CF"/>
    <w:rsid w:val="00EE5073"/>
    <w:rsid w:val="00EE5320"/>
    <w:rsid w:val="00EE5609"/>
    <w:rsid w:val="00EE5BAA"/>
    <w:rsid w:val="00EE5F1D"/>
    <w:rsid w:val="00EE6052"/>
    <w:rsid w:val="00EE626C"/>
    <w:rsid w:val="00EE6D7D"/>
    <w:rsid w:val="00EE6DF4"/>
    <w:rsid w:val="00EE6E6D"/>
    <w:rsid w:val="00EE6FF9"/>
    <w:rsid w:val="00EE77DC"/>
    <w:rsid w:val="00EE7B7B"/>
    <w:rsid w:val="00EF016A"/>
    <w:rsid w:val="00EF1AA0"/>
    <w:rsid w:val="00EF1CF9"/>
    <w:rsid w:val="00EF1D96"/>
    <w:rsid w:val="00EF2152"/>
    <w:rsid w:val="00EF2598"/>
    <w:rsid w:val="00EF31F6"/>
    <w:rsid w:val="00EF3648"/>
    <w:rsid w:val="00EF3CAB"/>
    <w:rsid w:val="00EF51EF"/>
    <w:rsid w:val="00EF5274"/>
    <w:rsid w:val="00EF5F08"/>
    <w:rsid w:val="00EF6470"/>
    <w:rsid w:val="00EF6C98"/>
    <w:rsid w:val="00EF6D1D"/>
    <w:rsid w:val="00EF71DA"/>
    <w:rsid w:val="00EF77AC"/>
    <w:rsid w:val="00EF783C"/>
    <w:rsid w:val="00EF7C83"/>
    <w:rsid w:val="00F0001D"/>
    <w:rsid w:val="00F00256"/>
    <w:rsid w:val="00F002A2"/>
    <w:rsid w:val="00F002AA"/>
    <w:rsid w:val="00F0035C"/>
    <w:rsid w:val="00F0047E"/>
    <w:rsid w:val="00F0090A"/>
    <w:rsid w:val="00F010A1"/>
    <w:rsid w:val="00F0124F"/>
    <w:rsid w:val="00F013F8"/>
    <w:rsid w:val="00F016A2"/>
    <w:rsid w:val="00F02404"/>
    <w:rsid w:val="00F02C7A"/>
    <w:rsid w:val="00F03B18"/>
    <w:rsid w:val="00F03EEB"/>
    <w:rsid w:val="00F040C6"/>
    <w:rsid w:val="00F04565"/>
    <w:rsid w:val="00F064CA"/>
    <w:rsid w:val="00F06CA0"/>
    <w:rsid w:val="00F10455"/>
    <w:rsid w:val="00F107C8"/>
    <w:rsid w:val="00F10B86"/>
    <w:rsid w:val="00F10C02"/>
    <w:rsid w:val="00F10CF0"/>
    <w:rsid w:val="00F11049"/>
    <w:rsid w:val="00F11468"/>
    <w:rsid w:val="00F119A1"/>
    <w:rsid w:val="00F11BC7"/>
    <w:rsid w:val="00F11C02"/>
    <w:rsid w:val="00F11F1B"/>
    <w:rsid w:val="00F11FB3"/>
    <w:rsid w:val="00F12430"/>
    <w:rsid w:val="00F12C91"/>
    <w:rsid w:val="00F13463"/>
    <w:rsid w:val="00F135E8"/>
    <w:rsid w:val="00F13E2D"/>
    <w:rsid w:val="00F158F6"/>
    <w:rsid w:val="00F15DE8"/>
    <w:rsid w:val="00F15FD7"/>
    <w:rsid w:val="00F16B5E"/>
    <w:rsid w:val="00F16B6C"/>
    <w:rsid w:val="00F17B63"/>
    <w:rsid w:val="00F17FEF"/>
    <w:rsid w:val="00F20907"/>
    <w:rsid w:val="00F2157F"/>
    <w:rsid w:val="00F215E3"/>
    <w:rsid w:val="00F22781"/>
    <w:rsid w:val="00F22BB5"/>
    <w:rsid w:val="00F22C1F"/>
    <w:rsid w:val="00F22C65"/>
    <w:rsid w:val="00F23418"/>
    <w:rsid w:val="00F236CA"/>
    <w:rsid w:val="00F23E51"/>
    <w:rsid w:val="00F24021"/>
    <w:rsid w:val="00F2421D"/>
    <w:rsid w:val="00F2448B"/>
    <w:rsid w:val="00F24A35"/>
    <w:rsid w:val="00F24CA7"/>
    <w:rsid w:val="00F255E7"/>
    <w:rsid w:val="00F2563F"/>
    <w:rsid w:val="00F262DC"/>
    <w:rsid w:val="00F26382"/>
    <w:rsid w:val="00F303E0"/>
    <w:rsid w:val="00F30455"/>
    <w:rsid w:val="00F3070E"/>
    <w:rsid w:val="00F30EB1"/>
    <w:rsid w:val="00F310CB"/>
    <w:rsid w:val="00F31403"/>
    <w:rsid w:val="00F31878"/>
    <w:rsid w:val="00F3209C"/>
    <w:rsid w:val="00F320B8"/>
    <w:rsid w:val="00F32113"/>
    <w:rsid w:val="00F32618"/>
    <w:rsid w:val="00F32897"/>
    <w:rsid w:val="00F32949"/>
    <w:rsid w:val="00F33DEE"/>
    <w:rsid w:val="00F344BC"/>
    <w:rsid w:val="00F3482C"/>
    <w:rsid w:val="00F34D7E"/>
    <w:rsid w:val="00F359B4"/>
    <w:rsid w:val="00F35C80"/>
    <w:rsid w:val="00F3658B"/>
    <w:rsid w:val="00F36606"/>
    <w:rsid w:val="00F36B08"/>
    <w:rsid w:val="00F36BCE"/>
    <w:rsid w:val="00F36FD0"/>
    <w:rsid w:val="00F37592"/>
    <w:rsid w:val="00F37917"/>
    <w:rsid w:val="00F37933"/>
    <w:rsid w:val="00F37A35"/>
    <w:rsid w:val="00F402B7"/>
    <w:rsid w:val="00F407A1"/>
    <w:rsid w:val="00F407DC"/>
    <w:rsid w:val="00F4085E"/>
    <w:rsid w:val="00F409E8"/>
    <w:rsid w:val="00F41791"/>
    <w:rsid w:val="00F41F28"/>
    <w:rsid w:val="00F42C1F"/>
    <w:rsid w:val="00F43EFE"/>
    <w:rsid w:val="00F443E0"/>
    <w:rsid w:val="00F4442A"/>
    <w:rsid w:val="00F447C2"/>
    <w:rsid w:val="00F44CD3"/>
    <w:rsid w:val="00F4503D"/>
    <w:rsid w:val="00F4521B"/>
    <w:rsid w:val="00F45ECF"/>
    <w:rsid w:val="00F45F32"/>
    <w:rsid w:val="00F46866"/>
    <w:rsid w:val="00F46B03"/>
    <w:rsid w:val="00F474A8"/>
    <w:rsid w:val="00F475C2"/>
    <w:rsid w:val="00F47902"/>
    <w:rsid w:val="00F47C79"/>
    <w:rsid w:val="00F5032A"/>
    <w:rsid w:val="00F5037B"/>
    <w:rsid w:val="00F50899"/>
    <w:rsid w:val="00F50D8B"/>
    <w:rsid w:val="00F5142D"/>
    <w:rsid w:val="00F52879"/>
    <w:rsid w:val="00F5352E"/>
    <w:rsid w:val="00F53982"/>
    <w:rsid w:val="00F541DB"/>
    <w:rsid w:val="00F54562"/>
    <w:rsid w:val="00F546C8"/>
    <w:rsid w:val="00F54C34"/>
    <w:rsid w:val="00F54D83"/>
    <w:rsid w:val="00F55078"/>
    <w:rsid w:val="00F556C4"/>
    <w:rsid w:val="00F56342"/>
    <w:rsid w:val="00F5663F"/>
    <w:rsid w:val="00F56762"/>
    <w:rsid w:val="00F5776A"/>
    <w:rsid w:val="00F57788"/>
    <w:rsid w:val="00F5798D"/>
    <w:rsid w:val="00F57E1E"/>
    <w:rsid w:val="00F57FA7"/>
    <w:rsid w:val="00F605FF"/>
    <w:rsid w:val="00F60ABA"/>
    <w:rsid w:val="00F61390"/>
    <w:rsid w:val="00F613A4"/>
    <w:rsid w:val="00F6156C"/>
    <w:rsid w:val="00F6177D"/>
    <w:rsid w:val="00F61836"/>
    <w:rsid w:val="00F620C8"/>
    <w:rsid w:val="00F62ADD"/>
    <w:rsid w:val="00F632BA"/>
    <w:rsid w:val="00F63624"/>
    <w:rsid w:val="00F636D6"/>
    <w:rsid w:val="00F64311"/>
    <w:rsid w:val="00F64403"/>
    <w:rsid w:val="00F64A6C"/>
    <w:rsid w:val="00F64A7E"/>
    <w:rsid w:val="00F64C9F"/>
    <w:rsid w:val="00F64FA4"/>
    <w:rsid w:val="00F64FFE"/>
    <w:rsid w:val="00F65029"/>
    <w:rsid w:val="00F65CCA"/>
    <w:rsid w:val="00F66A31"/>
    <w:rsid w:val="00F673C9"/>
    <w:rsid w:val="00F674A8"/>
    <w:rsid w:val="00F67B99"/>
    <w:rsid w:val="00F70A77"/>
    <w:rsid w:val="00F715D8"/>
    <w:rsid w:val="00F72D89"/>
    <w:rsid w:val="00F73873"/>
    <w:rsid w:val="00F73BFD"/>
    <w:rsid w:val="00F73C01"/>
    <w:rsid w:val="00F7403B"/>
    <w:rsid w:val="00F7405E"/>
    <w:rsid w:val="00F7505E"/>
    <w:rsid w:val="00F75E63"/>
    <w:rsid w:val="00F76561"/>
    <w:rsid w:val="00F7740A"/>
    <w:rsid w:val="00F77512"/>
    <w:rsid w:val="00F77B1F"/>
    <w:rsid w:val="00F77B64"/>
    <w:rsid w:val="00F77BEF"/>
    <w:rsid w:val="00F77E38"/>
    <w:rsid w:val="00F80506"/>
    <w:rsid w:val="00F805B4"/>
    <w:rsid w:val="00F8099A"/>
    <w:rsid w:val="00F8154A"/>
    <w:rsid w:val="00F818AE"/>
    <w:rsid w:val="00F81A80"/>
    <w:rsid w:val="00F81B75"/>
    <w:rsid w:val="00F81DB9"/>
    <w:rsid w:val="00F82026"/>
    <w:rsid w:val="00F8251F"/>
    <w:rsid w:val="00F82741"/>
    <w:rsid w:val="00F82FBC"/>
    <w:rsid w:val="00F834F7"/>
    <w:rsid w:val="00F837D6"/>
    <w:rsid w:val="00F83D11"/>
    <w:rsid w:val="00F8407A"/>
    <w:rsid w:val="00F849EF"/>
    <w:rsid w:val="00F84C32"/>
    <w:rsid w:val="00F84DC9"/>
    <w:rsid w:val="00F85396"/>
    <w:rsid w:val="00F85E45"/>
    <w:rsid w:val="00F8620C"/>
    <w:rsid w:val="00F8661C"/>
    <w:rsid w:val="00F86754"/>
    <w:rsid w:val="00F8694D"/>
    <w:rsid w:val="00F874AD"/>
    <w:rsid w:val="00F879FB"/>
    <w:rsid w:val="00F909F6"/>
    <w:rsid w:val="00F90F20"/>
    <w:rsid w:val="00F9197D"/>
    <w:rsid w:val="00F9214F"/>
    <w:rsid w:val="00F92348"/>
    <w:rsid w:val="00F92651"/>
    <w:rsid w:val="00F92742"/>
    <w:rsid w:val="00F92AD5"/>
    <w:rsid w:val="00F92BF0"/>
    <w:rsid w:val="00F92F73"/>
    <w:rsid w:val="00F93516"/>
    <w:rsid w:val="00F93CA2"/>
    <w:rsid w:val="00F956BD"/>
    <w:rsid w:val="00F95BFC"/>
    <w:rsid w:val="00F961D5"/>
    <w:rsid w:val="00F9628E"/>
    <w:rsid w:val="00F96D7E"/>
    <w:rsid w:val="00F9720A"/>
    <w:rsid w:val="00F97594"/>
    <w:rsid w:val="00F97F10"/>
    <w:rsid w:val="00FA034B"/>
    <w:rsid w:val="00FA1361"/>
    <w:rsid w:val="00FA160A"/>
    <w:rsid w:val="00FA1927"/>
    <w:rsid w:val="00FA1BE1"/>
    <w:rsid w:val="00FA1CA9"/>
    <w:rsid w:val="00FA215D"/>
    <w:rsid w:val="00FA2228"/>
    <w:rsid w:val="00FA287E"/>
    <w:rsid w:val="00FA291C"/>
    <w:rsid w:val="00FA2DB2"/>
    <w:rsid w:val="00FA2FAB"/>
    <w:rsid w:val="00FA3949"/>
    <w:rsid w:val="00FA4754"/>
    <w:rsid w:val="00FA520C"/>
    <w:rsid w:val="00FA538F"/>
    <w:rsid w:val="00FA5F59"/>
    <w:rsid w:val="00FA60B5"/>
    <w:rsid w:val="00FA636B"/>
    <w:rsid w:val="00FA6A5F"/>
    <w:rsid w:val="00FA7553"/>
    <w:rsid w:val="00FA76F6"/>
    <w:rsid w:val="00FA777F"/>
    <w:rsid w:val="00FA7DDA"/>
    <w:rsid w:val="00FA7E90"/>
    <w:rsid w:val="00FB0589"/>
    <w:rsid w:val="00FB0A8B"/>
    <w:rsid w:val="00FB1003"/>
    <w:rsid w:val="00FB18D9"/>
    <w:rsid w:val="00FB1A8A"/>
    <w:rsid w:val="00FB2077"/>
    <w:rsid w:val="00FB3A1F"/>
    <w:rsid w:val="00FB3AF5"/>
    <w:rsid w:val="00FB3C69"/>
    <w:rsid w:val="00FB4DAF"/>
    <w:rsid w:val="00FB5278"/>
    <w:rsid w:val="00FB5324"/>
    <w:rsid w:val="00FB5453"/>
    <w:rsid w:val="00FB5A28"/>
    <w:rsid w:val="00FB7FD1"/>
    <w:rsid w:val="00FC0631"/>
    <w:rsid w:val="00FC08BF"/>
    <w:rsid w:val="00FC1515"/>
    <w:rsid w:val="00FC1EAF"/>
    <w:rsid w:val="00FC26B4"/>
    <w:rsid w:val="00FC2E3B"/>
    <w:rsid w:val="00FC2F12"/>
    <w:rsid w:val="00FC3875"/>
    <w:rsid w:val="00FC3E21"/>
    <w:rsid w:val="00FC4664"/>
    <w:rsid w:val="00FC5447"/>
    <w:rsid w:val="00FC5E47"/>
    <w:rsid w:val="00FC6E66"/>
    <w:rsid w:val="00FC7512"/>
    <w:rsid w:val="00FC75C7"/>
    <w:rsid w:val="00FC760A"/>
    <w:rsid w:val="00FC77D8"/>
    <w:rsid w:val="00FC7B9C"/>
    <w:rsid w:val="00FC7E72"/>
    <w:rsid w:val="00FC7F7C"/>
    <w:rsid w:val="00FD0447"/>
    <w:rsid w:val="00FD0512"/>
    <w:rsid w:val="00FD0876"/>
    <w:rsid w:val="00FD1D6E"/>
    <w:rsid w:val="00FD2244"/>
    <w:rsid w:val="00FD27F5"/>
    <w:rsid w:val="00FD2EBC"/>
    <w:rsid w:val="00FD3480"/>
    <w:rsid w:val="00FD3700"/>
    <w:rsid w:val="00FD4946"/>
    <w:rsid w:val="00FD4FE6"/>
    <w:rsid w:val="00FD5C07"/>
    <w:rsid w:val="00FD5D88"/>
    <w:rsid w:val="00FD6F65"/>
    <w:rsid w:val="00FE1007"/>
    <w:rsid w:val="00FE165F"/>
    <w:rsid w:val="00FE1DE8"/>
    <w:rsid w:val="00FE28A1"/>
    <w:rsid w:val="00FE2C11"/>
    <w:rsid w:val="00FE4A43"/>
    <w:rsid w:val="00FE513A"/>
    <w:rsid w:val="00FE6A7E"/>
    <w:rsid w:val="00FE6ABD"/>
    <w:rsid w:val="00FE6B7E"/>
    <w:rsid w:val="00FE75BA"/>
    <w:rsid w:val="00FE791A"/>
    <w:rsid w:val="00FF0483"/>
    <w:rsid w:val="00FF05A3"/>
    <w:rsid w:val="00FF08B6"/>
    <w:rsid w:val="00FF0FD4"/>
    <w:rsid w:val="00FF1AD0"/>
    <w:rsid w:val="00FF2804"/>
    <w:rsid w:val="00FF294B"/>
    <w:rsid w:val="00FF2B0A"/>
    <w:rsid w:val="00FF2B5D"/>
    <w:rsid w:val="00FF2DD1"/>
    <w:rsid w:val="00FF329A"/>
    <w:rsid w:val="00FF3389"/>
    <w:rsid w:val="00FF34F6"/>
    <w:rsid w:val="00FF3F0E"/>
    <w:rsid w:val="00FF3F69"/>
    <w:rsid w:val="00FF49FF"/>
    <w:rsid w:val="00FF4C60"/>
    <w:rsid w:val="00FF5642"/>
    <w:rsid w:val="00FF60E6"/>
    <w:rsid w:val="00FF63CD"/>
    <w:rsid w:val="00FF6770"/>
    <w:rsid w:val="00FF6A3B"/>
    <w:rsid w:val="00FF6B7C"/>
    <w:rsid w:val="00FF6BC4"/>
    <w:rsid w:val="00FF703A"/>
    <w:rsid w:val="00FF7292"/>
    <w:rsid w:val="00FF7BC2"/>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04F511D"/>
  <w15:chartTrackingRefBased/>
  <w15:docId w15:val="{322E3B36-81B3-47BE-B16B-049B64EB1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HAnsi"/>
        <w:color w:val="000000" w:themeColor="text1"/>
        <w:sz w:val="24"/>
        <w:szCs w:val="24"/>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C7BA3"/>
    <w:pPr>
      <w:jc w:val="both"/>
    </w:pPr>
  </w:style>
  <w:style w:type="paragraph" w:styleId="Nadpis1">
    <w:name w:val="heading 1"/>
    <w:basedOn w:val="Normln"/>
    <w:next w:val="Normln"/>
    <w:link w:val="Nadpis1Char"/>
    <w:uiPriority w:val="9"/>
    <w:qFormat/>
    <w:rsid w:val="008C122F"/>
    <w:pPr>
      <w:keepNext/>
      <w:keepLines/>
      <w:numPr>
        <w:numId w:val="17"/>
      </w:numPr>
      <w:spacing w:before="240" w:after="120"/>
      <w:jc w:val="center"/>
      <w:outlineLvl w:val="0"/>
    </w:pPr>
    <w:rPr>
      <w:rFonts w:eastAsiaTheme="majorEastAsia"/>
      <w:b/>
    </w:rPr>
  </w:style>
  <w:style w:type="paragraph" w:styleId="Nadpis2">
    <w:name w:val="heading 2"/>
    <w:basedOn w:val="Odstavecseseznamem"/>
    <w:next w:val="Normln"/>
    <w:link w:val="Nadpis2Char"/>
    <w:uiPriority w:val="9"/>
    <w:unhideWhenUsed/>
    <w:qFormat/>
    <w:rsid w:val="00D86A7E"/>
    <w:pPr>
      <w:pBdr>
        <w:top w:val="single" w:sz="4" w:space="1" w:color="auto"/>
        <w:left w:val="single" w:sz="4" w:space="4" w:color="auto"/>
        <w:bottom w:val="single" w:sz="4" w:space="1" w:color="auto"/>
        <w:right w:val="single" w:sz="4" w:space="4" w:color="auto"/>
      </w:pBdr>
      <w:shd w:val="clear" w:color="auto" w:fill="F4F9FF" w:themeFill="accent1" w:themeFillTint="66"/>
      <w:spacing w:before="240" w:after="120"/>
      <w:ind w:left="0"/>
      <w:outlineLvl w:val="1"/>
    </w:pPr>
    <w:rPr>
      <w:rFonts w:cstheme="minorHAnsi"/>
      <w:b/>
      <w:sz w:val="24"/>
      <w:szCs w:val="24"/>
    </w:rPr>
  </w:style>
  <w:style w:type="paragraph" w:styleId="Nadpis3">
    <w:name w:val="heading 3"/>
    <w:basedOn w:val="Normln"/>
    <w:next w:val="Normln"/>
    <w:link w:val="Nadpis3Char"/>
    <w:uiPriority w:val="9"/>
    <w:unhideWhenUsed/>
    <w:qFormat/>
    <w:rsid w:val="001D6499"/>
    <w:pPr>
      <w:keepNext/>
      <w:keepLines/>
      <w:spacing w:before="40" w:after="0"/>
      <w:outlineLvl w:val="2"/>
    </w:pPr>
    <w:rPr>
      <w:rFonts w:asciiTheme="majorHAnsi" w:eastAsiaTheme="majorEastAsia" w:hAnsiTheme="majorHAnsi" w:cstheme="majorBidi"/>
      <w:color w:val="006EF1" w:themeColor="accent1" w:themeShade="7F"/>
    </w:rPr>
  </w:style>
  <w:style w:type="paragraph" w:styleId="Nadpis4">
    <w:name w:val="heading 4"/>
    <w:basedOn w:val="Normln"/>
    <w:next w:val="Normln"/>
    <w:link w:val="Nadpis4Char"/>
    <w:uiPriority w:val="9"/>
    <w:unhideWhenUsed/>
    <w:qFormat/>
    <w:rsid w:val="00362B72"/>
    <w:pPr>
      <w:keepNext/>
      <w:keepLines/>
      <w:spacing w:before="40" w:after="0"/>
      <w:outlineLvl w:val="3"/>
    </w:pPr>
    <w:rPr>
      <w:rFonts w:asciiTheme="majorHAnsi" w:eastAsiaTheme="majorEastAsia" w:hAnsiTheme="majorHAnsi" w:cstheme="majorBidi"/>
      <w:i/>
      <w:iCs/>
      <w:color w:val="6BAFFF"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Char">
    <w:name w:val="Základní Char"/>
    <w:basedOn w:val="Standardnpsmoodstavce"/>
    <w:link w:val="Zkladn"/>
    <w:locked/>
    <w:rsid w:val="00214123"/>
    <w:rPr>
      <w:sz w:val="24"/>
      <w:lang w:eastAsia="cs-CZ"/>
    </w:rPr>
  </w:style>
  <w:style w:type="paragraph" w:customStyle="1" w:styleId="Zkladn">
    <w:name w:val="Základní"/>
    <w:basedOn w:val="Normln"/>
    <w:link w:val="ZkladnChar"/>
    <w:qFormat/>
    <w:rsid w:val="00214123"/>
    <w:pPr>
      <w:spacing w:before="120" w:after="180" w:line="264" w:lineRule="auto"/>
    </w:pPr>
    <w:rPr>
      <w:lang w:eastAsia="cs-CZ"/>
    </w:rPr>
  </w:style>
  <w:style w:type="paragraph" w:styleId="Odstavecseseznamem">
    <w:name w:val="List Paragraph"/>
    <w:aliases w:val="1 úroveň Odstavec se seznamem,Akapit z listą1,List Paragraph_0,Nad,Nadpis pro KZ,Odrážky,Odstavec,Odstavec cíl se seznamem,Odstavec se seznamem a odrážkou,Odstavec se seznamem1,Odstavec se seznamem5,Odstavec_muj,Reference List"/>
    <w:basedOn w:val="Normln"/>
    <w:link w:val="OdstavecseseznamemChar"/>
    <w:uiPriority w:val="34"/>
    <w:qFormat/>
    <w:rsid w:val="00214123"/>
    <w:pPr>
      <w:spacing w:after="0" w:line="240" w:lineRule="auto"/>
      <w:ind w:left="720"/>
      <w:contextualSpacing/>
    </w:pPr>
    <w:rPr>
      <w:rFonts w:eastAsia="Times New Roman" w:cs="Times New Roman"/>
      <w:sz w:val="20"/>
      <w:szCs w:val="20"/>
      <w:lang w:eastAsia="cs-CZ"/>
    </w:rPr>
  </w:style>
  <w:style w:type="character" w:customStyle="1" w:styleId="OdstavecseseznamemChar">
    <w:name w:val="Odstavec se seznamem Char"/>
    <w:aliases w:val="1 úroveň Odstavec se seznamem Char,Akapit z listą1 Char,List Paragraph_0 Char,Nad Char,Nadpis pro KZ Char,Odrážky Char,Odstavec Char,Odstavec cíl se seznamem Char,Odstavec se seznamem a odrážkou Char,Odstavec se seznamem1 Char"/>
    <w:link w:val="Odstavecseseznamem"/>
    <w:uiPriority w:val="34"/>
    <w:qFormat/>
    <w:rsid w:val="00214123"/>
    <w:rPr>
      <w:rFonts w:ascii="Calibri" w:eastAsia="Times New Roman" w:hAnsi="Calibri" w:cs="Times New Roman"/>
      <w:color w:val="000000" w:themeColor="text1"/>
      <w:sz w:val="20"/>
      <w:szCs w:val="20"/>
      <w:lang w:eastAsia="cs-CZ"/>
    </w:rPr>
  </w:style>
  <w:style w:type="paragraph" w:customStyle="1" w:styleId="NormlnKZ">
    <w:name w:val="Normální KZ"/>
    <w:basedOn w:val="Normln"/>
    <w:rsid w:val="00214123"/>
    <w:pPr>
      <w:spacing w:after="120" w:line="240" w:lineRule="auto"/>
      <w:ind w:firstLine="425"/>
    </w:pPr>
    <w:rPr>
      <w:rFonts w:eastAsia="Times New Roman" w:cs="Times New Roman"/>
      <w:lang w:eastAsia="cs-CZ"/>
    </w:rPr>
  </w:style>
  <w:style w:type="character" w:customStyle="1" w:styleId="A4">
    <w:name w:val="A4"/>
    <w:uiPriority w:val="99"/>
    <w:rsid w:val="00214123"/>
    <w:rPr>
      <w:color w:val="000000"/>
      <w:sz w:val="60"/>
      <w:szCs w:val="60"/>
    </w:rPr>
  </w:style>
  <w:style w:type="character" w:styleId="Odkaznakoment">
    <w:name w:val="annotation reference"/>
    <w:basedOn w:val="Standardnpsmoodstavce"/>
    <w:uiPriority w:val="99"/>
    <w:semiHidden/>
    <w:unhideWhenUsed/>
    <w:rsid w:val="00214123"/>
    <w:rPr>
      <w:sz w:val="16"/>
      <w:szCs w:val="16"/>
    </w:rPr>
  </w:style>
  <w:style w:type="paragraph" w:styleId="Textkomente">
    <w:name w:val="annotation text"/>
    <w:basedOn w:val="Normln"/>
    <w:link w:val="TextkomenteChar"/>
    <w:uiPriority w:val="99"/>
    <w:unhideWhenUsed/>
    <w:rsid w:val="00214123"/>
    <w:pPr>
      <w:spacing w:line="240" w:lineRule="auto"/>
    </w:pPr>
    <w:rPr>
      <w:sz w:val="20"/>
      <w:szCs w:val="20"/>
    </w:rPr>
  </w:style>
  <w:style w:type="character" w:customStyle="1" w:styleId="TextkomenteChar">
    <w:name w:val="Text komentáře Char"/>
    <w:basedOn w:val="Standardnpsmoodstavce"/>
    <w:link w:val="Textkomente"/>
    <w:uiPriority w:val="99"/>
    <w:rsid w:val="00214123"/>
    <w:rPr>
      <w:sz w:val="20"/>
      <w:szCs w:val="20"/>
    </w:rPr>
  </w:style>
  <w:style w:type="paragraph" w:styleId="Textbubliny">
    <w:name w:val="Balloon Text"/>
    <w:basedOn w:val="Normln"/>
    <w:link w:val="TextbublinyChar"/>
    <w:uiPriority w:val="99"/>
    <w:semiHidden/>
    <w:unhideWhenUsed/>
    <w:rsid w:val="002141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14123"/>
    <w:rPr>
      <w:rFonts w:ascii="Segoe UI" w:hAnsi="Segoe UI" w:cs="Segoe UI"/>
      <w:sz w:val="18"/>
      <w:szCs w:val="18"/>
    </w:rPr>
  </w:style>
  <w:style w:type="character" w:customStyle="1" w:styleId="Nadpis2Char">
    <w:name w:val="Nadpis 2 Char"/>
    <w:basedOn w:val="Standardnpsmoodstavce"/>
    <w:link w:val="Nadpis2"/>
    <w:uiPriority w:val="9"/>
    <w:rsid w:val="00D86A7E"/>
    <w:rPr>
      <w:rFonts w:ascii="Calibri" w:eastAsia="Times New Roman" w:hAnsi="Calibri" w:cstheme="minorHAnsi"/>
      <w:b/>
      <w:color w:val="000000" w:themeColor="text1"/>
      <w:sz w:val="24"/>
      <w:szCs w:val="24"/>
      <w:shd w:val="clear" w:color="auto" w:fill="F4F9FF" w:themeFill="accent1" w:themeFillTint="66"/>
      <w:lang w:eastAsia="cs-CZ"/>
    </w:rPr>
  </w:style>
  <w:style w:type="paragraph" w:customStyle="1" w:styleId="ACpZkladntext">
    <w:name w:val="ACp Základní text"/>
    <w:basedOn w:val="Nadpis1"/>
    <w:qFormat/>
    <w:rsid w:val="00214123"/>
    <w:pPr>
      <w:keepLines w:val="0"/>
      <w:overflowPunct w:val="0"/>
      <w:autoSpaceDE w:val="0"/>
      <w:autoSpaceDN w:val="0"/>
      <w:adjustRightInd w:val="0"/>
      <w:spacing w:before="480" w:line="240" w:lineRule="auto"/>
      <w:textAlignment w:val="baseline"/>
    </w:pPr>
    <w:rPr>
      <w:rFonts w:eastAsia="Times New Roman"/>
      <w:b w:val="0"/>
      <w:color w:val="000000"/>
      <w:szCs w:val="20"/>
      <w:lang w:eastAsia="cs-CZ"/>
    </w:rPr>
  </w:style>
  <w:style w:type="paragraph" w:styleId="Textpoznpodarou">
    <w:name w:val="footnote text"/>
    <w:aliases w:val="pozn. pod čarou,Schriftart: 9 pt,Schriftart: 10 pt,Schriftart: 8 pt,Podrozdział,Footnote,Podrozdzia3,Text poznámky pod čiarou 007,Fußnotentextf,Geneva 9,Font: Geneva 9,Boston 10,f,Footnote Text Char,Char1,Char,Text pozn. pod čarou1"/>
    <w:basedOn w:val="Normln"/>
    <w:link w:val="TextpoznpodarouChar"/>
    <w:uiPriority w:val="99"/>
    <w:unhideWhenUsed/>
    <w:qFormat/>
    <w:rsid w:val="00214123"/>
    <w:pPr>
      <w:spacing w:after="0" w:line="240" w:lineRule="auto"/>
    </w:pPr>
    <w:rPr>
      <w:rFonts w:eastAsia="Times New Roman" w:cs="Times New Roman"/>
      <w:sz w:val="20"/>
      <w:szCs w:val="20"/>
      <w:lang w:eastAsia="cs-CZ"/>
    </w:rPr>
  </w:style>
  <w:style w:type="character" w:customStyle="1" w:styleId="TextpoznpodarouChar">
    <w:name w:val="Text pozn. pod čarou Char"/>
    <w:aliases w:val="pozn. pod čarou Char,Schriftart: 9 pt Char,Schriftart: 10 pt Char,Schriftart: 8 pt Char,Podrozdział Char,Footnote Char,Podrozdzia3 Char,Text poznámky pod čiarou 007 Char,Fußnotentextf Char,Geneva 9 Char,Font: Geneva 9 Char"/>
    <w:basedOn w:val="Standardnpsmoodstavce"/>
    <w:link w:val="Textpoznpodarou"/>
    <w:uiPriority w:val="99"/>
    <w:rsid w:val="00214123"/>
    <w:rPr>
      <w:rFonts w:ascii="Calibri" w:eastAsia="Times New Roman" w:hAnsi="Calibri" w:cs="Times New Roman"/>
      <w:color w:val="000000" w:themeColor="text1"/>
      <w:sz w:val="20"/>
      <w:szCs w:val="20"/>
      <w:lang w:eastAsia="cs-CZ"/>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12 b.,Zúžené o ..."/>
    <w:basedOn w:val="Standardnpsmoodstavce"/>
    <w:uiPriority w:val="99"/>
    <w:unhideWhenUsed/>
    <w:rsid w:val="00214123"/>
    <w:rPr>
      <w:vertAlign w:val="superscript"/>
    </w:rPr>
  </w:style>
  <w:style w:type="character" w:customStyle="1" w:styleId="Nadpis1Char">
    <w:name w:val="Nadpis 1 Char"/>
    <w:basedOn w:val="Standardnpsmoodstavce"/>
    <w:link w:val="Nadpis1"/>
    <w:uiPriority w:val="9"/>
    <w:rsid w:val="008C122F"/>
    <w:rPr>
      <w:rFonts w:eastAsiaTheme="majorEastAsia"/>
      <w:b/>
    </w:rPr>
  </w:style>
  <w:style w:type="paragraph" w:styleId="Zhlav">
    <w:name w:val="header"/>
    <w:basedOn w:val="Normln"/>
    <w:link w:val="ZhlavChar"/>
    <w:uiPriority w:val="99"/>
    <w:unhideWhenUsed/>
    <w:rsid w:val="003D6DC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6DCB"/>
    <w:rPr>
      <w:sz w:val="24"/>
    </w:rPr>
  </w:style>
  <w:style w:type="paragraph" w:styleId="Zpat">
    <w:name w:val="footer"/>
    <w:basedOn w:val="Normln"/>
    <w:link w:val="ZpatChar"/>
    <w:uiPriority w:val="99"/>
    <w:unhideWhenUsed/>
    <w:rsid w:val="003D6DCB"/>
    <w:pPr>
      <w:tabs>
        <w:tab w:val="center" w:pos="4536"/>
        <w:tab w:val="right" w:pos="9072"/>
      </w:tabs>
      <w:spacing w:after="0" w:line="240" w:lineRule="auto"/>
    </w:pPr>
  </w:style>
  <w:style w:type="character" w:customStyle="1" w:styleId="ZpatChar">
    <w:name w:val="Zápatí Char"/>
    <w:basedOn w:val="Standardnpsmoodstavce"/>
    <w:link w:val="Zpat"/>
    <w:uiPriority w:val="99"/>
    <w:rsid w:val="003D6DCB"/>
    <w:rPr>
      <w:sz w:val="24"/>
    </w:rPr>
  </w:style>
  <w:style w:type="paragraph" w:styleId="Pedmtkomente">
    <w:name w:val="annotation subject"/>
    <w:basedOn w:val="Textkomente"/>
    <w:next w:val="Textkomente"/>
    <w:link w:val="PedmtkomenteChar"/>
    <w:uiPriority w:val="99"/>
    <w:semiHidden/>
    <w:unhideWhenUsed/>
    <w:rsid w:val="003D6DCB"/>
    <w:rPr>
      <w:b/>
      <w:bCs/>
    </w:rPr>
  </w:style>
  <w:style w:type="character" w:customStyle="1" w:styleId="PedmtkomenteChar">
    <w:name w:val="Předmět komentáře Char"/>
    <w:basedOn w:val="TextkomenteChar"/>
    <w:link w:val="Pedmtkomente"/>
    <w:uiPriority w:val="99"/>
    <w:semiHidden/>
    <w:rsid w:val="003D6DCB"/>
    <w:rPr>
      <w:b/>
      <w:bCs/>
      <w:sz w:val="20"/>
      <w:szCs w:val="20"/>
    </w:rPr>
  </w:style>
  <w:style w:type="paragraph" w:styleId="Revize">
    <w:name w:val="Revision"/>
    <w:hidden/>
    <w:uiPriority w:val="99"/>
    <w:semiHidden/>
    <w:rsid w:val="00B3120C"/>
    <w:pPr>
      <w:spacing w:after="0" w:line="240" w:lineRule="auto"/>
    </w:pPr>
  </w:style>
  <w:style w:type="paragraph" w:customStyle="1" w:styleId="Odrkyvtextunemazat">
    <w:name w:val="Odrážky v textu_nemazat!"/>
    <w:basedOn w:val="Normln"/>
    <w:rsid w:val="00AC0DE9"/>
    <w:pPr>
      <w:numPr>
        <w:numId w:val="1"/>
      </w:numPr>
      <w:spacing w:before="120" w:after="200" w:line="240" w:lineRule="auto"/>
      <w:contextualSpacing/>
    </w:pPr>
    <w:rPr>
      <w:rFonts w:eastAsia="Times New Roman" w:cs="Times New Roman"/>
      <w:lang w:eastAsia="cs-CZ"/>
    </w:rPr>
  </w:style>
  <w:style w:type="character" w:customStyle="1" w:styleId="ui-provider">
    <w:name w:val="ui-provider"/>
    <w:basedOn w:val="Standardnpsmoodstavce"/>
    <w:rsid w:val="000B4DAF"/>
  </w:style>
  <w:style w:type="paragraph" w:customStyle="1" w:styleId="Default">
    <w:name w:val="Default"/>
    <w:rsid w:val="00C90D00"/>
    <w:pPr>
      <w:autoSpaceDE w:val="0"/>
      <w:autoSpaceDN w:val="0"/>
      <w:adjustRightInd w:val="0"/>
      <w:spacing w:after="0" w:line="240" w:lineRule="auto"/>
    </w:pPr>
    <w:rPr>
      <w:rFonts w:cs="Calibri"/>
      <w:color w:val="000000"/>
    </w:rPr>
  </w:style>
  <w:style w:type="paragraph" w:customStyle="1" w:styleId="commentcontentpara">
    <w:name w:val="commentcontentpara"/>
    <w:basedOn w:val="Normln"/>
    <w:rsid w:val="00C90D00"/>
    <w:pPr>
      <w:spacing w:before="100" w:beforeAutospacing="1" w:after="100" w:afterAutospacing="1" w:line="240" w:lineRule="auto"/>
      <w:jc w:val="left"/>
    </w:pPr>
    <w:rPr>
      <w:rFonts w:ascii="Times New Roman" w:eastAsia="Times New Roman" w:hAnsi="Times New Roman" w:cs="Times New Roman"/>
      <w:lang w:eastAsia="cs-CZ"/>
    </w:rPr>
  </w:style>
  <w:style w:type="paragraph" w:styleId="Normlnweb">
    <w:name w:val="Normal (Web)"/>
    <w:basedOn w:val="Normln"/>
    <w:uiPriority w:val="99"/>
    <w:unhideWhenUsed/>
    <w:rsid w:val="00C90D00"/>
    <w:pPr>
      <w:spacing w:before="100" w:beforeAutospacing="1" w:after="100" w:afterAutospacing="1" w:line="240" w:lineRule="auto"/>
      <w:jc w:val="left"/>
    </w:pPr>
    <w:rPr>
      <w:rFonts w:ascii="Times New Roman" w:eastAsiaTheme="minorEastAsia" w:hAnsi="Times New Roman" w:cs="Times New Roman"/>
      <w:lang w:eastAsia="cs-CZ"/>
    </w:rPr>
  </w:style>
  <w:style w:type="table" w:styleId="Mkatabulky">
    <w:name w:val="Table Grid"/>
    <w:basedOn w:val="Normlntabulka"/>
    <w:uiPriority w:val="39"/>
    <w:rsid w:val="00C90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C90D00"/>
    <w:pPr>
      <w:spacing w:after="200" w:line="240" w:lineRule="auto"/>
    </w:pPr>
    <w:rPr>
      <w:i/>
      <w:iCs/>
      <w:color w:val="44546A" w:themeColor="text2"/>
      <w:sz w:val="18"/>
      <w:szCs w:val="18"/>
    </w:rPr>
  </w:style>
  <w:style w:type="paragraph" w:customStyle="1" w:styleId="KP-normlntext">
    <w:name w:val="KP-normální text"/>
    <w:basedOn w:val="Normln"/>
    <w:link w:val="KP-normlntextChar"/>
    <w:qFormat/>
    <w:rsid w:val="00C90D00"/>
    <w:pPr>
      <w:spacing w:after="120" w:line="240" w:lineRule="auto"/>
    </w:pPr>
    <w:rPr>
      <w:rFonts w:eastAsia="Times New Roman"/>
    </w:rPr>
  </w:style>
  <w:style w:type="character" w:customStyle="1" w:styleId="KP-normlntextChar">
    <w:name w:val="KP-normální text Char"/>
    <w:link w:val="KP-normlntext"/>
    <w:rsid w:val="00C90D00"/>
    <w:rPr>
      <w:rFonts w:eastAsia="Times New Roman" w:cstheme="minorHAnsi"/>
      <w:sz w:val="24"/>
      <w:szCs w:val="24"/>
    </w:rPr>
  </w:style>
  <w:style w:type="character" w:styleId="Siln">
    <w:name w:val="Strong"/>
    <w:basedOn w:val="Standardnpsmoodstavce"/>
    <w:uiPriority w:val="22"/>
    <w:qFormat/>
    <w:rsid w:val="00795201"/>
    <w:rPr>
      <w:b/>
      <w:bCs/>
    </w:rPr>
  </w:style>
  <w:style w:type="numbering" w:customStyle="1" w:styleId="Styl1">
    <w:name w:val="Styl1"/>
    <w:uiPriority w:val="99"/>
    <w:rsid w:val="009A0760"/>
    <w:pPr>
      <w:numPr>
        <w:numId w:val="20"/>
      </w:numPr>
    </w:pPr>
  </w:style>
  <w:style w:type="character" w:styleId="Hypertextovodkaz">
    <w:name w:val="Hyperlink"/>
    <w:basedOn w:val="Standardnpsmoodstavce"/>
    <w:uiPriority w:val="99"/>
    <w:semiHidden/>
    <w:unhideWhenUsed/>
    <w:rsid w:val="006E7F61"/>
    <w:rPr>
      <w:color w:val="0000FF"/>
      <w:u w:val="single"/>
    </w:rPr>
  </w:style>
  <w:style w:type="character" w:styleId="Sledovanodkaz">
    <w:name w:val="FollowedHyperlink"/>
    <w:basedOn w:val="Standardnpsmoodstavce"/>
    <w:uiPriority w:val="99"/>
    <w:semiHidden/>
    <w:unhideWhenUsed/>
    <w:rsid w:val="008D3FEC"/>
    <w:rPr>
      <w:color w:val="954F72" w:themeColor="followedHyperlink"/>
      <w:u w:val="single"/>
    </w:rPr>
  </w:style>
  <w:style w:type="paragraph" w:customStyle="1" w:styleId="Popistabulky">
    <w:name w:val="Popis tabulky"/>
    <w:basedOn w:val="Normln"/>
    <w:link w:val="PopistabulkyChar"/>
    <w:qFormat/>
    <w:rsid w:val="00DD66CF"/>
    <w:pPr>
      <w:spacing w:after="120" w:line="240" w:lineRule="auto"/>
    </w:pPr>
    <w:rPr>
      <w:rFonts w:eastAsia="Times New Roman" w:cs="Times New Roman"/>
      <w:i/>
      <w:color w:val="auto"/>
      <w:sz w:val="20"/>
      <w:szCs w:val="20"/>
      <w:lang w:eastAsia="cs-CZ"/>
    </w:rPr>
  </w:style>
  <w:style w:type="character" w:customStyle="1" w:styleId="PopistabulkyChar">
    <w:name w:val="Popis tabulky Char"/>
    <w:basedOn w:val="Standardnpsmoodstavce"/>
    <w:link w:val="Popistabulky"/>
    <w:rsid w:val="00DD66CF"/>
    <w:rPr>
      <w:rFonts w:eastAsia="Times New Roman" w:cs="Times New Roman"/>
      <w:i/>
      <w:color w:val="auto"/>
      <w:sz w:val="20"/>
      <w:szCs w:val="20"/>
      <w:lang w:eastAsia="cs-CZ"/>
    </w:rPr>
  </w:style>
  <w:style w:type="character" w:customStyle="1" w:styleId="Nadpis3Char">
    <w:name w:val="Nadpis 3 Char"/>
    <w:basedOn w:val="Standardnpsmoodstavce"/>
    <w:link w:val="Nadpis3"/>
    <w:uiPriority w:val="9"/>
    <w:rsid w:val="001D6499"/>
    <w:rPr>
      <w:rFonts w:asciiTheme="majorHAnsi" w:eastAsiaTheme="majorEastAsia" w:hAnsiTheme="majorHAnsi" w:cstheme="majorBidi"/>
      <w:color w:val="006EF1" w:themeColor="accent1" w:themeShade="7F"/>
    </w:rPr>
  </w:style>
  <w:style w:type="character" w:customStyle="1" w:styleId="Nadpis4Char">
    <w:name w:val="Nadpis 4 Char"/>
    <w:basedOn w:val="Standardnpsmoodstavce"/>
    <w:link w:val="Nadpis4"/>
    <w:uiPriority w:val="9"/>
    <w:rsid w:val="00362B72"/>
    <w:rPr>
      <w:rFonts w:asciiTheme="majorHAnsi" w:eastAsiaTheme="majorEastAsia" w:hAnsiTheme="majorHAnsi" w:cstheme="majorBidi"/>
      <w:i/>
      <w:iCs/>
      <w:color w:val="6BAFFF" w:themeColor="accent1" w:themeShade="BF"/>
    </w:rPr>
  </w:style>
  <w:style w:type="character" w:customStyle="1" w:styleId="A1">
    <w:name w:val="A1"/>
    <w:uiPriority w:val="99"/>
    <w:rsid w:val="001E7E5A"/>
    <w:rPr>
      <w:color w:val="000000"/>
      <w:sz w:val="28"/>
      <w:szCs w:val="28"/>
    </w:rPr>
  </w:style>
  <w:style w:type="paragraph" w:customStyle="1" w:styleId="l4">
    <w:name w:val="l4"/>
    <w:basedOn w:val="Normln"/>
    <w:rsid w:val="00EE17CD"/>
    <w:pPr>
      <w:spacing w:before="100" w:beforeAutospacing="1" w:after="100" w:afterAutospacing="1" w:line="240" w:lineRule="auto"/>
      <w:jc w:val="left"/>
    </w:pPr>
    <w:rPr>
      <w:rFonts w:ascii="Times New Roman" w:eastAsia="Times New Roman" w:hAnsi="Times New Roman" w:cs="Times New Roman"/>
      <w:color w:val="auto"/>
      <w:lang w:eastAsia="cs-CZ"/>
    </w:rPr>
  </w:style>
  <w:style w:type="paragraph" w:customStyle="1" w:styleId="l3">
    <w:name w:val="l3"/>
    <w:basedOn w:val="Normln"/>
    <w:rsid w:val="00EE17CD"/>
    <w:pPr>
      <w:spacing w:before="100" w:beforeAutospacing="1" w:after="100" w:afterAutospacing="1" w:line="240" w:lineRule="auto"/>
      <w:jc w:val="left"/>
    </w:pPr>
    <w:rPr>
      <w:rFonts w:ascii="Times New Roman" w:eastAsia="Times New Roman" w:hAnsi="Times New Roman" w:cs="Times New Roman"/>
      <w:color w:val="auto"/>
      <w:lang w:eastAsia="cs-CZ"/>
    </w:rPr>
  </w:style>
  <w:style w:type="paragraph" w:styleId="Textvysvtlivek">
    <w:name w:val="endnote text"/>
    <w:basedOn w:val="Normln"/>
    <w:link w:val="TextvysvtlivekChar"/>
    <w:uiPriority w:val="99"/>
    <w:semiHidden/>
    <w:unhideWhenUsed/>
    <w:rsid w:val="00DB4E3C"/>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DB4E3C"/>
    <w:rPr>
      <w:sz w:val="20"/>
      <w:szCs w:val="20"/>
    </w:rPr>
  </w:style>
  <w:style w:type="character" w:styleId="Odkaznavysvtlivky">
    <w:name w:val="endnote reference"/>
    <w:basedOn w:val="Standardnpsmoodstavce"/>
    <w:uiPriority w:val="99"/>
    <w:semiHidden/>
    <w:unhideWhenUsed/>
    <w:rsid w:val="00DB4E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161183">
      <w:bodyDiv w:val="1"/>
      <w:marLeft w:val="0"/>
      <w:marRight w:val="0"/>
      <w:marTop w:val="0"/>
      <w:marBottom w:val="0"/>
      <w:divBdr>
        <w:top w:val="none" w:sz="0" w:space="0" w:color="auto"/>
        <w:left w:val="none" w:sz="0" w:space="0" w:color="auto"/>
        <w:bottom w:val="none" w:sz="0" w:space="0" w:color="auto"/>
        <w:right w:val="none" w:sz="0" w:space="0" w:color="auto"/>
      </w:divBdr>
    </w:div>
    <w:div w:id="289172605">
      <w:bodyDiv w:val="1"/>
      <w:marLeft w:val="0"/>
      <w:marRight w:val="0"/>
      <w:marTop w:val="0"/>
      <w:marBottom w:val="0"/>
      <w:divBdr>
        <w:top w:val="none" w:sz="0" w:space="0" w:color="auto"/>
        <w:left w:val="none" w:sz="0" w:space="0" w:color="auto"/>
        <w:bottom w:val="none" w:sz="0" w:space="0" w:color="auto"/>
        <w:right w:val="none" w:sz="0" w:space="0" w:color="auto"/>
      </w:divBdr>
    </w:div>
    <w:div w:id="539635281">
      <w:bodyDiv w:val="1"/>
      <w:marLeft w:val="0"/>
      <w:marRight w:val="0"/>
      <w:marTop w:val="0"/>
      <w:marBottom w:val="0"/>
      <w:divBdr>
        <w:top w:val="none" w:sz="0" w:space="0" w:color="auto"/>
        <w:left w:val="none" w:sz="0" w:space="0" w:color="auto"/>
        <w:bottom w:val="none" w:sz="0" w:space="0" w:color="auto"/>
        <w:right w:val="none" w:sz="0" w:space="0" w:color="auto"/>
      </w:divBdr>
    </w:div>
    <w:div w:id="644774581">
      <w:bodyDiv w:val="1"/>
      <w:marLeft w:val="0"/>
      <w:marRight w:val="0"/>
      <w:marTop w:val="0"/>
      <w:marBottom w:val="0"/>
      <w:divBdr>
        <w:top w:val="none" w:sz="0" w:space="0" w:color="auto"/>
        <w:left w:val="none" w:sz="0" w:space="0" w:color="auto"/>
        <w:bottom w:val="none" w:sz="0" w:space="0" w:color="auto"/>
        <w:right w:val="none" w:sz="0" w:space="0" w:color="auto"/>
      </w:divBdr>
    </w:div>
    <w:div w:id="841897242">
      <w:bodyDiv w:val="1"/>
      <w:marLeft w:val="0"/>
      <w:marRight w:val="0"/>
      <w:marTop w:val="0"/>
      <w:marBottom w:val="0"/>
      <w:divBdr>
        <w:top w:val="none" w:sz="0" w:space="0" w:color="auto"/>
        <w:left w:val="none" w:sz="0" w:space="0" w:color="auto"/>
        <w:bottom w:val="none" w:sz="0" w:space="0" w:color="auto"/>
        <w:right w:val="none" w:sz="0" w:space="0" w:color="auto"/>
      </w:divBdr>
    </w:div>
    <w:div w:id="894581770">
      <w:bodyDiv w:val="1"/>
      <w:marLeft w:val="0"/>
      <w:marRight w:val="0"/>
      <w:marTop w:val="0"/>
      <w:marBottom w:val="0"/>
      <w:divBdr>
        <w:top w:val="none" w:sz="0" w:space="0" w:color="auto"/>
        <w:left w:val="none" w:sz="0" w:space="0" w:color="auto"/>
        <w:bottom w:val="none" w:sz="0" w:space="0" w:color="auto"/>
        <w:right w:val="none" w:sz="0" w:space="0" w:color="auto"/>
      </w:divBdr>
    </w:div>
    <w:div w:id="1182352335">
      <w:bodyDiv w:val="1"/>
      <w:marLeft w:val="0"/>
      <w:marRight w:val="0"/>
      <w:marTop w:val="0"/>
      <w:marBottom w:val="0"/>
      <w:divBdr>
        <w:top w:val="none" w:sz="0" w:space="0" w:color="auto"/>
        <w:left w:val="none" w:sz="0" w:space="0" w:color="auto"/>
        <w:bottom w:val="none" w:sz="0" w:space="0" w:color="auto"/>
        <w:right w:val="none" w:sz="0" w:space="0" w:color="auto"/>
      </w:divBdr>
    </w:div>
    <w:div w:id="1220287230">
      <w:bodyDiv w:val="1"/>
      <w:marLeft w:val="0"/>
      <w:marRight w:val="0"/>
      <w:marTop w:val="0"/>
      <w:marBottom w:val="0"/>
      <w:divBdr>
        <w:top w:val="none" w:sz="0" w:space="0" w:color="auto"/>
        <w:left w:val="none" w:sz="0" w:space="0" w:color="auto"/>
        <w:bottom w:val="none" w:sz="0" w:space="0" w:color="auto"/>
        <w:right w:val="none" w:sz="0" w:space="0" w:color="auto"/>
      </w:divBdr>
    </w:div>
    <w:div w:id="1313174139">
      <w:bodyDiv w:val="1"/>
      <w:marLeft w:val="0"/>
      <w:marRight w:val="0"/>
      <w:marTop w:val="0"/>
      <w:marBottom w:val="0"/>
      <w:divBdr>
        <w:top w:val="none" w:sz="0" w:space="0" w:color="auto"/>
        <w:left w:val="none" w:sz="0" w:space="0" w:color="auto"/>
        <w:bottom w:val="none" w:sz="0" w:space="0" w:color="auto"/>
        <w:right w:val="none" w:sz="0" w:space="0" w:color="auto"/>
      </w:divBdr>
    </w:div>
    <w:div w:id="1388914895">
      <w:bodyDiv w:val="1"/>
      <w:marLeft w:val="0"/>
      <w:marRight w:val="0"/>
      <w:marTop w:val="0"/>
      <w:marBottom w:val="0"/>
      <w:divBdr>
        <w:top w:val="none" w:sz="0" w:space="0" w:color="auto"/>
        <w:left w:val="none" w:sz="0" w:space="0" w:color="auto"/>
        <w:bottom w:val="none" w:sz="0" w:space="0" w:color="auto"/>
        <w:right w:val="none" w:sz="0" w:space="0" w:color="auto"/>
      </w:divBdr>
      <w:divsChild>
        <w:div w:id="466162781">
          <w:marLeft w:val="0"/>
          <w:marRight w:val="0"/>
          <w:marTop w:val="0"/>
          <w:marBottom w:val="0"/>
          <w:divBdr>
            <w:top w:val="none" w:sz="0" w:space="0" w:color="auto"/>
            <w:left w:val="none" w:sz="0" w:space="0" w:color="auto"/>
            <w:bottom w:val="none" w:sz="0" w:space="0" w:color="auto"/>
            <w:right w:val="none" w:sz="0" w:space="0" w:color="auto"/>
          </w:divBdr>
          <w:divsChild>
            <w:div w:id="2083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758742">
      <w:bodyDiv w:val="1"/>
      <w:marLeft w:val="0"/>
      <w:marRight w:val="0"/>
      <w:marTop w:val="0"/>
      <w:marBottom w:val="0"/>
      <w:divBdr>
        <w:top w:val="none" w:sz="0" w:space="0" w:color="auto"/>
        <w:left w:val="none" w:sz="0" w:space="0" w:color="auto"/>
        <w:bottom w:val="none" w:sz="0" w:space="0" w:color="auto"/>
        <w:right w:val="none" w:sz="0" w:space="0" w:color="auto"/>
      </w:divBdr>
    </w:div>
    <w:div w:id="1647276148">
      <w:bodyDiv w:val="1"/>
      <w:marLeft w:val="0"/>
      <w:marRight w:val="0"/>
      <w:marTop w:val="0"/>
      <w:marBottom w:val="0"/>
      <w:divBdr>
        <w:top w:val="none" w:sz="0" w:space="0" w:color="auto"/>
        <w:left w:val="none" w:sz="0" w:space="0" w:color="auto"/>
        <w:bottom w:val="none" w:sz="0" w:space="0" w:color="auto"/>
        <w:right w:val="none" w:sz="0" w:space="0" w:color="auto"/>
      </w:divBdr>
    </w:div>
    <w:div w:id="1683895800">
      <w:bodyDiv w:val="1"/>
      <w:marLeft w:val="0"/>
      <w:marRight w:val="0"/>
      <w:marTop w:val="0"/>
      <w:marBottom w:val="0"/>
      <w:divBdr>
        <w:top w:val="none" w:sz="0" w:space="0" w:color="auto"/>
        <w:left w:val="none" w:sz="0" w:space="0" w:color="auto"/>
        <w:bottom w:val="none" w:sz="0" w:space="0" w:color="auto"/>
        <w:right w:val="none" w:sz="0" w:space="0" w:color="auto"/>
      </w:divBdr>
    </w:div>
    <w:div w:id="1758861218">
      <w:bodyDiv w:val="1"/>
      <w:marLeft w:val="0"/>
      <w:marRight w:val="0"/>
      <w:marTop w:val="0"/>
      <w:marBottom w:val="0"/>
      <w:divBdr>
        <w:top w:val="none" w:sz="0" w:space="0" w:color="auto"/>
        <w:left w:val="none" w:sz="0" w:space="0" w:color="auto"/>
        <w:bottom w:val="none" w:sz="0" w:space="0" w:color="auto"/>
        <w:right w:val="none" w:sz="0" w:space="0" w:color="auto"/>
      </w:divBdr>
      <w:divsChild>
        <w:div w:id="1897743197">
          <w:marLeft w:val="0"/>
          <w:marRight w:val="0"/>
          <w:marTop w:val="0"/>
          <w:marBottom w:val="0"/>
          <w:divBdr>
            <w:top w:val="none" w:sz="0" w:space="0" w:color="auto"/>
            <w:left w:val="none" w:sz="0" w:space="0" w:color="auto"/>
            <w:bottom w:val="none" w:sz="0" w:space="0" w:color="auto"/>
            <w:right w:val="none" w:sz="0" w:space="0" w:color="auto"/>
          </w:divBdr>
          <w:divsChild>
            <w:div w:id="128838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42948">
      <w:bodyDiv w:val="1"/>
      <w:marLeft w:val="0"/>
      <w:marRight w:val="0"/>
      <w:marTop w:val="0"/>
      <w:marBottom w:val="0"/>
      <w:divBdr>
        <w:top w:val="none" w:sz="0" w:space="0" w:color="auto"/>
        <w:left w:val="none" w:sz="0" w:space="0" w:color="auto"/>
        <w:bottom w:val="none" w:sz="0" w:space="0" w:color="auto"/>
        <w:right w:val="none" w:sz="0" w:space="0" w:color="auto"/>
      </w:divBdr>
    </w:div>
    <w:div w:id="1911386676">
      <w:bodyDiv w:val="1"/>
      <w:marLeft w:val="0"/>
      <w:marRight w:val="0"/>
      <w:marTop w:val="0"/>
      <w:marBottom w:val="0"/>
      <w:divBdr>
        <w:top w:val="none" w:sz="0" w:space="0" w:color="auto"/>
        <w:left w:val="none" w:sz="0" w:space="0" w:color="auto"/>
        <w:bottom w:val="none" w:sz="0" w:space="0" w:color="auto"/>
        <w:right w:val="none" w:sz="0" w:space="0" w:color="auto"/>
      </w:divBdr>
    </w:div>
    <w:div w:id="1914850399">
      <w:bodyDiv w:val="1"/>
      <w:marLeft w:val="0"/>
      <w:marRight w:val="0"/>
      <w:marTop w:val="0"/>
      <w:marBottom w:val="0"/>
      <w:divBdr>
        <w:top w:val="none" w:sz="0" w:space="0" w:color="auto"/>
        <w:left w:val="none" w:sz="0" w:space="0" w:color="auto"/>
        <w:bottom w:val="none" w:sz="0" w:space="0" w:color="auto"/>
        <w:right w:val="none" w:sz="0" w:space="0" w:color="auto"/>
      </w:divBdr>
    </w:div>
    <w:div w:id="1983004177">
      <w:bodyDiv w:val="1"/>
      <w:marLeft w:val="0"/>
      <w:marRight w:val="0"/>
      <w:marTop w:val="0"/>
      <w:marBottom w:val="0"/>
      <w:divBdr>
        <w:top w:val="none" w:sz="0" w:space="0" w:color="auto"/>
        <w:left w:val="none" w:sz="0" w:space="0" w:color="auto"/>
        <w:bottom w:val="none" w:sz="0" w:space="0" w:color="auto"/>
        <w:right w:val="none" w:sz="0" w:space="0" w:color="auto"/>
      </w:divBdr>
    </w:div>
    <w:div w:id="200959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tsclient\D\Graf%20m&#367;j.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Graf%20v%20aplikaci%20Microsoft%20Word"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file:///\\tsclient\D\Kopie%20-%20Zverejnovane-udaje-ze-Seznamu-nepovolenych-internetovych-her_v38.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100" b="0" i="0" u="none" strike="noStrike" baseline="0">
                <a:solidFill>
                  <a:schemeClr val="tx1"/>
                </a:solidFill>
                <a:effectLst/>
              </a:rPr>
              <a:t>Procentuální nárůst přijatých vkladů do internetových her,</a:t>
            </a:r>
            <a:br>
              <a:rPr lang="cs-CZ" sz="1100" b="0" i="0" u="none" strike="noStrike" baseline="0">
                <a:solidFill>
                  <a:schemeClr val="tx1"/>
                </a:solidFill>
                <a:effectLst/>
              </a:rPr>
            </a:br>
            <a:r>
              <a:rPr lang="cs-CZ" sz="1100" b="0" i="0" u="none" strike="noStrike" baseline="0">
                <a:solidFill>
                  <a:schemeClr val="tx1"/>
                </a:solidFill>
                <a:effectLst/>
              </a:rPr>
              <a:t>vkladů do hazardních her celkem a inkasa daně z hazardních her</a:t>
            </a:r>
            <a:br>
              <a:rPr lang="cs-CZ" sz="1100" b="0" i="0" u="none" strike="noStrike" baseline="0">
                <a:solidFill>
                  <a:schemeClr val="tx1"/>
                </a:solidFill>
                <a:effectLst/>
              </a:rPr>
            </a:br>
            <a:r>
              <a:rPr lang="cs-CZ" sz="1100" b="0" i="0" u="none" strike="noStrike" baseline="0">
                <a:solidFill>
                  <a:schemeClr val="tx1"/>
                </a:solidFill>
                <a:effectLst/>
              </a:rPr>
              <a:t>v období 2017–2021</a:t>
            </a:r>
            <a:endParaRPr lang="cs-CZ" sz="1100">
              <a:solidFill>
                <a:schemeClr val="tx1"/>
              </a:solidFill>
            </a:endParaRPr>
          </a:p>
        </c:rich>
      </c:tx>
      <c:layout>
        <c:manualLayout>
          <c:xMode val="edge"/>
          <c:yMode val="edge"/>
          <c:x val="0.20485433885981644"/>
          <c:y val="0.10457515206843626"/>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7.7569488596534134E-2"/>
          <c:y val="0.23903678180695723"/>
          <c:w val="0.88225265320095858"/>
          <c:h val="0.46354767194605778"/>
        </c:manualLayout>
      </c:layout>
      <c:lineChart>
        <c:grouping val="standard"/>
        <c:varyColors val="0"/>
        <c:ser>
          <c:idx val="0"/>
          <c:order val="0"/>
          <c:tx>
            <c:strRef>
              <c:f>List1!$A$6</c:f>
              <c:strCache>
                <c:ptCount val="1"/>
                <c:pt idx="0">
                  <c:v>Přijaté vklady do internetových her</c:v>
                </c:pt>
              </c:strCache>
            </c:strRef>
          </c:tx>
          <c:spPr>
            <a:ln w="28575" cap="rnd">
              <a:solidFill>
                <a:schemeClr val="bg2">
                  <a:lumMod val="50000"/>
                </a:schemeClr>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0-7FF1-49CC-ABB3-E3C8C4676AB5}"/>
                </c:ext>
              </c:extLst>
            </c:dLbl>
            <c:dLbl>
              <c:idx val="1"/>
              <c:layout>
                <c:manualLayout>
                  <c:x val="-3.5795730111862788E-2"/>
                  <c:y val="-4.15712442724320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FF1-49CC-ABB3-E3C8C4676AB5}"/>
                </c:ext>
              </c:extLst>
            </c:dLbl>
            <c:dLbl>
              <c:idx val="2"/>
              <c:layout>
                <c:manualLayout>
                  <c:x val="-4.02190409600326E-2"/>
                  <c:y val="-3.59942613105565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FF1-49CC-ABB3-E3C8C4676AB5}"/>
                </c:ext>
              </c:extLst>
            </c:dLbl>
            <c:dLbl>
              <c:idx val="3"/>
              <c:layout>
                <c:manualLayout>
                  <c:x val="-5.2846200262786538E-2"/>
                  <c:y val="-4.40315405489568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FF1-49CC-ABB3-E3C8C4676AB5}"/>
                </c:ext>
              </c:extLst>
            </c:dLbl>
            <c:dLbl>
              <c:idx val="4"/>
              <c:layout>
                <c:manualLayout>
                  <c:x val="-4.7606820886519623E-2"/>
                  <c:y val="-2.2015821488091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FF1-49CC-ABB3-E3C8C4676AB5}"/>
                </c:ext>
              </c:extLst>
            </c:dLbl>
            <c:numFmt formatCode="0_i%"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List1!$B$5:$F$5</c:f>
              <c:numCache>
                <c:formatCode>General</c:formatCode>
                <c:ptCount val="5"/>
                <c:pt idx="0">
                  <c:v>2017</c:v>
                </c:pt>
                <c:pt idx="1">
                  <c:v>2018</c:v>
                </c:pt>
                <c:pt idx="2">
                  <c:v>2019</c:v>
                </c:pt>
                <c:pt idx="3">
                  <c:v>2020</c:v>
                </c:pt>
                <c:pt idx="4">
                  <c:v>2021</c:v>
                </c:pt>
              </c:numCache>
            </c:numRef>
          </c:cat>
          <c:val>
            <c:numRef>
              <c:f>List1!$B$6:$F$6</c:f>
              <c:numCache>
                <c:formatCode>0%</c:formatCode>
                <c:ptCount val="5"/>
                <c:pt idx="0">
                  <c:v>0</c:v>
                </c:pt>
                <c:pt idx="1">
                  <c:v>0.23</c:v>
                </c:pt>
                <c:pt idx="2">
                  <c:v>0.72</c:v>
                </c:pt>
                <c:pt idx="3">
                  <c:v>1.57</c:v>
                </c:pt>
                <c:pt idx="4">
                  <c:v>2.99</c:v>
                </c:pt>
              </c:numCache>
            </c:numRef>
          </c:val>
          <c:smooth val="0"/>
          <c:extLst>
            <c:ext xmlns:c16="http://schemas.microsoft.com/office/drawing/2014/chart" uri="{C3380CC4-5D6E-409C-BE32-E72D297353CC}">
              <c16:uniqueId val="{00000005-7FF1-49CC-ABB3-E3C8C4676AB5}"/>
            </c:ext>
          </c:extLst>
        </c:ser>
        <c:ser>
          <c:idx val="1"/>
          <c:order val="1"/>
          <c:tx>
            <c:strRef>
              <c:f>List1!$A$7</c:f>
              <c:strCache>
                <c:ptCount val="1"/>
                <c:pt idx="0">
                  <c:v>Přijaté vklady do hazardních her celkem</c:v>
                </c:pt>
              </c:strCache>
            </c:strRef>
          </c:tx>
          <c:spPr>
            <a:ln w="28575" cap="rnd">
              <a:solidFill>
                <a:srgbClr val="0070C0"/>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6-7FF1-49CC-ABB3-E3C8C4676AB5}"/>
                </c:ext>
              </c:extLst>
            </c:dLbl>
            <c:dLbl>
              <c:idx val="1"/>
              <c:layout>
                <c:manualLayout>
                  <c:x val="-2.3419735576531157E-2"/>
                  <c:y val="1.37598884300573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FF1-49CC-ABB3-E3C8C4676AB5}"/>
                </c:ext>
              </c:extLst>
            </c:dLbl>
            <c:dLbl>
              <c:idx val="2"/>
              <c:layout>
                <c:manualLayout>
                  <c:x val="-3.1372544175923396E-2"/>
                  <c:y val="1.92638438020803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FF1-49CC-ABB3-E3C8C4676AB5}"/>
                </c:ext>
              </c:extLst>
            </c:dLbl>
            <c:dLbl>
              <c:idx val="3"/>
              <c:layout>
                <c:manualLayout>
                  <c:x val="-3.3835193358764552E-2"/>
                  <c:y val="-2.75196850393700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FF1-49CC-ABB3-E3C8C4676AB5}"/>
                </c:ext>
              </c:extLst>
            </c:dLbl>
            <c:dLbl>
              <c:idx val="4"/>
              <c:layout>
                <c:manualLayout>
                  <c:x val="-4.7606820886519623E-2"/>
                  <c:y val="-1.92638438020804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FF1-49CC-ABB3-E3C8C4676AB5}"/>
                </c:ext>
              </c:extLst>
            </c:dLbl>
            <c:numFmt formatCode="0_i%"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70C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List1!$B$5:$F$5</c:f>
              <c:numCache>
                <c:formatCode>General</c:formatCode>
                <c:ptCount val="5"/>
                <c:pt idx="0">
                  <c:v>2017</c:v>
                </c:pt>
                <c:pt idx="1">
                  <c:v>2018</c:v>
                </c:pt>
                <c:pt idx="2">
                  <c:v>2019</c:v>
                </c:pt>
                <c:pt idx="3">
                  <c:v>2020</c:v>
                </c:pt>
                <c:pt idx="4">
                  <c:v>2021</c:v>
                </c:pt>
              </c:numCache>
            </c:numRef>
          </c:cat>
          <c:val>
            <c:numRef>
              <c:f>List1!$B$7:$F$7</c:f>
              <c:numCache>
                <c:formatCode>0%</c:formatCode>
                <c:ptCount val="5"/>
                <c:pt idx="0">
                  <c:v>0</c:v>
                </c:pt>
                <c:pt idx="1">
                  <c:v>0.04</c:v>
                </c:pt>
                <c:pt idx="2">
                  <c:v>0.63</c:v>
                </c:pt>
                <c:pt idx="3">
                  <c:v>0.64</c:v>
                </c:pt>
                <c:pt idx="4">
                  <c:v>1.19</c:v>
                </c:pt>
              </c:numCache>
            </c:numRef>
          </c:val>
          <c:smooth val="0"/>
          <c:extLst>
            <c:ext xmlns:c16="http://schemas.microsoft.com/office/drawing/2014/chart" uri="{C3380CC4-5D6E-409C-BE32-E72D297353CC}">
              <c16:uniqueId val="{0000000B-7FF1-49CC-ABB3-E3C8C4676AB5}"/>
            </c:ext>
          </c:extLst>
        </c:ser>
        <c:ser>
          <c:idx val="2"/>
          <c:order val="2"/>
          <c:tx>
            <c:strRef>
              <c:f>List1!$A$8</c:f>
              <c:strCache>
                <c:ptCount val="1"/>
                <c:pt idx="0">
                  <c:v>Inkaso daně z hazardních her</c:v>
                </c:pt>
              </c:strCache>
            </c:strRef>
          </c:tx>
          <c:spPr>
            <a:ln w="28575" cap="rnd">
              <a:solidFill>
                <a:srgbClr val="C00000"/>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C-7FF1-49CC-ABB3-E3C8C4676AB5}"/>
                </c:ext>
              </c:extLst>
            </c:dLbl>
            <c:dLbl>
              <c:idx val="1"/>
              <c:layout>
                <c:manualLayout>
                  <c:x val="-2.1349342201790033E-2"/>
                  <c:y val="-1.37598884300574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FF1-49CC-ABB3-E3C8C4676AB5}"/>
                </c:ext>
              </c:extLst>
            </c:dLbl>
            <c:dLbl>
              <c:idx val="2"/>
              <c:layout>
                <c:manualLayout>
                  <c:x val="-3.1372491482043005E-2"/>
                  <c:y val="-2.20158214880918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FF1-49CC-ABB3-E3C8C4676AB5}"/>
                </c:ext>
              </c:extLst>
            </c:dLbl>
            <c:dLbl>
              <c:idx val="3"/>
              <c:layout>
                <c:manualLayout>
                  <c:x val="-2.9411812653853203E-2"/>
                  <c:y val="-2.20158214880919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FF1-49CC-ABB3-E3C8C4676AB5}"/>
                </c:ext>
              </c:extLst>
            </c:dLbl>
            <c:dLbl>
              <c:idx val="4"/>
              <c:layout>
                <c:manualLayout>
                  <c:x val="-3.7693386152817851E-2"/>
                  <c:y val="-1.92638438020803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FF1-49CC-ABB3-E3C8C4676AB5}"/>
                </c:ext>
              </c:extLst>
            </c:dLbl>
            <c:numFmt formatCode="0_i%"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C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List1!$B$5:$F$5</c:f>
              <c:numCache>
                <c:formatCode>General</c:formatCode>
                <c:ptCount val="5"/>
                <c:pt idx="0">
                  <c:v>2017</c:v>
                </c:pt>
                <c:pt idx="1">
                  <c:v>2018</c:v>
                </c:pt>
                <c:pt idx="2">
                  <c:v>2019</c:v>
                </c:pt>
                <c:pt idx="3">
                  <c:v>2020</c:v>
                </c:pt>
                <c:pt idx="4">
                  <c:v>2021</c:v>
                </c:pt>
              </c:numCache>
            </c:numRef>
          </c:cat>
          <c:val>
            <c:numRef>
              <c:f>List1!$B$8:$F$8</c:f>
              <c:numCache>
                <c:formatCode>0%</c:formatCode>
                <c:ptCount val="5"/>
                <c:pt idx="0">
                  <c:v>0</c:v>
                </c:pt>
                <c:pt idx="1">
                  <c:v>0.09</c:v>
                </c:pt>
                <c:pt idx="2">
                  <c:v>0.13</c:v>
                </c:pt>
                <c:pt idx="3">
                  <c:v>0.19</c:v>
                </c:pt>
                <c:pt idx="4">
                  <c:v>0.24</c:v>
                </c:pt>
              </c:numCache>
            </c:numRef>
          </c:val>
          <c:smooth val="0"/>
          <c:extLst>
            <c:ext xmlns:c16="http://schemas.microsoft.com/office/drawing/2014/chart" uri="{C3380CC4-5D6E-409C-BE32-E72D297353CC}">
              <c16:uniqueId val="{00000011-7FF1-49CC-ABB3-E3C8C4676AB5}"/>
            </c:ext>
          </c:extLst>
        </c:ser>
        <c:dLbls>
          <c:showLegendKey val="0"/>
          <c:showVal val="0"/>
          <c:showCatName val="0"/>
          <c:showSerName val="0"/>
          <c:showPercent val="0"/>
          <c:showBubbleSize val="0"/>
        </c:dLbls>
        <c:smooth val="0"/>
        <c:axId val="2098151679"/>
        <c:axId val="1942314847"/>
      </c:lineChart>
      <c:catAx>
        <c:axId val="20981516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crossAx val="1942314847"/>
        <c:crosses val="autoZero"/>
        <c:auto val="1"/>
        <c:lblAlgn val="ctr"/>
        <c:lblOffset val="100"/>
        <c:noMultiLvlLbl val="0"/>
      </c:catAx>
      <c:valAx>
        <c:axId val="1942314847"/>
        <c:scaling>
          <c:orientation val="minMax"/>
          <c:max val="3"/>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2098151679"/>
        <c:crosses val="autoZero"/>
        <c:crossBetween val="between"/>
      </c:valAx>
      <c:spPr>
        <a:noFill/>
        <a:ln>
          <a:noFill/>
        </a:ln>
        <a:effectLst/>
      </c:spPr>
    </c:plotArea>
    <c:legend>
      <c:legendPos val="b"/>
      <c:layout>
        <c:manualLayout>
          <c:xMode val="edge"/>
          <c:yMode val="edge"/>
          <c:x val="0.29430641821946169"/>
          <c:y val="0.79669732340916721"/>
          <c:w val="0.44884905691136434"/>
          <c:h val="0.1537670782426260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'[Graf v aplikaci Microsoft Word]DAP DHH - vsazenoXvyplaceno'!$I$48</c:f>
          <c:strCache>
            <c:ptCount val="1"/>
          </c:strCache>
        </c:strRef>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0.10871106389479093"/>
          <c:y val="6.3251096957228567E-2"/>
          <c:w val="0.74743903539835299"/>
          <c:h val="0.78890582129012343"/>
        </c:manualLayout>
      </c:layout>
      <c:bubbleChart>
        <c:varyColors val="0"/>
        <c:ser>
          <c:idx val="0"/>
          <c:order val="0"/>
          <c:tx>
            <c:strRef>
              <c:f>'[Graf v aplikaci Microsoft Word]DAP DHH - vsazenoXvyplaceno'!$I$51</c:f>
              <c:strCache>
                <c:ptCount val="1"/>
                <c:pt idx="0">
                  <c:v>Technická hra</c:v>
                </c:pt>
              </c:strCache>
            </c:strRef>
          </c:tx>
          <c:spPr>
            <a:solidFill>
              <a:srgbClr val="BD2A33"/>
            </a:solidFill>
            <a:ln>
              <a:solidFill>
                <a:srgbClr val="BD2A33"/>
              </a:solidFill>
            </a:ln>
            <a:effectLst/>
          </c:spPr>
          <c:invertIfNegative val="0"/>
          <c:dLbls>
            <c:dLbl>
              <c:idx val="0"/>
              <c:tx>
                <c:rich>
                  <a:bodyPr/>
                  <a:lstStyle/>
                  <a:p>
                    <a:fld id="{87FAAAC3-E962-4A67-8C16-7FEA014DE4AC}" type="CELLRANGE">
                      <a:rPr lang="en-US"/>
                      <a:pPr/>
                      <a:t>[OBLAST BUNĚK]</a:t>
                    </a:fld>
                    <a:endParaRPr lang="cs-CZ"/>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6AA1-459E-9C43-81BA2188968A}"/>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cs-CZ"/>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xVal>
            <c:numRef>
              <c:f>'[Graf v aplikaci Microsoft Word]DAP DHH - vsazenoXvyplaceno'!$L$51</c:f>
              <c:numCache>
                <c:formatCode>0.00</c:formatCode>
                <c:ptCount val="1"/>
                <c:pt idx="0">
                  <c:v>0.66515597678300198</c:v>
                </c:pt>
              </c:numCache>
            </c:numRef>
          </c:xVal>
          <c:yVal>
            <c:numRef>
              <c:f>'[Graf v aplikaci Microsoft Word]DAP DHH - vsazenoXvyplaceno'!$M$51</c:f>
              <c:numCache>
                <c:formatCode>0.00</c:formatCode>
                <c:ptCount val="1"/>
                <c:pt idx="0">
                  <c:v>0.58772555695615791</c:v>
                </c:pt>
              </c:numCache>
            </c:numRef>
          </c:yVal>
          <c:bubbleSize>
            <c:numRef>
              <c:f>'[Graf v aplikaci Microsoft Word]DAP DHH - vsazenoXvyplaceno'!$K$51</c:f>
              <c:numCache>
                <c:formatCode>0</c:formatCode>
                <c:ptCount val="1"/>
                <c:pt idx="0">
                  <c:v>32.116137774999999</c:v>
                </c:pt>
              </c:numCache>
            </c:numRef>
          </c:bubbleSize>
          <c:bubble3D val="0"/>
          <c:extLst>
            <c:ext xmlns:c15="http://schemas.microsoft.com/office/drawing/2012/chart" uri="{02D57815-91ED-43cb-92C2-25804820EDAC}">
              <c15:datalabelsRange>
                <c15:f>'[Graf v aplikaci Microsoft Word]DAP DHH - vsazenoXvyplaceno'!$J$51</c15:f>
                <c15:dlblRangeCache>
                  <c:ptCount val="1"/>
                  <c:pt idx="0">
                    <c:v>1200</c:v>
                  </c:pt>
                </c15:dlblRangeCache>
              </c15:datalabelsRange>
            </c:ext>
            <c:ext xmlns:c16="http://schemas.microsoft.com/office/drawing/2014/chart" uri="{C3380CC4-5D6E-409C-BE32-E72D297353CC}">
              <c16:uniqueId val="{00000001-6AA1-459E-9C43-81BA2188968A}"/>
            </c:ext>
          </c:extLst>
        </c:ser>
        <c:ser>
          <c:idx val="1"/>
          <c:order val="1"/>
          <c:tx>
            <c:strRef>
              <c:f>'[Graf v aplikaci Microsoft Word]DAP DHH - vsazenoXvyplaceno'!$I$53</c:f>
              <c:strCache>
                <c:ptCount val="1"/>
                <c:pt idx="0">
                  <c:v>Živá hra</c:v>
                </c:pt>
              </c:strCache>
            </c:strRef>
          </c:tx>
          <c:spPr>
            <a:solidFill>
              <a:schemeClr val="bg1">
                <a:lumMod val="50000"/>
              </a:schemeClr>
            </a:solidFill>
            <a:ln w="25400">
              <a:noFill/>
            </a:ln>
            <a:effectLst/>
          </c:spPr>
          <c:invertIfNegative val="0"/>
          <c:dLbls>
            <c:dLbl>
              <c:idx val="0"/>
              <c:tx>
                <c:rich>
                  <a:bodyPr/>
                  <a:lstStyle/>
                  <a:p>
                    <a:fld id="{4A977F64-40EB-40E9-B6B5-F8F11E1C7AD8}" type="CELLRANGE">
                      <a:rPr lang="en-US"/>
                      <a:pPr/>
                      <a:t>[OBLAST BUNĚK]</a:t>
                    </a:fld>
                    <a:endParaRPr lang="cs-CZ"/>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6AA1-459E-9C43-81BA2188968A}"/>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cs-CZ"/>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xVal>
            <c:numRef>
              <c:f>'[Graf v aplikaci Microsoft Word]DAP DHH - vsazenoXvyplaceno'!$L$53</c:f>
              <c:numCache>
                <c:formatCode>0.00</c:formatCode>
                <c:ptCount val="1"/>
                <c:pt idx="0">
                  <c:v>6.0143242665138402E-2</c:v>
                </c:pt>
              </c:numCache>
            </c:numRef>
          </c:xVal>
          <c:yVal>
            <c:numRef>
              <c:f>'[Graf v aplikaci Microsoft Word]DAP DHH - vsazenoXvyplaceno'!$M$53</c:f>
              <c:numCache>
                <c:formatCode>0.00</c:formatCode>
                <c:ptCount val="1"/>
                <c:pt idx="0">
                  <c:v>4.0655569741186684E-2</c:v>
                </c:pt>
              </c:numCache>
            </c:numRef>
          </c:yVal>
          <c:bubbleSize>
            <c:numRef>
              <c:f>'[Graf v aplikaci Microsoft Word]DAP DHH - vsazenoXvyplaceno'!$K$53</c:f>
              <c:numCache>
                <c:formatCode>0</c:formatCode>
                <c:ptCount val="1"/>
                <c:pt idx="0">
                  <c:v>2.221614942</c:v>
                </c:pt>
              </c:numCache>
            </c:numRef>
          </c:bubbleSize>
          <c:bubble3D val="0"/>
          <c:extLst>
            <c:ext xmlns:c15="http://schemas.microsoft.com/office/drawing/2012/chart" uri="{02D57815-91ED-43cb-92C2-25804820EDAC}">
              <c15:datalabelsRange>
                <c15:f>'[Graf v aplikaci Microsoft Word]DAP DHH - vsazenoXvyplaceno'!$J$53</c15:f>
                <c15:dlblRangeCache>
                  <c:ptCount val="1"/>
                  <c:pt idx="0">
                    <c:v>108</c:v>
                  </c:pt>
                </c15:dlblRangeCache>
              </c15:datalabelsRange>
            </c:ext>
            <c:ext xmlns:c16="http://schemas.microsoft.com/office/drawing/2014/chart" uri="{C3380CC4-5D6E-409C-BE32-E72D297353CC}">
              <c16:uniqueId val="{00000003-6AA1-459E-9C43-81BA2188968A}"/>
            </c:ext>
          </c:extLst>
        </c:ser>
        <c:ser>
          <c:idx val="2"/>
          <c:order val="2"/>
          <c:tx>
            <c:strRef>
              <c:f>'[Graf v aplikaci Microsoft Word]DAP DHH - vsazenoXvyplaceno'!$I$52</c:f>
              <c:strCache>
                <c:ptCount val="1"/>
                <c:pt idx="0">
                  <c:v>Kursové sázky</c:v>
                </c:pt>
              </c:strCache>
            </c:strRef>
          </c:tx>
          <c:spPr>
            <a:solidFill>
              <a:schemeClr val="bg1">
                <a:lumMod val="85000"/>
              </a:schemeClr>
            </a:solidFill>
            <a:ln w="25400">
              <a:noFill/>
            </a:ln>
            <a:effectLst/>
          </c:spPr>
          <c:invertIfNegative val="0"/>
          <c:dLbls>
            <c:dLbl>
              <c:idx val="0"/>
              <c:tx>
                <c:rich>
                  <a:bodyPr/>
                  <a:lstStyle/>
                  <a:p>
                    <a:fld id="{798FBBDA-8D16-4B2E-89CA-12AFEE1D006E}" type="CELLRANGE">
                      <a:rPr lang="en-US"/>
                      <a:pPr/>
                      <a:t>[OBLAST BUNĚK]</a:t>
                    </a:fld>
                    <a:endParaRPr lang="cs-CZ"/>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6AA1-459E-9C43-81BA2188968A}"/>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cs-CZ"/>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xVal>
            <c:numRef>
              <c:f>'[Graf v aplikaci Microsoft Word]DAP DHH - vsazenoXvyplaceno'!$L$52</c:f>
              <c:numCache>
                <c:formatCode>0.00</c:formatCode>
                <c:ptCount val="1"/>
                <c:pt idx="0">
                  <c:v>0.2294944813735055</c:v>
                </c:pt>
              </c:numCache>
            </c:numRef>
          </c:xVal>
          <c:yVal>
            <c:numRef>
              <c:f>'[Graf v aplikaci Microsoft Word]DAP DHH - vsazenoXvyplaceno'!$M$52</c:f>
              <c:numCache>
                <c:formatCode>0.00</c:formatCode>
                <c:ptCount val="1"/>
                <c:pt idx="0">
                  <c:v>0.18084832367565759</c:v>
                </c:pt>
              </c:numCache>
            </c:numRef>
          </c:yVal>
          <c:bubbleSize>
            <c:numRef>
              <c:f>'[Graf v aplikaci Microsoft Word]DAP DHH - vsazenoXvyplaceno'!$K$52</c:f>
              <c:numCache>
                <c:formatCode>0</c:formatCode>
                <c:ptCount val="1"/>
                <c:pt idx="0">
                  <c:v>9.8824180960000003</c:v>
                </c:pt>
              </c:numCache>
            </c:numRef>
          </c:bubbleSize>
          <c:bubble3D val="0"/>
          <c:extLst>
            <c:ext xmlns:c15="http://schemas.microsoft.com/office/drawing/2012/chart" uri="{02D57815-91ED-43cb-92C2-25804820EDAC}">
              <c15:datalabelsRange>
                <c15:f>'[Graf v aplikaci Microsoft Word]DAP DHH - vsazenoXvyplaceno'!$J$52</c15:f>
                <c15:dlblRangeCache>
                  <c:ptCount val="1"/>
                  <c:pt idx="0">
                    <c:v>414</c:v>
                  </c:pt>
                </c15:dlblRangeCache>
              </c15:datalabelsRange>
            </c:ext>
            <c:ext xmlns:c16="http://schemas.microsoft.com/office/drawing/2014/chart" uri="{C3380CC4-5D6E-409C-BE32-E72D297353CC}">
              <c16:uniqueId val="{00000005-6AA1-459E-9C43-81BA2188968A}"/>
            </c:ext>
          </c:extLst>
        </c:ser>
        <c:ser>
          <c:idx val="3"/>
          <c:order val="3"/>
          <c:tx>
            <c:strRef>
              <c:f>'[Graf v aplikaci Microsoft Word]DAP DHH - vsazenoXvyplaceno'!$I$54</c:f>
              <c:strCache>
                <c:ptCount val="1"/>
                <c:pt idx="0">
                  <c:v>Loterie</c:v>
                </c:pt>
              </c:strCache>
            </c:strRef>
          </c:tx>
          <c:spPr>
            <a:solidFill>
              <a:srgbClr val="004595"/>
            </a:solidFill>
            <a:ln w="25400">
              <a:solidFill>
                <a:srgbClr val="004595"/>
              </a:solidFill>
            </a:ln>
            <a:effectLst/>
          </c:spPr>
          <c:invertIfNegative val="0"/>
          <c:dLbls>
            <c:dLbl>
              <c:idx val="0"/>
              <c:tx>
                <c:rich>
                  <a:bodyPr/>
                  <a:lstStyle/>
                  <a:p>
                    <a:fld id="{AF2F13B6-87E4-407E-8B99-40AF5D2D0645}" type="CELLRANGE">
                      <a:rPr lang="en-US"/>
                      <a:pPr/>
                      <a:t>[OBLAST BUNĚK]</a:t>
                    </a:fld>
                    <a:endParaRPr lang="cs-CZ"/>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6AA1-459E-9C43-81BA2188968A}"/>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cs-CZ"/>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xVal>
            <c:numRef>
              <c:f>'[Graf v aplikaci Microsoft Word]DAP DHH - vsazenoXvyplaceno'!$L$54</c:f>
              <c:numCache>
                <c:formatCode>0.00</c:formatCode>
                <c:ptCount val="1"/>
                <c:pt idx="0">
                  <c:v>4.5129998791275931E-2</c:v>
                </c:pt>
              </c:numCache>
            </c:numRef>
          </c:xVal>
          <c:yVal>
            <c:numRef>
              <c:f>'[Graf v aplikaci Microsoft Word]DAP DHH - vsazenoXvyplaceno'!$M$54</c:f>
              <c:numCache>
                <c:formatCode>0.00</c:formatCode>
                <c:ptCount val="1"/>
                <c:pt idx="0">
                  <c:v>0.19058698622449019</c:v>
                </c:pt>
              </c:numCache>
            </c:numRef>
          </c:yVal>
          <c:bubbleSize>
            <c:numRef>
              <c:f>'[Graf v aplikaci Microsoft Word]DAP DHH - vsazenoXvyplaceno'!$K$54</c:f>
              <c:numCache>
                <c:formatCode>0</c:formatCode>
                <c:ptCount val="1"/>
                <c:pt idx="0">
                  <c:v>10.414585235000001</c:v>
                </c:pt>
              </c:numCache>
            </c:numRef>
          </c:bubbleSize>
          <c:bubble3D val="0"/>
          <c:extLst>
            <c:ext xmlns:c15="http://schemas.microsoft.com/office/drawing/2012/chart" uri="{02D57815-91ED-43cb-92C2-25804820EDAC}">
              <c15:datalabelsRange>
                <c15:f>'[Graf v aplikaci Microsoft Word]DAP DHH - vsazenoXvyplaceno'!$J$54</c15:f>
                <c15:dlblRangeCache>
                  <c:ptCount val="1"/>
                  <c:pt idx="0">
                    <c:v>81</c:v>
                  </c:pt>
                </c15:dlblRangeCache>
              </c15:datalabelsRange>
            </c:ext>
            <c:ext xmlns:c16="http://schemas.microsoft.com/office/drawing/2014/chart" uri="{C3380CC4-5D6E-409C-BE32-E72D297353CC}">
              <c16:uniqueId val="{00000007-6AA1-459E-9C43-81BA2188968A}"/>
            </c:ext>
          </c:extLst>
        </c:ser>
        <c:dLbls>
          <c:showLegendKey val="0"/>
          <c:showVal val="0"/>
          <c:showCatName val="0"/>
          <c:showSerName val="0"/>
          <c:showPercent val="0"/>
          <c:showBubbleSize val="0"/>
        </c:dLbls>
        <c:bubbleScale val="100"/>
        <c:showNegBubbles val="0"/>
        <c:axId val="440285359"/>
        <c:axId val="1231726479"/>
      </c:bubbleChart>
      <c:valAx>
        <c:axId val="440285359"/>
        <c:scaling>
          <c:orientation val="minMax"/>
          <c:min val="0"/>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31726479"/>
        <c:crosses val="autoZero"/>
        <c:crossBetween val="midCat"/>
      </c:valAx>
      <c:valAx>
        <c:axId val="1231726479"/>
        <c:scaling>
          <c:orientation val="minMax"/>
          <c:max val="0.8"/>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40285359"/>
        <c:crosses val="autoZero"/>
        <c:crossBetween val="midCat"/>
      </c:valAx>
      <c:spPr>
        <a:noFill/>
        <a:ln>
          <a:noFill/>
        </a:ln>
        <a:effectLst/>
      </c:spPr>
    </c:plotArea>
    <c:legend>
      <c:legendPos val="r"/>
      <c:layout>
        <c:manualLayout>
          <c:xMode val="edge"/>
          <c:yMode val="edge"/>
          <c:x val="0.86362225555138938"/>
          <c:y val="6.3154318653800848E-2"/>
          <c:w val="0.12461584663028234"/>
          <c:h val="0.19388708979227287"/>
        </c:manualLayout>
      </c:layout>
      <c:overlay val="0"/>
      <c:spPr>
        <a:noFill/>
        <a:ln>
          <a:solidFill>
            <a:schemeClr val="bg1">
              <a:lumMod val="85000"/>
              <a:alpha val="99000"/>
            </a:schemeClr>
          </a:solid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měsíční!$C$1</c:f>
              <c:strCache>
                <c:ptCount val="1"/>
                <c:pt idx="0">
                  <c:v>Počet internetových stránek zapsaných na seznam nepovolených her v daném měsíci</c:v>
                </c:pt>
              </c:strCache>
            </c:strRef>
          </c:tx>
          <c:spPr>
            <a:solidFill>
              <a:srgbClr val="004595"/>
            </a:solidFill>
            <a:ln>
              <a:solidFill>
                <a:srgbClr val="004595"/>
              </a:solidFill>
            </a:ln>
            <a:effectLst/>
          </c:spPr>
          <c:invertIfNegative val="0"/>
          <c:cat>
            <c:multiLvlStrRef>
              <c:f>měsíční!$A$2:$B$71</c:f>
              <c:multiLvlStrCache>
                <c:ptCount val="70"/>
                <c:lvl>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pt idx="12">
                    <c:v>leden</c:v>
                  </c:pt>
                  <c:pt idx="13">
                    <c:v>únor</c:v>
                  </c:pt>
                  <c:pt idx="14">
                    <c:v>březen</c:v>
                  </c:pt>
                  <c:pt idx="15">
                    <c:v>duben</c:v>
                  </c:pt>
                  <c:pt idx="16">
                    <c:v>květen</c:v>
                  </c:pt>
                  <c:pt idx="17">
                    <c:v>červen</c:v>
                  </c:pt>
                  <c:pt idx="18">
                    <c:v>červenec</c:v>
                  </c:pt>
                  <c:pt idx="19">
                    <c:v>srpen</c:v>
                  </c:pt>
                  <c:pt idx="20">
                    <c:v>září</c:v>
                  </c:pt>
                  <c:pt idx="21">
                    <c:v>říjen</c:v>
                  </c:pt>
                  <c:pt idx="22">
                    <c:v>listopad</c:v>
                  </c:pt>
                  <c:pt idx="23">
                    <c:v>prosinec</c:v>
                  </c:pt>
                  <c:pt idx="24">
                    <c:v>leden</c:v>
                  </c:pt>
                  <c:pt idx="25">
                    <c:v>únor</c:v>
                  </c:pt>
                  <c:pt idx="26">
                    <c:v>březen</c:v>
                  </c:pt>
                  <c:pt idx="27">
                    <c:v>duben</c:v>
                  </c:pt>
                  <c:pt idx="28">
                    <c:v>květen</c:v>
                  </c:pt>
                  <c:pt idx="29">
                    <c:v>červen</c:v>
                  </c:pt>
                  <c:pt idx="30">
                    <c:v>červenec</c:v>
                  </c:pt>
                  <c:pt idx="31">
                    <c:v>srpen</c:v>
                  </c:pt>
                  <c:pt idx="32">
                    <c:v>září</c:v>
                  </c:pt>
                  <c:pt idx="33">
                    <c:v>říjen</c:v>
                  </c:pt>
                  <c:pt idx="34">
                    <c:v>listopad</c:v>
                  </c:pt>
                  <c:pt idx="35">
                    <c:v>prosinec</c:v>
                  </c:pt>
                  <c:pt idx="36">
                    <c:v>leden</c:v>
                  </c:pt>
                  <c:pt idx="37">
                    <c:v>únor</c:v>
                  </c:pt>
                  <c:pt idx="38">
                    <c:v>březen</c:v>
                  </c:pt>
                  <c:pt idx="39">
                    <c:v>duben</c:v>
                  </c:pt>
                  <c:pt idx="40">
                    <c:v>květen</c:v>
                  </c:pt>
                  <c:pt idx="41">
                    <c:v>červen</c:v>
                  </c:pt>
                  <c:pt idx="42">
                    <c:v>červenec</c:v>
                  </c:pt>
                  <c:pt idx="43">
                    <c:v>srpen</c:v>
                  </c:pt>
                  <c:pt idx="44">
                    <c:v>září</c:v>
                  </c:pt>
                  <c:pt idx="45">
                    <c:v>říjen</c:v>
                  </c:pt>
                  <c:pt idx="46">
                    <c:v>listopad</c:v>
                  </c:pt>
                  <c:pt idx="47">
                    <c:v>prosinec</c:v>
                  </c:pt>
                  <c:pt idx="48">
                    <c:v>leden</c:v>
                  </c:pt>
                  <c:pt idx="49">
                    <c:v>únor</c:v>
                  </c:pt>
                  <c:pt idx="50">
                    <c:v>březen</c:v>
                  </c:pt>
                  <c:pt idx="51">
                    <c:v>duben</c:v>
                  </c:pt>
                  <c:pt idx="52">
                    <c:v>květen</c:v>
                  </c:pt>
                  <c:pt idx="53">
                    <c:v>červen</c:v>
                  </c:pt>
                  <c:pt idx="54">
                    <c:v>červenec</c:v>
                  </c:pt>
                  <c:pt idx="55">
                    <c:v>srpen</c:v>
                  </c:pt>
                  <c:pt idx="56">
                    <c:v>září</c:v>
                  </c:pt>
                  <c:pt idx="57">
                    <c:v>říjen</c:v>
                  </c:pt>
                  <c:pt idx="58">
                    <c:v>listopad</c:v>
                  </c:pt>
                  <c:pt idx="59">
                    <c:v>prosinec</c:v>
                  </c:pt>
                  <c:pt idx="60">
                    <c:v>leden</c:v>
                  </c:pt>
                  <c:pt idx="61">
                    <c:v>únor</c:v>
                  </c:pt>
                  <c:pt idx="62">
                    <c:v>březen</c:v>
                  </c:pt>
                  <c:pt idx="63">
                    <c:v>duben</c:v>
                  </c:pt>
                  <c:pt idx="64">
                    <c:v>květen</c:v>
                  </c:pt>
                  <c:pt idx="65">
                    <c:v>červen</c:v>
                  </c:pt>
                  <c:pt idx="66">
                    <c:v>červenec</c:v>
                  </c:pt>
                  <c:pt idx="67">
                    <c:v>srpen</c:v>
                  </c:pt>
                  <c:pt idx="68">
                    <c:v>zaří</c:v>
                  </c:pt>
                  <c:pt idx="69">
                    <c:v>říjen</c:v>
                  </c:pt>
                </c:lvl>
                <c:lvl>
                  <c:pt idx="0">
                    <c:v>2017</c:v>
                  </c:pt>
                  <c:pt idx="12">
                    <c:v>2018</c:v>
                  </c:pt>
                  <c:pt idx="24">
                    <c:v>2019</c:v>
                  </c:pt>
                  <c:pt idx="36">
                    <c:v>2020</c:v>
                  </c:pt>
                  <c:pt idx="48">
                    <c:v>2021</c:v>
                  </c:pt>
                  <c:pt idx="60">
                    <c:v>2022</c:v>
                  </c:pt>
                </c:lvl>
              </c:multiLvlStrCache>
            </c:multiLvlStrRef>
          </c:cat>
          <c:val>
            <c:numRef>
              <c:f>měsíční!$C$2:$C$71</c:f>
              <c:numCache>
                <c:formatCode>General</c:formatCode>
                <c:ptCount val="70"/>
                <c:pt idx="6">
                  <c:v>1</c:v>
                </c:pt>
                <c:pt idx="7">
                  <c:v>1</c:v>
                </c:pt>
                <c:pt idx="8">
                  <c:v>1</c:v>
                </c:pt>
                <c:pt idx="10">
                  <c:v>2</c:v>
                </c:pt>
                <c:pt idx="12">
                  <c:v>2</c:v>
                </c:pt>
                <c:pt idx="13">
                  <c:v>95</c:v>
                </c:pt>
                <c:pt idx="19">
                  <c:v>4</c:v>
                </c:pt>
                <c:pt idx="20">
                  <c:v>10</c:v>
                </c:pt>
                <c:pt idx="22">
                  <c:v>1</c:v>
                </c:pt>
                <c:pt idx="24">
                  <c:v>3</c:v>
                </c:pt>
                <c:pt idx="30">
                  <c:v>1</c:v>
                </c:pt>
                <c:pt idx="45">
                  <c:v>3</c:v>
                </c:pt>
                <c:pt idx="47">
                  <c:v>3</c:v>
                </c:pt>
                <c:pt idx="48">
                  <c:v>5</c:v>
                </c:pt>
                <c:pt idx="49">
                  <c:v>47</c:v>
                </c:pt>
                <c:pt idx="50">
                  <c:v>5</c:v>
                </c:pt>
                <c:pt idx="51">
                  <c:v>34</c:v>
                </c:pt>
                <c:pt idx="52">
                  <c:v>7</c:v>
                </c:pt>
                <c:pt idx="53">
                  <c:v>42</c:v>
                </c:pt>
                <c:pt idx="54">
                  <c:v>13</c:v>
                </c:pt>
                <c:pt idx="55">
                  <c:v>7</c:v>
                </c:pt>
                <c:pt idx="57">
                  <c:v>24</c:v>
                </c:pt>
                <c:pt idx="58">
                  <c:v>4</c:v>
                </c:pt>
                <c:pt idx="59">
                  <c:v>15</c:v>
                </c:pt>
                <c:pt idx="60">
                  <c:v>48</c:v>
                </c:pt>
                <c:pt idx="61">
                  <c:v>14</c:v>
                </c:pt>
                <c:pt idx="62">
                  <c:v>7</c:v>
                </c:pt>
                <c:pt idx="63">
                  <c:v>12</c:v>
                </c:pt>
                <c:pt idx="65">
                  <c:v>7</c:v>
                </c:pt>
                <c:pt idx="66">
                  <c:v>14</c:v>
                </c:pt>
                <c:pt idx="67">
                  <c:v>16</c:v>
                </c:pt>
                <c:pt idx="68">
                  <c:v>30</c:v>
                </c:pt>
                <c:pt idx="69">
                  <c:v>48</c:v>
                </c:pt>
              </c:numCache>
            </c:numRef>
          </c:val>
          <c:extLst>
            <c:ext xmlns:c16="http://schemas.microsoft.com/office/drawing/2014/chart" uri="{C3380CC4-5D6E-409C-BE32-E72D297353CC}">
              <c16:uniqueId val="{00000000-208A-4990-ACAB-45F9E1EC42D7}"/>
            </c:ext>
          </c:extLst>
        </c:ser>
        <c:dLbls>
          <c:showLegendKey val="0"/>
          <c:showVal val="0"/>
          <c:showCatName val="0"/>
          <c:showSerName val="0"/>
          <c:showPercent val="0"/>
          <c:showBubbleSize val="0"/>
        </c:dLbls>
        <c:gapWidth val="219"/>
        <c:overlap val="-27"/>
        <c:axId val="1109056208"/>
        <c:axId val="1117340384"/>
      </c:barChart>
      <c:scatterChart>
        <c:scatterStyle val="lineMarker"/>
        <c:varyColors val="0"/>
        <c:ser>
          <c:idx val="1"/>
          <c:order val="1"/>
          <c:tx>
            <c:strRef>
              <c:f>měsíční!$D$1</c:f>
              <c:strCache>
                <c:ptCount val="1"/>
                <c:pt idx="0">
                  <c:v>Kumulativní počet internetových stránek zapsaných na seznam nepovolených her (vedlejší osa x)</c:v>
                </c:pt>
              </c:strCache>
            </c:strRef>
          </c:tx>
          <c:spPr>
            <a:ln w="25400" cap="rnd">
              <a:solidFill>
                <a:srgbClr val="BD2A33"/>
              </a:solidFill>
              <a:round/>
            </a:ln>
            <a:effectLst/>
          </c:spPr>
          <c:marker>
            <c:symbol val="circle"/>
            <c:size val="5"/>
            <c:spPr>
              <a:solidFill>
                <a:srgbClr val="BD2A33"/>
              </a:solidFill>
              <a:ln w="9525">
                <a:solidFill>
                  <a:srgbClr val="BD2A33"/>
                </a:solidFill>
              </a:ln>
              <a:effectLst/>
            </c:spPr>
          </c:marker>
          <c:xVal>
            <c:multiLvlStrRef>
              <c:f>měsíční!$A$2:$B$71</c:f>
              <c:multiLvlStrCache>
                <c:ptCount val="70"/>
                <c:lvl>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pt idx="12">
                    <c:v>leden</c:v>
                  </c:pt>
                  <c:pt idx="13">
                    <c:v>únor</c:v>
                  </c:pt>
                  <c:pt idx="14">
                    <c:v>březen</c:v>
                  </c:pt>
                  <c:pt idx="15">
                    <c:v>duben</c:v>
                  </c:pt>
                  <c:pt idx="16">
                    <c:v>květen</c:v>
                  </c:pt>
                  <c:pt idx="17">
                    <c:v>červen</c:v>
                  </c:pt>
                  <c:pt idx="18">
                    <c:v>červenec</c:v>
                  </c:pt>
                  <c:pt idx="19">
                    <c:v>srpen</c:v>
                  </c:pt>
                  <c:pt idx="20">
                    <c:v>září</c:v>
                  </c:pt>
                  <c:pt idx="21">
                    <c:v>říjen</c:v>
                  </c:pt>
                  <c:pt idx="22">
                    <c:v>listopad</c:v>
                  </c:pt>
                  <c:pt idx="23">
                    <c:v>prosinec</c:v>
                  </c:pt>
                  <c:pt idx="24">
                    <c:v>leden</c:v>
                  </c:pt>
                  <c:pt idx="25">
                    <c:v>únor</c:v>
                  </c:pt>
                  <c:pt idx="26">
                    <c:v>březen</c:v>
                  </c:pt>
                  <c:pt idx="27">
                    <c:v>duben</c:v>
                  </c:pt>
                  <c:pt idx="28">
                    <c:v>květen</c:v>
                  </c:pt>
                  <c:pt idx="29">
                    <c:v>červen</c:v>
                  </c:pt>
                  <c:pt idx="30">
                    <c:v>červenec</c:v>
                  </c:pt>
                  <c:pt idx="31">
                    <c:v>srpen</c:v>
                  </c:pt>
                  <c:pt idx="32">
                    <c:v>září</c:v>
                  </c:pt>
                  <c:pt idx="33">
                    <c:v>říjen</c:v>
                  </c:pt>
                  <c:pt idx="34">
                    <c:v>listopad</c:v>
                  </c:pt>
                  <c:pt idx="35">
                    <c:v>prosinec</c:v>
                  </c:pt>
                  <c:pt idx="36">
                    <c:v>leden</c:v>
                  </c:pt>
                  <c:pt idx="37">
                    <c:v>únor</c:v>
                  </c:pt>
                  <c:pt idx="38">
                    <c:v>březen</c:v>
                  </c:pt>
                  <c:pt idx="39">
                    <c:v>duben</c:v>
                  </c:pt>
                  <c:pt idx="40">
                    <c:v>květen</c:v>
                  </c:pt>
                  <c:pt idx="41">
                    <c:v>červen</c:v>
                  </c:pt>
                  <c:pt idx="42">
                    <c:v>červenec</c:v>
                  </c:pt>
                  <c:pt idx="43">
                    <c:v>srpen</c:v>
                  </c:pt>
                  <c:pt idx="44">
                    <c:v>září</c:v>
                  </c:pt>
                  <c:pt idx="45">
                    <c:v>říjen</c:v>
                  </c:pt>
                  <c:pt idx="46">
                    <c:v>listopad</c:v>
                  </c:pt>
                  <c:pt idx="47">
                    <c:v>prosinec</c:v>
                  </c:pt>
                  <c:pt idx="48">
                    <c:v>leden</c:v>
                  </c:pt>
                  <c:pt idx="49">
                    <c:v>únor</c:v>
                  </c:pt>
                  <c:pt idx="50">
                    <c:v>březen</c:v>
                  </c:pt>
                  <c:pt idx="51">
                    <c:v>duben</c:v>
                  </c:pt>
                  <c:pt idx="52">
                    <c:v>květen</c:v>
                  </c:pt>
                  <c:pt idx="53">
                    <c:v>červen</c:v>
                  </c:pt>
                  <c:pt idx="54">
                    <c:v>červenec</c:v>
                  </c:pt>
                  <c:pt idx="55">
                    <c:v>srpen</c:v>
                  </c:pt>
                  <c:pt idx="56">
                    <c:v>září</c:v>
                  </c:pt>
                  <c:pt idx="57">
                    <c:v>říjen</c:v>
                  </c:pt>
                  <c:pt idx="58">
                    <c:v>listopad</c:v>
                  </c:pt>
                  <c:pt idx="59">
                    <c:v>prosinec</c:v>
                  </c:pt>
                  <c:pt idx="60">
                    <c:v>leden</c:v>
                  </c:pt>
                  <c:pt idx="61">
                    <c:v>únor</c:v>
                  </c:pt>
                  <c:pt idx="62">
                    <c:v>březen</c:v>
                  </c:pt>
                  <c:pt idx="63">
                    <c:v>duben</c:v>
                  </c:pt>
                  <c:pt idx="64">
                    <c:v>květen</c:v>
                  </c:pt>
                  <c:pt idx="65">
                    <c:v>červen</c:v>
                  </c:pt>
                  <c:pt idx="66">
                    <c:v>červenec</c:v>
                  </c:pt>
                  <c:pt idx="67">
                    <c:v>srpen</c:v>
                  </c:pt>
                  <c:pt idx="68">
                    <c:v>zaří</c:v>
                  </c:pt>
                  <c:pt idx="69">
                    <c:v>říjen</c:v>
                  </c:pt>
                </c:lvl>
                <c:lvl>
                  <c:pt idx="0">
                    <c:v>2017</c:v>
                  </c:pt>
                  <c:pt idx="12">
                    <c:v>2018</c:v>
                  </c:pt>
                  <c:pt idx="24">
                    <c:v>2019</c:v>
                  </c:pt>
                  <c:pt idx="36">
                    <c:v>2020</c:v>
                  </c:pt>
                  <c:pt idx="48">
                    <c:v>2021</c:v>
                  </c:pt>
                  <c:pt idx="60">
                    <c:v>2022</c:v>
                  </c:pt>
                </c:lvl>
              </c:multiLvlStrCache>
            </c:multiLvlStrRef>
          </c:xVal>
          <c:yVal>
            <c:numRef>
              <c:f>měsíční!$D$2:$D$71</c:f>
              <c:numCache>
                <c:formatCode>General</c:formatCode>
                <c:ptCount val="70"/>
                <c:pt idx="0">
                  <c:v>0</c:v>
                </c:pt>
                <c:pt idx="1">
                  <c:v>0</c:v>
                </c:pt>
                <c:pt idx="2">
                  <c:v>0</c:v>
                </c:pt>
                <c:pt idx="3">
                  <c:v>0</c:v>
                </c:pt>
                <c:pt idx="4">
                  <c:v>0</c:v>
                </c:pt>
                <c:pt idx="5">
                  <c:v>0</c:v>
                </c:pt>
                <c:pt idx="6">
                  <c:v>1</c:v>
                </c:pt>
                <c:pt idx="7">
                  <c:v>2</c:v>
                </c:pt>
                <c:pt idx="8">
                  <c:v>3</c:v>
                </c:pt>
                <c:pt idx="9">
                  <c:v>3</c:v>
                </c:pt>
                <c:pt idx="10">
                  <c:v>5</c:v>
                </c:pt>
                <c:pt idx="11">
                  <c:v>5</c:v>
                </c:pt>
                <c:pt idx="12">
                  <c:v>7</c:v>
                </c:pt>
                <c:pt idx="13">
                  <c:v>102</c:v>
                </c:pt>
                <c:pt idx="14">
                  <c:v>102</c:v>
                </c:pt>
                <c:pt idx="15">
                  <c:v>102</c:v>
                </c:pt>
                <c:pt idx="16">
                  <c:v>102</c:v>
                </c:pt>
                <c:pt idx="17">
                  <c:v>102</c:v>
                </c:pt>
                <c:pt idx="18">
                  <c:v>102</c:v>
                </c:pt>
                <c:pt idx="19">
                  <c:v>106</c:v>
                </c:pt>
                <c:pt idx="20">
                  <c:v>116</c:v>
                </c:pt>
                <c:pt idx="21">
                  <c:v>116</c:v>
                </c:pt>
                <c:pt idx="22">
                  <c:v>117</c:v>
                </c:pt>
                <c:pt idx="23">
                  <c:v>117</c:v>
                </c:pt>
                <c:pt idx="24">
                  <c:v>120</c:v>
                </c:pt>
                <c:pt idx="25">
                  <c:v>120</c:v>
                </c:pt>
                <c:pt idx="26">
                  <c:v>120</c:v>
                </c:pt>
                <c:pt idx="27">
                  <c:v>120</c:v>
                </c:pt>
                <c:pt idx="28">
                  <c:v>120</c:v>
                </c:pt>
                <c:pt idx="29">
                  <c:v>120</c:v>
                </c:pt>
                <c:pt idx="30">
                  <c:v>121</c:v>
                </c:pt>
                <c:pt idx="31">
                  <c:v>121</c:v>
                </c:pt>
                <c:pt idx="32">
                  <c:v>121</c:v>
                </c:pt>
                <c:pt idx="33">
                  <c:v>121</c:v>
                </c:pt>
                <c:pt idx="34">
                  <c:v>121</c:v>
                </c:pt>
                <c:pt idx="35">
                  <c:v>121</c:v>
                </c:pt>
                <c:pt idx="36">
                  <c:v>121</c:v>
                </c:pt>
                <c:pt idx="37">
                  <c:v>121</c:v>
                </c:pt>
                <c:pt idx="38">
                  <c:v>121</c:v>
                </c:pt>
                <c:pt idx="39">
                  <c:v>121</c:v>
                </c:pt>
                <c:pt idx="40">
                  <c:v>121</c:v>
                </c:pt>
                <c:pt idx="41">
                  <c:v>121</c:v>
                </c:pt>
                <c:pt idx="42">
                  <c:v>121</c:v>
                </c:pt>
                <c:pt idx="43">
                  <c:v>121</c:v>
                </c:pt>
                <c:pt idx="44">
                  <c:v>121</c:v>
                </c:pt>
                <c:pt idx="45">
                  <c:v>124</c:v>
                </c:pt>
                <c:pt idx="46">
                  <c:v>124</c:v>
                </c:pt>
                <c:pt idx="47">
                  <c:v>127</c:v>
                </c:pt>
                <c:pt idx="48">
                  <c:v>132</c:v>
                </c:pt>
                <c:pt idx="49">
                  <c:v>179</c:v>
                </c:pt>
                <c:pt idx="50">
                  <c:v>184</c:v>
                </c:pt>
                <c:pt idx="51">
                  <c:v>218</c:v>
                </c:pt>
                <c:pt idx="52">
                  <c:v>225</c:v>
                </c:pt>
                <c:pt idx="53">
                  <c:v>267</c:v>
                </c:pt>
                <c:pt idx="54">
                  <c:v>280</c:v>
                </c:pt>
                <c:pt idx="55">
                  <c:v>287</c:v>
                </c:pt>
                <c:pt idx="56">
                  <c:v>287</c:v>
                </c:pt>
                <c:pt idx="57">
                  <c:v>311</c:v>
                </c:pt>
                <c:pt idx="58">
                  <c:v>315</c:v>
                </c:pt>
                <c:pt idx="59">
                  <c:v>330</c:v>
                </c:pt>
                <c:pt idx="60">
                  <c:v>378</c:v>
                </c:pt>
                <c:pt idx="61">
                  <c:v>392</c:v>
                </c:pt>
                <c:pt idx="62">
                  <c:v>399</c:v>
                </c:pt>
                <c:pt idx="63">
                  <c:v>411</c:v>
                </c:pt>
                <c:pt idx="64">
                  <c:v>411</c:v>
                </c:pt>
                <c:pt idx="65">
                  <c:v>418</c:v>
                </c:pt>
                <c:pt idx="66">
                  <c:v>432</c:v>
                </c:pt>
                <c:pt idx="67">
                  <c:v>448</c:v>
                </c:pt>
                <c:pt idx="68">
                  <c:v>478</c:v>
                </c:pt>
                <c:pt idx="69">
                  <c:v>526</c:v>
                </c:pt>
              </c:numCache>
            </c:numRef>
          </c:yVal>
          <c:smooth val="0"/>
          <c:extLst>
            <c:ext xmlns:c16="http://schemas.microsoft.com/office/drawing/2014/chart" uri="{C3380CC4-5D6E-409C-BE32-E72D297353CC}">
              <c16:uniqueId val="{00000001-208A-4990-ACAB-45F9E1EC42D7}"/>
            </c:ext>
          </c:extLst>
        </c:ser>
        <c:dLbls>
          <c:showLegendKey val="0"/>
          <c:showVal val="0"/>
          <c:showCatName val="0"/>
          <c:showSerName val="0"/>
          <c:showPercent val="0"/>
          <c:showBubbleSize val="0"/>
        </c:dLbls>
        <c:axId val="1210476448"/>
        <c:axId val="1142167104"/>
      </c:scatterChart>
      <c:catAx>
        <c:axId val="1109056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cs-CZ"/>
          </a:p>
        </c:txPr>
        <c:crossAx val="1117340384"/>
        <c:crosses val="autoZero"/>
        <c:auto val="1"/>
        <c:lblAlgn val="ctr"/>
        <c:lblOffset val="100"/>
        <c:noMultiLvlLbl val="0"/>
      </c:catAx>
      <c:valAx>
        <c:axId val="1117340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09056208"/>
        <c:crosses val="autoZero"/>
        <c:crossBetween val="between"/>
      </c:valAx>
      <c:valAx>
        <c:axId val="1142167104"/>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10476448"/>
        <c:crosses val="max"/>
        <c:crossBetween val="midCat"/>
      </c:valAx>
      <c:valAx>
        <c:axId val="1210476448"/>
        <c:scaling>
          <c:orientation val="minMax"/>
        </c:scaling>
        <c:delete val="1"/>
        <c:axPos val="b"/>
        <c:numFmt formatCode="General" sourceLinked="1"/>
        <c:majorTickMark val="out"/>
        <c:minorTickMark val="none"/>
        <c:tickLblPos val="nextTo"/>
        <c:crossAx val="1142167104"/>
        <c:crosses val="autoZero"/>
        <c:crossBetween val="midCat"/>
      </c:valAx>
      <c:spPr>
        <a:noFill/>
        <a:ln>
          <a:noFill/>
        </a:ln>
        <a:effectLst/>
      </c:spPr>
    </c:plotArea>
    <c:legend>
      <c:legendPos val="b"/>
      <c:layout>
        <c:manualLayout>
          <c:xMode val="edge"/>
          <c:yMode val="edge"/>
          <c:x val="0.12411543221484142"/>
          <c:y val="0.87503985831664122"/>
          <c:w val="0.74859539313186696"/>
          <c:h val="0.1124226649936868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9">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alpha val="75000"/>
        </a:schemeClr>
      </a:solidFill>
    </cs:spPr>
  </cs:dataPoint>
  <cs:dataPoint3D>
    <cs:lnRef idx="0"/>
    <cs:fillRef idx="1">
      <cs:styleClr val="auto"/>
    </cs:fillRef>
    <cs:effectRef idx="0"/>
    <cs:fontRef idx="minor">
      <a:schemeClr val="tx1"/>
    </cs:fontRef>
    <cs:spPr>
      <a:solidFill>
        <a:schemeClr val="phClr">
          <a:alpha val="75000"/>
        </a:schemeClr>
      </a:solidFill>
    </cs:spPr>
  </cs:dataPoint3D>
  <cs:dataPointLine>
    <cs:lnRef idx="0">
      <cs:styleClr val="auto"/>
    </cs:lnRef>
    <cs:fillRef idx="1"/>
    <cs:effectRef idx="0"/>
    <cs:fontRef idx="minor">
      <a:schemeClr val="tx1"/>
    </cs:fontRef>
    <cs:spPr>
      <a:ln w="19050" cap="rnd">
        <a:solidFill>
          <a:schemeClr val="phClr">
            <a:alpha val="50000"/>
          </a:scheme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0.32864</cdr:x>
      <cdr:y>0.8955</cdr:y>
    </cdr:from>
    <cdr:to>
      <cdr:x>0.69175</cdr:x>
      <cdr:y>0.95106</cdr:y>
    </cdr:to>
    <cdr:sp macro="" textlink="">
      <cdr:nvSpPr>
        <cdr:cNvPr id="2" name="TextovéPole 8">
          <a:extLst xmlns:a="http://schemas.openxmlformats.org/drawingml/2006/main"/>
        </cdr:cNvPr>
        <cdr:cNvSpPr txBox="1"/>
      </cdr:nvSpPr>
      <cdr:spPr>
        <a:xfrm xmlns:a="http://schemas.openxmlformats.org/drawingml/2006/main">
          <a:off x="1893229" y="4085714"/>
          <a:ext cx="2091742" cy="25347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spcAft>
              <a:spcPts val="0"/>
            </a:spcAft>
          </a:pPr>
          <a:r>
            <a:rPr lang="cs-CZ" sz="800">
              <a:solidFill>
                <a:schemeClr val="tx1">
                  <a:lumMod val="65000"/>
                  <a:lumOff val="35000"/>
                </a:schemeClr>
              </a:solidFill>
              <a:effectLst/>
              <a:ea typeface="Times New Roman" panose="02020603050405020304" pitchFamily="18" charset="0"/>
              <a:cs typeface="Times New Roman" panose="02020603050405020304" pitchFamily="18" charset="0"/>
            </a:rPr>
            <a:t>Podíl druhu hry </a:t>
          </a:r>
          <a:r>
            <a:rPr lang="cs-CZ" sz="800" baseline="0">
              <a:solidFill>
                <a:schemeClr val="tx1">
                  <a:lumMod val="65000"/>
                  <a:lumOff val="35000"/>
                </a:schemeClr>
              </a:solidFill>
              <a:effectLst/>
              <a:ea typeface="Times New Roman" panose="02020603050405020304" pitchFamily="18" charset="0"/>
              <a:cs typeface="Times New Roman" panose="02020603050405020304" pitchFamily="18" charset="0"/>
            </a:rPr>
            <a:t>na</a:t>
          </a:r>
          <a:r>
            <a:rPr lang="cs-CZ" sz="800">
              <a:solidFill>
                <a:schemeClr val="tx1">
                  <a:lumMod val="65000"/>
                  <a:lumOff val="35000"/>
                </a:schemeClr>
              </a:solidFill>
              <a:effectLst/>
              <a:ea typeface="Times New Roman" panose="02020603050405020304" pitchFamily="18" charset="0"/>
              <a:cs typeface="Times New Roman" panose="02020603050405020304" pitchFamily="18" charset="0"/>
            </a:rPr>
            <a:t> </a:t>
          </a:r>
          <a:r>
            <a:rPr lang="cs-CZ" sz="800" baseline="0">
              <a:solidFill>
                <a:schemeClr val="tx1">
                  <a:lumMod val="65000"/>
                  <a:lumOff val="35000"/>
                </a:schemeClr>
              </a:solidFill>
              <a:effectLst/>
              <a:ea typeface="Times New Roman" panose="02020603050405020304" pitchFamily="18" charset="0"/>
              <a:cs typeface="Times New Roman" panose="02020603050405020304" pitchFamily="18" charset="0"/>
            </a:rPr>
            <a:t>celkové</a:t>
          </a:r>
          <a:r>
            <a:rPr lang="cs-CZ" sz="800">
              <a:solidFill>
                <a:schemeClr val="tx1">
                  <a:lumMod val="65000"/>
                  <a:lumOff val="35000"/>
                </a:schemeClr>
              </a:solidFill>
              <a:effectLst/>
              <a:ea typeface="Times New Roman" panose="02020603050405020304" pitchFamily="18" charset="0"/>
              <a:cs typeface="Times New Roman" panose="02020603050405020304" pitchFamily="18" charset="0"/>
            </a:rPr>
            <a:t> výši </a:t>
          </a:r>
          <a:r>
            <a:rPr lang="cs-CZ" sz="800" baseline="0">
              <a:solidFill>
                <a:schemeClr val="tx1">
                  <a:lumMod val="65000"/>
                  <a:lumOff val="35000"/>
                </a:schemeClr>
              </a:solidFill>
              <a:effectLst/>
              <a:ea typeface="Times New Roman" panose="02020603050405020304" pitchFamily="18" charset="0"/>
              <a:cs typeface="Times New Roman" panose="02020603050405020304" pitchFamily="18" charset="0"/>
            </a:rPr>
            <a:t>vkladů</a:t>
          </a:r>
          <a:r>
            <a:rPr lang="cs-CZ" sz="800">
              <a:solidFill>
                <a:schemeClr val="tx1">
                  <a:lumMod val="65000"/>
                  <a:lumOff val="35000"/>
                </a:schemeClr>
              </a:solidFill>
              <a:effectLst/>
              <a:ea typeface="Times New Roman" panose="02020603050405020304" pitchFamily="18" charset="0"/>
              <a:cs typeface="Times New Roman" panose="02020603050405020304" pitchFamily="18" charset="0"/>
            </a:rPr>
            <a:t> </a:t>
          </a:r>
          <a:endParaRPr lang="cs-CZ" sz="1200">
            <a:solidFill>
              <a:schemeClr val="tx1">
                <a:lumMod val="65000"/>
                <a:lumOff val="35000"/>
              </a:schemeClr>
            </a:solidFill>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0.09167</cdr:x>
      <cdr:y>0.95222</cdr:y>
    </cdr:from>
    <cdr:to>
      <cdr:x>0.91146</cdr:x>
      <cdr:y>1</cdr:y>
    </cdr:to>
    <cdr:sp macro="" textlink="">
      <cdr:nvSpPr>
        <cdr:cNvPr id="3" name="TextovéPole 12">
          <a:extLst xmlns:a="http://schemas.openxmlformats.org/drawingml/2006/main"/>
        </cdr:cNvPr>
        <cdr:cNvSpPr txBox="1"/>
      </cdr:nvSpPr>
      <cdr:spPr>
        <a:xfrm xmlns:a="http://schemas.openxmlformats.org/drawingml/2006/main">
          <a:off x="528095" y="4344502"/>
          <a:ext cx="4722562" cy="217973"/>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l"/>
          <a:r>
            <a:rPr lang="cs-CZ" sz="800">
              <a:solidFill>
                <a:schemeClr val="tx1">
                  <a:lumMod val="65000"/>
                  <a:lumOff val="35000"/>
                </a:schemeClr>
              </a:solidFill>
            </a:rPr>
            <a:t>V barevných kruzích </a:t>
          </a:r>
          <a:r>
            <a:rPr lang="cs-CZ" sz="800" baseline="0">
              <a:solidFill>
                <a:schemeClr val="tx1">
                  <a:lumMod val="65000"/>
                  <a:lumOff val="35000"/>
                </a:schemeClr>
              </a:solidFill>
            </a:rPr>
            <a:t>je uveden celkový objem vkladů do příslušného druhu hry </a:t>
          </a:r>
          <a:r>
            <a:rPr lang="cs-CZ" sz="800">
              <a:solidFill>
                <a:schemeClr val="tx1">
                  <a:lumMod val="65000"/>
                  <a:lumOff val="35000"/>
                </a:schemeClr>
              </a:solidFill>
            </a:rPr>
            <a:t>v</a:t>
          </a:r>
          <a:r>
            <a:rPr lang="cs-CZ" sz="800" baseline="0">
              <a:solidFill>
                <a:schemeClr val="tx1">
                  <a:lumMod val="65000"/>
                  <a:lumOff val="35000"/>
                </a:schemeClr>
              </a:solidFill>
            </a:rPr>
            <a:t> </a:t>
          </a:r>
          <a:r>
            <a:rPr lang="cs-CZ" sz="800">
              <a:solidFill>
                <a:schemeClr val="tx1">
                  <a:lumMod val="65000"/>
                  <a:lumOff val="35000"/>
                </a:schemeClr>
              </a:solidFill>
            </a:rPr>
            <a:t>letech</a:t>
          </a:r>
          <a:r>
            <a:rPr lang="cs-CZ" sz="800" baseline="0">
              <a:solidFill>
                <a:schemeClr val="tx1">
                  <a:lumMod val="65000"/>
                  <a:lumOff val="35000"/>
                </a:schemeClr>
              </a:solidFill>
            </a:rPr>
            <a:t> 2017–2021 v mld. Kč</a:t>
          </a:r>
        </a:p>
      </cdr:txBody>
    </cdr:sp>
  </cdr:relSizeAnchor>
  <cdr:relSizeAnchor xmlns:cdr="http://schemas.openxmlformats.org/drawingml/2006/chartDrawing">
    <cdr:from>
      <cdr:x>1.73589E-7</cdr:x>
      <cdr:y>0.08989</cdr:y>
    </cdr:from>
    <cdr:to>
      <cdr:x>0.0449</cdr:x>
      <cdr:y>0.72283</cdr:y>
    </cdr:to>
    <cdr:sp macro="" textlink="">
      <cdr:nvSpPr>
        <cdr:cNvPr id="4" name="TextovéPole 9">
          <a:extLst xmlns:a="http://schemas.openxmlformats.org/drawingml/2006/main"/>
        </cdr:cNvPr>
        <cdr:cNvSpPr txBox="1"/>
      </cdr:nvSpPr>
      <cdr:spPr>
        <a:xfrm xmlns:a="http://schemas.openxmlformats.org/drawingml/2006/main" rot="16200000">
          <a:off x="-1314560" y="1724699"/>
          <a:ext cx="2887755" cy="258634"/>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spcAft>
              <a:spcPts val="0"/>
            </a:spcAft>
          </a:pPr>
          <a:r>
            <a:rPr lang="cs-CZ" sz="800">
              <a:solidFill>
                <a:schemeClr val="tx1">
                  <a:lumMod val="65000"/>
                  <a:lumOff val="35000"/>
                </a:schemeClr>
              </a:solidFill>
              <a:effectLst/>
              <a:ea typeface="Times New Roman" panose="02020603050405020304" pitchFamily="18" charset="0"/>
              <a:cs typeface="Times New Roman" panose="02020603050405020304" pitchFamily="18" charset="0"/>
            </a:rPr>
            <a:t>Podíl druhu hry </a:t>
          </a:r>
          <a:r>
            <a:rPr lang="cs-CZ" sz="800" baseline="0">
              <a:solidFill>
                <a:schemeClr val="tx1">
                  <a:lumMod val="65000"/>
                  <a:lumOff val="35000"/>
                </a:schemeClr>
              </a:solidFill>
              <a:effectLst/>
              <a:ea typeface="Times New Roman" panose="02020603050405020304" pitchFamily="18" charset="0"/>
              <a:cs typeface="Times New Roman" panose="02020603050405020304" pitchFamily="18" charset="0"/>
            </a:rPr>
            <a:t>na</a:t>
          </a:r>
          <a:r>
            <a:rPr lang="cs-CZ" sz="800">
              <a:solidFill>
                <a:schemeClr val="tx1">
                  <a:lumMod val="65000"/>
                  <a:lumOff val="35000"/>
                </a:schemeClr>
              </a:solidFill>
              <a:effectLst/>
              <a:ea typeface="Times New Roman" panose="02020603050405020304" pitchFamily="18" charset="0"/>
              <a:cs typeface="Times New Roman" panose="02020603050405020304" pitchFamily="18" charset="0"/>
            </a:rPr>
            <a:t> celkovém předpisu daně </a:t>
          </a:r>
          <a:endParaRPr lang="cs-CZ" sz="1200">
            <a:solidFill>
              <a:schemeClr val="tx1">
                <a:lumMod val="65000"/>
                <a:lumOff val="35000"/>
              </a:schemeClr>
            </a:solidFill>
            <a:effectLst/>
            <a:latin typeface="Times New Roman" panose="02020603050405020304" pitchFamily="18" charset="0"/>
            <a:ea typeface="Times New Roman" panose="02020603050405020304" pitchFamily="18" charset="0"/>
          </a:endParaRPr>
        </a:p>
      </cdr:txBody>
    </cdr:sp>
  </cdr:relSizeAnchor>
</c:userShapes>
</file>

<file path=word/theme/theme1.xml><?xml version="1.0" encoding="utf-8"?>
<a:theme xmlns:a="http://schemas.openxmlformats.org/drawingml/2006/main" name="Motiv Office">
  <a:themeElements>
    <a:clrScheme name="Vlastní 1">
      <a:dk1>
        <a:sysClr val="windowText" lastClr="000000"/>
      </a:dk1>
      <a:lt1>
        <a:sysClr val="window" lastClr="FFFFFF"/>
      </a:lt1>
      <a:dk2>
        <a:srgbClr val="44546A"/>
      </a:dk2>
      <a:lt2>
        <a:srgbClr val="E7E6E6"/>
      </a:lt2>
      <a:accent1>
        <a:srgbClr val="E5F1FF"/>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EB331CCBA296F4298EC54CED30565F7" ma:contentTypeVersion="3" ma:contentTypeDescription="Vytvoří nový dokument" ma:contentTypeScope="" ma:versionID="db0793bac83949715d4dbb037de31194">
  <xsd:schema xmlns:xsd="http://www.w3.org/2001/XMLSchema" xmlns:xs="http://www.w3.org/2001/XMLSchema" xmlns:p="http://schemas.microsoft.com/office/2006/metadata/properties" xmlns:ns1="http://schemas.microsoft.com/sharepoint/v3" xmlns:ns2="7e83b607-9080-4a92-a288-01d3c8f43abc" targetNamespace="http://schemas.microsoft.com/office/2006/metadata/properties" ma:root="true" ma:fieldsID="7861bf95e6d116173582eb190e7a649e" ns1:_="" ns2:_="">
    <xsd:import namespace="http://schemas.microsoft.com/sharepoint/v3"/>
    <xsd:import namespace="7e83b607-9080-4a92-a288-01d3c8f43abc"/>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83b607-9080-4a92-a288-01d3c8f43abc"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5B835-9D45-4D24-9BFA-9CD5272C5B36}">
  <ds:schemaRefs>
    <ds:schemaRef ds:uri="http://schemas.microsoft.com/office/2006/documentManagement/types"/>
    <ds:schemaRef ds:uri="http://purl.org/dc/terms/"/>
    <ds:schemaRef ds:uri="http://schemas.microsoft.com/sharepoint/v3"/>
    <ds:schemaRef ds:uri="http://www.w3.org/XML/1998/namespace"/>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7e83b607-9080-4a92-a288-01d3c8f43abc"/>
  </ds:schemaRefs>
</ds:datastoreItem>
</file>

<file path=customXml/itemProps2.xml><?xml version="1.0" encoding="utf-8"?>
<ds:datastoreItem xmlns:ds="http://schemas.openxmlformats.org/officeDocument/2006/customXml" ds:itemID="{B82D1021-91D2-4779-A641-D5DED5368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83b607-9080-4a92-a288-01d3c8f43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53AAD3-BA21-457A-9BED-8273DDBD6CA8}">
  <ds:schemaRefs>
    <ds:schemaRef ds:uri="http://schemas.microsoft.com/sharepoint/v3/contenttype/forms"/>
  </ds:schemaRefs>
</ds:datastoreItem>
</file>

<file path=customXml/itemProps4.xml><?xml version="1.0" encoding="utf-8"?>
<ds:datastoreItem xmlns:ds="http://schemas.openxmlformats.org/officeDocument/2006/customXml" ds:itemID="{FB51DB63-48D6-4E4D-A457-072359E86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9325</Words>
  <Characters>55023</Characters>
  <Application>Microsoft Office Word</Application>
  <DocSecurity>0</DocSecurity>
  <Lines>458</Lines>
  <Paragraphs>128</Paragraphs>
  <ScaleCrop>false</ScaleCrop>
  <HeadingPairs>
    <vt:vector size="2" baseType="variant">
      <vt:variant>
        <vt:lpstr>Název</vt:lpstr>
      </vt:variant>
      <vt:variant>
        <vt:i4>1</vt:i4>
      </vt:variant>
    </vt:vector>
  </HeadingPairs>
  <TitlesOfParts>
    <vt:vector size="1" baseType="lpstr">
      <vt:lpstr>Kontrolní závěr z kontrolní akce NKÚ č. 22/31 - Peněžní prostředky státu související s působností orgánů státní správy v oblasti hazardních her a správy daně z hazardních her</vt:lpstr>
    </vt:vector>
  </TitlesOfParts>
  <Company>NKÚ</Company>
  <LinksUpToDate>false</LinksUpToDate>
  <CharactersWithSpaces>64220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22/31 - Peněžní prostředky státu související s působností orgánů státní správy v oblasti hazardních her a správy daně z hazardních her</dc:title>
  <dc:subject>Kontrolní závěr z kontrolní akce NKÚ č. 22/31 - Peněžní prostředky státu související s působností orgánů státní správy v oblasti hazardních her a správy daně z hazardních her</dc:subject>
  <dc:creator>Nejvyšší kontrolní úřad</dc:creator>
  <cp:keywords/>
  <dc:description/>
  <cp:lastModifiedBy>KOKRDA Daniel</cp:lastModifiedBy>
  <cp:revision>5</cp:revision>
  <cp:lastPrinted>2023-06-07T13:17:00Z</cp:lastPrinted>
  <dcterms:created xsi:type="dcterms:W3CDTF">2023-06-28T07:59:00Z</dcterms:created>
  <dcterms:modified xsi:type="dcterms:W3CDTF">2023-06-28T08:03:00Z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0x0101009EB331CCBA296F4298EC54CED30565F7</vt:lpwstr>
  </property>
</Properties>
</file>