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90539" w14:textId="53342215" w:rsidR="00246D13" w:rsidRPr="00720F72" w:rsidRDefault="00246D13" w:rsidP="00246D13">
      <w:pPr>
        <w:jc w:val="center"/>
        <w:rPr>
          <w:rFonts w:ascii="Calibri" w:hAnsi="Calibri" w:cs="Calibri"/>
          <w:color w:val="000000" w:themeColor="text1"/>
          <w:sz w:val="24"/>
          <w:szCs w:val="24"/>
        </w:rPr>
      </w:pPr>
      <w:bookmarkStart w:id="0" w:name="_GoBack"/>
      <w:bookmarkEnd w:id="0"/>
      <w:r w:rsidRPr="00720F72">
        <w:rPr>
          <w:rFonts w:ascii="Calibri" w:hAnsi="Calibri" w:cs="Calibri"/>
          <w:noProof/>
          <w:color w:val="000000" w:themeColor="text1"/>
          <w:sz w:val="24"/>
          <w:szCs w:val="24"/>
        </w:rPr>
        <w:drawing>
          <wp:anchor distT="0" distB="0" distL="114300" distR="114300" simplePos="0" relativeHeight="251658240" behindDoc="0" locked="0" layoutInCell="1" allowOverlap="1" wp14:anchorId="600434F4" wp14:editId="1C706F27">
            <wp:simplePos x="0" y="0"/>
            <wp:positionH relativeFrom="column">
              <wp:posOffset>2480310</wp:posOffset>
            </wp:positionH>
            <wp:positionV relativeFrom="paragraph">
              <wp:posOffset>8255</wp:posOffset>
            </wp:positionV>
            <wp:extent cx="791210" cy="559435"/>
            <wp:effectExtent l="0" t="0" r="8890" b="0"/>
            <wp:wrapTopAndBottom/>
            <wp:docPr id="1" name="Obrázek 1"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A2CC7" w14:textId="77777777" w:rsidR="00246D13" w:rsidRPr="00720F72" w:rsidRDefault="00246D13" w:rsidP="00246D13">
      <w:pPr>
        <w:jc w:val="center"/>
        <w:rPr>
          <w:rFonts w:ascii="Calibri" w:hAnsi="Calibri" w:cs="Calibri"/>
          <w:color w:val="000000" w:themeColor="text1"/>
          <w:sz w:val="24"/>
          <w:szCs w:val="24"/>
        </w:rPr>
      </w:pPr>
    </w:p>
    <w:p w14:paraId="0494BCAB" w14:textId="77777777" w:rsidR="00246D13" w:rsidRPr="00720F72" w:rsidRDefault="00246D13" w:rsidP="00246D13">
      <w:pPr>
        <w:jc w:val="center"/>
        <w:rPr>
          <w:rFonts w:ascii="Calibri" w:hAnsi="Calibri" w:cs="Calibri"/>
          <w:color w:val="000000" w:themeColor="text1"/>
          <w:sz w:val="24"/>
          <w:szCs w:val="24"/>
        </w:rPr>
      </w:pPr>
    </w:p>
    <w:p w14:paraId="59168E96" w14:textId="77777777" w:rsidR="00246D13" w:rsidRPr="00720F72" w:rsidRDefault="00246D13" w:rsidP="00246D13">
      <w:pPr>
        <w:pStyle w:val="Nadpis8"/>
        <w:keepNext w:val="0"/>
        <w:rPr>
          <w:rFonts w:cs="Calibri"/>
          <w:color w:val="000000" w:themeColor="text1"/>
          <w:sz w:val="28"/>
          <w:szCs w:val="24"/>
        </w:rPr>
      </w:pPr>
      <w:r w:rsidRPr="00720F72">
        <w:rPr>
          <w:rFonts w:cs="Calibri"/>
          <w:color w:val="000000" w:themeColor="text1"/>
          <w:sz w:val="28"/>
          <w:szCs w:val="24"/>
        </w:rPr>
        <w:t>Kontrolní závěr z kontrolní akce</w:t>
      </w:r>
    </w:p>
    <w:p w14:paraId="5168FF9C" w14:textId="77777777" w:rsidR="00246D13" w:rsidRPr="00720F72" w:rsidRDefault="00246D13" w:rsidP="00246D13">
      <w:pPr>
        <w:jc w:val="center"/>
        <w:rPr>
          <w:rFonts w:ascii="Calibri" w:hAnsi="Calibri" w:cs="Calibri"/>
          <w:color w:val="000000" w:themeColor="text1"/>
          <w:sz w:val="24"/>
          <w:szCs w:val="24"/>
        </w:rPr>
      </w:pPr>
    </w:p>
    <w:p w14:paraId="4422EBD3" w14:textId="78160A27" w:rsidR="00246D13" w:rsidRPr="00720F72" w:rsidRDefault="00FE78F3" w:rsidP="00246D13">
      <w:pPr>
        <w:pStyle w:val="Nadpis8"/>
        <w:keepNext w:val="0"/>
        <w:rPr>
          <w:rFonts w:cs="Calibri"/>
          <w:color w:val="000000" w:themeColor="text1"/>
          <w:sz w:val="28"/>
          <w:szCs w:val="24"/>
        </w:rPr>
      </w:pPr>
      <w:r w:rsidRPr="00720F72">
        <w:rPr>
          <w:rFonts w:cs="Calibri"/>
          <w:color w:val="000000" w:themeColor="text1"/>
          <w:sz w:val="28"/>
          <w:szCs w:val="24"/>
        </w:rPr>
        <w:t>2</w:t>
      </w:r>
      <w:r w:rsidR="00EB0251" w:rsidRPr="00720F72">
        <w:rPr>
          <w:rFonts w:cs="Calibri"/>
          <w:color w:val="000000" w:themeColor="text1"/>
          <w:sz w:val="28"/>
          <w:szCs w:val="24"/>
        </w:rPr>
        <w:t>2</w:t>
      </w:r>
      <w:r w:rsidR="00246D13" w:rsidRPr="00720F72">
        <w:rPr>
          <w:rFonts w:cs="Calibri"/>
          <w:color w:val="000000" w:themeColor="text1"/>
          <w:sz w:val="28"/>
          <w:szCs w:val="24"/>
        </w:rPr>
        <w:t>/</w:t>
      </w:r>
      <w:r w:rsidR="00EB0251" w:rsidRPr="00720F72">
        <w:rPr>
          <w:rFonts w:cs="Calibri"/>
          <w:color w:val="000000" w:themeColor="text1"/>
          <w:sz w:val="28"/>
          <w:szCs w:val="24"/>
        </w:rPr>
        <w:t>13</w:t>
      </w:r>
    </w:p>
    <w:p w14:paraId="0ABDC390" w14:textId="77777777" w:rsidR="00246D13" w:rsidRPr="00720F72" w:rsidRDefault="00246D13" w:rsidP="00246D13">
      <w:pPr>
        <w:jc w:val="center"/>
        <w:rPr>
          <w:rFonts w:ascii="Calibri" w:hAnsi="Calibri" w:cs="Calibri"/>
          <w:color w:val="000000" w:themeColor="text1"/>
          <w:sz w:val="24"/>
          <w:szCs w:val="24"/>
        </w:rPr>
      </w:pPr>
    </w:p>
    <w:p w14:paraId="14D2BDE4" w14:textId="58C3F4DA" w:rsidR="00246D13" w:rsidRPr="00720F72" w:rsidRDefault="00EB0251" w:rsidP="00EB0251">
      <w:pPr>
        <w:jc w:val="center"/>
        <w:rPr>
          <w:rFonts w:ascii="Calibri" w:hAnsi="Calibri" w:cs="Calibri"/>
          <w:sz w:val="24"/>
          <w:szCs w:val="24"/>
        </w:rPr>
      </w:pPr>
      <w:r w:rsidRPr="00720F72">
        <w:rPr>
          <w:rFonts w:ascii="Calibri" w:hAnsi="Calibri" w:cs="Calibri"/>
          <w:b/>
          <w:sz w:val="28"/>
          <w:szCs w:val="24"/>
        </w:rPr>
        <w:t>Majetek a peněžní prostředky státu, s nimiž hospodaří vybrané fakultní nemocnice</w:t>
      </w:r>
    </w:p>
    <w:p w14:paraId="73CB8B1F" w14:textId="6DF4CDE5" w:rsidR="00246D13" w:rsidRDefault="00246D13" w:rsidP="00246D13">
      <w:pPr>
        <w:rPr>
          <w:rFonts w:ascii="Calibri" w:hAnsi="Calibri" w:cs="Calibri"/>
          <w:color w:val="000000" w:themeColor="text1"/>
          <w:sz w:val="24"/>
          <w:szCs w:val="24"/>
        </w:rPr>
      </w:pPr>
    </w:p>
    <w:p w14:paraId="638BCB24" w14:textId="77777777" w:rsidR="00720F72" w:rsidRPr="00720F72" w:rsidRDefault="00720F72" w:rsidP="00246D13">
      <w:pPr>
        <w:rPr>
          <w:rFonts w:ascii="Calibri" w:hAnsi="Calibri" w:cs="Calibri"/>
          <w:color w:val="000000" w:themeColor="text1"/>
          <w:sz w:val="24"/>
          <w:szCs w:val="24"/>
        </w:rPr>
      </w:pPr>
    </w:p>
    <w:p w14:paraId="62A52669" w14:textId="4936AB60" w:rsidR="00246D13" w:rsidRPr="00720F72" w:rsidRDefault="00246D13" w:rsidP="00246D13">
      <w:pPr>
        <w:jc w:val="both"/>
        <w:rPr>
          <w:rFonts w:asciiTheme="minorHAnsi" w:hAnsiTheme="minorHAnsi" w:cstheme="minorHAnsi"/>
          <w:color w:val="000000" w:themeColor="text1"/>
          <w:sz w:val="24"/>
          <w:szCs w:val="24"/>
        </w:rPr>
      </w:pPr>
      <w:r w:rsidRPr="00720F72">
        <w:rPr>
          <w:rFonts w:asciiTheme="minorHAnsi" w:hAnsiTheme="minorHAnsi" w:cstheme="minorHAnsi"/>
          <w:color w:val="000000" w:themeColor="text1"/>
          <w:sz w:val="24"/>
          <w:szCs w:val="24"/>
        </w:rPr>
        <w:t>Kontrolní akce byla zařazena do plánu kontrolní činnosti Nejvyššího kontrolního úřadu (dále také „NKÚ“) na rok 20</w:t>
      </w:r>
      <w:r w:rsidR="00FE78F3" w:rsidRPr="00720F72">
        <w:rPr>
          <w:rFonts w:asciiTheme="minorHAnsi" w:hAnsiTheme="minorHAnsi" w:cstheme="minorHAnsi"/>
          <w:color w:val="000000" w:themeColor="text1"/>
          <w:sz w:val="24"/>
          <w:szCs w:val="24"/>
        </w:rPr>
        <w:t>2</w:t>
      </w:r>
      <w:r w:rsidR="00EB0251" w:rsidRPr="00720F72">
        <w:rPr>
          <w:rFonts w:asciiTheme="minorHAnsi" w:hAnsiTheme="minorHAnsi" w:cstheme="minorHAnsi"/>
          <w:color w:val="000000" w:themeColor="text1"/>
          <w:sz w:val="24"/>
          <w:szCs w:val="24"/>
        </w:rPr>
        <w:t>2</w:t>
      </w:r>
      <w:r w:rsidRPr="00720F72">
        <w:rPr>
          <w:rFonts w:asciiTheme="minorHAnsi" w:hAnsiTheme="minorHAnsi" w:cstheme="minorHAnsi"/>
          <w:color w:val="000000" w:themeColor="text1"/>
          <w:sz w:val="24"/>
          <w:szCs w:val="24"/>
        </w:rPr>
        <w:t xml:space="preserve"> pod číslem </w:t>
      </w:r>
      <w:r w:rsidR="00FE78F3" w:rsidRPr="00720F72">
        <w:rPr>
          <w:rFonts w:asciiTheme="minorHAnsi" w:hAnsiTheme="minorHAnsi" w:cstheme="minorHAnsi"/>
          <w:color w:val="000000" w:themeColor="text1"/>
          <w:sz w:val="24"/>
          <w:szCs w:val="24"/>
        </w:rPr>
        <w:t>2</w:t>
      </w:r>
      <w:r w:rsidR="00EB0251" w:rsidRPr="00720F72">
        <w:rPr>
          <w:rFonts w:asciiTheme="minorHAnsi" w:hAnsiTheme="minorHAnsi" w:cstheme="minorHAnsi"/>
          <w:color w:val="000000" w:themeColor="text1"/>
          <w:sz w:val="24"/>
          <w:szCs w:val="24"/>
        </w:rPr>
        <w:t>2</w:t>
      </w:r>
      <w:r w:rsidRPr="00720F72">
        <w:rPr>
          <w:rFonts w:asciiTheme="minorHAnsi" w:hAnsiTheme="minorHAnsi" w:cstheme="minorHAnsi"/>
          <w:color w:val="000000" w:themeColor="text1"/>
          <w:sz w:val="24"/>
          <w:szCs w:val="24"/>
        </w:rPr>
        <w:t>/</w:t>
      </w:r>
      <w:r w:rsidR="00EB0251" w:rsidRPr="00720F72">
        <w:rPr>
          <w:rFonts w:asciiTheme="minorHAnsi" w:hAnsiTheme="minorHAnsi" w:cstheme="minorHAnsi"/>
          <w:color w:val="000000" w:themeColor="text1"/>
          <w:sz w:val="24"/>
          <w:szCs w:val="24"/>
        </w:rPr>
        <w:t>13</w:t>
      </w:r>
      <w:r w:rsidRPr="00720F72">
        <w:rPr>
          <w:rFonts w:asciiTheme="minorHAnsi" w:hAnsiTheme="minorHAnsi" w:cstheme="minorHAnsi"/>
          <w:color w:val="000000" w:themeColor="text1"/>
          <w:sz w:val="24"/>
          <w:szCs w:val="24"/>
        </w:rPr>
        <w:t>. Kontrolní akci řídil a kontrolní závěr vypracoval člen NKÚ Ing.</w:t>
      </w:r>
      <w:r w:rsidR="001E689D" w:rsidRPr="00720F72">
        <w:rPr>
          <w:rFonts w:asciiTheme="minorHAnsi" w:hAnsiTheme="minorHAnsi" w:cstheme="minorHAnsi"/>
          <w:color w:val="000000" w:themeColor="text1"/>
          <w:sz w:val="24"/>
          <w:szCs w:val="24"/>
        </w:rPr>
        <w:t> </w:t>
      </w:r>
      <w:r w:rsidRPr="00720F72">
        <w:rPr>
          <w:rFonts w:asciiTheme="minorHAnsi" w:hAnsiTheme="minorHAnsi" w:cstheme="minorHAnsi"/>
          <w:color w:val="000000" w:themeColor="text1"/>
          <w:sz w:val="24"/>
          <w:szCs w:val="24"/>
        </w:rPr>
        <w:t>Jan Stárek.</w:t>
      </w:r>
    </w:p>
    <w:p w14:paraId="74BF779D" w14:textId="77777777" w:rsidR="00246D13" w:rsidRPr="00720F72" w:rsidRDefault="00246D13" w:rsidP="00246D13">
      <w:pPr>
        <w:rPr>
          <w:rFonts w:asciiTheme="minorHAnsi" w:hAnsiTheme="minorHAnsi" w:cstheme="minorHAnsi"/>
          <w:color w:val="000000" w:themeColor="text1"/>
          <w:sz w:val="24"/>
          <w:szCs w:val="24"/>
        </w:rPr>
      </w:pPr>
    </w:p>
    <w:p w14:paraId="705CAA55" w14:textId="436B06C3" w:rsidR="00246D13" w:rsidRPr="00720F72" w:rsidRDefault="00246D13" w:rsidP="00246D13">
      <w:pPr>
        <w:jc w:val="both"/>
        <w:rPr>
          <w:rFonts w:asciiTheme="minorHAnsi" w:hAnsiTheme="minorHAnsi" w:cstheme="minorHAnsi"/>
          <w:color w:val="000000" w:themeColor="text1"/>
          <w:sz w:val="24"/>
          <w:szCs w:val="24"/>
        </w:rPr>
      </w:pPr>
      <w:r w:rsidRPr="00720F72">
        <w:rPr>
          <w:rFonts w:asciiTheme="minorHAnsi" w:hAnsiTheme="minorHAnsi" w:cstheme="minorHAnsi"/>
          <w:color w:val="000000" w:themeColor="text1"/>
          <w:sz w:val="24"/>
          <w:szCs w:val="24"/>
        </w:rPr>
        <w:t>Cílem kontrolní akce bylo prověřit</w:t>
      </w:r>
      <w:r w:rsidR="00EB0251" w:rsidRPr="00720F72">
        <w:rPr>
          <w:rFonts w:asciiTheme="minorHAnsi" w:hAnsiTheme="minorHAnsi" w:cstheme="minorHAnsi"/>
          <w:color w:val="000000" w:themeColor="text1"/>
          <w:sz w:val="24"/>
          <w:szCs w:val="24"/>
        </w:rPr>
        <w:t xml:space="preserve">, zda </w:t>
      </w:r>
      <w:bookmarkStart w:id="1" w:name="_Hlk126740764"/>
      <w:r w:rsidR="00EB0251" w:rsidRPr="00720F72">
        <w:rPr>
          <w:rFonts w:asciiTheme="minorHAnsi" w:hAnsiTheme="minorHAnsi" w:cstheme="minorHAnsi"/>
          <w:color w:val="000000" w:themeColor="text1"/>
          <w:sz w:val="24"/>
          <w:szCs w:val="24"/>
        </w:rPr>
        <w:t>hospodaření vybraných fakultních nemocnic probíhá v</w:t>
      </w:r>
      <w:r w:rsidR="00E115C7" w:rsidRPr="00720F72">
        <w:rPr>
          <w:rFonts w:asciiTheme="minorHAnsi" w:hAnsiTheme="minorHAnsi" w:cstheme="minorHAnsi"/>
          <w:color w:val="000000" w:themeColor="text1"/>
          <w:sz w:val="24"/>
          <w:szCs w:val="24"/>
        </w:rPr>
        <w:t> </w:t>
      </w:r>
      <w:r w:rsidR="00EB0251" w:rsidRPr="00720F72">
        <w:rPr>
          <w:rFonts w:asciiTheme="minorHAnsi" w:hAnsiTheme="minorHAnsi" w:cstheme="minorHAnsi"/>
          <w:color w:val="000000" w:themeColor="text1"/>
          <w:sz w:val="24"/>
          <w:szCs w:val="24"/>
        </w:rPr>
        <w:t>souladu s právními předpisy a je účelné a hospodárné a zda Ministerstvo zdravotnictví plní roli jejich zřizovatele a zda poskytovalo prostředky v souladu s právními předpisy.</w:t>
      </w:r>
    </w:p>
    <w:bookmarkEnd w:id="1"/>
    <w:p w14:paraId="2DFF7917" w14:textId="77777777" w:rsidR="00246D13" w:rsidRPr="00720F72" w:rsidRDefault="00246D13" w:rsidP="00246D13">
      <w:pPr>
        <w:jc w:val="both"/>
        <w:rPr>
          <w:rFonts w:asciiTheme="minorHAnsi" w:hAnsiTheme="minorHAnsi" w:cstheme="minorHAnsi"/>
          <w:color w:val="000000" w:themeColor="text1"/>
          <w:sz w:val="24"/>
          <w:szCs w:val="24"/>
        </w:rPr>
      </w:pPr>
    </w:p>
    <w:p w14:paraId="3CD524B9" w14:textId="42B5F2DC" w:rsidR="00246D13" w:rsidRPr="00720F72" w:rsidRDefault="00246D13" w:rsidP="00246D13">
      <w:pPr>
        <w:rPr>
          <w:rFonts w:asciiTheme="minorHAnsi" w:hAnsiTheme="minorHAnsi" w:cstheme="minorHAnsi"/>
          <w:color w:val="000000" w:themeColor="text1"/>
          <w:sz w:val="24"/>
          <w:szCs w:val="24"/>
        </w:rPr>
      </w:pPr>
      <w:r w:rsidRPr="00720F72">
        <w:rPr>
          <w:rFonts w:asciiTheme="minorHAnsi" w:hAnsiTheme="minorHAnsi" w:cstheme="minorHAnsi"/>
          <w:color w:val="000000" w:themeColor="text1"/>
          <w:sz w:val="24"/>
          <w:szCs w:val="24"/>
        </w:rPr>
        <w:t>Kontrola byla prováděna u kontrolovan</w:t>
      </w:r>
      <w:r w:rsidR="00D807B5" w:rsidRPr="00720F72">
        <w:rPr>
          <w:rFonts w:asciiTheme="minorHAnsi" w:hAnsiTheme="minorHAnsi" w:cstheme="minorHAnsi"/>
          <w:color w:val="000000" w:themeColor="text1"/>
          <w:sz w:val="24"/>
          <w:szCs w:val="24"/>
        </w:rPr>
        <w:t>ých</w:t>
      </w:r>
      <w:r w:rsidRPr="00720F72">
        <w:rPr>
          <w:rFonts w:asciiTheme="minorHAnsi" w:hAnsiTheme="minorHAnsi" w:cstheme="minorHAnsi"/>
          <w:color w:val="000000" w:themeColor="text1"/>
          <w:sz w:val="24"/>
          <w:szCs w:val="24"/>
        </w:rPr>
        <w:t xml:space="preserve"> osob v době od </w:t>
      </w:r>
      <w:r w:rsidR="00EB0251" w:rsidRPr="00720F72">
        <w:rPr>
          <w:rFonts w:asciiTheme="minorHAnsi" w:hAnsiTheme="minorHAnsi" w:cstheme="minorHAnsi"/>
          <w:color w:val="000000" w:themeColor="text1"/>
          <w:sz w:val="24"/>
          <w:szCs w:val="24"/>
        </w:rPr>
        <w:t xml:space="preserve">června </w:t>
      </w:r>
      <w:r w:rsidR="00BD2BEC" w:rsidRPr="00720F72">
        <w:rPr>
          <w:rFonts w:asciiTheme="minorHAnsi" w:hAnsiTheme="minorHAnsi" w:cstheme="minorHAnsi"/>
          <w:color w:val="000000" w:themeColor="text1"/>
          <w:sz w:val="24"/>
          <w:szCs w:val="24"/>
        </w:rPr>
        <w:t>202</w:t>
      </w:r>
      <w:r w:rsidR="00EB0251" w:rsidRPr="00720F72">
        <w:rPr>
          <w:rFonts w:asciiTheme="minorHAnsi" w:hAnsiTheme="minorHAnsi" w:cstheme="minorHAnsi"/>
          <w:color w:val="000000" w:themeColor="text1"/>
          <w:sz w:val="24"/>
          <w:szCs w:val="24"/>
        </w:rPr>
        <w:t>2</w:t>
      </w:r>
      <w:r w:rsidR="00BD2BEC" w:rsidRPr="00720F72">
        <w:rPr>
          <w:rFonts w:asciiTheme="minorHAnsi" w:hAnsiTheme="minorHAnsi" w:cstheme="minorHAnsi"/>
          <w:color w:val="000000" w:themeColor="text1"/>
          <w:sz w:val="24"/>
          <w:szCs w:val="24"/>
        </w:rPr>
        <w:t xml:space="preserve"> do </w:t>
      </w:r>
      <w:r w:rsidR="00EB0251" w:rsidRPr="00720F72">
        <w:rPr>
          <w:rFonts w:asciiTheme="minorHAnsi" w:hAnsiTheme="minorHAnsi" w:cstheme="minorHAnsi"/>
          <w:color w:val="000000" w:themeColor="text1"/>
          <w:sz w:val="24"/>
          <w:szCs w:val="24"/>
        </w:rPr>
        <w:t>ledna</w:t>
      </w:r>
      <w:r w:rsidR="00BD2BEC" w:rsidRPr="00720F72">
        <w:rPr>
          <w:rFonts w:asciiTheme="minorHAnsi" w:hAnsiTheme="minorHAnsi" w:cstheme="minorHAnsi"/>
          <w:color w:val="000000" w:themeColor="text1"/>
          <w:sz w:val="24"/>
          <w:szCs w:val="24"/>
        </w:rPr>
        <w:t xml:space="preserve"> 202</w:t>
      </w:r>
      <w:r w:rsidR="00EB0251" w:rsidRPr="00720F72">
        <w:rPr>
          <w:rFonts w:asciiTheme="minorHAnsi" w:hAnsiTheme="minorHAnsi" w:cstheme="minorHAnsi"/>
          <w:color w:val="000000" w:themeColor="text1"/>
          <w:sz w:val="24"/>
          <w:szCs w:val="24"/>
        </w:rPr>
        <w:t>3</w:t>
      </w:r>
      <w:r w:rsidR="00BD2BEC" w:rsidRPr="00720F72">
        <w:rPr>
          <w:rFonts w:asciiTheme="minorHAnsi" w:hAnsiTheme="minorHAnsi" w:cstheme="minorHAnsi"/>
          <w:color w:val="000000" w:themeColor="text1"/>
          <w:sz w:val="24"/>
          <w:szCs w:val="24"/>
        </w:rPr>
        <w:t>.</w:t>
      </w:r>
    </w:p>
    <w:p w14:paraId="57EE9DFB" w14:textId="77777777" w:rsidR="00235CB8" w:rsidRPr="00720F72" w:rsidRDefault="00235CB8" w:rsidP="00246D13">
      <w:pPr>
        <w:rPr>
          <w:rFonts w:asciiTheme="minorHAnsi" w:hAnsiTheme="minorHAnsi" w:cstheme="minorHAnsi"/>
          <w:color w:val="000000" w:themeColor="text1"/>
          <w:sz w:val="24"/>
          <w:szCs w:val="24"/>
        </w:rPr>
      </w:pPr>
    </w:p>
    <w:p w14:paraId="782F78AD" w14:textId="1615867A" w:rsidR="00246D13" w:rsidRPr="00720F72" w:rsidRDefault="00246D13" w:rsidP="00246D13">
      <w:pPr>
        <w:jc w:val="both"/>
        <w:rPr>
          <w:rFonts w:asciiTheme="minorHAnsi" w:hAnsiTheme="minorHAnsi" w:cstheme="minorHAnsi"/>
          <w:color w:val="000000" w:themeColor="text1"/>
          <w:sz w:val="24"/>
          <w:szCs w:val="24"/>
        </w:rPr>
      </w:pPr>
      <w:r w:rsidRPr="00720F72">
        <w:rPr>
          <w:rFonts w:asciiTheme="minorHAnsi" w:hAnsiTheme="minorHAnsi" w:cstheme="minorHAnsi"/>
          <w:color w:val="000000" w:themeColor="text1"/>
          <w:sz w:val="24"/>
          <w:szCs w:val="24"/>
        </w:rPr>
        <w:t>Kontrolovaným obdobím byly roky</w:t>
      </w:r>
      <w:r w:rsidR="00235CB8" w:rsidRPr="00720F72">
        <w:rPr>
          <w:rFonts w:asciiTheme="minorHAnsi" w:hAnsiTheme="minorHAnsi" w:cstheme="minorHAnsi"/>
          <w:color w:val="000000" w:themeColor="text1"/>
          <w:sz w:val="24"/>
          <w:szCs w:val="24"/>
        </w:rPr>
        <w:t xml:space="preserve"> </w:t>
      </w:r>
      <w:bookmarkStart w:id="2" w:name="_Hlk85099789"/>
      <w:r w:rsidR="00BD2BEC" w:rsidRPr="00720F72">
        <w:rPr>
          <w:rFonts w:asciiTheme="minorHAnsi" w:hAnsiTheme="minorHAnsi" w:cstheme="minorHAnsi"/>
          <w:color w:val="000000" w:themeColor="text1"/>
          <w:sz w:val="24"/>
          <w:szCs w:val="24"/>
        </w:rPr>
        <w:t>20</w:t>
      </w:r>
      <w:r w:rsidR="00EB0251" w:rsidRPr="00720F72">
        <w:rPr>
          <w:rFonts w:asciiTheme="minorHAnsi" w:hAnsiTheme="minorHAnsi" w:cstheme="minorHAnsi"/>
          <w:color w:val="000000" w:themeColor="text1"/>
          <w:sz w:val="24"/>
          <w:szCs w:val="24"/>
        </w:rPr>
        <w:t>19</w:t>
      </w:r>
      <w:r w:rsidR="00291B1F" w:rsidRPr="00720F72">
        <w:rPr>
          <w:rFonts w:asciiTheme="minorHAnsi" w:hAnsiTheme="minorHAnsi" w:cstheme="minorHAnsi"/>
          <w:color w:val="000000" w:themeColor="text1"/>
          <w:sz w:val="24"/>
          <w:szCs w:val="24"/>
        </w:rPr>
        <w:t xml:space="preserve"> až </w:t>
      </w:r>
      <w:r w:rsidR="00BD2BEC" w:rsidRPr="00720F72">
        <w:rPr>
          <w:rFonts w:asciiTheme="minorHAnsi" w:hAnsiTheme="minorHAnsi" w:cstheme="minorHAnsi"/>
          <w:color w:val="000000" w:themeColor="text1"/>
          <w:sz w:val="24"/>
          <w:szCs w:val="24"/>
        </w:rPr>
        <w:t>20</w:t>
      </w:r>
      <w:r w:rsidR="00EB0251" w:rsidRPr="00720F72">
        <w:rPr>
          <w:rFonts w:asciiTheme="minorHAnsi" w:hAnsiTheme="minorHAnsi" w:cstheme="minorHAnsi"/>
          <w:color w:val="000000" w:themeColor="text1"/>
          <w:sz w:val="24"/>
          <w:szCs w:val="24"/>
        </w:rPr>
        <w:t>21</w:t>
      </w:r>
      <w:r w:rsidRPr="00720F72">
        <w:rPr>
          <w:rFonts w:asciiTheme="minorHAnsi" w:hAnsiTheme="minorHAnsi" w:cstheme="minorHAnsi"/>
          <w:color w:val="000000" w:themeColor="text1"/>
          <w:sz w:val="24"/>
          <w:szCs w:val="24"/>
        </w:rPr>
        <w:t>, v případě věcných souvislostí i období předchozí a období následující.</w:t>
      </w:r>
    </w:p>
    <w:bookmarkEnd w:id="2"/>
    <w:p w14:paraId="50358486" w14:textId="77777777" w:rsidR="00246D13" w:rsidRPr="00720F72" w:rsidRDefault="00246D13" w:rsidP="00246D13">
      <w:pPr>
        <w:rPr>
          <w:rFonts w:asciiTheme="minorHAnsi" w:hAnsiTheme="minorHAnsi" w:cstheme="minorHAnsi"/>
          <w:color w:val="000000" w:themeColor="text1"/>
          <w:sz w:val="24"/>
          <w:szCs w:val="24"/>
        </w:rPr>
      </w:pPr>
    </w:p>
    <w:p w14:paraId="3029F64D" w14:textId="77777777" w:rsidR="00246D13" w:rsidRPr="00720F72" w:rsidRDefault="00246D13" w:rsidP="00246D13">
      <w:pPr>
        <w:rPr>
          <w:rFonts w:asciiTheme="minorHAnsi" w:hAnsiTheme="minorHAnsi" w:cstheme="minorHAnsi"/>
          <w:b/>
          <w:color w:val="000000" w:themeColor="text1"/>
          <w:sz w:val="24"/>
          <w:szCs w:val="24"/>
        </w:rPr>
      </w:pPr>
      <w:r w:rsidRPr="00720F72">
        <w:rPr>
          <w:rFonts w:asciiTheme="minorHAnsi" w:hAnsiTheme="minorHAnsi" w:cstheme="minorHAnsi"/>
          <w:b/>
          <w:color w:val="000000" w:themeColor="text1"/>
          <w:sz w:val="24"/>
          <w:szCs w:val="24"/>
        </w:rPr>
        <w:t>Kontrolovan</w:t>
      </w:r>
      <w:r w:rsidR="00BC2440" w:rsidRPr="00720F72">
        <w:rPr>
          <w:rFonts w:asciiTheme="minorHAnsi" w:hAnsiTheme="minorHAnsi" w:cstheme="minorHAnsi"/>
          <w:b/>
          <w:color w:val="000000" w:themeColor="text1"/>
          <w:sz w:val="24"/>
          <w:szCs w:val="24"/>
        </w:rPr>
        <w:t>é</w:t>
      </w:r>
      <w:r w:rsidRPr="00720F72">
        <w:rPr>
          <w:rFonts w:asciiTheme="minorHAnsi" w:hAnsiTheme="minorHAnsi" w:cstheme="minorHAnsi"/>
          <w:b/>
          <w:color w:val="000000" w:themeColor="text1"/>
          <w:sz w:val="24"/>
          <w:szCs w:val="24"/>
        </w:rPr>
        <w:t xml:space="preserve"> osob</w:t>
      </w:r>
      <w:r w:rsidR="00BC2440" w:rsidRPr="00720F72">
        <w:rPr>
          <w:rFonts w:asciiTheme="minorHAnsi" w:hAnsiTheme="minorHAnsi" w:cstheme="minorHAnsi"/>
          <w:b/>
          <w:color w:val="000000" w:themeColor="text1"/>
          <w:sz w:val="24"/>
          <w:szCs w:val="24"/>
        </w:rPr>
        <w:t>y</w:t>
      </w:r>
      <w:r w:rsidRPr="00720F72">
        <w:rPr>
          <w:rFonts w:asciiTheme="minorHAnsi" w:hAnsiTheme="minorHAnsi" w:cstheme="minorHAnsi"/>
          <w:b/>
          <w:color w:val="000000" w:themeColor="text1"/>
          <w:sz w:val="24"/>
          <w:szCs w:val="24"/>
        </w:rPr>
        <w:t xml:space="preserve">: </w:t>
      </w:r>
    </w:p>
    <w:p w14:paraId="65CBCB6F" w14:textId="725C9E01" w:rsidR="00BD2BEC" w:rsidRPr="00720F72" w:rsidRDefault="00BD2BEC" w:rsidP="00246D13">
      <w:pPr>
        <w:pStyle w:val="Zkladn"/>
        <w:spacing w:before="0"/>
        <w:rPr>
          <w:rFonts w:asciiTheme="minorHAnsi" w:hAnsiTheme="minorHAnsi" w:cstheme="minorHAnsi"/>
          <w:color w:val="000000" w:themeColor="text1"/>
        </w:rPr>
      </w:pPr>
      <w:r w:rsidRPr="00720F72">
        <w:rPr>
          <w:rFonts w:asciiTheme="minorHAnsi" w:hAnsiTheme="minorHAnsi" w:cstheme="minorHAnsi"/>
          <w:color w:val="000000" w:themeColor="text1"/>
        </w:rPr>
        <w:t>Ministerstvo zdravotnictví (dále také „</w:t>
      </w:r>
      <w:proofErr w:type="spellStart"/>
      <w:r w:rsidRPr="00720F72">
        <w:rPr>
          <w:rFonts w:asciiTheme="minorHAnsi" w:hAnsiTheme="minorHAnsi" w:cstheme="minorHAnsi"/>
          <w:color w:val="000000" w:themeColor="text1"/>
        </w:rPr>
        <w:t>MZ</w:t>
      </w:r>
      <w:r w:rsidR="00104FC9">
        <w:rPr>
          <w:rFonts w:asciiTheme="minorHAnsi" w:hAnsiTheme="minorHAnsi" w:cstheme="minorHAnsi"/>
          <w:color w:val="000000" w:themeColor="text1"/>
        </w:rPr>
        <w:t>d</w:t>
      </w:r>
      <w:proofErr w:type="spellEnd"/>
      <w:r w:rsidRPr="00720F72">
        <w:rPr>
          <w:rFonts w:asciiTheme="minorHAnsi" w:hAnsiTheme="minorHAnsi" w:cstheme="minorHAnsi"/>
          <w:color w:val="000000" w:themeColor="text1"/>
        </w:rPr>
        <w:t>“)</w:t>
      </w:r>
      <w:r w:rsidR="005D02D1" w:rsidRPr="00720F72">
        <w:rPr>
          <w:rFonts w:asciiTheme="minorHAnsi" w:hAnsiTheme="minorHAnsi" w:cstheme="minorHAnsi"/>
          <w:color w:val="000000" w:themeColor="text1"/>
        </w:rPr>
        <w:t>;</w:t>
      </w:r>
    </w:p>
    <w:p w14:paraId="02738007" w14:textId="2B02B966" w:rsidR="00EB0251" w:rsidRPr="00720F72" w:rsidRDefault="00EB0251" w:rsidP="00EB0251">
      <w:pPr>
        <w:widowControl/>
        <w:rPr>
          <w:rFonts w:asciiTheme="minorHAnsi" w:eastAsia="Times New Roman" w:hAnsiTheme="minorHAnsi" w:cstheme="minorHAnsi"/>
          <w:color w:val="000000" w:themeColor="text1"/>
          <w:sz w:val="24"/>
          <w:szCs w:val="24"/>
        </w:rPr>
      </w:pPr>
      <w:r w:rsidRPr="00720F72">
        <w:rPr>
          <w:rFonts w:asciiTheme="minorHAnsi" w:eastAsia="Times New Roman" w:hAnsiTheme="minorHAnsi" w:cstheme="minorHAnsi"/>
          <w:color w:val="000000" w:themeColor="text1"/>
          <w:sz w:val="24"/>
          <w:szCs w:val="24"/>
        </w:rPr>
        <w:t>Fakultní nemocnice Bulovka</w:t>
      </w:r>
      <w:r w:rsidR="00E65A40" w:rsidRPr="00720F72">
        <w:rPr>
          <w:rFonts w:asciiTheme="minorHAnsi" w:eastAsia="Times New Roman" w:hAnsiTheme="minorHAnsi" w:cstheme="minorHAnsi"/>
          <w:color w:val="000000" w:themeColor="text1"/>
          <w:sz w:val="24"/>
          <w:szCs w:val="24"/>
        </w:rPr>
        <w:t>, Praha</w:t>
      </w:r>
      <w:r w:rsidRPr="00720F72">
        <w:rPr>
          <w:rFonts w:asciiTheme="minorHAnsi" w:eastAsia="Times New Roman" w:hAnsiTheme="minorHAnsi" w:cstheme="minorHAnsi"/>
          <w:color w:val="000000" w:themeColor="text1"/>
          <w:sz w:val="24"/>
          <w:szCs w:val="24"/>
        </w:rPr>
        <w:t xml:space="preserve"> (dále také „FNB“)</w:t>
      </w:r>
      <w:r w:rsidR="005D02D1" w:rsidRPr="00720F72">
        <w:rPr>
          <w:rFonts w:asciiTheme="minorHAnsi" w:eastAsia="Times New Roman" w:hAnsiTheme="minorHAnsi" w:cstheme="minorHAnsi"/>
          <w:color w:val="000000" w:themeColor="text1"/>
          <w:sz w:val="24"/>
          <w:szCs w:val="24"/>
        </w:rPr>
        <w:t>;</w:t>
      </w:r>
    </w:p>
    <w:p w14:paraId="2751204D" w14:textId="228F3F78" w:rsidR="00EB0251" w:rsidRPr="00720F72" w:rsidRDefault="00EB0251" w:rsidP="00EB0251">
      <w:pPr>
        <w:widowControl/>
        <w:rPr>
          <w:rFonts w:asciiTheme="minorHAnsi" w:eastAsia="Times New Roman" w:hAnsiTheme="minorHAnsi" w:cstheme="minorHAnsi"/>
          <w:color w:val="000000" w:themeColor="text1"/>
          <w:sz w:val="24"/>
          <w:szCs w:val="24"/>
        </w:rPr>
      </w:pPr>
      <w:r w:rsidRPr="00720F72">
        <w:rPr>
          <w:rFonts w:asciiTheme="minorHAnsi" w:eastAsia="Times New Roman" w:hAnsiTheme="minorHAnsi" w:cstheme="minorHAnsi"/>
          <w:color w:val="000000" w:themeColor="text1"/>
          <w:sz w:val="24"/>
          <w:szCs w:val="24"/>
        </w:rPr>
        <w:t>Fakultní nemocnice Královské Vinohrady</w:t>
      </w:r>
      <w:r w:rsidR="00E65A40" w:rsidRPr="00720F72">
        <w:rPr>
          <w:rFonts w:asciiTheme="minorHAnsi" w:eastAsia="Times New Roman" w:hAnsiTheme="minorHAnsi" w:cstheme="minorHAnsi"/>
          <w:color w:val="000000" w:themeColor="text1"/>
          <w:sz w:val="24"/>
          <w:szCs w:val="24"/>
        </w:rPr>
        <w:t>, Praha</w:t>
      </w:r>
      <w:r w:rsidRPr="00720F72">
        <w:rPr>
          <w:rFonts w:asciiTheme="minorHAnsi" w:eastAsia="Times New Roman" w:hAnsiTheme="minorHAnsi" w:cstheme="minorHAnsi"/>
          <w:color w:val="000000" w:themeColor="text1"/>
          <w:sz w:val="24"/>
          <w:szCs w:val="24"/>
        </w:rPr>
        <w:t xml:space="preserve"> (dále také „FNKV“)</w:t>
      </w:r>
      <w:r w:rsidR="005D02D1" w:rsidRPr="00720F72">
        <w:rPr>
          <w:rFonts w:asciiTheme="minorHAnsi" w:eastAsia="Times New Roman" w:hAnsiTheme="minorHAnsi" w:cstheme="minorHAnsi"/>
          <w:color w:val="000000" w:themeColor="text1"/>
          <w:sz w:val="24"/>
          <w:szCs w:val="24"/>
        </w:rPr>
        <w:t>;</w:t>
      </w:r>
    </w:p>
    <w:p w14:paraId="1DB463C3" w14:textId="6C82A805" w:rsidR="00EB0251" w:rsidRPr="00720F72" w:rsidRDefault="00EB0251" w:rsidP="00EB0251">
      <w:pPr>
        <w:widowControl/>
        <w:rPr>
          <w:rFonts w:asciiTheme="minorHAnsi" w:eastAsia="Times New Roman" w:hAnsiTheme="minorHAnsi" w:cstheme="minorHAnsi"/>
          <w:color w:val="000000" w:themeColor="text1"/>
          <w:sz w:val="24"/>
          <w:szCs w:val="24"/>
        </w:rPr>
      </w:pPr>
      <w:r w:rsidRPr="00720F72">
        <w:rPr>
          <w:rFonts w:asciiTheme="minorHAnsi" w:eastAsia="Times New Roman" w:hAnsiTheme="minorHAnsi" w:cstheme="minorHAnsi"/>
          <w:color w:val="000000" w:themeColor="text1"/>
          <w:sz w:val="24"/>
          <w:szCs w:val="24"/>
        </w:rPr>
        <w:t>Fakultní nemocnice u sv. Anny v Brně (dále také „FNUSA“)</w:t>
      </w:r>
      <w:r w:rsidR="005D02D1" w:rsidRPr="00720F72">
        <w:rPr>
          <w:rFonts w:asciiTheme="minorHAnsi" w:eastAsia="Times New Roman" w:hAnsiTheme="minorHAnsi" w:cstheme="minorHAnsi"/>
          <w:color w:val="000000" w:themeColor="text1"/>
          <w:sz w:val="24"/>
          <w:szCs w:val="24"/>
        </w:rPr>
        <w:t>.</w:t>
      </w:r>
    </w:p>
    <w:p w14:paraId="1B575570" w14:textId="77777777" w:rsidR="00246D13" w:rsidRPr="00720F72" w:rsidRDefault="00246D13" w:rsidP="00720F72">
      <w:pPr>
        <w:pStyle w:val="Zkladntext"/>
        <w:rPr>
          <w:rFonts w:asciiTheme="minorHAnsi" w:hAnsiTheme="minorHAnsi" w:cstheme="minorHAnsi"/>
          <w:b w:val="0"/>
          <w:bCs w:val="0"/>
          <w:color w:val="000000" w:themeColor="text1"/>
          <w:sz w:val="24"/>
          <w:szCs w:val="24"/>
        </w:rPr>
      </w:pPr>
    </w:p>
    <w:p w14:paraId="315A236B" w14:textId="2B9B03C2" w:rsidR="002F4B9F" w:rsidRPr="00720F72" w:rsidRDefault="002F4B9F" w:rsidP="00720F72">
      <w:pPr>
        <w:pStyle w:val="Zkladntext"/>
        <w:rPr>
          <w:rFonts w:asciiTheme="minorHAnsi" w:hAnsiTheme="minorHAnsi" w:cstheme="minorHAnsi"/>
          <w:b w:val="0"/>
          <w:strike/>
          <w:color w:val="000000" w:themeColor="text1"/>
          <w:sz w:val="24"/>
          <w:szCs w:val="24"/>
          <w:highlight w:val="yellow"/>
        </w:rPr>
      </w:pPr>
    </w:p>
    <w:p w14:paraId="194BEA11" w14:textId="77777777" w:rsidR="00413A49" w:rsidRPr="00720F72" w:rsidRDefault="00413A49" w:rsidP="00720F72">
      <w:pPr>
        <w:pStyle w:val="Zkladntext"/>
        <w:rPr>
          <w:rFonts w:asciiTheme="minorHAnsi" w:hAnsiTheme="minorHAnsi" w:cstheme="minorHAnsi"/>
          <w:b w:val="0"/>
          <w:iCs/>
          <w:color w:val="000000" w:themeColor="text1"/>
          <w:sz w:val="24"/>
          <w:szCs w:val="24"/>
        </w:rPr>
      </w:pPr>
    </w:p>
    <w:p w14:paraId="00756004" w14:textId="0D143E4C" w:rsidR="00246D13" w:rsidRPr="00720F72" w:rsidRDefault="00246D13" w:rsidP="00246D13">
      <w:pPr>
        <w:pStyle w:val="Zkladntext"/>
        <w:spacing w:after="120"/>
        <w:rPr>
          <w:rFonts w:asciiTheme="minorHAnsi" w:hAnsiTheme="minorHAnsi" w:cstheme="minorHAnsi"/>
          <w:b w:val="0"/>
          <w:bCs w:val="0"/>
          <w:color w:val="000000" w:themeColor="text1"/>
          <w:sz w:val="24"/>
          <w:szCs w:val="24"/>
        </w:rPr>
      </w:pPr>
      <w:r w:rsidRPr="00720F72">
        <w:rPr>
          <w:rFonts w:asciiTheme="minorHAnsi" w:hAnsiTheme="minorHAnsi" w:cstheme="minorHAnsi"/>
          <w:i/>
          <w:iCs/>
          <w:color w:val="000000" w:themeColor="text1"/>
          <w:sz w:val="24"/>
          <w:szCs w:val="24"/>
        </w:rPr>
        <w:t>K o l e g i u m   N K Ú</w:t>
      </w:r>
      <w:r w:rsidRPr="00720F72">
        <w:rPr>
          <w:rFonts w:asciiTheme="minorHAnsi" w:hAnsiTheme="minorHAnsi" w:cstheme="minorHAnsi"/>
          <w:b w:val="0"/>
          <w:i/>
          <w:iCs/>
          <w:color w:val="000000" w:themeColor="text1"/>
          <w:sz w:val="24"/>
          <w:szCs w:val="24"/>
        </w:rPr>
        <w:t xml:space="preserve">   </w:t>
      </w:r>
      <w:r w:rsidRPr="00720F72">
        <w:rPr>
          <w:rFonts w:asciiTheme="minorHAnsi" w:hAnsiTheme="minorHAnsi" w:cstheme="minorHAnsi"/>
          <w:b w:val="0"/>
          <w:bCs w:val="0"/>
          <w:color w:val="000000" w:themeColor="text1"/>
          <w:sz w:val="24"/>
          <w:szCs w:val="24"/>
        </w:rPr>
        <w:t>na svém</w:t>
      </w:r>
      <w:r w:rsidR="00191BE2" w:rsidRPr="00720F72">
        <w:rPr>
          <w:rFonts w:asciiTheme="minorHAnsi" w:hAnsiTheme="minorHAnsi" w:cstheme="minorHAnsi"/>
          <w:b w:val="0"/>
          <w:bCs w:val="0"/>
          <w:color w:val="000000" w:themeColor="text1"/>
          <w:sz w:val="24"/>
          <w:szCs w:val="24"/>
        </w:rPr>
        <w:t xml:space="preserve"> </w:t>
      </w:r>
      <w:r w:rsidR="007D61B5" w:rsidRPr="00720F72">
        <w:rPr>
          <w:rFonts w:asciiTheme="minorHAnsi" w:hAnsiTheme="minorHAnsi" w:cstheme="minorHAnsi"/>
          <w:b w:val="0"/>
          <w:bCs w:val="0"/>
          <w:color w:val="000000" w:themeColor="text1"/>
          <w:sz w:val="24"/>
          <w:szCs w:val="24"/>
        </w:rPr>
        <w:t>X</w:t>
      </w:r>
      <w:r w:rsidR="00736338" w:rsidRPr="00720F72">
        <w:rPr>
          <w:rFonts w:asciiTheme="minorHAnsi" w:hAnsiTheme="minorHAnsi" w:cstheme="minorHAnsi"/>
          <w:b w:val="0"/>
          <w:bCs w:val="0"/>
          <w:color w:val="000000" w:themeColor="text1"/>
          <w:sz w:val="24"/>
          <w:szCs w:val="24"/>
        </w:rPr>
        <w:t>.</w:t>
      </w:r>
      <w:r w:rsidR="00C05FFC" w:rsidRPr="00720F72">
        <w:rPr>
          <w:rFonts w:asciiTheme="minorHAnsi" w:hAnsiTheme="minorHAnsi" w:cstheme="minorHAnsi"/>
          <w:b w:val="0"/>
          <w:bCs w:val="0"/>
          <w:color w:val="000000" w:themeColor="text1"/>
          <w:sz w:val="24"/>
          <w:szCs w:val="24"/>
        </w:rPr>
        <w:t xml:space="preserve"> </w:t>
      </w:r>
      <w:r w:rsidRPr="00720F72">
        <w:rPr>
          <w:rFonts w:asciiTheme="minorHAnsi" w:hAnsiTheme="minorHAnsi" w:cstheme="minorHAnsi"/>
          <w:b w:val="0"/>
          <w:bCs w:val="0"/>
          <w:color w:val="000000" w:themeColor="text1"/>
          <w:sz w:val="24"/>
          <w:szCs w:val="24"/>
        </w:rPr>
        <w:t xml:space="preserve">jednání, které se konalo dne </w:t>
      </w:r>
      <w:r w:rsidR="00DE6DE5" w:rsidRPr="00720F72">
        <w:rPr>
          <w:rFonts w:asciiTheme="minorHAnsi" w:hAnsiTheme="minorHAnsi" w:cstheme="minorHAnsi"/>
          <w:b w:val="0"/>
          <w:bCs w:val="0"/>
          <w:color w:val="000000" w:themeColor="text1"/>
          <w:sz w:val="24"/>
          <w:szCs w:val="24"/>
        </w:rPr>
        <w:t xml:space="preserve">17. července </w:t>
      </w:r>
      <w:r w:rsidRPr="00720F72">
        <w:rPr>
          <w:rFonts w:asciiTheme="minorHAnsi" w:hAnsiTheme="minorHAnsi" w:cstheme="minorHAnsi"/>
          <w:b w:val="0"/>
          <w:bCs w:val="0"/>
          <w:color w:val="000000" w:themeColor="text1"/>
          <w:sz w:val="24"/>
          <w:szCs w:val="24"/>
        </w:rPr>
        <w:t>20</w:t>
      </w:r>
      <w:r w:rsidR="006553F3" w:rsidRPr="00720F72">
        <w:rPr>
          <w:rFonts w:asciiTheme="minorHAnsi" w:hAnsiTheme="minorHAnsi" w:cstheme="minorHAnsi"/>
          <w:b w:val="0"/>
          <w:bCs w:val="0"/>
          <w:color w:val="000000" w:themeColor="text1"/>
          <w:sz w:val="24"/>
          <w:szCs w:val="24"/>
        </w:rPr>
        <w:t>2</w:t>
      </w:r>
      <w:r w:rsidR="00EB0251" w:rsidRPr="00720F72">
        <w:rPr>
          <w:rFonts w:asciiTheme="minorHAnsi" w:hAnsiTheme="minorHAnsi" w:cstheme="minorHAnsi"/>
          <w:b w:val="0"/>
          <w:bCs w:val="0"/>
          <w:color w:val="000000" w:themeColor="text1"/>
          <w:sz w:val="24"/>
          <w:szCs w:val="24"/>
        </w:rPr>
        <w:t>3</w:t>
      </w:r>
      <w:r w:rsidRPr="00720F72">
        <w:rPr>
          <w:rFonts w:asciiTheme="minorHAnsi" w:hAnsiTheme="minorHAnsi" w:cstheme="minorHAnsi"/>
          <w:b w:val="0"/>
          <w:bCs w:val="0"/>
          <w:color w:val="000000" w:themeColor="text1"/>
          <w:sz w:val="24"/>
          <w:szCs w:val="24"/>
        </w:rPr>
        <w:t>,</w:t>
      </w:r>
    </w:p>
    <w:p w14:paraId="31F12104" w14:textId="6E1EA710" w:rsidR="00246D13" w:rsidRPr="00720F72" w:rsidRDefault="00246D13" w:rsidP="00246D13">
      <w:pPr>
        <w:spacing w:after="120"/>
        <w:rPr>
          <w:rFonts w:asciiTheme="minorHAnsi" w:hAnsiTheme="minorHAnsi" w:cstheme="minorHAnsi"/>
          <w:color w:val="000000" w:themeColor="text1"/>
          <w:sz w:val="24"/>
          <w:szCs w:val="24"/>
        </w:rPr>
      </w:pPr>
      <w:r w:rsidRPr="00720F72">
        <w:rPr>
          <w:rFonts w:asciiTheme="minorHAnsi" w:hAnsiTheme="minorHAnsi" w:cstheme="minorHAnsi"/>
          <w:b/>
          <w:bCs/>
          <w:i/>
          <w:iCs/>
          <w:color w:val="000000" w:themeColor="text1"/>
          <w:sz w:val="24"/>
          <w:szCs w:val="24"/>
        </w:rPr>
        <w:t>s c h v á l i l o</w:t>
      </w:r>
      <w:r w:rsidRPr="00720F72">
        <w:rPr>
          <w:rFonts w:asciiTheme="minorHAnsi" w:hAnsiTheme="minorHAnsi" w:cstheme="minorHAnsi"/>
          <w:color w:val="000000" w:themeColor="text1"/>
          <w:sz w:val="24"/>
          <w:szCs w:val="24"/>
        </w:rPr>
        <w:t xml:space="preserve">   usnesením č. </w:t>
      </w:r>
      <w:r w:rsidR="00624296" w:rsidRPr="00720F72">
        <w:rPr>
          <w:rFonts w:asciiTheme="minorHAnsi" w:hAnsiTheme="minorHAnsi" w:cstheme="minorHAnsi"/>
          <w:color w:val="000000" w:themeColor="text1"/>
          <w:sz w:val="24"/>
          <w:szCs w:val="24"/>
        </w:rPr>
        <w:t>13</w:t>
      </w:r>
      <w:r w:rsidRPr="00720F72">
        <w:rPr>
          <w:rFonts w:asciiTheme="minorHAnsi" w:hAnsiTheme="minorHAnsi" w:cstheme="minorHAnsi"/>
          <w:color w:val="000000" w:themeColor="text1"/>
          <w:sz w:val="24"/>
          <w:szCs w:val="24"/>
        </w:rPr>
        <w:t>/</w:t>
      </w:r>
      <w:r w:rsidR="007D61B5" w:rsidRPr="00720F72">
        <w:rPr>
          <w:rFonts w:asciiTheme="minorHAnsi" w:hAnsiTheme="minorHAnsi" w:cstheme="minorHAnsi"/>
          <w:color w:val="000000" w:themeColor="text1"/>
          <w:sz w:val="24"/>
          <w:szCs w:val="24"/>
        </w:rPr>
        <w:t>X</w:t>
      </w:r>
      <w:r w:rsidR="00C05FFC" w:rsidRPr="00720F72">
        <w:rPr>
          <w:rFonts w:asciiTheme="minorHAnsi" w:hAnsiTheme="minorHAnsi" w:cstheme="minorHAnsi"/>
          <w:color w:val="000000" w:themeColor="text1"/>
          <w:sz w:val="24"/>
          <w:szCs w:val="24"/>
        </w:rPr>
        <w:t>/202</w:t>
      </w:r>
      <w:r w:rsidR="00EB0251" w:rsidRPr="00720F72">
        <w:rPr>
          <w:rFonts w:asciiTheme="minorHAnsi" w:hAnsiTheme="minorHAnsi" w:cstheme="minorHAnsi"/>
          <w:color w:val="000000" w:themeColor="text1"/>
          <w:sz w:val="24"/>
          <w:szCs w:val="24"/>
        </w:rPr>
        <w:t>3</w:t>
      </w:r>
    </w:p>
    <w:p w14:paraId="0A8C6CB3" w14:textId="176866E7" w:rsidR="00720F72" w:rsidRDefault="00246D13" w:rsidP="00246D13">
      <w:pPr>
        <w:spacing w:after="120"/>
        <w:rPr>
          <w:rFonts w:asciiTheme="minorHAnsi" w:hAnsiTheme="minorHAnsi" w:cstheme="minorHAnsi"/>
          <w:color w:val="000000" w:themeColor="text1"/>
          <w:sz w:val="24"/>
          <w:szCs w:val="24"/>
        </w:rPr>
      </w:pPr>
      <w:r w:rsidRPr="00720F72">
        <w:rPr>
          <w:rFonts w:asciiTheme="minorHAnsi" w:hAnsiTheme="minorHAnsi" w:cstheme="minorHAnsi"/>
          <w:b/>
          <w:bCs/>
          <w:i/>
          <w:iCs/>
          <w:color w:val="000000" w:themeColor="text1"/>
          <w:sz w:val="24"/>
          <w:szCs w:val="24"/>
        </w:rPr>
        <w:t>k o n t r o l n í   z á v ě r</w:t>
      </w:r>
      <w:r w:rsidRPr="00720F72">
        <w:rPr>
          <w:rFonts w:asciiTheme="minorHAnsi" w:hAnsiTheme="minorHAnsi" w:cstheme="minorHAnsi"/>
          <w:color w:val="000000" w:themeColor="text1"/>
          <w:sz w:val="24"/>
          <w:szCs w:val="24"/>
        </w:rPr>
        <w:t xml:space="preserve">   v tomto znění:</w:t>
      </w:r>
    </w:p>
    <w:p w14:paraId="1B406C95" w14:textId="77777777" w:rsidR="00720F72" w:rsidRDefault="00720F72">
      <w:pPr>
        <w:widowControl/>
        <w:autoSpaceDE/>
        <w:autoSpaceDN/>
        <w:adjustRightInd/>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page"/>
      </w:r>
    </w:p>
    <w:p w14:paraId="6A111CD1" w14:textId="77777777" w:rsidR="002866EA" w:rsidRPr="0013289D" w:rsidRDefault="002866EA" w:rsidP="0013289D">
      <w:pPr>
        <w:shd w:val="clear" w:color="auto" w:fill="FFFFFF"/>
        <w:jc w:val="center"/>
        <w:rPr>
          <w:rFonts w:asciiTheme="minorHAnsi" w:hAnsiTheme="minorHAnsi" w:cstheme="minorHAnsi"/>
          <w:b/>
          <w:bCs/>
          <w:color w:val="FFFFFF" w:themeColor="background1"/>
          <w:sz w:val="24"/>
          <w:szCs w:val="24"/>
        </w:rPr>
      </w:pPr>
      <w:bookmarkStart w:id="3" w:name="_Hlk130907368"/>
    </w:p>
    <w:p w14:paraId="5A86D443" w14:textId="77777777" w:rsidR="002866EA" w:rsidRPr="0013289D" w:rsidRDefault="002866EA" w:rsidP="0013289D">
      <w:pPr>
        <w:shd w:val="clear" w:color="auto" w:fill="FFFFFF"/>
        <w:jc w:val="center"/>
        <w:rPr>
          <w:rFonts w:asciiTheme="minorHAnsi" w:hAnsiTheme="minorHAnsi" w:cstheme="minorHAnsi"/>
          <w:b/>
          <w:bCs/>
          <w:color w:val="FFFFFF" w:themeColor="background1"/>
          <w:sz w:val="24"/>
          <w:szCs w:val="24"/>
        </w:rPr>
      </w:pPr>
    </w:p>
    <w:p w14:paraId="2731C99F" w14:textId="77777777" w:rsidR="002866EA" w:rsidRPr="0013289D" w:rsidRDefault="002866EA" w:rsidP="0013289D">
      <w:pPr>
        <w:shd w:val="clear" w:color="auto" w:fill="FFFFFF"/>
        <w:jc w:val="center"/>
        <w:rPr>
          <w:rFonts w:asciiTheme="minorHAnsi" w:hAnsiTheme="minorHAnsi" w:cstheme="minorHAnsi"/>
          <w:b/>
          <w:bCs/>
          <w:color w:val="FFFFFF" w:themeColor="background1"/>
          <w:sz w:val="24"/>
          <w:szCs w:val="24"/>
        </w:rPr>
      </w:pPr>
    </w:p>
    <w:p w14:paraId="0580BB3D" w14:textId="018A06C1" w:rsidR="00C57D6F" w:rsidRPr="002866EA" w:rsidRDefault="00C57D6F" w:rsidP="0013289D">
      <w:pPr>
        <w:shd w:val="clear" w:color="auto" w:fill="FFFFFF"/>
        <w:jc w:val="center"/>
        <w:rPr>
          <w:rFonts w:ascii="Calibri" w:hAnsi="Calibri" w:cs="Calibri"/>
          <w:b/>
          <w:bCs/>
          <w:sz w:val="40"/>
          <w:szCs w:val="24"/>
        </w:rPr>
      </w:pPr>
      <w:r w:rsidRPr="002866EA">
        <w:rPr>
          <w:rFonts w:ascii="Calibri" w:hAnsi="Calibri" w:cs="Calibri"/>
          <w:b/>
          <w:bCs/>
          <w:sz w:val="40"/>
          <w:szCs w:val="24"/>
        </w:rPr>
        <w:t xml:space="preserve">Hospodaření </w:t>
      </w:r>
      <w:r w:rsidR="00A72CCC" w:rsidRPr="002866EA">
        <w:rPr>
          <w:rFonts w:ascii="Calibri" w:hAnsi="Calibri" w:cs="Calibri"/>
          <w:b/>
          <w:bCs/>
          <w:sz w:val="40"/>
          <w:szCs w:val="24"/>
        </w:rPr>
        <w:t xml:space="preserve">vybraných </w:t>
      </w:r>
      <w:r w:rsidRPr="002866EA">
        <w:rPr>
          <w:rFonts w:ascii="Calibri" w:hAnsi="Calibri" w:cs="Calibri"/>
          <w:b/>
          <w:bCs/>
          <w:sz w:val="40"/>
          <w:szCs w:val="24"/>
        </w:rPr>
        <w:t>fakultních nemocnic</w:t>
      </w:r>
    </w:p>
    <w:p w14:paraId="640A4BB4" w14:textId="77777777" w:rsidR="004B7E0E" w:rsidRDefault="004B7E0E" w:rsidP="0013289D">
      <w:pPr>
        <w:shd w:val="clear" w:color="auto" w:fill="FFFFFF"/>
        <w:jc w:val="center"/>
        <w:rPr>
          <w:rFonts w:asciiTheme="minorHAnsi" w:hAnsiTheme="minorHAnsi" w:cstheme="minorHAnsi"/>
          <w:b/>
          <w:bCs/>
          <w:sz w:val="24"/>
          <w:szCs w:val="24"/>
        </w:rPr>
      </w:pPr>
    </w:p>
    <w:p w14:paraId="369BC763" w14:textId="6C8FCF22" w:rsidR="00C57D6F" w:rsidRPr="00876097" w:rsidRDefault="00C57D6F" w:rsidP="0013289D">
      <w:pPr>
        <w:shd w:val="clear" w:color="auto" w:fill="FFFFFF"/>
        <w:jc w:val="center"/>
        <w:rPr>
          <w:rFonts w:asciiTheme="minorHAnsi" w:hAnsiTheme="minorHAnsi" w:cstheme="minorHAnsi"/>
          <w:b/>
          <w:bCs/>
          <w:sz w:val="24"/>
          <w:szCs w:val="24"/>
        </w:rPr>
      </w:pPr>
      <w:r w:rsidRPr="00876097">
        <w:rPr>
          <w:rFonts w:ascii="Times New Roman" w:eastAsiaTheme="minorHAnsi" w:hAnsi="Times New Roman" w:cs="Times New Roman"/>
          <w:noProof/>
          <w:sz w:val="24"/>
          <w:szCs w:val="24"/>
        </w:rPr>
        <mc:AlternateContent>
          <mc:Choice Requires="wps">
            <w:drawing>
              <wp:anchor distT="0" distB="0" distL="114300" distR="114300" simplePos="0" relativeHeight="251667456" behindDoc="0" locked="0" layoutInCell="1" allowOverlap="1" wp14:anchorId="51F47C7B" wp14:editId="0125D3AA">
                <wp:simplePos x="0" y="0"/>
                <wp:positionH relativeFrom="column">
                  <wp:posOffset>3121660</wp:posOffset>
                </wp:positionH>
                <wp:positionV relativeFrom="paragraph">
                  <wp:posOffset>421640</wp:posOffset>
                </wp:positionV>
                <wp:extent cx="2268000" cy="1270635"/>
                <wp:effectExtent l="0" t="0" r="18415" b="24765"/>
                <wp:wrapTopAndBottom/>
                <wp:docPr id="8" name="Obdélník: se zakulacenými rohy 8"/>
                <wp:cNvGraphicFramePr/>
                <a:graphic xmlns:a="http://schemas.openxmlformats.org/drawingml/2006/main">
                  <a:graphicData uri="http://schemas.microsoft.com/office/word/2010/wordprocessingShape">
                    <wps:wsp>
                      <wps:cNvSpPr/>
                      <wps:spPr>
                        <a:xfrm>
                          <a:off x="0" y="0"/>
                          <a:ext cx="2268000" cy="1270635"/>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5F7D84" w14:textId="77777777" w:rsidR="006842B7" w:rsidRPr="006A0480" w:rsidRDefault="006842B7" w:rsidP="00C57D6F">
                            <w:pPr>
                              <w:jc w:val="center"/>
                              <w:rPr>
                                <w:rFonts w:ascii="Calibri" w:hAnsi="Calibri" w:cs="Calibri"/>
                                <w:b/>
                                <w:sz w:val="36"/>
                                <w:szCs w:val="36"/>
                              </w:rPr>
                            </w:pPr>
                            <w:r w:rsidRPr="006A0480">
                              <w:rPr>
                                <w:rFonts w:ascii="Calibri" w:hAnsi="Calibri" w:cs="Calibri"/>
                                <w:b/>
                                <w:sz w:val="36"/>
                                <w:szCs w:val="36"/>
                              </w:rPr>
                              <w:t>4,8 mld. Kč</w:t>
                            </w:r>
                          </w:p>
                          <w:p w14:paraId="495F18A7" w14:textId="6E913FF6" w:rsidR="006842B7" w:rsidRPr="006A0480" w:rsidRDefault="006842B7" w:rsidP="00C57D6F">
                            <w:pPr>
                              <w:jc w:val="center"/>
                              <w:rPr>
                                <w:rFonts w:ascii="Calibri" w:hAnsi="Calibri" w:cs="Calibri"/>
                                <w:b/>
                                <w:spacing w:val="-4"/>
                                <w:sz w:val="28"/>
                                <w:szCs w:val="24"/>
                              </w:rPr>
                            </w:pPr>
                            <w:r w:rsidRPr="006A0480">
                              <w:rPr>
                                <w:rFonts w:ascii="Calibri" w:hAnsi="Calibri" w:cs="Calibri"/>
                                <w:b/>
                                <w:spacing w:val="-4"/>
                                <w:sz w:val="28"/>
                                <w:szCs w:val="24"/>
                              </w:rPr>
                              <w:t xml:space="preserve">Kontrolovaný objem peněžních prostředků </w:t>
                            </w:r>
                            <w:proofErr w:type="spellStart"/>
                            <w:r w:rsidRPr="006A0480">
                              <w:rPr>
                                <w:rFonts w:ascii="Calibri" w:hAnsi="Calibri" w:cs="Calibri"/>
                                <w:b/>
                                <w:spacing w:val="-4"/>
                                <w:sz w:val="28"/>
                                <w:szCs w:val="24"/>
                              </w:rPr>
                              <w:t>MZ</w:t>
                            </w:r>
                            <w:r>
                              <w:rPr>
                                <w:rFonts w:ascii="Calibri" w:hAnsi="Calibri" w:cs="Calibri"/>
                                <w:b/>
                                <w:spacing w:val="-4"/>
                                <w:sz w:val="28"/>
                                <w:szCs w:val="24"/>
                              </w:rPr>
                              <w:t>d</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47C7B" id="Obdélník: se zakulacenými rohy 8" o:spid="_x0000_s1026" style="position:absolute;left:0;text-align:left;margin-left:245.8pt;margin-top:33.2pt;width:178.6pt;height:10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" fillcolor="#004595" strokecolor="#1f4d78 [1604]" strokeweight="1pt">
                <v:stroke joinstyle="miter"/>
                <v:textbox>
                  <w:txbxContent>
                    <w:p w14:paraId="6B5F7D84" w14:textId="77777777" w:rsidR="006842B7" w:rsidRPr="006A0480" w:rsidRDefault="006842B7" w:rsidP="00C57D6F">
                      <w:pPr>
                        <w:jc w:val="center"/>
                        <w:rPr>
                          <w:rFonts w:ascii="Calibri" w:hAnsi="Calibri" w:cs="Calibri"/>
                          <w:b/>
                          <w:sz w:val="36"/>
                          <w:szCs w:val="36"/>
                        </w:rPr>
                      </w:pPr>
                      <w:r w:rsidRPr="006A0480">
                        <w:rPr>
                          <w:rFonts w:ascii="Calibri" w:hAnsi="Calibri" w:cs="Calibri"/>
                          <w:b/>
                          <w:sz w:val="36"/>
                          <w:szCs w:val="36"/>
                        </w:rPr>
                        <w:t>4,8 mld. Kč</w:t>
                      </w:r>
                    </w:p>
                    <w:p w14:paraId="495F18A7" w14:textId="6E913FF6" w:rsidR="006842B7" w:rsidRPr="006A0480" w:rsidRDefault="006842B7" w:rsidP="00C57D6F">
                      <w:pPr>
                        <w:jc w:val="center"/>
                        <w:rPr>
                          <w:rFonts w:ascii="Calibri" w:hAnsi="Calibri" w:cs="Calibri"/>
                          <w:b/>
                          <w:spacing w:val="-4"/>
                          <w:sz w:val="28"/>
                          <w:szCs w:val="24"/>
                        </w:rPr>
                      </w:pPr>
                      <w:r w:rsidRPr="006A0480">
                        <w:rPr>
                          <w:rFonts w:ascii="Calibri" w:hAnsi="Calibri" w:cs="Calibri"/>
                          <w:b/>
                          <w:spacing w:val="-4"/>
                          <w:sz w:val="28"/>
                          <w:szCs w:val="24"/>
                        </w:rPr>
                        <w:t>Kontrolovaný objem peněžních prostředků MZ</w:t>
                      </w:r>
                      <w:r>
                        <w:rPr>
                          <w:rFonts w:ascii="Calibri" w:hAnsi="Calibri" w:cs="Calibri"/>
                          <w:b/>
                          <w:spacing w:val="-4"/>
                          <w:sz w:val="28"/>
                          <w:szCs w:val="24"/>
                        </w:rPr>
                        <w:t>d</w:t>
                      </w:r>
                    </w:p>
                  </w:txbxContent>
                </v:textbox>
                <w10:wrap type="topAndBottom"/>
              </v:roundrect>
            </w:pict>
          </mc:Fallback>
        </mc:AlternateContent>
      </w:r>
      <w:r w:rsidRPr="00876097">
        <w:rPr>
          <w:rFonts w:ascii="Times New Roman" w:eastAsiaTheme="minorHAnsi" w:hAnsi="Times New Roman" w:cs="Times New Roman"/>
          <w:noProof/>
          <w:sz w:val="24"/>
          <w:szCs w:val="24"/>
        </w:rPr>
        <mc:AlternateContent>
          <mc:Choice Requires="wps">
            <w:drawing>
              <wp:anchor distT="0" distB="0" distL="114300" distR="114300" simplePos="0" relativeHeight="251660288" behindDoc="0" locked="0" layoutInCell="1" allowOverlap="1" wp14:anchorId="79F6C496" wp14:editId="6AC34B4B">
                <wp:simplePos x="0" y="0"/>
                <wp:positionH relativeFrom="column">
                  <wp:posOffset>592455</wp:posOffset>
                </wp:positionH>
                <wp:positionV relativeFrom="paragraph">
                  <wp:posOffset>438150</wp:posOffset>
                </wp:positionV>
                <wp:extent cx="2207105" cy="1270185"/>
                <wp:effectExtent l="0" t="0" r="22225" b="25400"/>
                <wp:wrapTopAndBottom/>
                <wp:docPr id="5" name="Obdélník: se zakulacenými rohy 5"/>
                <wp:cNvGraphicFramePr/>
                <a:graphic xmlns:a="http://schemas.openxmlformats.org/drawingml/2006/main">
                  <a:graphicData uri="http://schemas.microsoft.com/office/word/2010/wordprocessingShape">
                    <wps:wsp>
                      <wps:cNvSpPr/>
                      <wps:spPr>
                        <a:xfrm>
                          <a:off x="0" y="0"/>
                          <a:ext cx="2207105" cy="1270185"/>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C36B08" w14:textId="77777777" w:rsidR="006842B7" w:rsidRPr="006A0480" w:rsidRDefault="006842B7" w:rsidP="003F4D68">
                            <w:pPr>
                              <w:jc w:val="center"/>
                              <w:rPr>
                                <w:rFonts w:ascii="Calibri" w:hAnsi="Calibri" w:cs="Calibri"/>
                                <w:b/>
                                <w:sz w:val="36"/>
                                <w:szCs w:val="36"/>
                              </w:rPr>
                            </w:pPr>
                            <w:r w:rsidRPr="006A0480">
                              <w:rPr>
                                <w:rFonts w:ascii="Calibri" w:hAnsi="Calibri" w:cs="Calibri"/>
                                <w:b/>
                                <w:sz w:val="36"/>
                                <w:szCs w:val="36"/>
                              </w:rPr>
                              <w:t>2,4 mld. Kč</w:t>
                            </w:r>
                          </w:p>
                          <w:p w14:paraId="50EDFF13" w14:textId="273E3061" w:rsidR="006842B7" w:rsidRPr="006A0480" w:rsidRDefault="006842B7" w:rsidP="003F4D68">
                            <w:pPr>
                              <w:jc w:val="center"/>
                              <w:rPr>
                                <w:rFonts w:ascii="Calibri" w:hAnsi="Calibri" w:cs="Calibri"/>
                                <w:b/>
                                <w:sz w:val="28"/>
                                <w:szCs w:val="24"/>
                              </w:rPr>
                            </w:pPr>
                            <w:r w:rsidRPr="006A0480">
                              <w:rPr>
                                <w:rFonts w:ascii="Calibri" w:hAnsi="Calibri" w:cs="Calibri"/>
                                <w:b/>
                                <w:sz w:val="28"/>
                                <w:szCs w:val="24"/>
                              </w:rPr>
                              <w:t>Kontrolovaný objem peněžních prostředků FN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6C496" id="Obdélník: se zakulacenými rohy 5" o:spid="_x0000_s1027" style="position:absolute;left:0;text-align:left;margin-left:46.65pt;margin-top:34.5pt;width:173.8pt;height:10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" fillcolor="#004595" strokecolor="#1f4d78 [1604]" strokeweight="1pt">
                <v:stroke joinstyle="miter"/>
                <v:textbox>
                  <w:txbxContent>
                    <w:p w14:paraId="51C36B08" w14:textId="77777777" w:rsidR="006842B7" w:rsidRPr="006A0480" w:rsidRDefault="006842B7" w:rsidP="003F4D68">
                      <w:pPr>
                        <w:jc w:val="center"/>
                        <w:rPr>
                          <w:rFonts w:ascii="Calibri" w:hAnsi="Calibri" w:cs="Calibri"/>
                          <w:b/>
                          <w:sz w:val="36"/>
                          <w:szCs w:val="36"/>
                        </w:rPr>
                      </w:pPr>
                      <w:r w:rsidRPr="006A0480">
                        <w:rPr>
                          <w:rFonts w:ascii="Calibri" w:hAnsi="Calibri" w:cs="Calibri"/>
                          <w:b/>
                          <w:sz w:val="36"/>
                          <w:szCs w:val="36"/>
                        </w:rPr>
                        <w:t>2,4 mld. Kč</w:t>
                      </w:r>
                    </w:p>
                    <w:p w14:paraId="50EDFF13" w14:textId="273E3061" w:rsidR="006842B7" w:rsidRPr="006A0480" w:rsidRDefault="006842B7" w:rsidP="003F4D68">
                      <w:pPr>
                        <w:jc w:val="center"/>
                        <w:rPr>
                          <w:rFonts w:ascii="Calibri" w:hAnsi="Calibri" w:cs="Calibri"/>
                          <w:b/>
                          <w:sz w:val="28"/>
                          <w:szCs w:val="24"/>
                        </w:rPr>
                      </w:pPr>
                      <w:r w:rsidRPr="006A0480">
                        <w:rPr>
                          <w:rFonts w:ascii="Calibri" w:hAnsi="Calibri" w:cs="Calibri"/>
                          <w:b/>
                          <w:sz w:val="28"/>
                          <w:szCs w:val="24"/>
                        </w:rPr>
                        <w:t>Kontrolovaný objem peněžních prostředků FN</w:t>
                      </w:r>
                    </w:p>
                  </w:txbxContent>
                </v:textbox>
                <w10:wrap type="topAndBottom"/>
              </v:roundrect>
            </w:pict>
          </mc:Fallback>
        </mc:AlternateContent>
      </w:r>
    </w:p>
    <w:p w14:paraId="113CEB99" w14:textId="2B349EAD" w:rsidR="00C57D6F" w:rsidRPr="00876097" w:rsidRDefault="00C57D6F" w:rsidP="003F4D68">
      <w:pPr>
        <w:shd w:val="clear" w:color="auto" w:fill="FFFFFF"/>
        <w:jc w:val="center"/>
        <w:rPr>
          <w:rFonts w:asciiTheme="minorHAnsi" w:hAnsiTheme="minorHAnsi" w:cstheme="minorHAnsi"/>
          <w:b/>
          <w:bCs/>
          <w:sz w:val="24"/>
          <w:szCs w:val="24"/>
        </w:rPr>
      </w:pPr>
    </w:p>
    <w:p w14:paraId="1CB8219A" w14:textId="1693071A" w:rsidR="004D5446" w:rsidRDefault="004D5446" w:rsidP="003F4D68">
      <w:pPr>
        <w:shd w:val="clear" w:color="auto" w:fill="FFFFFF"/>
        <w:jc w:val="center"/>
        <w:rPr>
          <w:rFonts w:asciiTheme="minorHAnsi" w:hAnsiTheme="minorHAnsi" w:cstheme="minorHAnsi"/>
          <w:b/>
          <w:bCs/>
          <w:sz w:val="24"/>
          <w:szCs w:val="24"/>
        </w:rPr>
      </w:pPr>
    </w:p>
    <w:p w14:paraId="218437EE" w14:textId="686263E0" w:rsidR="006A0480" w:rsidRDefault="006A0480" w:rsidP="0013289D">
      <w:pPr>
        <w:shd w:val="clear" w:color="auto" w:fill="FFFFFF"/>
        <w:jc w:val="center"/>
        <w:rPr>
          <w:rFonts w:asciiTheme="minorHAnsi" w:hAnsiTheme="minorHAnsi" w:cstheme="minorHAnsi"/>
          <w:b/>
          <w:bCs/>
          <w:sz w:val="24"/>
          <w:szCs w:val="24"/>
        </w:rPr>
      </w:pPr>
    </w:p>
    <w:p w14:paraId="219E6DFB" w14:textId="77777777" w:rsidR="006A0480" w:rsidRPr="00876097" w:rsidRDefault="006A0480" w:rsidP="0013289D">
      <w:pPr>
        <w:shd w:val="clear" w:color="auto" w:fill="FFFFFF"/>
        <w:jc w:val="center"/>
        <w:rPr>
          <w:rFonts w:asciiTheme="minorHAnsi" w:hAnsiTheme="minorHAnsi" w:cstheme="minorHAnsi"/>
          <w:b/>
          <w:bCs/>
          <w:sz w:val="24"/>
          <w:szCs w:val="24"/>
        </w:rPr>
      </w:pPr>
    </w:p>
    <w:p w14:paraId="6926FCC2" w14:textId="69A7D519" w:rsidR="00C57D6F" w:rsidRDefault="004D5446" w:rsidP="0013289D">
      <w:pPr>
        <w:shd w:val="clear" w:color="auto" w:fill="FFFFFF"/>
        <w:jc w:val="center"/>
        <w:rPr>
          <w:rFonts w:asciiTheme="minorHAnsi" w:hAnsiTheme="minorHAnsi" w:cstheme="minorHAnsi"/>
          <w:b/>
          <w:sz w:val="24"/>
          <w:szCs w:val="24"/>
        </w:rPr>
      </w:pPr>
      <w:r w:rsidRPr="00876097">
        <w:rPr>
          <w:rFonts w:asciiTheme="minorHAnsi" w:hAnsiTheme="minorHAnsi" w:cstheme="minorHAnsi"/>
          <w:b/>
          <w:sz w:val="24"/>
          <w:szCs w:val="24"/>
        </w:rPr>
        <w:t>Nehospodárně použité peněžní prostředky související s</w:t>
      </w:r>
      <w:r w:rsidR="006A0480">
        <w:rPr>
          <w:rFonts w:asciiTheme="minorHAnsi" w:hAnsiTheme="minorHAnsi" w:cstheme="minorHAnsi"/>
          <w:b/>
          <w:sz w:val="24"/>
          <w:szCs w:val="24"/>
        </w:rPr>
        <w:t> </w:t>
      </w:r>
      <w:r w:rsidRPr="00876097">
        <w:rPr>
          <w:rFonts w:asciiTheme="minorHAnsi" w:hAnsiTheme="minorHAnsi" w:cstheme="minorHAnsi"/>
          <w:b/>
          <w:sz w:val="24"/>
          <w:szCs w:val="24"/>
        </w:rPr>
        <w:t>oddlužením</w:t>
      </w:r>
    </w:p>
    <w:p w14:paraId="2B0EFE78" w14:textId="77777777" w:rsidR="006A0480" w:rsidRPr="00876097" w:rsidRDefault="006A0480" w:rsidP="00876097">
      <w:pPr>
        <w:shd w:val="clear" w:color="auto" w:fill="FFFFFF"/>
        <w:jc w:val="center"/>
        <w:rPr>
          <w:rFonts w:asciiTheme="minorHAnsi" w:hAnsiTheme="minorHAnsi" w:cstheme="minorHAnsi"/>
          <w:bCs/>
          <w:sz w:val="24"/>
          <w:szCs w:val="24"/>
        </w:rPr>
      </w:pPr>
    </w:p>
    <w:p w14:paraId="489D1AC5" w14:textId="77777777" w:rsidR="006A0480" w:rsidRDefault="006A0480" w:rsidP="002D2EBA">
      <w:pPr>
        <w:shd w:val="clear" w:color="auto" w:fill="FFFFFF"/>
        <w:tabs>
          <w:tab w:val="center" w:pos="1701"/>
          <w:tab w:val="center" w:pos="4678"/>
          <w:tab w:val="center" w:pos="7797"/>
        </w:tabs>
        <w:rPr>
          <w:rFonts w:asciiTheme="minorHAnsi" w:eastAsiaTheme="minorHAnsi" w:hAnsiTheme="minorHAnsi" w:cstheme="minorHAnsi"/>
          <w:noProof/>
          <w:sz w:val="24"/>
          <w:szCs w:val="24"/>
        </w:rPr>
      </w:pPr>
      <w:r>
        <w:rPr>
          <w:rFonts w:asciiTheme="minorHAnsi" w:hAnsiTheme="minorHAnsi" w:cstheme="minorHAnsi"/>
          <w:b/>
          <w:bCs/>
          <w:sz w:val="24"/>
          <w:szCs w:val="24"/>
        </w:rPr>
        <w:tab/>
      </w:r>
      <w:r w:rsidRPr="00876097">
        <w:rPr>
          <w:rFonts w:asciiTheme="minorHAnsi" w:hAnsiTheme="minorHAnsi" w:cstheme="minorHAnsi"/>
          <w:b/>
          <w:bCs/>
          <w:sz w:val="24"/>
          <w:szCs w:val="24"/>
        </w:rPr>
        <w:t>FNB</w:t>
      </w:r>
      <w:r w:rsidRPr="00876097">
        <w:rPr>
          <w:rFonts w:asciiTheme="minorHAnsi" w:hAnsiTheme="minorHAnsi" w:cstheme="minorHAnsi"/>
          <w:b/>
          <w:bCs/>
          <w:sz w:val="24"/>
          <w:szCs w:val="24"/>
        </w:rPr>
        <w:tab/>
        <w:t>FNKV</w:t>
      </w:r>
      <w:r w:rsidRPr="00876097">
        <w:rPr>
          <w:rFonts w:asciiTheme="minorHAnsi" w:hAnsiTheme="minorHAnsi" w:cstheme="minorHAnsi"/>
          <w:b/>
          <w:bCs/>
          <w:sz w:val="24"/>
          <w:szCs w:val="24"/>
        </w:rPr>
        <w:tab/>
        <w:t>FNUSA</w:t>
      </w:r>
      <w:r w:rsidRPr="00876097">
        <w:rPr>
          <w:rFonts w:asciiTheme="minorHAnsi" w:eastAsiaTheme="minorHAnsi" w:hAnsiTheme="minorHAnsi" w:cstheme="minorHAnsi"/>
          <w:noProof/>
          <w:sz w:val="24"/>
          <w:szCs w:val="24"/>
        </w:rPr>
        <w:t xml:space="preserve"> </w:t>
      </w:r>
    </w:p>
    <w:p w14:paraId="74E83310" w14:textId="5A820D74" w:rsidR="00C57D6F" w:rsidRPr="00876097" w:rsidRDefault="002D2EBA" w:rsidP="00876097">
      <w:pPr>
        <w:shd w:val="clear" w:color="auto" w:fill="FFFFFF"/>
        <w:rPr>
          <w:b/>
          <w:sz w:val="24"/>
          <w:szCs w:val="24"/>
        </w:rPr>
      </w:pPr>
      <w:r w:rsidRPr="00876097">
        <w:rPr>
          <w:rFonts w:asciiTheme="minorHAnsi" w:eastAsiaTheme="minorHAnsi" w:hAnsiTheme="minorHAnsi" w:cstheme="minorBidi"/>
          <w:noProof/>
          <w:sz w:val="24"/>
          <w:szCs w:val="24"/>
        </w:rPr>
        <mc:AlternateContent>
          <mc:Choice Requires="wps">
            <w:drawing>
              <wp:anchor distT="0" distB="0" distL="114300" distR="114300" simplePos="0" relativeHeight="251663360" behindDoc="0" locked="0" layoutInCell="1" allowOverlap="1" wp14:anchorId="07C696C8" wp14:editId="0B4D4B31">
                <wp:simplePos x="0" y="0"/>
                <wp:positionH relativeFrom="margin">
                  <wp:posOffset>2173951</wp:posOffset>
                </wp:positionH>
                <wp:positionV relativeFrom="paragraph">
                  <wp:posOffset>94615</wp:posOffset>
                </wp:positionV>
                <wp:extent cx="1620000" cy="895378"/>
                <wp:effectExtent l="0" t="0" r="18415" b="19050"/>
                <wp:wrapNone/>
                <wp:docPr id="3" name="Obdélník: se zakulacenými rohy 3"/>
                <wp:cNvGraphicFramePr/>
                <a:graphic xmlns:a="http://schemas.openxmlformats.org/drawingml/2006/main">
                  <a:graphicData uri="http://schemas.microsoft.com/office/word/2010/wordprocessingShape">
                    <wps:wsp>
                      <wps:cNvSpPr/>
                      <wps:spPr>
                        <a:xfrm>
                          <a:off x="0" y="0"/>
                          <a:ext cx="1620000" cy="895378"/>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5E2A5" w14:textId="77777777" w:rsidR="006842B7" w:rsidRPr="006A0480" w:rsidRDefault="006842B7" w:rsidP="00C57D6F">
                            <w:pPr>
                              <w:jc w:val="center"/>
                              <w:rPr>
                                <w:rFonts w:ascii="Calibri" w:hAnsi="Calibri" w:cs="Calibri"/>
                                <w:b/>
                                <w:sz w:val="36"/>
                                <w:szCs w:val="24"/>
                              </w:rPr>
                            </w:pPr>
                            <w:r w:rsidRPr="006A0480">
                              <w:rPr>
                                <w:rFonts w:ascii="Calibri" w:hAnsi="Calibri" w:cs="Calibri"/>
                                <w:b/>
                                <w:sz w:val="36"/>
                                <w:szCs w:val="24"/>
                              </w:rPr>
                              <w:t xml:space="preserve">0 mil. Kč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696C8" id="Obdélník: se zakulacenými rohy 3" o:spid="_x0000_s1028" style="position:absolute;margin-left:171.2pt;margin-top:7.45pt;width:127.55pt;height: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" fillcolor="#004595" strokecolor="#004595" strokeweight="1pt">
                <v:stroke joinstyle="miter"/>
                <v:textbox>
                  <w:txbxContent>
                    <w:p w14:paraId="6055E2A5" w14:textId="77777777" w:rsidR="006842B7" w:rsidRPr="006A0480" w:rsidRDefault="006842B7" w:rsidP="00C57D6F">
                      <w:pPr>
                        <w:jc w:val="center"/>
                        <w:rPr>
                          <w:rFonts w:ascii="Calibri" w:hAnsi="Calibri" w:cs="Calibri"/>
                          <w:b/>
                          <w:sz w:val="36"/>
                          <w:szCs w:val="24"/>
                        </w:rPr>
                      </w:pPr>
                      <w:r w:rsidRPr="006A0480">
                        <w:rPr>
                          <w:rFonts w:ascii="Calibri" w:hAnsi="Calibri" w:cs="Calibri"/>
                          <w:b/>
                          <w:sz w:val="36"/>
                          <w:szCs w:val="24"/>
                        </w:rPr>
                        <w:t xml:space="preserve">0 mil. Kč </w:t>
                      </w:r>
                    </w:p>
                  </w:txbxContent>
                </v:textbox>
                <w10:wrap anchorx="margin"/>
              </v:roundrect>
            </w:pict>
          </mc:Fallback>
        </mc:AlternateContent>
      </w:r>
      <w:r w:rsidRPr="00876097">
        <w:rPr>
          <w:rFonts w:asciiTheme="minorHAnsi" w:eastAsia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583357A1" wp14:editId="45FA51B2">
                <wp:simplePos x="0" y="0"/>
                <wp:positionH relativeFrom="column">
                  <wp:posOffset>213995</wp:posOffset>
                </wp:positionH>
                <wp:positionV relativeFrom="paragraph">
                  <wp:posOffset>90805</wp:posOffset>
                </wp:positionV>
                <wp:extent cx="1620000" cy="895350"/>
                <wp:effectExtent l="0" t="0" r="18415" b="19050"/>
                <wp:wrapNone/>
                <wp:docPr id="20" name="Obdélník: se zakulacenými rohy 20"/>
                <wp:cNvGraphicFramePr/>
                <a:graphic xmlns:a="http://schemas.openxmlformats.org/drawingml/2006/main">
                  <a:graphicData uri="http://schemas.microsoft.com/office/word/2010/wordprocessingShape">
                    <wps:wsp>
                      <wps:cNvSpPr/>
                      <wps:spPr>
                        <a:xfrm>
                          <a:off x="0" y="0"/>
                          <a:ext cx="1620000" cy="895350"/>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660A1" w14:textId="6F83207C" w:rsidR="006842B7" w:rsidRPr="006A0480" w:rsidRDefault="006842B7" w:rsidP="00C57D6F">
                            <w:pPr>
                              <w:jc w:val="center"/>
                              <w:rPr>
                                <w:rFonts w:ascii="Calibri" w:hAnsi="Calibri" w:cs="Calibri"/>
                                <w:b/>
                                <w:sz w:val="24"/>
                                <w:szCs w:val="24"/>
                              </w:rPr>
                            </w:pPr>
                            <w:r w:rsidRPr="006A0480">
                              <w:rPr>
                                <w:rFonts w:ascii="Calibri" w:hAnsi="Calibri" w:cs="Calibri"/>
                                <w:b/>
                                <w:sz w:val="36"/>
                                <w:szCs w:val="24"/>
                              </w:rPr>
                              <w:t>88,4 mil. Kč</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357A1" id="Obdélník: se zakulacenými rohy 20" o:spid="_x0000_s1029" style="position:absolute;margin-left:16.85pt;margin-top:7.15pt;width:127.5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" fillcolor="#c00000" strokecolor="#c00000" strokeweight="1pt">
                <v:stroke joinstyle="miter"/>
                <v:textbox>
                  <w:txbxContent>
                    <w:p w14:paraId="492660A1" w14:textId="6F83207C" w:rsidR="006842B7" w:rsidRPr="006A0480" w:rsidRDefault="006842B7" w:rsidP="00C57D6F">
                      <w:pPr>
                        <w:jc w:val="center"/>
                        <w:rPr>
                          <w:rFonts w:ascii="Calibri" w:hAnsi="Calibri" w:cs="Calibri"/>
                          <w:b/>
                          <w:sz w:val="24"/>
                          <w:szCs w:val="24"/>
                        </w:rPr>
                      </w:pPr>
                      <w:r w:rsidRPr="006A0480">
                        <w:rPr>
                          <w:rFonts w:ascii="Calibri" w:hAnsi="Calibri" w:cs="Calibri"/>
                          <w:b/>
                          <w:sz w:val="36"/>
                          <w:szCs w:val="24"/>
                        </w:rPr>
                        <w:t>88,4 mil. Kč</w:t>
                      </w:r>
                    </w:p>
                  </w:txbxContent>
                </v:textbox>
              </v:roundrect>
            </w:pict>
          </mc:Fallback>
        </mc:AlternateContent>
      </w:r>
      <w:r w:rsidR="004D5446" w:rsidRPr="00876097">
        <w:rPr>
          <w:rFonts w:asciiTheme="minorHAnsi" w:eastAsia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666D0D7F" wp14:editId="321F6E81">
                <wp:simplePos x="0" y="0"/>
                <wp:positionH relativeFrom="margin">
                  <wp:posOffset>4101465</wp:posOffset>
                </wp:positionH>
                <wp:positionV relativeFrom="paragraph">
                  <wp:posOffset>97155</wp:posOffset>
                </wp:positionV>
                <wp:extent cx="1620000" cy="895350"/>
                <wp:effectExtent l="0" t="0" r="18415" b="19050"/>
                <wp:wrapNone/>
                <wp:docPr id="2" name="Obdélník: se zakulacenými rohy 2"/>
                <wp:cNvGraphicFramePr/>
                <a:graphic xmlns:a="http://schemas.openxmlformats.org/drawingml/2006/main">
                  <a:graphicData uri="http://schemas.microsoft.com/office/word/2010/wordprocessingShape">
                    <wps:wsp>
                      <wps:cNvSpPr/>
                      <wps:spPr>
                        <a:xfrm>
                          <a:off x="0" y="0"/>
                          <a:ext cx="1620000" cy="895350"/>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F6EB1" w14:textId="77777777" w:rsidR="006842B7" w:rsidRPr="006A0480" w:rsidRDefault="006842B7" w:rsidP="00C57D6F">
                            <w:pPr>
                              <w:jc w:val="center"/>
                              <w:rPr>
                                <w:rFonts w:ascii="Calibri" w:hAnsi="Calibri" w:cs="Calibri"/>
                                <w:b/>
                                <w:sz w:val="36"/>
                                <w:szCs w:val="24"/>
                              </w:rPr>
                            </w:pPr>
                            <w:r w:rsidRPr="006A0480">
                              <w:rPr>
                                <w:rFonts w:ascii="Calibri" w:hAnsi="Calibri" w:cs="Calibri"/>
                                <w:b/>
                                <w:sz w:val="36"/>
                                <w:szCs w:val="24"/>
                              </w:rPr>
                              <w:t>38,5 mil. Kč</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D0D7F" id="Obdélník: se zakulacenými rohy 2" o:spid="_x0000_s1030" style="position:absolute;margin-left:322.95pt;margin-top:7.65pt;width:127.55pt;height: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" fillcolor="#c00000" strokecolor="#c00000" strokeweight="1pt">
                <v:stroke joinstyle="miter"/>
                <v:textbox>
                  <w:txbxContent>
                    <w:p w14:paraId="555F6EB1" w14:textId="77777777" w:rsidR="006842B7" w:rsidRPr="006A0480" w:rsidRDefault="006842B7" w:rsidP="00C57D6F">
                      <w:pPr>
                        <w:jc w:val="center"/>
                        <w:rPr>
                          <w:rFonts w:ascii="Calibri" w:hAnsi="Calibri" w:cs="Calibri"/>
                          <w:b/>
                          <w:sz w:val="36"/>
                          <w:szCs w:val="24"/>
                        </w:rPr>
                      </w:pPr>
                      <w:r w:rsidRPr="006A0480">
                        <w:rPr>
                          <w:rFonts w:ascii="Calibri" w:hAnsi="Calibri" w:cs="Calibri"/>
                          <w:b/>
                          <w:sz w:val="36"/>
                          <w:szCs w:val="24"/>
                        </w:rPr>
                        <w:t>38,5 mil. Kč</w:t>
                      </w:r>
                    </w:p>
                  </w:txbxContent>
                </v:textbox>
                <w10:wrap anchorx="margin"/>
              </v:roundrect>
            </w:pict>
          </mc:Fallback>
        </mc:AlternateContent>
      </w:r>
    </w:p>
    <w:p w14:paraId="0AFBD6C4" w14:textId="46B002FF" w:rsidR="00C57D6F" w:rsidRPr="00876097" w:rsidRDefault="00C57D6F" w:rsidP="00876097">
      <w:pPr>
        <w:ind w:left="142"/>
        <w:jc w:val="center"/>
        <w:rPr>
          <w:b/>
          <w:sz w:val="24"/>
          <w:szCs w:val="24"/>
        </w:rPr>
      </w:pPr>
    </w:p>
    <w:p w14:paraId="7A6ACAAE" w14:textId="77777777" w:rsidR="00C57D6F" w:rsidRPr="00876097" w:rsidRDefault="00C57D6F" w:rsidP="00876097">
      <w:pPr>
        <w:ind w:left="142"/>
        <w:jc w:val="center"/>
        <w:rPr>
          <w:b/>
          <w:sz w:val="24"/>
          <w:szCs w:val="24"/>
        </w:rPr>
      </w:pPr>
    </w:p>
    <w:p w14:paraId="6DEE7F3A" w14:textId="77777777" w:rsidR="00C57D6F" w:rsidRPr="00876097" w:rsidRDefault="00C57D6F" w:rsidP="00876097">
      <w:pPr>
        <w:shd w:val="clear" w:color="auto" w:fill="FFFFFF"/>
        <w:jc w:val="both"/>
        <w:rPr>
          <w:rFonts w:asciiTheme="minorHAnsi" w:hAnsiTheme="minorHAnsi" w:cstheme="minorHAnsi"/>
          <w:b/>
          <w:bCs/>
          <w:sz w:val="24"/>
          <w:szCs w:val="24"/>
        </w:rPr>
      </w:pPr>
    </w:p>
    <w:p w14:paraId="7193C463" w14:textId="77777777" w:rsidR="00C57D6F" w:rsidRPr="00876097" w:rsidRDefault="00C57D6F" w:rsidP="00876097">
      <w:pPr>
        <w:shd w:val="clear" w:color="auto" w:fill="FFFFFF"/>
        <w:jc w:val="both"/>
        <w:rPr>
          <w:rFonts w:asciiTheme="minorHAnsi" w:hAnsiTheme="minorHAnsi" w:cstheme="minorHAnsi"/>
          <w:b/>
          <w:bCs/>
          <w:sz w:val="24"/>
          <w:szCs w:val="24"/>
        </w:rPr>
      </w:pPr>
    </w:p>
    <w:p w14:paraId="4CE1EE98" w14:textId="77777777" w:rsidR="00C57D6F" w:rsidRPr="00876097" w:rsidRDefault="00C57D6F" w:rsidP="00876097">
      <w:pPr>
        <w:ind w:left="142"/>
        <w:jc w:val="center"/>
        <w:rPr>
          <w:b/>
          <w:sz w:val="24"/>
          <w:szCs w:val="24"/>
        </w:rPr>
      </w:pPr>
    </w:p>
    <w:p w14:paraId="128B14F6" w14:textId="77777777" w:rsidR="00C57D6F" w:rsidRPr="006A0480" w:rsidRDefault="00C57D6F" w:rsidP="00876097">
      <w:pPr>
        <w:ind w:left="142"/>
        <w:jc w:val="center"/>
        <w:rPr>
          <w:rFonts w:ascii="Calibri" w:hAnsi="Calibri" w:cs="Calibri"/>
          <w:b/>
          <w:sz w:val="24"/>
          <w:szCs w:val="24"/>
        </w:rPr>
      </w:pPr>
    </w:p>
    <w:p w14:paraId="7CAFEFBD" w14:textId="6C364E3B" w:rsidR="00C57D6F" w:rsidRDefault="00C57D6F" w:rsidP="00876097">
      <w:pPr>
        <w:ind w:left="142"/>
        <w:jc w:val="center"/>
        <w:rPr>
          <w:rFonts w:ascii="Calibri" w:hAnsi="Calibri" w:cs="Calibri"/>
          <w:b/>
          <w:sz w:val="24"/>
          <w:szCs w:val="24"/>
        </w:rPr>
      </w:pPr>
    </w:p>
    <w:p w14:paraId="7A6427DD" w14:textId="77777777" w:rsidR="006A0480" w:rsidRPr="006A0480" w:rsidRDefault="006A0480" w:rsidP="00876097">
      <w:pPr>
        <w:ind w:left="142"/>
        <w:jc w:val="center"/>
        <w:rPr>
          <w:rFonts w:ascii="Calibri" w:hAnsi="Calibri" w:cs="Calibri"/>
          <w:b/>
          <w:sz w:val="24"/>
          <w:szCs w:val="24"/>
        </w:rPr>
      </w:pPr>
    </w:p>
    <w:p w14:paraId="048D25B7" w14:textId="46553C62" w:rsidR="00C57D6F" w:rsidRPr="00876097" w:rsidRDefault="004D5446" w:rsidP="00876097">
      <w:pPr>
        <w:ind w:left="142"/>
        <w:jc w:val="center"/>
        <w:rPr>
          <w:rFonts w:ascii="Calibri" w:hAnsi="Calibri" w:cs="Calibri"/>
          <w:b/>
          <w:sz w:val="24"/>
          <w:szCs w:val="24"/>
        </w:rPr>
      </w:pPr>
      <w:r w:rsidRPr="00876097">
        <w:rPr>
          <w:rFonts w:ascii="Calibri" w:hAnsi="Calibri" w:cs="Calibri"/>
          <w:b/>
          <w:sz w:val="24"/>
          <w:szCs w:val="24"/>
        </w:rPr>
        <w:t>Peněžní prostředky použité</w:t>
      </w:r>
      <w:r w:rsidR="00C57D6F" w:rsidRPr="00876097">
        <w:rPr>
          <w:rFonts w:ascii="Calibri" w:hAnsi="Calibri" w:cs="Calibri"/>
          <w:b/>
          <w:sz w:val="24"/>
          <w:szCs w:val="24"/>
        </w:rPr>
        <w:t xml:space="preserve"> v rozporu se zákonem o zadávání veřejných zakázek</w:t>
      </w:r>
    </w:p>
    <w:p w14:paraId="692FE5DD" w14:textId="6D922E71" w:rsidR="004D5446" w:rsidRPr="00876097" w:rsidRDefault="004D5446" w:rsidP="00876097">
      <w:pPr>
        <w:ind w:left="142"/>
        <w:jc w:val="center"/>
        <w:rPr>
          <w:rFonts w:ascii="Calibri" w:hAnsi="Calibri" w:cs="Calibri"/>
          <w:b/>
          <w:sz w:val="24"/>
          <w:szCs w:val="24"/>
        </w:rPr>
      </w:pPr>
    </w:p>
    <w:p w14:paraId="1C0C991E" w14:textId="316F0984" w:rsidR="004D5446" w:rsidRPr="00876097" w:rsidRDefault="006A0480" w:rsidP="003D571D">
      <w:pPr>
        <w:shd w:val="clear" w:color="auto" w:fill="FFFFFF"/>
        <w:tabs>
          <w:tab w:val="center" w:pos="1701"/>
          <w:tab w:val="center" w:pos="4678"/>
          <w:tab w:val="center" w:pos="7797"/>
        </w:tabs>
        <w:jc w:val="both"/>
        <w:rPr>
          <w:rFonts w:asciiTheme="minorHAnsi" w:hAnsiTheme="minorHAnsi" w:cstheme="minorHAnsi"/>
          <w:b/>
          <w:bCs/>
          <w:sz w:val="24"/>
          <w:szCs w:val="24"/>
        </w:rPr>
      </w:pPr>
      <w:r>
        <w:rPr>
          <w:rFonts w:asciiTheme="minorHAnsi" w:hAnsiTheme="minorHAnsi" w:cstheme="minorHAnsi"/>
          <w:b/>
          <w:bCs/>
          <w:sz w:val="24"/>
          <w:szCs w:val="24"/>
        </w:rPr>
        <w:t xml:space="preserve"> </w:t>
      </w:r>
      <w:r>
        <w:rPr>
          <w:rFonts w:asciiTheme="minorHAnsi" w:hAnsiTheme="minorHAnsi" w:cstheme="minorHAnsi"/>
          <w:b/>
          <w:bCs/>
          <w:sz w:val="24"/>
          <w:szCs w:val="24"/>
        </w:rPr>
        <w:tab/>
      </w:r>
      <w:r w:rsidR="004D5446" w:rsidRPr="00876097">
        <w:rPr>
          <w:rFonts w:asciiTheme="minorHAnsi" w:hAnsiTheme="minorHAnsi" w:cstheme="minorHAnsi"/>
          <w:b/>
          <w:bCs/>
          <w:sz w:val="24"/>
          <w:szCs w:val="24"/>
        </w:rPr>
        <w:t>FNB</w:t>
      </w:r>
      <w:r w:rsidR="004D5446" w:rsidRPr="00876097">
        <w:rPr>
          <w:rFonts w:asciiTheme="minorHAnsi" w:hAnsiTheme="minorHAnsi" w:cstheme="minorHAnsi"/>
          <w:b/>
          <w:bCs/>
          <w:sz w:val="24"/>
          <w:szCs w:val="24"/>
        </w:rPr>
        <w:tab/>
        <w:t>FNKV</w:t>
      </w:r>
      <w:r w:rsidR="004D5446" w:rsidRPr="00876097">
        <w:rPr>
          <w:rFonts w:asciiTheme="minorHAnsi" w:hAnsiTheme="minorHAnsi" w:cstheme="minorHAnsi"/>
          <w:b/>
          <w:bCs/>
          <w:sz w:val="24"/>
          <w:szCs w:val="24"/>
        </w:rPr>
        <w:tab/>
        <w:t>FNUSA</w:t>
      </w:r>
    </w:p>
    <w:p w14:paraId="35ECA14B" w14:textId="39581FD2" w:rsidR="00C57D6F" w:rsidRPr="00876097" w:rsidRDefault="003D571D" w:rsidP="00876097">
      <w:pPr>
        <w:shd w:val="clear" w:color="auto" w:fill="FFFFFF"/>
        <w:jc w:val="both"/>
        <w:rPr>
          <w:rFonts w:asciiTheme="minorHAnsi" w:hAnsiTheme="minorHAnsi" w:cstheme="minorHAnsi"/>
          <w:bCs/>
          <w:sz w:val="24"/>
          <w:szCs w:val="24"/>
        </w:rPr>
      </w:pPr>
      <w:r w:rsidRPr="00876097">
        <w:rPr>
          <w:rFonts w:asciiTheme="minorHAnsi" w:eastAsiaTheme="minorHAnsi" w:hAnsiTheme="minorHAnsi" w:cstheme="minorBidi"/>
          <w:noProof/>
          <w:sz w:val="24"/>
          <w:szCs w:val="24"/>
        </w:rPr>
        <mc:AlternateContent>
          <mc:Choice Requires="wps">
            <w:drawing>
              <wp:anchor distT="0" distB="0" distL="114300" distR="114300" simplePos="0" relativeHeight="251666432" behindDoc="0" locked="0" layoutInCell="1" allowOverlap="1" wp14:anchorId="70906E59" wp14:editId="77EB43DA">
                <wp:simplePos x="0" y="0"/>
                <wp:positionH relativeFrom="margin">
                  <wp:posOffset>4097020</wp:posOffset>
                </wp:positionH>
                <wp:positionV relativeFrom="paragraph">
                  <wp:posOffset>179705</wp:posOffset>
                </wp:positionV>
                <wp:extent cx="1619885" cy="879475"/>
                <wp:effectExtent l="0" t="0" r="18415" b="15875"/>
                <wp:wrapNone/>
                <wp:docPr id="7" name="Obdélník: se zakulacenými rohy 7"/>
                <wp:cNvGraphicFramePr/>
                <a:graphic xmlns:a="http://schemas.openxmlformats.org/drawingml/2006/main">
                  <a:graphicData uri="http://schemas.microsoft.com/office/word/2010/wordprocessingShape">
                    <wps:wsp>
                      <wps:cNvSpPr/>
                      <wps:spPr>
                        <a:xfrm>
                          <a:off x="0" y="0"/>
                          <a:ext cx="1619885" cy="879475"/>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4ABD5" w14:textId="6B407FCD" w:rsidR="006842B7" w:rsidRPr="004B7E0E" w:rsidRDefault="006842B7" w:rsidP="00C57D6F">
                            <w:pPr>
                              <w:jc w:val="center"/>
                              <w:rPr>
                                <w:rFonts w:ascii="Calibri" w:hAnsi="Calibri" w:cs="Calibri"/>
                                <w:b/>
                                <w:sz w:val="24"/>
                                <w:szCs w:val="24"/>
                              </w:rPr>
                            </w:pPr>
                            <w:r w:rsidRPr="004B7E0E">
                              <w:rPr>
                                <w:rFonts w:ascii="Calibri" w:hAnsi="Calibri" w:cs="Calibri"/>
                                <w:b/>
                                <w:sz w:val="36"/>
                                <w:szCs w:val="24"/>
                              </w:rPr>
                              <w:t>23,4 mil. Kč</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06E59" id="Obdélník: se zakulacenými rohy 7" o:spid="_x0000_s1031" style="position:absolute;left:0;text-align:left;margin-left:322.6pt;margin-top:14.15pt;width:127.55pt;height:6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" fillcolor="#c00000" strokecolor="#c00000" strokeweight="1pt">
                <v:stroke joinstyle="miter"/>
                <v:textbox>
                  <w:txbxContent>
                    <w:p w14:paraId="59E4ABD5" w14:textId="6B407FCD" w:rsidR="006842B7" w:rsidRPr="004B7E0E" w:rsidRDefault="006842B7" w:rsidP="00C57D6F">
                      <w:pPr>
                        <w:jc w:val="center"/>
                        <w:rPr>
                          <w:rFonts w:ascii="Calibri" w:hAnsi="Calibri" w:cs="Calibri"/>
                          <w:b/>
                          <w:sz w:val="24"/>
                          <w:szCs w:val="24"/>
                        </w:rPr>
                      </w:pPr>
                      <w:r w:rsidRPr="004B7E0E">
                        <w:rPr>
                          <w:rFonts w:ascii="Calibri" w:hAnsi="Calibri" w:cs="Calibri"/>
                          <w:b/>
                          <w:sz w:val="36"/>
                          <w:szCs w:val="24"/>
                        </w:rPr>
                        <w:t>23,4 mil. Kč</w:t>
                      </w:r>
                    </w:p>
                  </w:txbxContent>
                </v:textbox>
                <w10:wrap anchorx="margin"/>
              </v:roundrect>
            </w:pict>
          </mc:Fallback>
        </mc:AlternateContent>
      </w:r>
      <w:r w:rsidR="002D2EBA" w:rsidRPr="00876097">
        <w:rPr>
          <w:rFonts w:asciiTheme="minorHAnsi" w:eastAsiaTheme="minorHAnsi" w:hAnsiTheme="minorHAnsi" w:cstheme="minorBidi"/>
          <w:noProof/>
          <w:sz w:val="24"/>
          <w:szCs w:val="24"/>
        </w:rPr>
        <mc:AlternateContent>
          <mc:Choice Requires="wps">
            <w:drawing>
              <wp:anchor distT="0" distB="0" distL="114300" distR="114300" simplePos="0" relativeHeight="251665408" behindDoc="0" locked="0" layoutInCell="1" allowOverlap="1" wp14:anchorId="709FFAB0" wp14:editId="5FE28D1A">
                <wp:simplePos x="0" y="0"/>
                <wp:positionH relativeFrom="margin">
                  <wp:posOffset>2175221</wp:posOffset>
                </wp:positionH>
                <wp:positionV relativeFrom="paragraph">
                  <wp:posOffset>148367</wp:posOffset>
                </wp:positionV>
                <wp:extent cx="1620000" cy="879895"/>
                <wp:effectExtent l="0" t="0" r="18415" b="15875"/>
                <wp:wrapNone/>
                <wp:docPr id="4" name="Obdélník: se zakulacenými rohy 4"/>
                <wp:cNvGraphicFramePr/>
                <a:graphic xmlns:a="http://schemas.openxmlformats.org/drawingml/2006/main">
                  <a:graphicData uri="http://schemas.microsoft.com/office/word/2010/wordprocessingShape">
                    <wps:wsp>
                      <wps:cNvSpPr/>
                      <wps:spPr>
                        <a:xfrm>
                          <a:off x="0" y="0"/>
                          <a:ext cx="1620000" cy="879895"/>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0E6B1" w14:textId="15F6D7DD" w:rsidR="006842B7" w:rsidRPr="006A0480" w:rsidRDefault="006842B7" w:rsidP="00C57D6F">
                            <w:pPr>
                              <w:jc w:val="center"/>
                              <w:rPr>
                                <w:rFonts w:ascii="Calibri" w:hAnsi="Calibri" w:cs="Calibri"/>
                                <w:b/>
                                <w:sz w:val="24"/>
                                <w:szCs w:val="24"/>
                              </w:rPr>
                            </w:pPr>
                            <w:r w:rsidRPr="006A0480">
                              <w:rPr>
                                <w:rFonts w:ascii="Calibri" w:hAnsi="Calibri" w:cs="Calibri"/>
                                <w:b/>
                                <w:sz w:val="36"/>
                                <w:szCs w:val="24"/>
                              </w:rPr>
                              <w:t>16,2 mil. Kč</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FFAB0" id="Obdélník: se zakulacenými rohy 4" o:spid="_x0000_s1032" style="position:absolute;left:0;text-align:left;margin-left:171.3pt;margin-top:11.7pt;width:127.55pt;height:69.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" fillcolor="#c00000" strokecolor="#c00000" strokeweight="1pt">
                <v:stroke joinstyle="miter"/>
                <v:textbox>
                  <w:txbxContent>
                    <w:p w14:paraId="34A0E6B1" w14:textId="15F6D7DD" w:rsidR="006842B7" w:rsidRPr="006A0480" w:rsidRDefault="006842B7" w:rsidP="00C57D6F">
                      <w:pPr>
                        <w:jc w:val="center"/>
                        <w:rPr>
                          <w:rFonts w:ascii="Calibri" w:hAnsi="Calibri" w:cs="Calibri"/>
                          <w:b/>
                          <w:sz w:val="24"/>
                          <w:szCs w:val="24"/>
                        </w:rPr>
                      </w:pPr>
                      <w:r w:rsidRPr="006A0480">
                        <w:rPr>
                          <w:rFonts w:ascii="Calibri" w:hAnsi="Calibri" w:cs="Calibri"/>
                          <w:b/>
                          <w:sz w:val="36"/>
                          <w:szCs w:val="24"/>
                        </w:rPr>
                        <w:t>16,2 mil. Kč</w:t>
                      </w:r>
                    </w:p>
                  </w:txbxContent>
                </v:textbox>
                <w10:wrap anchorx="margin"/>
              </v:roundrect>
            </w:pict>
          </mc:Fallback>
        </mc:AlternateContent>
      </w:r>
      <w:r w:rsidR="002D2EBA" w:rsidRPr="00876097">
        <w:rPr>
          <w:rFonts w:asciiTheme="minorHAnsi" w:eastAsiaTheme="minorHAnsi" w:hAnsiTheme="minorHAnsi" w:cstheme="minorBidi"/>
          <w:noProof/>
          <w:sz w:val="24"/>
          <w:szCs w:val="24"/>
        </w:rPr>
        <mc:AlternateContent>
          <mc:Choice Requires="wps">
            <w:drawing>
              <wp:anchor distT="0" distB="0" distL="114300" distR="114300" simplePos="0" relativeHeight="251664384" behindDoc="0" locked="0" layoutInCell="1" allowOverlap="1" wp14:anchorId="5CBF8400" wp14:editId="383198F5">
                <wp:simplePos x="0" y="0"/>
                <wp:positionH relativeFrom="margin">
                  <wp:posOffset>266700</wp:posOffset>
                </wp:positionH>
                <wp:positionV relativeFrom="paragraph">
                  <wp:posOffset>137160</wp:posOffset>
                </wp:positionV>
                <wp:extent cx="1620000" cy="879895"/>
                <wp:effectExtent l="0" t="0" r="18415" b="15875"/>
                <wp:wrapNone/>
                <wp:docPr id="9" name="Obdélník: se zakulacenými rohy 9"/>
                <wp:cNvGraphicFramePr/>
                <a:graphic xmlns:a="http://schemas.openxmlformats.org/drawingml/2006/main">
                  <a:graphicData uri="http://schemas.microsoft.com/office/word/2010/wordprocessingShape">
                    <wps:wsp>
                      <wps:cNvSpPr/>
                      <wps:spPr>
                        <a:xfrm>
                          <a:off x="0" y="0"/>
                          <a:ext cx="1620000" cy="879895"/>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EE5C0" w14:textId="3881D822" w:rsidR="006842B7" w:rsidRPr="006A0480" w:rsidRDefault="006842B7" w:rsidP="00C57D6F">
                            <w:pPr>
                              <w:jc w:val="center"/>
                              <w:rPr>
                                <w:rFonts w:ascii="Calibri" w:hAnsi="Calibri" w:cs="Calibri"/>
                                <w:b/>
                                <w:sz w:val="24"/>
                                <w:szCs w:val="24"/>
                              </w:rPr>
                            </w:pPr>
                            <w:r w:rsidRPr="006A0480">
                              <w:rPr>
                                <w:rFonts w:ascii="Calibri" w:hAnsi="Calibri" w:cs="Calibri"/>
                                <w:b/>
                                <w:sz w:val="36"/>
                                <w:szCs w:val="24"/>
                              </w:rPr>
                              <w:t>2,0 mil. Kč</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F8400" id="Obdélník: se zakulacenými rohy 9" o:spid="_x0000_s1033" style="position:absolute;left:0;text-align:left;margin-left:21pt;margin-top:10.8pt;width:127.55pt;height:69.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" fillcolor="#c00000" strokecolor="#c00000" strokeweight="1pt">
                <v:stroke joinstyle="miter"/>
                <v:textbox>
                  <w:txbxContent>
                    <w:p w14:paraId="1BBEE5C0" w14:textId="3881D822" w:rsidR="006842B7" w:rsidRPr="006A0480" w:rsidRDefault="006842B7" w:rsidP="00C57D6F">
                      <w:pPr>
                        <w:jc w:val="center"/>
                        <w:rPr>
                          <w:rFonts w:ascii="Calibri" w:hAnsi="Calibri" w:cs="Calibri"/>
                          <w:b/>
                          <w:sz w:val="24"/>
                          <w:szCs w:val="24"/>
                        </w:rPr>
                      </w:pPr>
                      <w:r w:rsidRPr="006A0480">
                        <w:rPr>
                          <w:rFonts w:ascii="Calibri" w:hAnsi="Calibri" w:cs="Calibri"/>
                          <w:b/>
                          <w:sz w:val="36"/>
                          <w:szCs w:val="24"/>
                        </w:rPr>
                        <w:t>2,0 mil. Kč</w:t>
                      </w:r>
                    </w:p>
                  </w:txbxContent>
                </v:textbox>
                <w10:wrap anchorx="margin"/>
              </v:roundrect>
            </w:pict>
          </mc:Fallback>
        </mc:AlternateContent>
      </w:r>
    </w:p>
    <w:p w14:paraId="562888AE" w14:textId="77777777" w:rsidR="00B85D46" w:rsidRPr="00876097" w:rsidRDefault="00B85D46" w:rsidP="00876097">
      <w:pPr>
        <w:ind w:left="142"/>
        <w:jc w:val="center"/>
        <w:rPr>
          <w:b/>
          <w:sz w:val="24"/>
          <w:szCs w:val="24"/>
        </w:rPr>
      </w:pPr>
    </w:p>
    <w:p w14:paraId="1BED4542" w14:textId="2112B550" w:rsidR="001F0773" w:rsidRPr="00876097" w:rsidRDefault="001F0773" w:rsidP="00876097">
      <w:pPr>
        <w:shd w:val="clear" w:color="auto" w:fill="FFFFFF"/>
        <w:jc w:val="both"/>
        <w:rPr>
          <w:rFonts w:asciiTheme="minorHAnsi" w:hAnsiTheme="minorHAnsi" w:cstheme="minorHAnsi"/>
          <w:b/>
          <w:bCs/>
          <w:sz w:val="24"/>
          <w:szCs w:val="24"/>
        </w:rPr>
      </w:pPr>
    </w:p>
    <w:p w14:paraId="60B43EEA" w14:textId="4964AF48" w:rsidR="001F0773" w:rsidRPr="00876097" w:rsidRDefault="001F0773" w:rsidP="00876097">
      <w:pPr>
        <w:shd w:val="clear" w:color="auto" w:fill="FFFFFF"/>
        <w:jc w:val="both"/>
        <w:rPr>
          <w:rFonts w:asciiTheme="minorHAnsi" w:hAnsiTheme="minorHAnsi" w:cstheme="minorHAnsi"/>
          <w:b/>
          <w:bCs/>
          <w:sz w:val="24"/>
          <w:szCs w:val="24"/>
        </w:rPr>
      </w:pPr>
    </w:p>
    <w:p w14:paraId="5975DCA8" w14:textId="77777777" w:rsidR="001405C8" w:rsidRPr="00876097" w:rsidRDefault="001405C8" w:rsidP="00876097">
      <w:pPr>
        <w:shd w:val="clear" w:color="auto" w:fill="FFFFFF"/>
        <w:jc w:val="both"/>
        <w:rPr>
          <w:rFonts w:asciiTheme="minorHAnsi" w:hAnsiTheme="minorHAnsi" w:cstheme="minorHAnsi"/>
          <w:bCs/>
          <w:sz w:val="24"/>
          <w:szCs w:val="24"/>
        </w:rPr>
      </w:pPr>
    </w:p>
    <w:p w14:paraId="0B12D55C" w14:textId="77777777" w:rsidR="004B7E0E" w:rsidRDefault="004B7E0E" w:rsidP="00876097">
      <w:pPr>
        <w:widowControl/>
        <w:autoSpaceDE/>
        <w:autoSpaceDN/>
        <w:adjustRightInd/>
        <w:rPr>
          <w:rFonts w:asciiTheme="minorHAnsi" w:hAnsiTheme="minorHAnsi" w:cstheme="minorHAnsi"/>
          <w:b/>
          <w:bCs/>
          <w:sz w:val="24"/>
          <w:szCs w:val="24"/>
        </w:rPr>
      </w:pPr>
    </w:p>
    <w:p w14:paraId="3DC235ED" w14:textId="2473D72E" w:rsidR="00C57D6F" w:rsidRPr="00876097" w:rsidRDefault="00C57D6F" w:rsidP="00876097">
      <w:pPr>
        <w:widowControl/>
        <w:autoSpaceDE/>
        <w:autoSpaceDN/>
        <w:adjustRightInd/>
        <w:rPr>
          <w:rFonts w:asciiTheme="minorHAnsi" w:hAnsiTheme="minorHAnsi" w:cstheme="minorHAnsi"/>
          <w:b/>
          <w:bCs/>
          <w:sz w:val="24"/>
          <w:szCs w:val="24"/>
        </w:rPr>
      </w:pPr>
      <w:r w:rsidRPr="00876097">
        <w:rPr>
          <w:rFonts w:asciiTheme="minorHAnsi" w:hAnsiTheme="minorHAnsi" w:cstheme="minorHAnsi"/>
          <w:b/>
          <w:bCs/>
          <w:sz w:val="24"/>
          <w:szCs w:val="24"/>
        </w:rPr>
        <w:br w:type="page"/>
      </w:r>
    </w:p>
    <w:p w14:paraId="63C9D77D" w14:textId="0C1C890C" w:rsidR="00246D13" w:rsidRPr="00527E83" w:rsidRDefault="00C3683B" w:rsidP="00220719">
      <w:pPr>
        <w:keepNext/>
        <w:shd w:val="clear" w:color="auto" w:fill="FFFFFF"/>
        <w:spacing w:after="240"/>
        <w:jc w:val="center"/>
        <w:rPr>
          <w:rFonts w:asciiTheme="minorHAnsi" w:hAnsiTheme="minorHAnsi" w:cstheme="minorHAnsi"/>
          <w:sz w:val="28"/>
          <w:szCs w:val="28"/>
        </w:rPr>
      </w:pPr>
      <w:r>
        <w:rPr>
          <w:rFonts w:asciiTheme="minorHAnsi" w:hAnsiTheme="minorHAnsi" w:cstheme="minorHAnsi"/>
          <w:b/>
          <w:bCs/>
          <w:sz w:val="28"/>
          <w:szCs w:val="28"/>
        </w:rPr>
        <w:lastRenderedPageBreak/>
        <w:t>I</w:t>
      </w:r>
      <w:r w:rsidR="00246D13" w:rsidRPr="00527E83">
        <w:rPr>
          <w:rFonts w:asciiTheme="minorHAnsi" w:hAnsiTheme="minorHAnsi" w:cstheme="minorHAnsi"/>
          <w:b/>
          <w:bCs/>
          <w:sz w:val="28"/>
          <w:szCs w:val="28"/>
        </w:rPr>
        <w:t>.</w:t>
      </w:r>
      <w:r w:rsidR="00B2746C" w:rsidRPr="00527E83">
        <w:rPr>
          <w:rFonts w:asciiTheme="minorHAnsi" w:hAnsiTheme="minorHAnsi" w:cstheme="minorHAnsi"/>
          <w:b/>
          <w:bCs/>
          <w:sz w:val="28"/>
          <w:szCs w:val="28"/>
        </w:rPr>
        <w:t xml:space="preserve"> </w:t>
      </w:r>
      <w:r w:rsidR="00246D13" w:rsidRPr="00527E83">
        <w:rPr>
          <w:rFonts w:asciiTheme="minorHAnsi" w:hAnsiTheme="minorHAnsi" w:cstheme="minorHAnsi"/>
          <w:b/>
          <w:bCs/>
          <w:sz w:val="28"/>
          <w:szCs w:val="28"/>
        </w:rPr>
        <w:t>Shrnut</w:t>
      </w:r>
      <w:r w:rsidR="00246D13" w:rsidRPr="00527E83">
        <w:rPr>
          <w:rFonts w:asciiTheme="minorHAnsi" w:eastAsia="Times New Roman" w:hAnsiTheme="minorHAnsi" w:cstheme="minorHAnsi"/>
          <w:b/>
          <w:bCs/>
          <w:sz w:val="28"/>
          <w:szCs w:val="28"/>
        </w:rPr>
        <w:t>í a vyhodnocení</w:t>
      </w:r>
    </w:p>
    <w:bookmarkEnd w:id="3"/>
    <w:p w14:paraId="6E6BFBB1" w14:textId="11790692" w:rsidR="00CF7B8D" w:rsidRDefault="00FB18DF" w:rsidP="00220719">
      <w:pPr>
        <w:autoSpaceDE/>
        <w:adjustRightInd/>
        <w:spacing w:before="120" w:after="120"/>
        <w:jc w:val="both"/>
        <w:rPr>
          <w:rFonts w:asciiTheme="minorHAnsi" w:hAnsiTheme="minorHAnsi" w:cstheme="minorHAnsi"/>
          <w:color w:val="000000" w:themeColor="text1"/>
          <w:sz w:val="24"/>
          <w:szCs w:val="24"/>
          <w:lang w:eastAsia="en-US"/>
        </w:rPr>
      </w:pPr>
      <w:r w:rsidRPr="006136A3">
        <w:rPr>
          <w:rFonts w:asciiTheme="minorHAnsi" w:hAnsiTheme="minorHAnsi" w:cstheme="minorHAnsi"/>
          <w:color w:val="000000" w:themeColor="text1"/>
          <w:sz w:val="24"/>
          <w:szCs w:val="24"/>
          <w:lang w:eastAsia="en-US"/>
        </w:rPr>
        <w:t xml:space="preserve">NKÚ </w:t>
      </w:r>
      <w:r w:rsidR="006F7071" w:rsidRPr="006136A3">
        <w:rPr>
          <w:rFonts w:asciiTheme="minorHAnsi" w:hAnsiTheme="minorHAnsi" w:cstheme="minorHAnsi"/>
          <w:color w:val="000000" w:themeColor="text1"/>
          <w:sz w:val="24"/>
          <w:szCs w:val="24"/>
          <w:lang w:eastAsia="en-US"/>
        </w:rPr>
        <w:t xml:space="preserve">provedl </w:t>
      </w:r>
      <w:r w:rsidR="006F1352" w:rsidRPr="006136A3">
        <w:rPr>
          <w:rFonts w:asciiTheme="minorHAnsi" w:hAnsiTheme="minorHAnsi" w:cstheme="minorHAnsi"/>
          <w:color w:val="000000" w:themeColor="text1"/>
          <w:sz w:val="24"/>
          <w:szCs w:val="24"/>
          <w:lang w:eastAsia="en-US"/>
        </w:rPr>
        <w:t>kontrolu</w:t>
      </w:r>
      <w:r w:rsidR="00E115C7" w:rsidRPr="006136A3">
        <w:rPr>
          <w:rFonts w:asciiTheme="minorHAnsi" w:hAnsiTheme="minorHAnsi" w:cstheme="minorHAnsi"/>
          <w:color w:val="000000" w:themeColor="text1"/>
          <w:sz w:val="24"/>
          <w:szCs w:val="24"/>
          <w:lang w:eastAsia="en-US"/>
        </w:rPr>
        <w:t>, zda</w:t>
      </w:r>
      <w:r w:rsidRPr="006136A3">
        <w:rPr>
          <w:rFonts w:asciiTheme="minorHAnsi" w:hAnsiTheme="minorHAnsi" w:cstheme="minorHAnsi"/>
          <w:color w:val="000000" w:themeColor="text1"/>
          <w:sz w:val="24"/>
          <w:szCs w:val="24"/>
          <w:lang w:eastAsia="en-US"/>
        </w:rPr>
        <w:t xml:space="preserve"> hospodaření </w:t>
      </w:r>
      <w:r w:rsidR="00E115C7" w:rsidRPr="006136A3">
        <w:rPr>
          <w:rFonts w:asciiTheme="minorHAnsi" w:hAnsiTheme="minorHAnsi" w:cstheme="minorHAnsi"/>
          <w:color w:val="000000" w:themeColor="text1"/>
          <w:sz w:val="24"/>
          <w:szCs w:val="24"/>
          <w:lang w:eastAsia="en-US"/>
        </w:rPr>
        <w:t>vybraných fakultních nemocnic probíh</w:t>
      </w:r>
      <w:r w:rsidR="006F7071" w:rsidRPr="006136A3">
        <w:rPr>
          <w:rFonts w:asciiTheme="minorHAnsi" w:hAnsiTheme="minorHAnsi" w:cstheme="minorHAnsi"/>
          <w:color w:val="000000" w:themeColor="text1"/>
          <w:sz w:val="24"/>
          <w:szCs w:val="24"/>
          <w:lang w:eastAsia="en-US"/>
        </w:rPr>
        <w:t>alo</w:t>
      </w:r>
      <w:r w:rsidR="00E115C7" w:rsidRPr="006136A3">
        <w:rPr>
          <w:rFonts w:asciiTheme="minorHAnsi" w:hAnsiTheme="minorHAnsi" w:cstheme="minorHAnsi"/>
          <w:color w:val="000000" w:themeColor="text1"/>
          <w:sz w:val="24"/>
          <w:szCs w:val="24"/>
          <w:lang w:eastAsia="en-US"/>
        </w:rPr>
        <w:t xml:space="preserve"> v souladu s právními předpisy a </w:t>
      </w:r>
      <w:r w:rsidR="006F7071" w:rsidRPr="006136A3">
        <w:rPr>
          <w:rFonts w:asciiTheme="minorHAnsi" w:hAnsiTheme="minorHAnsi" w:cstheme="minorHAnsi"/>
          <w:color w:val="000000" w:themeColor="text1"/>
          <w:sz w:val="24"/>
          <w:szCs w:val="24"/>
          <w:lang w:eastAsia="en-US"/>
        </w:rPr>
        <w:t xml:space="preserve">bylo </w:t>
      </w:r>
      <w:r w:rsidR="00E115C7" w:rsidRPr="006136A3">
        <w:rPr>
          <w:rFonts w:asciiTheme="minorHAnsi" w:hAnsiTheme="minorHAnsi" w:cstheme="minorHAnsi"/>
          <w:color w:val="000000" w:themeColor="text1"/>
          <w:sz w:val="24"/>
          <w:szCs w:val="24"/>
          <w:lang w:eastAsia="en-US"/>
        </w:rPr>
        <w:t xml:space="preserve">účelné a hospodárné a zda Ministerstvo zdravotnictví </w:t>
      </w:r>
      <w:r w:rsidR="006F7071" w:rsidRPr="006136A3">
        <w:rPr>
          <w:rFonts w:asciiTheme="minorHAnsi" w:hAnsiTheme="minorHAnsi" w:cstheme="minorHAnsi"/>
          <w:color w:val="000000" w:themeColor="text1"/>
          <w:sz w:val="24"/>
          <w:szCs w:val="24"/>
          <w:lang w:eastAsia="en-US"/>
        </w:rPr>
        <w:t xml:space="preserve">plnilo </w:t>
      </w:r>
      <w:r w:rsidR="00E115C7" w:rsidRPr="006136A3">
        <w:rPr>
          <w:rFonts w:asciiTheme="minorHAnsi" w:hAnsiTheme="minorHAnsi" w:cstheme="minorHAnsi"/>
          <w:color w:val="000000" w:themeColor="text1"/>
          <w:sz w:val="24"/>
          <w:szCs w:val="24"/>
          <w:lang w:eastAsia="en-US"/>
        </w:rPr>
        <w:t>roli jejich zřizovatele a zda poskytovalo prostředky v souladu s</w:t>
      </w:r>
      <w:r w:rsidR="006F7071" w:rsidRPr="006136A3">
        <w:rPr>
          <w:rFonts w:asciiTheme="minorHAnsi" w:hAnsiTheme="minorHAnsi" w:cstheme="minorHAnsi"/>
          <w:color w:val="000000" w:themeColor="text1"/>
          <w:sz w:val="24"/>
          <w:szCs w:val="24"/>
          <w:lang w:eastAsia="en-US"/>
        </w:rPr>
        <w:t> </w:t>
      </w:r>
      <w:r w:rsidR="00E115C7" w:rsidRPr="006136A3">
        <w:rPr>
          <w:rFonts w:asciiTheme="minorHAnsi" w:hAnsiTheme="minorHAnsi" w:cstheme="minorHAnsi"/>
          <w:color w:val="000000" w:themeColor="text1"/>
          <w:sz w:val="24"/>
          <w:szCs w:val="24"/>
          <w:lang w:eastAsia="en-US"/>
        </w:rPr>
        <w:t xml:space="preserve">právními předpisy. </w:t>
      </w:r>
    </w:p>
    <w:p w14:paraId="646EEA7D" w14:textId="5D74F7FC" w:rsidR="00292812" w:rsidRPr="0075660A" w:rsidRDefault="00292812" w:rsidP="00220719">
      <w:pPr>
        <w:spacing w:before="120" w:after="120"/>
        <w:jc w:val="both"/>
        <w:rPr>
          <w:rFonts w:asciiTheme="minorHAnsi" w:hAnsiTheme="minorHAnsi" w:cstheme="minorHAnsi"/>
          <w:b/>
          <w:sz w:val="24"/>
          <w:szCs w:val="24"/>
          <w:lang w:eastAsia="en-US"/>
        </w:rPr>
      </w:pPr>
      <w:bookmarkStart w:id="4" w:name="_Hlk130289447"/>
      <w:r w:rsidRPr="0075660A">
        <w:rPr>
          <w:rFonts w:asciiTheme="minorHAnsi" w:hAnsiTheme="minorHAnsi" w:cstheme="minorHAnsi"/>
          <w:b/>
          <w:sz w:val="24"/>
          <w:szCs w:val="24"/>
          <w:lang w:eastAsia="en-US"/>
        </w:rPr>
        <w:t>NKÚ při kontrole fakultních nemocnic zjistil, že jejich hospodaření neprobíhalo v některých případech</w:t>
      </w:r>
      <w:r w:rsidR="008038EE">
        <w:rPr>
          <w:rFonts w:asciiTheme="minorHAnsi" w:hAnsiTheme="minorHAnsi" w:cstheme="minorHAnsi"/>
          <w:b/>
          <w:sz w:val="24"/>
          <w:szCs w:val="24"/>
          <w:lang w:eastAsia="en-US"/>
        </w:rPr>
        <w:t xml:space="preserve"> </w:t>
      </w:r>
      <w:r w:rsidRPr="0075660A">
        <w:rPr>
          <w:rFonts w:asciiTheme="minorHAnsi" w:hAnsiTheme="minorHAnsi" w:cstheme="minorHAnsi"/>
          <w:b/>
          <w:sz w:val="24"/>
          <w:szCs w:val="24"/>
          <w:lang w:eastAsia="en-US"/>
        </w:rPr>
        <w:t xml:space="preserve">v souladu </w:t>
      </w:r>
      <w:r w:rsidR="00D85274">
        <w:rPr>
          <w:rFonts w:asciiTheme="minorHAnsi" w:hAnsiTheme="minorHAnsi" w:cstheme="minorHAnsi"/>
          <w:b/>
          <w:sz w:val="24"/>
          <w:szCs w:val="24"/>
          <w:lang w:eastAsia="en-US"/>
        </w:rPr>
        <w:t xml:space="preserve">s právními předpisy, zejména </w:t>
      </w:r>
      <w:r w:rsidR="003F4D68">
        <w:rPr>
          <w:rFonts w:asciiTheme="minorHAnsi" w:hAnsiTheme="minorHAnsi" w:cstheme="minorHAnsi"/>
          <w:b/>
          <w:sz w:val="24"/>
          <w:szCs w:val="24"/>
          <w:lang w:eastAsia="en-US"/>
        </w:rPr>
        <w:t>s rozpočtovými pravidly</w:t>
      </w:r>
      <w:r w:rsidR="00D42F25">
        <w:rPr>
          <w:rStyle w:val="Znakapoznpodarou"/>
          <w:rFonts w:asciiTheme="minorHAnsi" w:hAnsiTheme="minorHAnsi"/>
          <w:b/>
          <w:sz w:val="24"/>
          <w:szCs w:val="24"/>
          <w:lang w:eastAsia="en-US"/>
        </w:rPr>
        <w:footnoteReference w:id="2"/>
      </w:r>
      <w:r w:rsidRPr="0075660A">
        <w:rPr>
          <w:rFonts w:asciiTheme="minorHAnsi" w:hAnsiTheme="minorHAnsi" w:cstheme="minorHAnsi"/>
          <w:b/>
          <w:sz w:val="24"/>
          <w:szCs w:val="24"/>
          <w:lang w:eastAsia="en-US"/>
        </w:rPr>
        <w:t xml:space="preserve">, </w:t>
      </w:r>
      <w:r w:rsidR="008A6225">
        <w:rPr>
          <w:rFonts w:asciiTheme="minorHAnsi" w:hAnsiTheme="minorHAnsi" w:cstheme="minorHAnsi"/>
          <w:b/>
          <w:sz w:val="24"/>
          <w:szCs w:val="24"/>
          <w:lang w:eastAsia="en-US"/>
        </w:rPr>
        <w:t xml:space="preserve">zákonem </w:t>
      </w:r>
      <w:r w:rsidR="000B4339">
        <w:rPr>
          <w:rFonts w:asciiTheme="minorHAnsi" w:hAnsiTheme="minorHAnsi" w:cstheme="minorHAnsi"/>
          <w:b/>
          <w:sz w:val="24"/>
          <w:szCs w:val="24"/>
          <w:lang w:eastAsia="en-US"/>
        </w:rPr>
        <w:t>o</w:t>
      </w:r>
      <w:r w:rsidR="006842B7">
        <w:rPr>
          <w:rFonts w:asciiTheme="minorHAnsi" w:hAnsiTheme="minorHAnsi" w:cstheme="minorHAnsi"/>
          <w:b/>
          <w:sz w:val="24"/>
          <w:szCs w:val="24"/>
          <w:lang w:eastAsia="en-US"/>
        </w:rPr>
        <w:t> </w:t>
      </w:r>
      <w:r w:rsidR="000B4339">
        <w:rPr>
          <w:rFonts w:asciiTheme="minorHAnsi" w:hAnsiTheme="minorHAnsi" w:cstheme="minorHAnsi"/>
          <w:b/>
          <w:sz w:val="24"/>
          <w:szCs w:val="24"/>
          <w:lang w:eastAsia="en-US"/>
        </w:rPr>
        <w:t>majetku</w:t>
      </w:r>
      <w:r w:rsidR="009010CF">
        <w:rPr>
          <w:rFonts w:asciiTheme="minorHAnsi" w:hAnsiTheme="minorHAnsi" w:cstheme="minorHAnsi"/>
          <w:b/>
          <w:sz w:val="24"/>
          <w:szCs w:val="24"/>
          <w:lang w:eastAsia="en-US"/>
        </w:rPr>
        <w:t xml:space="preserve"> státu</w:t>
      </w:r>
      <w:r w:rsidR="000B4339">
        <w:rPr>
          <w:rStyle w:val="Znakapoznpodarou"/>
          <w:rFonts w:asciiTheme="minorHAnsi" w:hAnsiTheme="minorHAnsi"/>
          <w:b/>
          <w:sz w:val="24"/>
          <w:szCs w:val="24"/>
          <w:lang w:eastAsia="en-US"/>
        </w:rPr>
        <w:footnoteReference w:id="3"/>
      </w:r>
      <w:r w:rsidR="000B4339">
        <w:rPr>
          <w:rFonts w:asciiTheme="minorHAnsi" w:hAnsiTheme="minorHAnsi" w:cstheme="minorHAnsi"/>
          <w:b/>
          <w:sz w:val="24"/>
          <w:szCs w:val="24"/>
          <w:lang w:eastAsia="en-US"/>
        </w:rPr>
        <w:t xml:space="preserve">, </w:t>
      </w:r>
      <w:r w:rsidRPr="0075660A">
        <w:rPr>
          <w:rFonts w:asciiTheme="minorHAnsi" w:hAnsiTheme="minorHAnsi" w:cstheme="minorHAnsi"/>
          <w:b/>
          <w:sz w:val="24"/>
          <w:szCs w:val="24"/>
          <w:lang w:eastAsia="en-US"/>
        </w:rPr>
        <w:t>zákonem o zadávání veřejných zakázek</w:t>
      </w:r>
      <w:r w:rsidR="00D42F25">
        <w:rPr>
          <w:rStyle w:val="Znakapoznpodarou"/>
          <w:rFonts w:asciiTheme="minorHAnsi" w:hAnsiTheme="minorHAnsi"/>
          <w:b/>
          <w:sz w:val="24"/>
          <w:szCs w:val="24"/>
          <w:lang w:eastAsia="en-US"/>
        </w:rPr>
        <w:footnoteReference w:id="4"/>
      </w:r>
      <w:r w:rsidRPr="0075660A">
        <w:rPr>
          <w:rFonts w:asciiTheme="minorHAnsi" w:hAnsiTheme="minorHAnsi" w:cstheme="minorHAnsi"/>
          <w:b/>
          <w:sz w:val="24"/>
          <w:szCs w:val="24"/>
          <w:lang w:eastAsia="en-US"/>
        </w:rPr>
        <w:t xml:space="preserve"> a zákonem o finanční kontrole</w:t>
      </w:r>
      <w:r w:rsidR="00D42F25">
        <w:rPr>
          <w:rStyle w:val="Znakapoznpodarou"/>
          <w:rFonts w:asciiTheme="minorHAnsi" w:hAnsiTheme="minorHAnsi"/>
          <w:b/>
          <w:sz w:val="24"/>
          <w:szCs w:val="24"/>
          <w:lang w:eastAsia="en-US"/>
        </w:rPr>
        <w:footnoteReference w:id="5"/>
      </w:r>
      <w:r w:rsidRPr="0075660A">
        <w:rPr>
          <w:rFonts w:asciiTheme="minorHAnsi" w:hAnsiTheme="minorHAnsi" w:cstheme="minorHAnsi"/>
          <w:b/>
          <w:sz w:val="24"/>
          <w:szCs w:val="24"/>
          <w:lang w:eastAsia="en-US"/>
        </w:rPr>
        <w:t xml:space="preserve">. </w:t>
      </w:r>
      <w:r w:rsidR="00D85274">
        <w:rPr>
          <w:rFonts w:asciiTheme="minorHAnsi" w:hAnsiTheme="minorHAnsi" w:cstheme="minorHAnsi"/>
          <w:b/>
          <w:sz w:val="24"/>
          <w:szCs w:val="24"/>
          <w:lang w:eastAsia="en-US"/>
        </w:rPr>
        <w:t xml:space="preserve">NKÚ zjistil u FNB </w:t>
      </w:r>
      <w:r w:rsidR="008A1A8B">
        <w:rPr>
          <w:rFonts w:asciiTheme="minorHAnsi" w:hAnsiTheme="minorHAnsi" w:cstheme="minorHAnsi"/>
          <w:b/>
          <w:sz w:val="24"/>
          <w:szCs w:val="24"/>
          <w:lang w:eastAsia="en-US"/>
        </w:rPr>
        <w:t>nehospodárn</w:t>
      </w:r>
      <w:r w:rsidR="00553E06">
        <w:rPr>
          <w:rFonts w:asciiTheme="minorHAnsi" w:hAnsiTheme="minorHAnsi" w:cstheme="minorHAnsi"/>
          <w:b/>
          <w:sz w:val="24"/>
          <w:szCs w:val="24"/>
          <w:lang w:eastAsia="en-US"/>
        </w:rPr>
        <w:t>é nakládání s peněžními prostředky</w:t>
      </w:r>
      <w:r w:rsidR="008A1A8B">
        <w:rPr>
          <w:rFonts w:asciiTheme="minorHAnsi" w:hAnsiTheme="minorHAnsi" w:cstheme="minorHAnsi"/>
          <w:b/>
          <w:sz w:val="24"/>
          <w:szCs w:val="24"/>
          <w:lang w:eastAsia="en-US"/>
        </w:rPr>
        <w:t xml:space="preserve"> v oblasti oddlužování a</w:t>
      </w:r>
      <w:r w:rsidR="006842B7">
        <w:rPr>
          <w:rFonts w:asciiTheme="minorHAnsi" w:hAnsiTheme="minorHAnsi" w:cstheme="minorHAnsi"/>
          <w:b/>
          <w:sz w:val="24"/>
          <w:szCs w:val="24"/>
          <w:lang w:eastAsia="en-US"/>
        </w:rPr>
        <w:t> </w:t>
      </w:r>
      <w:r w:rsidR="00553E06">
        <w:rPr>
          <w:rFonts w:asciiTheme="minorHAnsi" w:hAnsiTheme="minorHAnsi" w:cstheme="minorHAnsi"/>
          <w:b/>
          <w:sz w:val="24"/>
          <w:szCs w:val="24"/>
          <w:lang w:eastAsia="en-US"/>
        </w:rPr>
        <w:t>n</w:t>
      </w:r>
      <w:r w:rsidR="00553E06" w:rsidRPr="0075660A">
        <w:rPr>
          <w:rFonts w:asciiTheme="minorHAnsi" w:hAnsiTheme="minorHAnsi" w:cstheme="minorHAnsi"/>
          <w:b/>
          <w:sz w:val="24"/>
          <w:szCs w:val="24"/>
          <w:lang w:eastAsia="en-US"/>
        </w:rPr>
        <w:t>eúčelné</w:t>
      </w:r>
      <w:r w:rsidR="004B4FF1">
        <w:rPr>
          <w:rFonts w:asciiTheme="minorHAnsi" w:hAnsiTheme="minorHAnsi" w:cstheme="minorHAnsi"/>
          <w:b/>
          <w:sz w:val="24"/>
          <w:szCs w:val="24"/>
          <w:lang w:eastAsia="en-US"/>
        </w:rPr>
        <w:t xml:space="preserve"> </w:t>
      </w:r>
      <w:r w:rsidR="00553E06">
        <w:rPr>
          <w:rFonts w:asciiTheme="minorHAnsi" w:hAnsiTheme="minorHAnsi" w:cstheme="minorHAnsi"/>
          <w:b/>
          <w:sz w:val="24"/>
          <w:szCs w:val="24"/>
          <w:lang w:eastAsia="en-US"/>
        </w:rPr>
        <w:t>a</w:t>
      </w:r>
      <w:r w:rsidR="00E94367">
        <w:rPr>
          <w:rFonts w:asciiTheme="minorHAnsi" w:hAnsiTheme="minorHAnsi" w:cstheme="minorHAnsi"/>
          <w:b/>
          <w:sz w:val="24"/>
          <w:szCs w:val="24"/>
          <w:lang w:eastAsia="en-US"/>
        </w:rPr>
        <w:t> </w:t>
      </w:r>
      <w:r w:rsidR="00553E06">
        <w:rPr>
          <w:rFonts w:asciiTheme="minorHAnsi" w:hAnsiTheme="minorHAnsi" w:cstheme="minorHAnsi"/>
          <w:b/>
          <w:sz w:val="24"/>
          <w:szCs w:val="24"/>
          <w:lang w:eastAsia="en-US"/>
        </w:rPr>
        <w:t xml:space="preserve">nehospodárné </w:t>
      </w:r>
      <w:r w:rsidR="00553E06" w:rsidRPr="0075660A">
        <w:rPr>
          <w:rFonts w:asciiTheme="minorHAnsi" w:hAnsiTheme="minorHAnsi" w:cstheme="minorHAnsi"/>
          <w:b/>
          <w:sz w:val="24"/>
          <w:szCs w:val="24"/>
          <w:lang w:eastAsia="en-US"/>
        </w:rPr>
        <w:t>nakládání s peněžními prostředky</w:t>
      </w:r>
      <w:r w:rsidR="00553E06">
        <w:rPr>
          <w:rFonts w:asciiTheme="minorHAnsi" w:hAnsiTheme="minorHAnsi" w:cstheme="minorHAnsi"/>
          <w:b/>
          <w:sz w:val="24"/>
          <w:szCs w:val="24"/>
          <w:lang w:eastAsia="en-US"/>
        </w:rPr>
        <w:t xml:space="preserve"> </w:t>
      </w:r>
      <w:r w:rsidR="008A1A8B">
        <w:rPr>
          <w:rFonts w:asciiTheme="minorHAnsi" w:hAnsiTheme="minorHAnsi" w:cstheme="minorHAnsi"/>
          <w:b/>
          <w:sz w:val="24"/>
          <w:szCs w:val="24"/>
          <w:lang w:eastAsia="en-US"/>
        </w:rPr>
        <w:t xml:space="preserve">v oblasti </w:t>
      </w:r>
      <w:r w:rsidR="008A1A8B" w:rsidRPr="0075660A">
        <w:rPr>
          <w:rFonts w:asciiTheme="minorHAnsi" w:hAnsiTheme="minorHAnsi" w:cstheme="minorHAnsi"/>
          <w:b/>
          <w:sz w:val="24"/>
          <w:szCs w:val="24"/>
          <w:lang w:eastAsia="en-US"/>
        </w:rPr>
        <w:t>provozu záložního zdravotnického zařízen</w:t>
      </w:r>
      <w:r w:rsidR="008A1A8B">
        <w:rPr>
          <w:rFonts w:asciiTheme="minorHAnsi" w:hAnsiTheme="minorHAnsi" w:cstheme="minorHAnsi"/>
          <w:b/>
          <w:sz w:val="24"/>
          <w:szCs w:val="24"/>
          <w:lang w:eastAsia="en-US"/>
        </w:rPr>
        <w:t xml:space="preserve">í. </w:t>
      </w:r>
      <w:r w:rsidR="00E05431">
        <w:rPr>
          <w:rFonts w:asciiTheme="minorHAnsi" w:hAnsiTheme="minorHAnsi" w:cstheme="minorHAnsi"/>
          <w:b/>
          <w:sz w:val="24"/>
          <w:szCs w:val="24"/>
          <w:lang w:eastAsia="en-US"/>
        </w:rPr>
        <w:t xml:space="preserve">NKÚ zjistil </w:t>
      </w:r>
      <w:r w:rsidR="008A1A8B">
        <w:rPr>
          <w:rFonts w:asciiTheme="minorHAnsi" w:hAnsiTheme="minorHAnsi" w:cstheme="minorHAnsi"/>
          <w:b/>
          <w:sz w:val="24"/>
          <w:szCs w:val="24"/>
          <w:lang w:eastAsia="en-US"/>
        </w:rPr>
        <w:t xml:space="preserve">u FNUSA </w:t>
      </w:r>
      <w:r w:rsidR="008A1A8B" w:rsidRPr="0075660A">
        <w:rPr>
          <w:rFonts w:asciiTheme="minorHAnsi" w:hAnsiTheme="minorHAnsi" w:cstheme="minorHAnsi"/>
          <w:b/>
          <w:sz w:val="24"/>
          <w:szCs w:val="24"/>
          <w:lang w:eastAsia="en-US"/>
        </w:rPr>
        <w:t>nehospodárn</w:t>
      </w:r>
      <w:r w:rsidR="00553E06">
        <w:rPr>
          <w:rFonts w:asciiTheme="minorHAnsi" w:hAnsiTheme="minorHAnsi" w:cstheme="minorHAnsi"/>
          <w:b/>
          <w:sz w:val="24"/>
          <w:szCs w:val="24"/>
          <w:lang w:eastAsia="en-US"/>
        </w:rPr>
        <w:t>é nakládání s peněžními prostředky</w:t>
      </w:r>
      <w:r w:rsidR="008A1A8B">
        <w:rPr>
          <w:rFonts w:asciiTheme="minorHAnsi" w:hAnsiTheme="minorHAnsi" w:cstheme="minorHAnsi"/>
          <w:b/>
          <w:sz w:val="24"/>
          <w:szCs w:val="24"/>
          <w:lang w:eastAsia="en-US"/>
        </w:rPr>
        <w:t xml:space="preserve"> </w:t>
      </w:r>
      <w:r w:rsidR="00E05431">
        <w:rPr>
          <w:rFonts w:asciiTheme="minorHAnsi" w:hAnsiTheme="minorHAnsi" w:cstheme="minorHAnsi"/>
          <w:b/>
          <w:sz w:val="24"/>
          <w:szCs w:val="24"/>
          <w:lang w:eastAsia="en-US"/>
        </w:rPr>
        <w:t>v</w:t>
      </w:r>
      <w:r w:rsidRPr="0075660A">
        <w:rPr>
          <w:rFonts w:asciiTheme="minorHAnsi" w:hAnsiTheme="minorHAnsi" w:cstheme="minorHAnsi"/>
          <w:b/>
          <w:sz w:val="24"/>
          <w:szCs w:val="24"/>
          <w:lang w:eastAsia="en-US"/>
        </w:rPr>
        <w:t> oblast</w:t>
      </w:r>
      <w:r w:rsidR="007247E6">
        <w:rPr>
          <w:rFonts w:asciiTheme="minorHAnsi" w:hAnsiTheme="minorHAnsi" w:cstheme="minorHAnsi"/>
          <w:b/>
          <w:sz w:val="24"/>
          <w:szCs w:val="24"/>
          <w:lang w:eastAsia="en-US"/>
        </w:rPr>
        <w:t>i</w:t>
      </w:r>
      <w:r w:rsidRPr="0075660A">
        <w:rPr>
          <w:rFonts w:asciiTheme="minorHAnsi" w:hAnsiTheme="minorHAnsi" w:cstheme="minorHAnsi"/>
          <w:b/>
          <w:sz w:val="24"/>
          <w:szCs w:val="24"/>
          <w:lang w:eastAsia="en-US"/>
        </w:rPr>
        <w:t xml:space="preserve"> oddlužování. </w:t>
      </w:r>
    </w:p>
    <w:p w14:paraId="4A9FD775" w14:textId="6F279A1A" w:rsidR="00292812" w:rsidRPr="0075660A" w:rsidRDefault="002F1570" w:rsidP="00220719">
      <w:pPr>
        <w:widowControl/>
        <w:spacing w:before="120" w:after="120"/>
        <w:jc w:val="both"/>
        <w:rPr>
          <w:rFonts w:asciiTheme="minorHAnsi" w:hAnsiTheme="minorHAnsi" w:cstheme="minorHAnsi"/>
          <w:b/>
          <w:sz w:val="24"/>
          <w:szCs w:val="24"/>
          <w:lang w:eastAsia="en-US"/>
        </w:rPr>
      </w:pPr>
      <w:r w:rsidRPr="0075660A">
        <w:rPr>
          <w:rFonts w:asciiTheme="minorHAnsi" w:hAnsiTheme="minorHAnsi" w:cstheme="minorHAnsi"/>
          <w:b/>
          <w:sz w:val="24"/>
          <w:szCs w:val="24"/>
          <w:lang w:eastAsia="en-US"/>
        </w:rPr>
        <w:t>Ministerstvo zdravotnictví v některých případech poruš</w:t>
      </w:r>
      <w:r w:rsidR="00D85274">
        <w:rPr>
          <w:rFonts w:asciiTheme="minorHAnsi" w:hAnsiTheme="minorHAnsi" w:cstheme="minorHAnsi"/>
          <w:b/>
          <w:sz w:val="24"/>
          <w:szCs w:val="24"/>
          <w:lang w:eastAsia="en-US"/>
        </w:rPr>
        <w:t>ilo</w:t>
      </w:r>
      <w:r w:rsidRPr="0075660A">
        <w:rPr>
          <w:rFonts w:asciiTheme="minorHAnsi" w:hAnsiTheme="minorHAnsi" w:cstheme="minorHAnsi"/>
          <w:b/>
          <w:sz w:val="24"/>
          <w:szCs w:val="24"/>
          <w:lang w:eastAsia="en-US"/>
        </w:rPr>
        <w:t xml:space="preserve"> právní předpisy v oblasti plnění funkc</w:t>
      </w:r>
      <w:r w:rsidR="008A1A8B">
        <w:rPr>
          <w:rFonts w:asciiTheme="minorHAnsi" w:hAnsiTheme="minorHAnsi" w:cstheme="minorHAnsi"/>
          <w:b/>
          <w:sz w:val="24"/>
          <w:szCs w:val="24"/>
          <w:lang w:eastAsia="en-US"/>
        </w:rPr>
        <w:t>e</w:t>
      </w:r>
      <w:r w:rsidRPr="0075660A">
        <w:rPr>
          <w:rFonts w:asciiTheme="minorHAnsi" w:hAnsiTheme="minorHAnsi" w:cstheme="minorHAnsi"/>
          <w:b/>
          <w:sz w:val="24"/>
          <w:szCs w:val="24"/>
          <w:lang w:eastAsia="en-US"/>
        </w:rPr>
        <w:t xml:space="preserve"> zřizovatele a </w:t>
      </w:r>
      <w:r w:rsidR="008A1A8B">
        <w:rPr>
          <w:rFonts w:asciiTheme="minorHAnsi" w:hAnsiTheme="minorHAnsi" w:cstheme="minorHAnsi"/>
          <w:b/>
          <w:sz w:val="24"/>
          <w:szCs w:val="24"/>
          <w:lang w:eastAsia="en-US"/>
        </w:rPr>
        <w:t xml:space="preserve">při </w:t>
      </w:r>
      <w:r w:rsidRPr="00EB3433">
        <w:rPr>
          <w:rFonts w:asciiTheme="minorHAnsi" w:hAnsiTheme="minorHAnsi" w:cstheme="minorHAnsi"/>
          <w:b/>
          <w:sz w:val="24"/>
          <w:szCs w:val="24"/>
          <w:lang w:eastAsia="en-US"/>
        </w:rPr>
        <w:t>poskytování peněžních prostředků</w:t>
      </w:r>
      <w:r w:rsidR="008A1A8B" w:rsidRPr="00EB3433">
        <w:rPr>
          <w:rFonts w:asciiTheme="minorHAnsi" w:hAnsiTheme="minorHAnsi" w:cstheme="minorHAnsi"/>
          <w:b/>
          <w:sz w:val="24"/>
          <w:szCs w:val="24"/>
          <w:lang w:eastAsia="en-US"/>
        </w:rPr>
        <w:t xml:space="preserve"> ze státního rozpočtu</w:t>
      </w:r>
      <w:r w:rsidR="00C219F3" w:rsidRPr="00EB3433">
        <w:rPr>
          <w:rFonts w:asciiTheme="minorHAnsi" w:hAnsiTheme="minorHAnsi" w:cstheme="minorHAnsi"/>
          <w:b/>
          <w:sz w:val="24"/>
          <w:szCs w:val="24"/>
          <w:lang w:eastAsia="en-US"/>
        </w:rPr>
        <w:t xml:space="preserve"> (dále také „SR“)</w:t>
      </w:r>
      <w:r w:rsidRPr="00EB3433">
        <w:rPr>
          <w:rFonts w:asciiTheme="minorHAnsi" w:hAnsiTheme="minorHAnsi" w:cstheme="minorHAnsi"/>
          <w:b/>
          <w:sz w:val="24"/>
          <w:szCs w:val="24"/>
          <w:lang w:eastAsia="en-US"/>
        </w:rPr>
        <w:t xml:space="preserve">. </w:t>
      </w:r>
      <w:r w:rsidR="00292812" w:rsidRPr="00EB3433">
        <w:rPr>
          <w:rFonts w:asciiTheme="minorHAnsi" w:hAnsiTheme="minorHAnsi" w:cstheme="minorHAnsi"/>
          <w:b/>
          <w:sz w:val="24"/>
          <w:szCs w:val="24"/>
          <w:lang w:eastAsia="en-US"/>
        </w:rPr>
        <w:t xml:space="preserve">Ministerstvo zdravotnictví </w:t>
      </w:r>
      <w:r w:rsidR="00C219F3" w:rsidRPr="00EB3433">
        <w:rPr>
          <w:rFonts w:asciiTheme="minorHAnsi" w:hAnsiTheme="minorHAnsi" w:cstheme="minorHAnsi"/>
          <w:b/>
          <w:sz w:val="24"/>
          <w:szCs w:val="24"/>
          <w:lang w:eastAsia="en-US"/>
        </w:rPr>
        <w:t>poskytlo</w:t>
      </w:r>
      <w:r w:rsidR="00292812" w:rsidRPr="00EB3433">
        <w:rPr>
          <w:rFonts w:asciiTheme="minorHAnsi" w:hAnsiTheme="minorHAnsi" w:cstheme="minorHAnsi"/>
          <w:b/>
          <w:sz w:val="24"/>
          <w:szCs w:val="24"/>
          <w:lang w:eastAsia="en-US"/>
        </w:rPr>
        <w:t xml:space="preserve"> </w:t>
      </w:r>
      <w:r w:rsidR="00233243" w:rsidRPr="00EB3433">
        <w:rPr>
          <w:rFonts w:asciiTheme="minorHAnsi" w:hAnsiTheme="minorHAnsi" w:cstheme="minorHAnsi"/>
          <w:b/>
          <w:sz w:val="24"/>
          <w:szCs w:val="24"/>
          <w:lang w:eastAsia="en-US"/>
        </w:rPr>
        <w:t xml:space="preserve">mimořádné </w:t>
      </w:r>
      <w:r w:rsidRPr="00EB3433">
        <w:rPr>
          <w:rFonts w:asciiTheme="minorHAnsi" w:hAnsiTheme="minorHAnsi" w:cstheme="minorHAnsi"/>
          <w:b/>
          <w:sz w:val="24"/>
          <w:szCs w:val="24"/>
          <w:lang w:eastAsia="en-US"/>
        </w:rPr>
        <w:t>příspěvky</w:t>
      </w:r>
      <w:r w:rsidR="00C219F3" w:rsidRPr="00EB3433">
        <w:rPr>
          <w:rStyle w:val="Znakapoznpodarou"/>
          <w:rFonts w:asciiTheme="minorHAnsi" w:hAnsiTheme="minorHAnsi"/>
          <w:b/>
          <w:sz w:val="24"/>
          <w:szCs w:val="24"/>
          <w:lang w:eastAsia="en-US"/>
        </w:rPr>
        <w:footnoteReference w:id="6"/>
      </w:r>
      <w:r w:rsidRPr="00EB3433">
        <w:rPr>
          <w:rFonts w:asciiTheme="minorHAnsi" w:hAnsiTheme="minorHAnsi" w:cstheme="minorHAnsi"/>
          <w:b/>
          <w:sz w:val="24"/>
          <w:szCs w:val="24"/>
          <w:lang w:eastAsia="en-US"/>
        </w:rPr>
        <w:t xml:space="preserve"> </w:t>
      </w:r>
      <w:r w:rsidR="00C219F3" w:rsidRPr="00EB3433">
        <w:rPr>
          <w:rFonts w:asciiTheme="minorHAnsi" w:hAnsiTheme="minorHAnsi" w:cstheme="minorHAnsi"/>
          <w:b/>
          <w:sz w:val="24"/>
          <w:szCs w:val="24"/>
          <w:lang w:eastAsia="en-US"/>
        </w:rPr>
        <w:t xml:space="preserve">ze </w:t>
      </w:r>
      <w:r w:rsidR="00C219F3" w:rsidRPr="00FF32DF">
        <w:rPr>
          <w:rFonts w:asciiTheme="minorHAnsi" w:hAnsiTheme="minorHAnsi" w:cstheme="minorHAnsi"/>
          <w:b/>
          <w:sz w:val="24"/>
          <w:szCs w:val="24"/>
          <w:lang w:eastAsia="en-US"/>
        </w:rPr>
        <w:t xml:space="preserve">SR </w:t>
      </w:r>
      <w:r w:rsidR="003D571D">
        <w:rPr>
          <w:rFonts w:asciiTheme="minorHAnsi" w:hAnsiTheme="minorHAnsi" w:cstheme="minorHAnsi"/>
          <w:b/>
          <w:sz w:val="24"/>
          <w:szCs w:val="24"/>
          <w:lang w:eastAsia="en-US"/>
        </w:rPr>
        <w:t xml:space="preserve">v objemu </w:t>
      </w:r>
      <w:r w:rsidR="00AF4C02">
        <w:rPr>
          <w:rFonts w:asciiTheme="minorHAnsi" w:hAnsiTheme="minorHAnsi" w:cstheme="minorHAnsi"/>
          <w:b/>
          <w:sz w:val="24"/>
          <w:szCs w:val="24"/>
          <w:lang w:eastAsia="en-US"/>
        </w:rPr>
        <w:t>téměř</w:t>
      </w:r>
      <w:r w:rsidR="00292812" w:rsidRPr="00FF32DF">
        <w:rPr>
          <w:rFonts w:asciiTheme="minorHAnsi" w:hAnsiTheme="minorHAnsi" w:cstheme="minorHAnsi"/>
          <w:b/>
          <w:sz w:val="24"/>
          <w:szCs w:val="24"/>
          <w:lang w:eastAsia="en-US"/>
        </w:rPr>
        <w:t xml:space="preserve"> </w:t>
      </w:r>
      <w:r w:rsidR="00BF2191">
        <w:rPr>
          <w:rFonts w:asciiTheme="minorHAnsi" w:hAnsiTheme="minorHAnsi" w:cstheme="minorHAnsi"/>
          <w:b/>
          <w:sz w:val="24"/>
          <w:szCs w:val="24"/>
          <w:lang w:eastAsia="en-US"/>
        </w:rPr>
        <w:t>4,8</w:t>
      </w:r>
      <w:r w:rsidR="003D571D">
        <w:rPr>
          <w:rFonts w:asciiTheme="minorHAnsi" w:hAnsiTheme="minorHAnsi" w:cstheme="minorHAnsi"/>
          <w:b/>
          <w:sz w:val="24"/>
          <w:szCs w:val="24"/>
          <w:lang w:eastAsia="en-US"/>
        </w:rPr>
        <w:t> </w:t>
      </w:r>
      <w:r w:rsidR="00292812" w:rsidRPr="00FF32DF">
        <w:rPr>
          <w:rFonts w:asciiTheme="minorHAnsi" w:hAnsiTheme="minorHAnsi" w:cstheme="minorHAnsi"/>
          <w:b/>
          <w:sz w:val="24"/>
          <w:szCs w:val="24"/>
          <w:lang w:eastAsia="en-US"/>
        </w:rPr>
        <w:t>mld.</w:t>
      </w:r>
      <w:r w:rsidR="003D571D">
        <w:rPr>
          <w:rFonts w:asciiTheme="minorHAnsi" w:hAnsiTheme="minorHAnsi" w:cstheme="minorHAnsi"/>
          <w:b/>
          <w:sz w:val="24"/>
          <w:szCs w:val="24"/>
          <w:lang w:eastAsia="en-US"/>
        </w:rPr>
        <w:t> </w:t>
      </w:r>
      <w:r w:rsidR="00292812" w:rsidRPr="00FF32DF">
        <w:rPr>
          <w:rFonts w:asciiTheme="minorHAnsi" w:hAnsiTheme="minorHAnsi" w:cstheme="minorHAnsi"/>
          <w:b/>
          <w:sz w:val="24"/>
          <w:szCs w:val="24"/>
          <w:lang w:eastAsia="en-US"/>
        </w:rPr>
        <w:t>Kč,</w:t>
      </w:r>
      <w:r w:rsidR="00292812" w:rsidRPr="00EB3433">
        <w:rPr>
          <w:rFonts w:asciiTheme="minorHAnsi" w:hAnsiTheme="minorHAnsi" w:cstheme="minorHAnsi"/>
          <w:b/>
          <w:sz w:val="24"/>
          <w:szCs w:val="24"/>
          <w:lang w:eastAsia="en-US"/>
        </w:rPr>
        <w:t xml:space="preserve"> aniž by provedlo kontrolu</w:t>
      </w:r>
      <w:r w:rsidR="00C219F3" w:rsidRPr="00EB3433">
        <w:rPr>
          <w:rFonts w:asciiTheme="minorHAnsi" w:hAnsiTheme="minorHAnsi" w:cstheme="minorHAnsi"/>
          <w:b/>
          <w:sz w:val="24"/>
          <w:szCs w:val="24"/>
          <w:lang w:eastAsia="en-US"/>
        </w:rPr>
        <w:t xml:space="preserve"> jejich použití</w:t>
      </w:r>
      <w:r w:rsidR="00292812" w:rsidRPr="00EB3433">
        <w:rPr>
          <w:rFonts w:asciiTheme="minorHAnsi" w:hAnsiTheme="minorHAnsi" w:cstheme="minorHAnsi"/>
          <w:b/>
          <w:sz w:val="24"/>
          <w:szCs w:val="24"/>
          <w:lang w:eastAsia="en-US"/>
        </w:rPr>
        <w:t>.</w:t>
      </w:r>
    </w:p>
    <w:bookmarkEnd w:id="4"/>
    <w:p w14:paraId="09D068E5" w14:textId="213D0307" w:rsidR="001F17C4" w:rsidRPr="0075660A" w:rsidRDefault="003A4680" w:rsidP="00220719">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lang w:eastAsia="en-US"/>
        </w:rPr>
        <w:t>NKÚ zkontroloval pe</w:t>
      </w:r>
      <w:r w:rsidRPr="00220719">
        <w:rPr>
          <w:rFonts w:asciiTheme="minorHAnsi" w:hAnsiTheme="minorHAnsi" w:cstheme="minorHAnsi"/>
          <w:color w:val="000000" w:themeColor="text1"/>
          <w:sz w:val="24"/>
          <w:szCs w:val="24"/>
          <w:lang w:eastAsia="en-US"/>
        </w:rPr>
        <w:t xml:space="preserve">něžní prostředky </w:t>
      </w:r>
      <w:r w:rsidR="003D571D">
        <w:rPr>
          <w:rFonts w:asciiTheme="minorHAnsi" w:hAnsiTheme="minorHAnsi" w:cstheme="minorHAnsi"/>
          <w:color w:val="000000" w:themeColor="text1"/>
          <w:sz w:val="24"/>
          <w:szCs w:val="24"/>
          <w:lang w:eastAsia="en-US"/>
        </w:rPr>
        <w:t>v </w:t>
      </w:r>
      <w:r w:rsidRPr="00220719">
        <w:rPr>
          <w:rFonts w:asciiTheme="minorHAnsi" w:hAnsiTheme="minorHAnsi" w:cstheme="minorHAnsi"/>
          <w:color w:val="000000" w:themeColor="text1"/>
          <w:sz w:val="24"/>
          <w:szCs w:val="24"/>
          <w:lang w:eastAsia="en-US"/>
        </w:rPr>
        <w:t>celk</w:t>
      </w:r>
      <w:r w:rsidR="003D571D">
        <w:rPr>
          <w:rFonts w:asciiTheme="minorHAnsi" w:hAnsiTheme="minorHAnsi" w:cstheme="minorHAnsi"/>
          <w:color w:val="000000" w:themeColor="text1"/>
          <w:sz w:val="24"/>
          <w:szCs w:val="24"/>
          <w:lang w:eastAsia="en-US"/>
        </w:rPr>
        <w:t>ové výši</w:t>
      </w:r>
      <w:r w:rsidRPr="00220719">
        <w:rPr>
          <w:rFonts w:asciiTheme="minorHAnsi" w:hAnsiTheme="minorHAnsi" w:cstheme="minorHAnsi"/>
          <w:color w:val="000000" w:themeColor="text1"/>
          <w:sz w:val="24"/>
          <w:szCs w:val="24"/>
          <w:lang w:eastAsia="en-US"/>
        </w:rPr>
        <w:t xml:space="preserve"> </w:t>
      </w:r>
      <w:r w:rsidRPr="00220719">
        <w:rPr>
          <w:rFonts w:asciiTheme="minorHAnsi" w:hAnsiTheme="minorHAnsi" w:cstheme="minorHAnsi"/>
          <w:color w:val="000000" w:themeColor="text1"/>
          <w:sz w:val="24"/>
          <w:szCs w:val="24"/>
        </w:rPr>
        <w:t>7</w:t>
      </w:r>
      <w:r w:rsidR="00E7014F" w:rsidRPr="00220719">
        <w:rPr>
          <w:rFonts w:asciiTheme="minorHAnsi" w:hAnsiTheme="minorHAnsi" w:cstheme="minorHAnsi"/>
          <w:color w:val="000000" w:themeColor="text1"/>
          <w:sz w:val="24"/>
          <w:szCs w:val="24"/>
        </w:rPr>
        <w:t>,2 mld.</w:t>
      </w:r>
      <w:r w:rsidRPr="00220719">
        <w:rPr>
          <w:rFonts w:asciiTheme="minorHAnsi" w:hAnsiTheme="minorHAnsi" w:cstheme="minorHAnsi"/>
          <w:color w:val="000000" w:themeColor="text1"/>
          <w:sz w:val="24"/>
          <w:szCs w:val="24"/>
          <w:lang w:eastAsia="en-US"/>
        </w:rPr>
        <w:t xml:space="preserve"> Kč.</w:t>
      </w:r>
    </w:p>
    <w:p w14:paraId="03589567" w14:textId="0D8E05F8" w:rsidR="000632F8" w:rsidRPr="0075660A" w:rsidRDefault="000632F8" w:rsidP="00220719">
      <w:pPr>
        <w:keepNext/>
        <w:widowControl/>
        <w:spacing w:before="240" w:after="120"/>
        <w:jc w:val="both"/>
        <w:rPr>
          <w:rFonts w:asciiTheme="minorHAnsi" w:hAnsiTheme="minorHAnsi" w:cstheme="minorHAnsi"/>
          <w:sz w:val="24"/>
          <w:szCs w:val="24"/>
        </w:rPr>
      </w:pPr>
      <w:r w:rsidRPr="0075660A">
        <w:rPr>
          <w:rFonts w:asciiTheme="minorHAnsi" w:hAnsiTheme="minorHAnsi" w:cstheme="minorHAnsi"/>
          <w:sz w:val="24"/>
          <w:szCs w:val="24"/>
        </w:rPr>
        <w:t>Výše uvedené celkové vyhodnocení vyplývá z následujících zjištění:</w:t>
      </w:r>
    </w:p>
    <w:p w14:paraId="2B278F71" w14:textId="06FC23E2" w:rsidR="00E97893" w:rsidRPr="0075660A" w:rsidRDefault="00E97893" w:rsidP="00220719">
      <w:pPr>
        <w:keepNext/>
        <w:widowControl/>
        <w:spacing w:before="240" w:after="120"/>
        <w:jc w:val="both"/>
        <w:rPr>
          <w:rFonts w:asciiTheme="minorHAnsi" w:hAnsiTheme="minorHAnsi" w:cstheme="minorHAnsi"/>
          <w:b/>
          <w:sz w:val="24"/>
          <w:szCs w:val="24"/>
        </w:rPr>
      </w:pPr>
      <w:r w:rsidRPr="0075660A">
        <w:rPr>
          <w:rFonts w:asciiTheme="minorHAnsi" w:hAnsiTheme="minorHAnsi" w:cstheme="minorHAnsi"/>
          <w:b/>
          <w:sz w:val="24"/>
          <w:szCs w:val="24"/>
        </w:rPr>
        <w:t>1</w:t>
      </w:r>
      <w:r w:rsidR="00A22D79">
        <w:rPr>
          <w:rFonts w:asciiTheme="minorHAnsi" w:hAnsiTheme="minorHAnsi" w:cstheme="minorHAnsi"/>
          <w:b/>
          <w:sz w:val="24"/>
          <w:szCs w:val="24"/>
        </w:rPr>
        <w:t>.</w:t>
      </w:r>
      <w:r w:rsidRPr="0075660A">
        <w:rPr>
          <w:rFonts w:asciiTheme="minorHAnsi" w:hAnsiTheme="minorHAnsi" w:cstheme="minorHAnsi"/>
          <w:b/>
          <w:sz w:val="24"/>
          <w:szCs w:val="24"/>
        </w:rPr>
        <w:t xml:space="preserve"> Oddlužení</w:t>
      </w:r>
      <w:r w:rsidR="001414F4" w:rsidRPr="0075660A">
        <w:rPr>
          <w:rFonts w:asciiTheme="minorHAnsi" w:hAnsiTheme="minorHAnsi" w:cstheme="minorHAnsi"/>
          <w:b/>
          <w:sz w:val="24"/>
          <w:szCs w:val="24"/>
        </w:rPr>
        <w:t xml:space="preserve"> fakultních nemocnic</w:t>
      </w:r>
    </w:p>
    <w:p w14:paraId="0A2E72F7" w14:textId="14A6CC79" w:rsidR="009D0DDF" w:rsidRPr="0075660A" w:rsidRDefault="00381F5B" w:rsidP="00220719">
      <w:pPr>
        <w:pStyle w:val="Odstavecseseznamem"/>
        <w:keepNext/>
        <w:numPr>
          <w:ilvl w:val="0"/>
          <w:numId w:val="31"/>
        </w:numPr>
        <w:spacing w:before="120" w:after="120"/>
        <w:ind w:left="284" w:hanging="284"/>
        <w:contextualSpacing w:val="0"/>
        <w:jc w:val="both"/>
        <w:rPr>
          <w:rFonts w:asciiTheme="minorHAnsi" w:hAnsiTheme="minorHAnsi" w:cstheme="minorHAnsi"/>
          <w:bCs/>
          <w:iCs/>
          <w:sz w:val="24"/>
          <w:szCs w:val="24"/>
        </w:rPr>
      </w:pPr>
      <w:proofErr w:type="spellStart"/>
      <w:r w:rsidRPr="0075660A">
        <w:rPr>
          <w:rFonts w:asciiTheme="minorHAnsi" w:hAnsiTheme="minorHAnsi" w:cstheme="minorHAnsi"/>
          <w:bCs/>
          <w:iCs/>
          <w:sz w:val="24"/>
          <w:szCs w:val="24"/>
        </w:rPr>
        <w:t>MZ</w:t>
      </w:r>
      <w:r w:rsidR="00104FC9">
        <w:rPr>
          <w:rFonts w:asciiTheme="minorHAnsi" w:hAnsiTheme="minorHAnsi" w:cstheme="minorHAnsi"/>
          <w:bCs/>
          <w:iCs/>
          <w:sz w:val="24"/>
          <w:szCs w:val="24"/>
        </w:rPr>
        <w:t>d</w:t>
      </w:r>
      <w:proofErr w:type="spellEnd"/>
    </w:p>
    <w:p w14:paraId="05522588" w14:textId="279B6F66" w:rsidR="00E97893" w:rsidRDefault="00092EC2" w:rsidP="00220719">
      <w:pPr>
        <w:spacing w:before="120" w:after="120"/>
        <w:jc w:val="both"/>
        <w:rPr>
          <w:rFonts w:asciiTheme="minorHAnsi" w:eastAsia="Calibri" w:hAnsiTheme="minorHAnsi" w:cstheme="minorHAnsi"/>
          <w:iCs/>
          <w:sz w:val="24"/>
          <w:szCs w:val="24"/>
        </w:rPr>
      </w:pPr>
      <w:proofErr w:type="spellStart"/>
      <w:r w:rsidRPr="0075660A">
        <w:rPr>
          <w:rFonts w:asciiTheme="minorHAnsi" w:hAnsiTheme="minorHAnsi" w:cstheme="minorHAnsi"/>
          <w:bCs/>
          <w:iCs/>
          <w:sz w:val="24"/>
          <w:szCs w:val="24"/>
        </w:rPr>
        <w:t>MZ</w:t>
      </w:r>
      <w:r w:rsidR="003D571D">
        <w:rPr>
          <w:rFonts w:asciiTheme="minorHAnsi" w:hAnsiTheme="minorHAnsi" w:cstheme="minorHAnsi"/>
          <w:bCs/>
          <w:iCs/>
          <w:sz w:val="24"/>
          <w:szCs w:val="24"/>
        </w:rPr>
        <w:t>d</w:t>
      </w:r>
      <w:proofErr w:type="spellEnd"/>
      <w:r w:rsidRPr="0075660A">
        <w:rPr>
          <w:rFonts w:asciiTheme="minorHAnsi" w:hAnsiTheme="minorHAnsi" w:cstheme="minorHAnsi"/>
          <w:bCs/>
          <w:iCs/>
          <w:sz w:val="24"/>
          <w:szCs w:val="24"/>
        </w:rPr>
        <w:t xml:space="preserve"> </w:t>
      </w:r>
      <w:r w:rsidR="00337513" w:rsidRPr="0075660A">
        <w:rPr>
          <w:rFonts w:asciiTheme="minorHAnsi" w:hAnsiTheme="minorHAnsi" w:cstheme="minorHAnsi"/>
          <w:bCs/>
          <w:iCs/>
          <w:sz w:val="24"/>
          <w:szCs w:val="24"/>
        </w:rPr>
        <w:t xml:space="preserve">poskytlo </w:t>
      </w:r>
      <w:r w:rsidR="00602EEC" w:rsidRPr="0075660A">
        <w:rPr>
          <w:rFonts w:asciiTheme="minorHAnsi" w:hAnsiTheme="minorHAnsi" w:cstheme="minorHAnsi"/>
          <w:bCs/>
          <w:iCs/>
          <w:sz w:val="24"/>
          <w:szCs w:val="24"/>
        </w:rPr>
        <w:t xml:space="preserve">kontrolovaným </w:t>
      </w:r>
      <w:r w:rsidR="00752CAB" w:rsidRPr="0075660A">
        <w:rPr>
          <w:rFonts w:asciiTheme="minorHAnsi" w:hAnsiTheme="minorHAnsi" w:cstheme="minorHAnsi"/>
          <w:bCs/>
          <w:iCs/>
          <w:sz w:val="24"/>
          <w:szCs w:val="24"/>
        </w:rPr>
        <w:t>fakultním nemocnicím</w:t>
      </w:r>
      <w:r w:rsidR="00602EEC" w:rsidRPr="0075660A">
        <w:rPr>
          <w:rFonts w:asciiTheme="minorHAnsi" w:hAnsiTheme="minorHAnsi" w:cstheme="minorHAnsi"/>
          <w:bCs/>
          <w:iCs/>
          <w:sz w:val="24"/>
          <w:szCs w:val="24"/>
        </w:rPr>
        <w:t xml:space="preserve"> </w:t>
      </w:r>
      <w:r w:rsidRPr="0075660A">
        <w:rPr>
          <w:rFonts w:asciiTheme="minorHAnsi" w:hAnsiTheme="minorHAnsi" w:cstheme="minorHAnsi"/>
          <w:bCs/>
          <w:iCs/>
          <w:sz w:val="24"/>
          <w:szCs w:val="24"/>
        </w:rPr>
        <w:t xml:space="preserve">v květnu 2020 </w:t>
      </w:r>
      <w:r w:rsidR="00322751">
        <w:rPr>
          <w:rFonts w:asciiTheme="minorHAnsi" w:hAnsiTheme="minorHAnsi" w:cstheme="minorHAnsi"/>
          <w:bCs/>
          <w:iCs/>
          <w:sz w:val="24"/>
          <w:szCs w:val="24"/>
        </w:rPr>
        <w:t xml:space="preserve">ze </w:t>
      </w:r>
      <w:r w:rsidR="00C219F3">
        <w:rPr>
          <w:rFonts w:asciiTheme="minorHAnsi" w:hAnsiTheme="minorHAnsi" w:cstheme="minorHAnsi"/>
          <w:bCs/>
          <w:iCs/>
          <w:sz w:val="24"/>
          <w:szCs w:val="24"/>
        </w:rPr>
        <w:t>SR</w:t>
      </w:r>
      <w:r w:rsidR="00322751">
        <w:rPr>
          <w:rFonts w:asciiTheme="minorHAnsi" w:hAnsiTheme="minorHAnsi" w:cstheme="minorHAnsi"/>
          <w:bCs/>
          <w:iCs/>
          <w:sz w:val="24"/>
          <w:szCs w:val="24"/>
        </w:rPr>
        <w:t xml:space="preserve"> </w:t>
      </w:r>
      <w:r w:rsidRPr="0075660A">
        <w:rPr>
          <w:rFonts w:asciiTheme="minorHAnsi" w:hAnsiTheme="minorHAnsi" w:cstheme="minorHAnsi"/>
          <w:bCs/>
          <w:iCs/>
          <w:sz w:val="24"/>
          <w:szCs w:val="24"/>
        </w:rPr>
        <w:t>celkem 3,4</w:t>
      </w:r>
      <w:r w:rsidR="00752CAB" w:rsidRPr="0075660A">
        <w:rPr>
          <w:rFonts w:asciiTheme="minorHAnsi" w:hAnsiTheme="minorHAnsi" w:cstheme="minorHAnsi"/>
          <w:bCs/>
          <w:iCs/>
          <w:sz w:val="24"/>
          <w:szCs w:val="24"/>
        </w:rPr>
        <w:t> </w:t>
      </w:r>
      <w:r w:rsidRPr="0075660A">
        <w:rPr>
          <w:rFonts w:asciiTheme="minorHAnsi" w:hAnsiTheme="minorHAnsi" w:cstheme="minorHAnsi"/>
          <w:bCs/>
          <w:iCs/>
          <w:sz w:val="24"/>
          <w:szCs w:val="24"/>
        </w:rPr>
        <w:t xml:space="preserve">mld. Kč na </w:t>
      </w:r>
      <w:r w:rsidR="00602EEC" w:rsidRPr="0075660A">
        <w:rPr>
          <w:rFonts w:asciiTheme="minorHAnsi" w:hAnsiTheme="minorHAnsi" w:cstheme="minorHAnsi"/>
          <w:bCs/>
          <w:iCs/>
          <w:sz w:val="24"/>
          <w:szCs w:val="24"/>
        </w:rPr>
        <w:t xml:space="preserve">jejich </w:t>
      </w:r>
      <w:r w:rsidRPr="0075660A">
        <w:rPr>
          <w:rFonts w:asciiTheme="minorHAnsi" w:hAnsiTheme="minorHAnsi" w:cstheme="minorHAnsi"/>
          <w:bCs/>
          <w:iCs/>
          <w:sz w:val="24"/>
          <w:szCs w:val="24"/>
        </w:rPr>
        <w:t>o</w:t>
      </w:r>
      <w:r w:rsidR="000766D5" w:rsidRPr="0075660A">
        <w:rPr>
          <w:rFonts w:asciiTheme="minorHAnsi" w:hAnsiTheme="minorHAnsi" w:cstheme="minorHAnsi"/>
          <w:bCs/>
          <w:iCs/>
          <w:sz w:val="24"/>
          <w:szCs w:val="24"/>
        </w:rPr>
        <w:t>ddlužení</w:t>
      </w:r>
      <w:r w:rsidR="00553E06">
        <w:rPr>
          <w:rStyle w:val="Znakapoznpodarou"/>
          <w:rFonts w:asciiTheme="minorHAnsi" w:hAnsiTheme="minorHAnsi"/>
          <w:bCs/>
          <w:iCs/>
          <w:sz w:val="24"/>
          <w:szCs w:val="24"/>
        </w:rPr>
        <w:footnoteReference w:id="7"/>
      </w:r>
      <w:r w:rsidR="00602EEC" w:rsidRPr="0075660A">
        <w:rPr>
          <w:rFonts w:asciiTheme="minorHAnsi" w:hAnsiTheme="minorHAnsi" w:cstheme="minorHAnsi"/>
          <w:bCs/>
          <w:iCs/>
          <w:sz w:val="24"/>
          <w:szCs w:val="24"/>
        </w:rPr>
        <w:t>.</w:t>
      </w:r>
      <w:r w:rsidR="000766D5" w:rsidRPr="0075660A">
        <w:rPr>
          <w:rFonts w:asciiTheme="minorHAnsi" w:hAnsiTheme="minorHAnsi" w:cstheme="minorHAnsi"/>
          <w:bCs/>
          <w:iCs/>
          <w:sz w:val="24"/>
          <w:szCs w:val="24"/>
        </w:rPr>
        <w:t xml:space="preserve"> </w:t>
      </w:r>
      <w:proofErr w:type="spellStart"/>
      <w:r w:rsidR="00E97893" w:rsidRPr="0075660A">
        <w:rPr>
          <w:rFonts w:asciiTheme="minorHAnsi" w:hAnsiTheme="minorHAnsi" w:cstheme="minorHAnsi"/>
          <w:bCs/>
          <w:iCs/>
          <w:sz w:val="24"/>
          <w:szCs w:val="24"/>
        </w:rPr>
        <w:t>MZ</w:t>
      </w:r>
      <w:r w:rsidR="00104FC9">
        <w:rPr>
          <w:rFonts w:asciiTheme="minorHAnsi" w:hAnsiTheme="minorHAnsi" w:cstheme="minorHAnsi"/>
          <w:bCs/>
          <w:iCs/>
          <w:sz w:val="24"/>
          <w:szCs w:val="24"/>
        </w:rPr>
        <w:t>d</w:t>
      </w:r>
      <w:proofErr w:type="spellEnd"/>
      <w:r w:rsidR="000766D5" w:rsidRPr="0075660A">
        <w:rPr>
          <w:rFonts w:asciiTheme="minorHAnsi" w:hAnsiTheme="minorHAnsi" w:cstheme="minorHAnsi"/>
          <w:bCs/>
          <w:iCs/>
          <w:sz w:val="24"/>
          <w:szCs w:val="24"/>
        </w:rPr>
        <w:t xml:space="preserve"> </w:t>
      </w:r>
      <w:r w:rsidR="00E97893" w:rsidRPr="0075660A">
        <w:rPr>
          <w:rFonts w:asciiTheme="minorHAnsi" w:hAnsiTheme="minorHAnsi" w:cstheme="minorHAnsi"/>
          <w:bCs/>
          <w:iCs/>
          <w:sz w:val="24"/>
          <w:szCs w:val="24"/>
        </w:rPr>
        <w:t>u</w:t>
      </w:r>
      <w:r w:rsidR="00752CAB" w:rsidRPr="0075660A">
        <w:rPr>
          <w:rFonts w:asciiTheme="minorHAnsi" w:hAnsiTheme="minorHAnsi" w:cstheme="minorHAnsi"/>
          <w:bCs/>
          <w:iCs/>
          <w:sz w:val="24"/>
          <w:szCs w:val="24"/>
        </w:rPr>
        <w:t> </w:t>
      </w:r>
      <w:r w:rsidR="00E97893" w:rsidRPr="0075660A">
        <w:rPr>
          <w:rFonts w:asciiTheme="minorHAnsi" w:hAnsiTheme="minorHAnsi" w:cstheme="minorHAnsi"/>
          <w:bCs/>
          <w:iCs/>
          <w:sz w:val="24"/>
          <w:szCs w:val="24"/>
        </w:rPr>
        <w:t xml:space="preserve">všech kontrolovaných FN </w:t>
      </w:r>
      <w:r w:rsidR="007237BD" w:rsidRPr="0075660A">
        <w:rPr>
          <w:rFonts w:asciiTheme="minorHAnsi" w:hAnsiTheme="minorHAnsi" w:cstheme="minorHAnsi"/>
          <w:bCs/>
          <w:iCs/>
          <w:sz w:val="24"/>
          <w:szCs w:val="24"/>
        </w:rPr>
        <w:t>poskytlo</w:t>
      </w:r>
      <w:r w:rsidR="00E97893" w:rsidRPr="0075660A">
        <w:rPr>
          <w:rFonts w:asciiTheme="minorHAnsi" w:hAnsiTheme="minorHAnsi" w:cstheme="minorHAnsi"/>
          <w:bCs/>
          <w:iCs/>
          <w:sz w:val="24"/>
          <w:szCs w:val="24"/>
        </w:rPr>
        <w:t xml:space="preserve"> </w:t>
      </w:r>
      <w:r w:rsidR="007237BD" w:rsidRPr="0075660A">
        <w:rPr>
          <w:rFonts w:asciiTheme="minorHAnsi" w:hAnsiTheme="minorHAnsi" w:cstheme="minorHAnsi"/>
          <w:bCs/>
          <w:iCs/>
          <w:sz w:val="24"/>
          <w:szCs w:val="24"/>
        </w:rPr>
        <w:t xml:space="preserve">tyto </w:t>
      </w:r>
      <w:r w:rsidR="00E97893" w:rsidRPr="0075660A">
        <w:rPr>
          <w:rFonts w:asciiTheme="minorHAnsi" w:hAnsiTheme="minorHAnsi" w:cstheme="minorHAnsi"/>
          <w:bCs/>
          <w:iCs/>
          <w:sz w:val="24"/>
          <w:szCs w:val="24"/>
        </w:rPr>
        <w:t>peněžní prostředk</w:t>
      </w:r>
      <w:r w:rsidR="007237BD" w:rsidRPr="0075660A">
        <w:rPr>
          <w:rFonts w:asciiTheme="minorHAnsi" w:hAnsiTheme="minorHAnsi" w:cstheme="minorHAnsi"/>
          <w:bCs/>
          <w:iCs/>
          <w:sz w:val="24"/>
          <w:szCs w:val="24"/>
        </w:rPr>
        <w:t xml:space="preserve">y </w:t>
      </w:r>
      <w:r w:rsidR="009E3171" w:rsidRPr="0075660A">
        <w:rPr>
          <w:rFonts w:asciiTheme="minorHAnsi" w:hAnsiTheme="minorHAnsi" w:cstheme="minorHAnsi"/>
          <w:bCs/>
          <w:iCs/>
          <w:sz w:val="24"/>
          <w:szCs w:val="24"/>
        </w:rPr>
        <w:t>bez specifikace</w:t>
      </w:r>
      <w:r w:rsidR="00E97893" w:rsidRPr="0075660A">
        <w:rPr>
          <w:rFonts w:asciiTheme="minorHAnsi" w:hAnsiTheme="minorHAnsi" w:cstheme="minorHAnsi"/>
          <w:bCs/>
          <w:iCs/>
          <w:sz w:val="24"/>
          <w:szCs w:val="24"/>
        </w:rPr>
        <w:t xml:space="preserve"> druh</w:t>
      </w:r>
      <w:r w:rsidR="004E7047" w:rsidRPr="0075660A">
        <w:rPr>
          <w:rFonts w:asciiTheme="minorHAnsi" w:hAnsiTheme="minorHAnsi" w:cstheme="minorHAnsi"/>
          <w:bCs/>
          <w:iCs/>
          <w:sz w:val="24"/>
          <w:szCs w:val="24"/>
        </w:rPr>
        <w:t>u</w:t>
      </w:r>
      <w:r w:rsidR="00E97893" w:rsidRPr="0075660A">
        <w:rPr>
          <w:rFonts w:asciiTheme="minorHAnsi" w:hAnsiTheme="minorHAnsi" w:cstheme="minorHAnsi"/>
          <w:bCs/>
          <w:iCs/>
          <w:sz w:val="24"/>
          <w:szCs w:val="24"/>
        </w:rPr>
        <w:t xml:space="preserve"> závazků</w:t>
      </w:r>
      <w:r w:rsidR="00322751">
        <w:rPr>
          <w:rFonts w:asciiTheme="minorHAnsi" w:hAnsiTheme="minorHAnsi" w:cstheme="minorHAnsi"/>
          <w:bCs/>
          <w:iCs/>
          <w:sz w:val="24"/>
          <w:szCs w:val="24"/>
        </w:rPr>
        <w:t xml:space="preserve"> dle materiálu k usnesení vlády </w:t>
      </w:r>
      <w:r w:rsidR="00C468F5">
        <w:rPr>
          <w:rFonts w:asciiTheme="minorHAnsi" w:hAnsiTheme="minorHAnsi" w:cstheme="minorHAnsi"/>
          <w:bCs/>
          <w:iCs/>
          <w:sz w:val="24"/>
          <w:szCs w:val="24"/>
        </w:rPr>
        <w:t xml:space="preserve">ze dne 27. dubna 2020 </w:t>
      </w:r>
      <w:r w:rsidR="00322751">
        <w:rPr>
          <w:rFonts w:asciiTheme="minorHAnsi" w:hAnsiTheme="minorHAnsi" w:cstheme="minorHAnsi"/>
          <w:bCs/>
          <w:iCs/>
          <w:sz w:val="24"/>
          <w:szCs w:val="24"/>
        </w:rPr>
        <w:t>č. 480</w:t>
      </w:r>
      <w:r w:rsidR="00322751" w:rsidRPr="0075660A">
        <w:rPr>
          <w:rStyle w:val="Znakapoznpodarou"/>
          <w:rFonts w:asciiTheme="minorHAnsi" w:hAnsiTheme="minorHAnsi" w:cstheme="minorHAnsi"/>
          <w:bCs/>
          <w:iCs/>
          <w:sz w:val="24"/>
          <w:szCs w:val="24"/>
        </w:rPr>
        <w:footnoteReference w:id="8"/>
      </w:r>
      <w:r w:rsidR="005E0689" w:rsidRPr="0075660A">
        <w:rPr>
          <w:rFonts w:asciiTheme="minorHAnsi" w:hAnsiTheme="minorHAnsi" w:cstheme="minorHAnsi"/>
          <w:bCs/>
          <w:iCs/>
          <w:sz w:val="24"/>
          <w:szCs w:val="24"/>
        </w:rPr>
        <w:t>.</w:t>
      </w:r>
      <w:r w:rsidR="00602EEC" w:rsidRPr="0075660A">
        <w:rPr>
          <w:rFonts w:asciiTheme="minorHAnsi" w:hAnsiTheme="minorHAnsi" w:cstheme="minorHAnsi"/>
          <w:bCs/>
          <w:iCs/>
          <w:sz w:val="24"/>
          <w:szCs w:val="24"/>
        </w:rPr>
        <w:t xml:space="preserve"> </w:t>
      </w:r>
    </w:p>
    <w:p w14:paraId="197AF09E" w14:textId="47DDEF0A" w:rsidR="000F285F" w:rsidRDefault="00466B4F" w:rsidP="00220719">
      <w:pPr>
        <w:spacing w:before="120" w:after="120"/>
        <w:jc w:val="both"/>
        <w:rPr>
          <w:rFonts w:asciiTheme="minorHAnsi" w:hAnsiTheme="minorHAnsi" w:cstheme="minorHAnsi"/>
          <w:bCs/>
          <w:iCs/>
          <w:sz w:val="24"/>
          <w:szCs w:val="24"/>
        </w:rPr>
      </w:pPr>
      <w:proofErr w:type="spellStart"/>
      <w:r w:rsidRPr="00F92AE1">
        <w:rPr>
          <w:rFonts w:asciiTheme="minorHAnsi" w:hAnsiTheme="minorHAnsi" w:cstheme="minorHAnsi"/>
          <w:sz w:val="24"/>
          <w:szCs w:val="24"/>
        </w:rPr>
        <w:t>MZ</w:t>
      </w:r>
      <w:r w:rsidR="003F4D68">
        <w:rPr>
          <w:rFonts w:asciiTheme="minorHAnsi" w:hAnsiTheme="minorHAnsi" w:cstheme="minorHAnsi"/>
          <w:sz w:val="24"/>
          <w:szCs w:val="24"/>
        </w:rPr>
        <w:t>d</w:t>
      </w:r>
      <w:proofErr w:type="spellEnd"/>
      <w:r w:rsidR="00103111" w:rsidRPr="00F92AE1">
        <w:rPr>
          <w:rFonts w:asciiTheme="minorHAnsi" w:hAnsiTheme="minorHAnsi" w:cstheme="minorHAnsi"/>
          <w:sz w:val="24"/>
          <w:szCs w:val="24"/>
        </w:rPr>
        <w:t xml:space="preserve"> řešilo nepříznivou finanční situaci </w:t>
      </w:r>
      <w:r w:rsidR="00602EEC" w:rsidRPr="00F92AE1">
        <w:rPr>
          <w:rFonts w:asciiTheme="minorHAnsi" w:hAnsiTheme="minorHAnsi" w:cstheme="minorHAnsi"/>
          <w:sz w:val="24"/>
          <w:szCs w:val="24"/>
        </w:rPr>
        <w:t xml:space="preserve">FN </w:t>
      </w:r>
      <w:r w:rsidR="0027054B">
        <w:rPr>
          <w:rFonts w:asciiTheme="minorHAnsi" w:hAnsiTheme="minorHAnsi" w:cstheme="minorHAnsi"/>
          <w:sz w:val="24"/>
          <w:szCs w:val="24"/>
        </w:rPr>
        <w:t xml:space="preserve">na základě usnesení vlády č. 480 </w:t>
      </w:r>
      <w:r w:rsidR="00602EEC" w:rsidRPr="00F92AE1">
        <w:rPr>
          <w:rFonts w:asciiTheme="minorHAnsi" w:hAnsiTheme="minorHAnsi" w:cstheme="minorHAnsi"/>
          <w:sz w:val="24"/>
          <w:szCs w:val="24"/>
        </w:rPr>
        <w:t xml:space="preserve">po </w:t>
      </w:r>
      <w:r w:rsidR="00353F7C">
        <w:rPr>
          <w:rFonts w:asciiTheme="minorHAnsi" w:hAnsiTheme="minorHAnsi" w:cstheme="minorHAnsi"/>
          <w:sz w:val="24"/>
          <w:szCs w:val="24"/>
        </w:rPr>
        <w:t xml:space="preserve">jejich </w:t>
      </w:r>
      <w:r w:rsidR="00602EEC" w:rsidRPr="00F92AE1">
        <w:rPr>
          <w:rFonts w:asciiTheme="minorHAnsi" w:hAnsiTheme="minorHAnsi" w:cstheme="minorHAnsi"/>
          <w:sz w:val="24"/>
          <w:szCs w:val="24"/>
        </w:rPr>
        <w:t xml:space="preserve">opakovaně vykazované </w:t>
      </w:r>
      <w:r w:rsidR="008A3932" w:rsidRPr="00F92AE1">
        <w:rPr>
          <w:rFonts w:asciiTheme="minorHAnsi" w:hAnsiTheme="minorHAnsi" w:cstheme="minorHAnsi"/>
          <w:sz w:val="24"/>
          <w:szCs w:val="24"/>
        </w:rPr>
        <w:t xml:space="preserve">kumulované </w:t>
      </w:r>
      <w:r w:rsidR="00602EEC" w:rsidRPr="00F92AE1">
        <w:rPr>
          <w:rFonts w:asciiTheme="minorHAnsi" w:hAnsiTheme="minorHAnsi" w:cstheme="minorHAnsi"/>
          <w:sz w:val="24"/>
          <w:szCs w:val="24"/>
        </w:rPr>
        <w:t>ztrátě</w:t>
      </w:r>
      <w:r w:rsidR="00103111" w:rsidRPr="00F92AE1">
        <w:rPr>
          <w:rFonts w:asciiTheme="minorHAnsi" w:hAnsiTheme="minorHAnsi" w:cstheme="minorHAnsi"/>
          <w:sz w:val="24"/>
          <w:szCs w:val="24"/>
        </w:rPr>
        <w:t xml:space="preserve">. </w:t>
      </w:r>
      <w:r w:rsidR="00F92AE1" w:rsidRPr="00F92AE1">
        <w:rPr>
          <w:rFonts w:asciiTheme="minorHAnsi" w:hAnsiTheme="minorHAnsi" w:cstheme="minorHAnsi"/>
          <w:sz w:val="24"/>
          <w:szCs w:val="24"/>
        </w:rPr>
        <w:t xml:space="preserve">FN nebyly schopny uhradit kumulovanou ztrátu zlepšeným hospodářským výsledkem v dalších letech. </w:t>
      </w:r>
      <w:proofErr w:type="spellStart"/>
      <w:r w:rsidR="00670556">
        <w:rPr>
          <w:rFonts w:asciiTheme="minorHAnsi" w:hAnsiTheme="minorHAnsi" w:cstheme="minorHAnsi"/>
          <w:bCs/>
          <w:iCs/>
          <w:sz w:val="24"/>
          <w:szCs w:val="24"/>
        </w:rPr>
        <w:t>MZ</w:t>
      </w:r>
      <w:r w:rsidR="00104FC9">
        <w:rPr>
          <w:rFonts w:asciiTheme="minorHAnsi" w:hAnsiTheme="minorHAnsi" w:cstheme="minorHAnsi"/>
          <w:bCs/>
          <w:iCs/>
          <w:sz w:val="24"/>
          <w:szCs w:val="24"/>
        </w:rPr>
        <w:t>d</w:t>
      </w:r>
      <w:proofErr w:type="spellEnd"/>
      <w:r w:rsidR="00670556">
        <w:rPr>
          <w:rFonts w:asciiTheme="minorHAnsi" w:hAnsiTheme="minorHAnsi" w:cstheme="minorHAnsi"/>
          <w:bCs/>
          <w:iCs/>
          <w:sz w:val="24"/>
          <w:szCs w:val="24"/>
        </w:rPr>
        <w:t xml:space="preserve"> po oddlužení v</w:t>
      </w:r>
      <w:r w:rsidR="00670556" w:rsidRPr="0075660A">
        <w:rPr>
          <w:rFonts w:asciiTheme="minorHAnsi" w:hAnsiTheme="minorHAnsi" w:cstheme="minorHAnsi"/>
          <w:bCs/>
          <w:iCs/>
          <w:sz w:val="24"/>
          <w:szCs w:val="24"/>
        </w:rPr>
        <w:t> roce 20</w:t>
      </w:r>
      <w:r w:rsidR="00670556">
        <w:rPr>
          <w:rFonts w:asciiTheme="minorHAnsi" w:hAnsiTheme="minorHAnsi" w:cstheme="minorHAnsi"/>
          <w:bCs/>
          <w:iCs/>
          <w:sz w:val="24"/>
          <w:szCs w:val="24"/>
        </w:rPr>
        <w:t>20</w:t>
      </w:r>
      <w:r w:rsidR="00670556" w:rsidRPr="0075660A">
        <w:rPr>
          <w:rFonts w:asciiTheme="minorHAnsi" w:hAnsiTheme="minorHAnsi" w:cstheme="minorHAnsi"/>
          <w:bCs/>
          <w:iCs/>
          <w:sz w:val="24"/>
          <w:szCs w:val="24"/>
        </w:rPr>
        <w:t xml:space="preserve"> deklarovalo </w:t>
      </w:r>
      <w:r w:rsidR="00670556">
        <w:rPr>
          <w:rFonts w:asciiTheme="minorHAnsi" w:hAnsiTheme="minorHAnsi" w:cstheme="minorHAnsi"/>
          <w:bCs/>
          <w:iCs/>
          <w:sz w:val="24"/>
          <w:szCs w:val="24"/>
        </w:rPr>
        <w:t>zvýšený dohled nad hospodařením FN, který následně nerealizovalo</w:t>
      </w:r>
      <w:r w:rsidR="00670556" w:rsidRPr="0075660A">
        <w:rPr>
          <w:rFonts w:asciiTheme="minorHAnsi" w:hAnsiTheme="minorHAnsi" w:cstheme="minorHAnsi"/>
          <w:bCs/>
          <w:iCs/>
          <w:sz w:val="24"/>
          <w:szCs w:val="24"/>
        </w:rPr>
        <w:t>.</w:t>
      </w:r>
      <w:r w:rsidR="00670556">
        <w:rPr>
          <w:rFonts w:asciiTheme="minorHAnsi" w:hAnsiTheme="minorHAnsi" w:cstheme="minorHAnsi"/>
          <w:bCs/>
          <w:iCs/>
          <w:sz w:val="24"/>
          <w:szCs w:val="24"/>
        </w:rPr>
        <w:t xml:space="preserve"> </w:t>
      </w:r>
    </w:p>
    <w:p w14:paraId="026C148C" w14:textId="1C07DC0C" w:rsidR="00E528AF" w:rsidRPr="00F36530" w:rsidRDefault="005F710A" w:rsidP="00220719">
      <w:pPr>
        <w:widowControl/>
        <w:spacing w:before="120" w:after="120"/>
        <w:jc w:val="both"/>
        <w:rPr>
          <w:rFonts w:asciiTheme="minorHAnsi" w:hAnsiTheme="minorHAnsi" w:cstheme="minorHAnsi"/>
          <w:sz w:val="24"/>
          <w:szCs w:val="24"/>
        </w:rPr>
      </w:pPr>
      <w:r w:rsidRPr="00F36530">
        <w:rPr>
          <w:rFonts w:asciiTheme="minorHAnsi" w:hAnsiTheme="minorHAnsi" w:cstheme="minorHAnsi"/>
          <w:sz w:val="24"/>
          <w:szCs w:val="24"/>
        </w:rPr>
        <w:lastRenderedPageBreak/>
        <w:t>Poskytnutý příspěvek na o</w:t>
      </w:r>
      <w:r w:rsidR="00E528AF" w:rsidRPr="00F36530">
        <w:rPr>
          <w:rFonts w:asciiTheme="minorHAnsi" w:hAnsiTheme="minorHAnsi" w:cstheme="minorHAnsi"/>
          <w:sz w:val="24"/>
          <w:szCs w:val="24"/>
        </w:rPr>
        <w:t xml:space="preserve">ddlužení </w:t>
      </w:r>
      <w:r w:rsidR="00525809" w:rsidRPr="00F36530">
        <w:rPr>
          <w:rFonts w:asciiTheme="minorHAnsi" w:hAnsiTheme="minorHAnsi" w:cstheme="minorHAnsi"/>
          <w:sz w:val="24"/>
          <w:szCs w:val="24"/>
        </w:rPr>
        <w:t xml:space="preserve">v roce 2020 </w:t>
      </w:r>
      <w:r w:rsidR="004F3DBE" w:rsidRPr="00F36530">
        <w:rPr>
          <w:rFonts w:asciiTheme="minorHAnsi" w:hAnsiTheme="minorHAnsi" w:cstheme="minorHAnsi"/>
          <w:sz w:val="24"/>
          <w:szCs w:val="24"/>
        </w:rPr>
        <w:t>generoval</w:t>
      </w:r>
      <w:r w:rsidR="001723A5" w:rsidRPr="00F36530">
        <w:rPr>
          <w:rFonts w:asciiTheme="minorHAnsi" w:hAnsiTheme="minorHAnsi" w:cstheme="minorHAnsi"/>
          <w:sz w:val="24"/>
          <w:szCs w:val="24"/>
        </w:rPr>
        <w:t xml:space="preserve"> </w:t>
      </w:r>
      <w:r w:rsidR="00E528AF" w:rsidRPr="00F36530">
        <w:rPr>
          <w:rFonts w:asciiTheme="minorHAnsi" w:hAnsiTheme="minorHAnsi" w:cstheme="minorHAnsi"/>
          <w:sz w:val="24"/>
          <w:szCs w:val="24"/>
        </w:rPr>
        <w:t xml:space="preserve">další výdaje </w:t>
      </w:r>
      <w:r w:rsidR="00E4021E" w:rsidRPr="00F36530">
        <w:rPr>
          <w:rFonts w:asciiTheme="minorHAnsi" w:hAnsiTheme="minorHAnsi" w:cstheme="minorHAnsi"/>
          <w:sz w:val="24"/>
          <w:szCs w:val="24"/>
        </w:rPr>
        <w:t xml:space="preserve">ze </w:t>
      </w:r>
      <w:r w:rsidR="00EF6477" w:rsidRPr="00F36530">
        <w:rPr>
          <w:rFonts w:asciiTheme="minorHAnsi" w:hAnsiTheme="minorHAnsi" w:cstheme="minorHAnsi"/>
          <w:sz w:val="24"/>
          <w:szCs w:val="24"/>
        </w:rPr>
        <w:t>SR</w:t>
      </w:r>
      <w:r w:rsidR="00E528AF" w:rsidRPr="00F36530">
        <w:rPr>
          <w:rFonts w:asciiTheme="minorHAnsi" w:hAnsiTheme="minorHAnsi" w:cstheme="minorHAnsi"/>
          <w:sz w:val="24"/>
          <w:szCs w:val="24"/>
        </w:rPr>
        <w:t xml:space="preserve"> </w:t>
      </w:r>
      <w:r w:rsidR="001723A5" w:rsidRPr="00F36530">
        <w:rPr>
          <w:rFonts w:asciiTheme="minorHAnsi" w:hAnsiTheme="minorHAnsi" w:cstheme="minorHAnsi"/>
          <w:sz w:val="24"/>
          <w:szCs w:val="24"/>
        </w:rPr>
        <w:t xml:space="preserve">na zvýšenou </w:t>
      </w:r>
      <w:r w:rsidR="00E528AF" w:rsidRPr="00F36530">
        <w:rPr>
          <w:rFonts w:asciiTheme="minorHAnsi" w:hAnsiTheme="minorHAnsi" w:cstheme="minorHAnsi"/>
          <w:sz w:val="24"/>
          <w:szCs w:val="24"/>
        </w:rPr>
        <w:t>daňov</w:t>
      </w:r>
      <w:r w:rsidR="001723A5" w:rsidRPr="00F36530">
        <w:rPr>
          <w:rFonts w:asciiTheme="minorHAnsi" w:hAnsiTheme="minorHAnsi" w:cstheme="minorHAnsi"/>
          <w:sz w:val="24"/>
          <w:szCs w:val="24"/>
        </w:rPr>
        <w:t>ou</w:t>
      </w:r>
      <w:r w:rsidR="00E528AF" w:rsidRPr="00F36530">
        <w:rPr>
          <w:rFonts w:asciiTheme="minorHAnsi" w:hAnsiTheme="minorHAnsi" w:cstheme="minorHAnsi"/>
          <w:sz w:val="24"/>
          <w:szCs w:val="24"/>
        </w:rPr>
        <w:t xml:space="preserve"> povinnost šesti oddlužených nemocnic</w:t>
      </w:r>
      <w:r w:rsidR="000D5800" w:rsidRPr="00F36530">
        <w:rPr>
          <w:rFonts w:asciiTheme="minorHAnsi" w:hAnsiTheme="minorHAnsi" w:cstheme="minorHAnsi"/>
          <w:sz w:val="24"/>
          <w:szCs w:val="24"/>
        </w:rPr>
        <w:t xml:space="preserve"> v celkové výši 473,4 mil. Kč</w:t>
      </w:r>
      <w:r w:rsidR="00040E9E" w:rsidRPr="00F36530">
        <w:rPr>
          <w:rFonts w:asciiTheme="minorHAnsi" w:hAnsiTheme="minorHAnsi" w:cstheme="minorHAnsi"/>
          <w:sz w:val="24"/>
          <w:szCs w:val="24"/>
        </w:rPr>
        <w:t>.</w:t>
      </w:r>
    </w:p>
    <w:p w14:paraId="5EDF4B6F" w14:textId="35CD681F" w:rsidR="00381F5B" w:rsidRPr="0075660A" w:rsidRDefault="00381F5B" w:rsidP="00972290">
      <w:pPr>
        <w:pStyle w:val="Odstavecseseznamem"/>
        <w:keepNext/>
        <w:widowControl/>
        <w:numPr>
          <w:ilvl w:val="0"/>
          <w:numId w:val="31"/>
        </w:numPr>
        <w:spacing w:before="120" w:after="120"/>
        <w:ind w:left="284" w:hanging="284"/>
        <w:contextualSpacing w:val="0"/>
        <w:jc w:val="both"/>
        <w:rPr>
          <w:rFonts w:asciiTheme="minorHAnsi" w:hAnsiTheme="minorHAnsi" w:cstheme="minorHAnsi"/>
          <w:bCs/>
          <w:iCs/>
          <w:sz w:val="24"/>
          <w:szCs w:val="24"/>
        </w:rPr>
      </w:pPr>
      <w:r w:rsidRPr="0075660A">
        <w:rPr>
          <w:rFonts w:asciiTheme="minorHAnsi" w:hAnsiTheme="minorHAnsi" w:cstheme="minorHAnsi"/>
          <w:bCs/>
          <w:iCs/>
          <w:sz w:val="24"/>
          <w:szCs w:val="24"/>
        </w:rPr>
        <w:t>FN</w:t>
      </w:r>
    </w:p>
    <w:p w14:paraId="68CE5E92" w14:textId="0FF574BF" w:rsidR="00573F80" w:rsidRPr="0075660A" w:rsidRDefault="001F2038" w:rsidP="00220719">
      <w:pPr>
        <w:widowControl/>
        <w:spacing w:before="120" w:after="120"/>
        <w:jc w:val="both"/>
        <w:rPr>
          <w:rFonts w:asciiTheme="minorHAnsi" w:hAnsiTheme="minorHAnsi" w:cstheme="minorHAnsi"/>
          <w:sz w:val="24"/>
          <w:szCs w:val="24"/>
        </w:rPr>
      </w:pPr>
      <w:r w:rsidRPr="001F2038">
        <w:rPr>
          <w:rFonts w:asciiTheme="minorHAnsi" w:hAnsiTheme="minorHAnsi" w:cstheme="minorHAnsi"/>
          <w:sz w:val="24"/>
          <w:szCs w:val="24"/>
        </w:rPr>
        <w:t>FNB a FNUSA nedbaly, aby plnily určené úkoly nejhospodárnějším způsobem</w:t>
      </w:r>
      <w:r w:rsidRPr="001F2038">
        <w:rPr>
          <w:rStyle w:val="Znakapoznpodarou"/>
          <w:rFonts w:asciiTheme="minorHAnsi" w:hAnsiTheme="minorHAnsi" w:cstheme="minorHAnsi"/>
          <w:sz w:val="24"/>
          <w:szCs w:val="24"/>
        </w:rPr>
        <w:footnoteReference w:id="9"/>
      </w:r>
      <w:r w:rsidRPr="001F2038">
        <w:rPr>
          <w:rFonts w:asciiTheme="minorHAnsi" w:hAnsiTheme="minorHAnsi" w:cstheme="minorHAnsi"/>
          <w:sz w:val="24"/>
          <w:szCs w:val="24"/>
        </w:rPr>
        <w:t>. V letech 2016 až 2022 FNB uhradila na úrocích 67,1 mil. Kč a FNUSA na úrocích a poplatcích 38,5 mil. Kč, protože nehradily své splatné závazky řádně a včas.</w:t>
      </w:r>
      <w:r>
        <w:rPr>
          <w:rFonts w:asciiTheme="minorHAnsi" w:hAnsiTheme="minorHAnsi" w:cstheme="minorHAnsi"/>
          <w:sz w:val="24"/>
          <w:szCs w:val="24"/>
        </w:rPr>
        <w:t xml:space="preserve"> </w:t>
      </w:r>
      <w:r w:rsidR="00573F80" w:rsidRPr="001F2038">
        <w:rPr>
          <w:rFonts w:asciiTheme="minorHAnsi" w:hAnsiTheme="minorHAnsi" w:cstheme="minorHAnsi"/>
          <w:sz w:val="24"/>
          <w:szCs w:val="24"/>
        </w:rPr>
        <w:t>Před oddlužením FNB</w:t>
      </w:r>
      <w:r w:rsidR="00730D66" w:rsidRPr="001F2038">
        <w:rPr>
          <w:rStyle w:val="Znakapoznpodarou"/>
          <w:rFonts w:asciiTheme="minorHAnsi" w:hAnsiTheme="minorHAnsi" w:cstheme="minorHAnsi"/>
          <w:sz w:val="24"/>
          <w:szCs w:val="24"/>
        </w:rPr>
        <w:footnoteReference w:id="10"/>
      </w:r>
      <w:r w:rsidR="00730D66" w:rsidRPr="001F2038">
        <w:rPr>
          <w:rFonts w:asciiTheme="minorHAnsi" w:hAnsiTheme="minorHAnsi" w:cstheme="minorHAnsi"/>
          <w:sz w:val="24"/>
          <w:szCs w:val="24"/>
        </w:rPr>
        <w:t xml:space="preserve"> </w:t>
      </w:r>
      <w:r w:rsidR="00573F80" w:rsidRPr="001F2038">
        <w:rPr>
          <w:rFonts w:asciiTheme="minorHAnsi" w:hAnsiTheme="minorHAnsi" w:cstheme="minorHAnsi"/>
          <w:sz w:val="24"/>
          <w:szCs w:val="24"/>
        </w:rPr>
        <w:t xml:space="preserve">a FNUSA řešily finanční nestabilitu např. postoupením pohledávek, což vedlo ke vzniku </w:t>
      </w:r>
      <w:r w:rsidR="000E02D1" w:rsidRPr="001F2038">
        <w:rPr>
          <w:rFonts w:asciiTheme="minorHAnsi" w:hAnsiTheme="minorHAnsi" w:cstheme="minorHAnsi"/>
          <w:sz w:val="24"/>
          <w:szCs w:val="24"/>
        </w:rPr>
        <w:t xml:space="preserve">dalších nákladů ve formě </w:t>
      </w:r>
      <w:r w:rsidR="00573F80" w:rsidRPr="001F2038">
        <w:rPr>
          <w:rFonts w:asciiTheme="minorHAnsi" w:hAnsiTheme="minorHAnsi" w:cstheme="minorHAnsi"/>
          <w:sz w:val="24"/>
          <w:szCs w:val="24"/>
        </w:rPr>
        <w:t>úrok</w:t>
      </w:r>
      <w:r w:rsidR="00023620" w:rsidRPr="001F2038">
        <w:rPr>
          <w:rFonts w:asciiTheme="minorHAnsi" w:hAnsiTheme="minorHAnsi" w:cstheme="minorHAnsi"/>
          <w:sz w:val="24"/>
          <w:szCs w:val="24"/>
        </w:rPr>
        <w:t>ů</w:t>
      </w:r>
      <w:r w:rsidR="00573F80" w:rsidRPr="001F2038">
        <w:rPr>
          <w:rFonts w:asciiTheme="minorHAnsi" w:hAnsiTheme="minorHAnsi" w:cstheme="minorHAnsi"/>
          <w:sz w:val="24"/>
          <w:szCs w:val="24"/>
        </w:rPr>
        <w:t xml:space="preserve"> a související</w:t>
      </w:r>
      <w:r w:rsidR="00023620" w:rsidRPr="001F2038">
        <w:rPr>
          <w:rFonts w:asciiTheme="minorHAnsi" w:hAnsiTheme="minorHAnsi" w:cstheme="minorHAnsi"/>
          <w:sz w:val="24"/>
          <w:szCs w:val="24"/>
        </w:rPr>
        <w:t>ch</w:t>
      </w:r>
      <w:r w:rsidR="00573F80" w:rsidRPr="001F2038">
        <w:rPr>
          <w:rFonts w:asciiTheme="minorHAnsi" w:hAnsiTheme="minorHAnsi" w:cstheme="minorHAnsi"/>
          <w:sz w:val="24"/>
          <w:szCs w:val="24"/>
        </w:rPr>
        <w:t xml:space="preserve"> poplatk</w:t>
      </w:r>
      <w:r w:rsidR="00023620" w:rsidRPr="001F2038">
        <w:rPr>
          <w:rFonts w:asciiTheme="minorHAnsi" w:hAnsiTheme="minorHAnsi" w:cstheme="minorHAnsi"/>
          <w:sz w:val="24"/>
          <w:szCs w:val="24"/>
        </w:rPr>
        <w:t>ů</w:t>
      </w:r>
      <w:r w:rsidR="00573F80" w:rsidRPr="008128F8">
        <w:rPr>
          <w:rFonts w:asciiTheme="minorHAnsi" w:hAnsiTheme="minorHAnsi" w:cstheme="minorHAnsi"/>
          <w:sz w:val="24"/>
          <w:szCs w:val="24"/>
        </w:rPr>
        <w:t xml:space="preserve">. </w:t>
      </w:r>
      <w:r w:rsidR="00F10866" w:rsidRPr="008128F8">
        <w:rPr>
          <w:rFonts w:asciiTheme="minorHAnsi" w:hAnsiTheme="minorHAnsi" w:cstheme="minorHAnsi"/>
          <w:sz w:val="24"/>
          <w:szCs w:val="24"/>
        </w:rPr>
        <w:t>Zároveň</w:t>
      </w:r>
      <w:r w:rsidR="00345AA6" w:rsidRPr="008128F8">
        <w:rPr>
          <w:rFonts w:asciiTheme="minorHAnsi" w:hAnsiTheme="minorHAnsi" w:cstheme="minorHAnsi"/>
          <w:sz w:val="24"/>
          <w:szCs w:val="24"/>
        </w:rPr>
        <w:t xml:space="preserve"> FNB</w:t>
      </w:r>
      <w:r w:rsidR="00F10866" w:rsidRPr="008128F8">
        <w:rPr>
          <w:rFonts w:asciiTheme="minorHAnsi" w:hAnsiTheme="minorHAnsi" w:cstheme="minorHAnsi"/>
          <w:sz w:val="24"/>
          <w:szCs w:val="24"/>
        </w:rPr>
        <w:t xml:space="preserve"> při oddlužení</w:t>
      </w:r>
      <w:r w:rsidR="00345AA6" w:rsidRPr="008128F8">
        <w:rPr>
          <w:rFonts w:asciiTheme="minorHAnsi" w:hAnsiTheme="minorHAnsi" w:cstheme="minorHAnsi"/>
          <w:sz w:val="24"/>
          <w:szCs w:val="24"/>
        </w:rPr>
        <w:t xml:space="preserve"> hradila dlouhodobé závazky před splatností</w:t>
      </w:r>
      <w:r w:rsidR="006F574B" w:rsidRPr="008128F8">
        <w:rPr>
          <w:rStyle w:val="Znakapoznpodarou"/>
          <w:rFonts w:asciiTheme="minorHAnsi" w:hAnsiTheme="minorHAnsi"/>
          <w:sz w:val="24"/>
          <w:szCs w:val="24"/>
        </w:rPr>
        <w:footnoteReference w:id="11"/>
      </w:r>
      <w:r w:rsidR="00301DF4" w:rsidRPr="008128F8">
        <w:rPr>
          <w:rFonts w:asciiTheme="minorHAnsi" w:hAnsiTheme="minorHAnsi" w:cstheme="minorHAnsi"/>
          <w:sz w:val="24"/>
          <w:szCs w:val="24"/>
        </w:rPr>
        <w:t xml:space="preserve"> i se souvisejícími</w:t>
      </w:r>
      <w:r w:rsidR="00242A4A">
        <w:rPr>
          <w:rFonts w:asciiTheme="minorHAnsi" w:hAnsiTheme="minorHAnsi" w:cstheme="minorHAnsi"/>
          <w:sz w:val="24"/>
          <w:szCs w:val="24"/>
        </w:rPr>
        <w:t xml:space="preserve"> </w:t>
      </w:r>
      <w:r w:rsidR="00301DF4" w:rsidRPr="008128F8">
        <w:rPr>
          <w:rFonts w:asciiTheme="minorHAnsi" w:hAnsiTheme="minorHAnsi" w:cstheme="minorHAnsi"/>
          <w:sz w:val="24"/>
          <w:szCs w:val="24"/>
        </w:rPr>
        <w:t>úroky v plné výši</w:t>
      </w:r>
      <w:r w:rsidR="00AE438B" w:rsidRPr="008128F8">
        <w:rPr>
          <w:rFonts w:asciiTheme="minorHAnsi" w:hAnsiTheme="minorHAnsi" w:cstheme="minorHAnsi"/>
          <w:sz w:val="24"/>
          <w:szCs w:val="24"/>
        </w:rPr>
        <w:t>, případně kumulovala peněžní prostředky na bankovních účtech</w:t>
      </w:r>
      <w:r w:rsidR="00301DF4" w:rsidRPr="008128F8">
        <w:rPr>
          <w:rFonts w:asciiTheme="minorHAnsi" w:hAnsiTheme="minorHAnsi" w:cstheme="minorHAnsi"/>
          <w:sz w:val="24"/>
          <w:szCs w:val="24"/>
        </w:rPr>
        <w:t xml:space="preserve">, </w:t>
      </w:r>
      <w:r w:rsidR="00A51EC7" w:rsidRPr="008128F8">
        <w:rPr>
          <w:rFonts w:asciiTheme="minorHAnsi" w:hAnsiTheme="minorHAnsi" w:cstheme="minorHAnsi"/>
          <w:sz w:val="24"/>
          <w:szCs w:val="24"/>
        </w:rPr>
        <w:t>než</w:t>
      </w:r>
      <w:r w:rsidR="00301DF4" w:rsidRPr="008128F8">
        <w:rPr>
          <w:rFonts w:asciiTheme="minorHAnsi" w:hAnsiTheme="minorHAnsi" w:cstheme="minorHAnsi"/>
          <w:sz w:val="24"/>
          <w:szCs w:val="24"/>
        </w:rPr>
        <w:t xml:space="preserve"> aby přednostně hradila své dlouhodobé závazky, jejichž okamžitou úhradou by tak došlo k úspoře nákladů o 21,3 mil. Kč.</w:t>
      </w:r>
    </w:p>
    <w:p w14:paraId="1929334F" w14:textId="68ACCBF1" w:rsidR="002D4430" w:rsidRDefault="00320778" w:rsidP="00220719">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FNB a FNUSA </w:t>
      </w:r>
      <w:r w:rsidR="00C66A17" w:rsidRPr="0075660A">
        <w:rPr>
          <w:rFonts w:asciiTheme="minorHAnsi" w:hAnsiTheme="minorHAnsi" w:cstheme="minorHAnsi"/>
          <w:sz w:val="24"/>
          <w:szCs w:val="24"/>
        </w:rPr>
        <w:t xml:space="preserve">použily peněžní prostředky na oddlužení </w:t>
      </w:r>
      <w:r w:rsidRPr="0075660A">
        <w:rPr>
          <w:rFonts w:asciiTheme="minorHAnsi" w:hAnsiTheme="minorHAnsi" w:cstheme="minorHAnsi"/>
          <w:sz w:val="24"/>
          <w:szCs w:val="24"/>
        </w:rPr>
        <w:t>v rozporu s</w:t>
      </w:r>
      <w:r w:rsidR="004E7D67" w:rsidRPr="0075660A">
        <w:rPr>
          <w:rFonts w:asciiTheme="minorHAnsi" w:hAnsiTheme="minorHAnsi" w:cstheme="minorHAnsi"/>
          <w:sz w:val="24"/>
          <w:szCs w:val="24"/>
        </w:rPr>
        <w:t xml:space="preserve"> podmínkami</w:t>
      </w:r>
      <w:r w:rsidRPr="0075660A">
        <w:rPr>
          <w:rFonts w:asciiTheme="minorHAnsi" w:hAnsiTheme="minorHAnsi" w:cstheme="minorHAnsi"/>
          <w:sz w:val="24"/>
          <w:szCs w:val="24"/>
        </w:rPr>
        <w:t xml:space="preserve"> stanovenými </w:t>
      </w:r>
      <w:r w:rsidR="005B2289">
        <w:rPr>
          <w:rFonts w:asciiTheme="minorHAnsi" w:hAnsiTheme="minorHAnsi" w:cstheme="minorHAnsi"/>
          <w:sz w:val="24"/>
          <w:szCs w:val="24"/>
        </w:rPr>
        <w:t xml:space="preserve">dopisem </w:t>
      </w:r>
      <w:r w:rsidR="007B2E83" w:rsidRPr="0075660A">
        <w:rPr>
          <w:rFonts w:asciiTheme="minorHAnsi" w:hAnsiTheme="minorHAnsi" w:cstheme="minorHAnsi"/>
          <w:sz w:val="24"/>
          <w:szCs w:val="24"/>
        </w:rPr>
        <w:t>zřizovatele</w:t>
      </w:r>
      <w:r w:rsidRPr="0075660A">
        <w:rPr>
          <w:rFonts w:asciiTheme="minorHAnsi" w:hAnsiTheme="minorHAnsi" w:cstheme="minorHAnsi"/>
          <w:sz w:val="24"/>
          <w:szCs w:val="24"/>
        </w:rPr>
        <w:t xml:space="preserve">. </w:t>
      </w:r>
      <w:r w:rsidR="002D46EE" w:rsidRPr="0075660A">
        <w:rPr>
          <w:rFonts w:asciiTheme="minorHAnsi" w:hAnsiTheme="minorHAnsi" w:cstheme="minorHAnsi"/>
          <w:sz w:val="24"/>
          <w:szCs w:val="24"/>
        </w:rPr>
        <w:t>FNB použila 9,3 mil. Kč</w:t>
      </w:r>
      <w:r w:rsidR="00D1576D" w:rsidRPr="0075660A">
        <w:rPr>
          <w:rFonts w:asciiTheme="minorHAnsi" w:hAnsiTheme="minorHAnsi" w:cstheme="minorHAnsi"/>
          <w:sz w:val="24"/>
          <w:szCs w:val="24"/>
        </w:rPr>
        <w:t xml:space="preserve"> na úhradu závazků před splatností</w:t>
      </w:r>
      <w:r w:rsidR="00C66A17" w:rsidRPr="0075660A">
        <w:rPr>
          <w:rFonts w:asciiTheme="minorHAnsi" w:hAnsiTheme="minorHAnsi" w:cstheme="minorHAnsi"/>
          <w:sz w:val="24"/>
          <w:szCs w:val="24"/>
        </w:rPr>
        <w:t>.</w:t>
      </w:r>
      <w:r w:rsidR="002D46EE" w:rsidRPr="0075660A">
        <w:rPr>
          <w:rFonts w:asciiTheme="minorHAnsi" w:hAnsiTheme="minorHAnsi" w:cstheme="minorHAnsi"/>
          <w:sz w:val="24"/>
          <w:szCs w:val="24"/>
        </w:rPr>
        <w:t xml:space="preserve"> </w:t>
      </w:r>
      <w:r w:rsidR="002D4430" w:rsidRPr="0075660A">
        <w:rPr>
          <w:rFonts w:asciiTheme="minorHAnsi" w:hAnsiTheme="minorHAnsi" w:cstheme="minorHAnsi"/>
          <w:sz w:val="24"/>
          <w:szCs w:val="24"/>
        </w:rPr>
        <w:t>FNUSA použil</w:t>
      </w:r>
      <w:r w:rsidR="002D4430">
        <w:rPr>
          <w:rFonts w:asciiTheme="minorHAnsi" w:hAnsiTheme="minorHAnsi" w:cstheme="minorHAnsi"/>
          <w:sz w:val="24"/>
          <w:szCs w:val="24"/>
        </w:rPr>
        <w:t xml:space="preserve">a příspěvek za účelem oddlužení </w:t>
      </w:r>
      <w:r w:rsidR="002D4430" w:rsidRPr="0075660A">
        <w:rPr>
          <w:rFonts w:asciiTheme="minorHAnsi" w:hAnsiTheme="minorHAnsi" w:cstheme="minorHAnsi"/>
          <w:sz w:val="24"/>
          <w:szCs w:val="24"/>
        </w:rPr>
        <w:t>celkem</w:t>
      </w:r>
      <w:r w:rsidR="002D4430">
        <w:rPr>
          <w:rFonts w:asciiTheme="minorHAnsi" w:hAnsiTheme="minorHAnsi" w:cstheme="minorHAnsi"/>
          <w:sz w:val="24"/>
          <w:szCs w:val="24"/>
        </w:rPr>
        <w:t xml:space="preserve"> ve výši </w:t>
      </w:r>
      <w:r w:rsidR="002D4430" w:rsidRPr="0075660A">
        <w:rPr>
          <w:rFonts w:asciiTheme="minorHAnsi" w:hAnsiTheme="minorHAnsi" w:cstheme="minorHAnsi"/>
          <w:sz w:val="24"/>
          <w:szCs w:val="24"/>
        </w:rPr>
        <w:t>646,2 mil.</w:t>
      </w:r>
      <w:r w:rsidR="00242A4A">
        <w:rPr>
          <w:rFonts w:asciiTheme="minorHAnsi" w:hAnsiTheme="minorHAnsi" w:cstheme="minorHAnsi"/>
          <w:sz w:val="24"/>
          <w:szCs w:val="24"/>
        </w:rPr>
        <w:t> </w:t>
      </w:r>
      <w:r w:rsidR="002D4430" w:rsidRPr="0075660A">
        <w:rPr>
          <w:rFonts w:asciiTheme="minorHAnsi" w:hAnsiTheme="minorHAnsi" w:cstheme="minorHAnsi"/>
          <w:sz w:val="24"/>
          <w:szCs w:val="24"/>
        </w:rPr>
        <w:t>Kč</w:t>
      </w:r>
      <w:r w:rsidR="002D4430">
        <w:rPr>
          <w:rFonts w:asciiTheme="minorHAnsi" w:hAnsiTheme="minorHAnsi" w:cstheme="minorHAnsi"/>
          <w:sz w:val="24"/>
          <w:szCs w:val="24"/>
        </w:rPr>
        <w:t xml:space="preserve"> v rozporu s podmínkami</w:t>
      </w:r>
      <w:r w:rsidR="00B544CC">
        <w:rPr>
          <w:rFonts w:asciiTheme="minorHAnsi" w:hAnsiTheme="minorHAnsi" w:cstheme="minorHAnsi"/>
          <w:sz w:val="24"/>
          <w:szCs w:val="24"/>
        </w:rPr>
        <w:t xml:space="preserve"> stanovenými </w:t>
      </w:r>
      <w:r w:rsidR="007756F1">
        <w:rPr>
          <w:rFonts w:asciiTheme="minorHAnsi" w:hAnsiTheme="minorHAnsi" w:cstheme="minorHAnsi"/>
          <w:sz w:val="24"/>
          <w:szCs w:val="24"/>
        </w:rPr>
        <w:t xml:space="preserve">dopisem </w:t>
      </w:r>
      <w:r w:rsidR="00B544CC">
        <w:rPr>
          <w:rFonts w:asciiTheme="minorHAnsi" w:hAnsiTheme="minorHAnsi" w:cstheme="minorHAnsi"/>
          <w:sz w:val="24"/>
          <w:szCs w:val="24"/>
        </w:rPr>
        <w:t>zřizovatele</w:t>
      </w:r>
      <w:r w:rsidR="002D4430">
        <w:rPr>
          <w:rFonts w:asciiTheme="minorHAnsi" w:hAnsiTheme="minorHAnsi" w:cstheme="minorHAnsi"/>
          <w:sz w:val="24"/>
          <w:szCs w:val="24"/>
        </w:rPr>
        <w:t>.</w:t>
      </w:r>
    </w:p>
    <w:p w14:paraId="434BB149" w14:textId="2EE45FAF" w:rsidR="007756F1" w:rsidRPr="0075660A" w:rsidRDefault="007756F1" w:rsidP="00220719">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FNUSA i po oddlužení stále využívá financování formou postoupení pohledávek za zdravotní pojišťovnou bance a vznikají tak vícenáklady (úroky a poplatky)</w:t>
      </w:r>
      <w:r w:rsidR="00D4789C">
        <w:rPr>
          <w:rFonts w:asciiTheme="minorHAnsi" w:hAnsiTheme="minorHAnsi" w:cstheme="minorHAnsi"/>
          <w:sz w:val="24"/>
          <w:szCs w:val="24"/>
        </w:rPr>
        <w:t>.</w:t>
      </w:r>
    </w:p>
    <w:p w14:paraId="47F57939" w14:textId="1AE3FE21" w:rsidR="00150290" w:rsidRPr="0075660A" w:rsidRDefault="00B35870" w:rsidP="00220719">
      <w:pPr>
        <w:widowControl/>
        <w:spacing w:before="120" w:after="120"/>
        <w:jc w:val="both"/>
        <w:rPr>
          <w:rFonts w:asciiTheme="minorHAnsi" w:hAnsiTheme="minorHAnsi" w:cstheme="minorHAnsi"/>
          <w:sz w:val="24"/>
          <w:szCs w:val="24"/>
        </w:rPr>
      </w:pPr>
      <w:r w:rsidRPr="001A3017">
        <w:rPr>
          <w:rFonts w:asciiTheme="minorHAnsi" w:eastAsia="Calibri" w:hAnsiTheme="minorHAnsi" w:cstheme="minorHAnsi"/>
          <w:sz w:val="24"/>
        </w:rPr>
        <w:t>FN mají povinnost učinit opatření, která zajistí vyrovnání jejich rozdílu mezi náklady a výnosy v případě, že skutečná výše nákladů a výnosů v průběhu jejich rozpočtového roku neodpovídá jejich rozpočtované výši a je předpoklad, že může být zhoršen její rozpočtovaný hospodářský výsledek.</w:t>
      </w:r>
    </w:p>
    <w:p w14:paraId="1602C43F" w14:textId="0B03A208" w:rsidR="00263F6B" w:rsidRPr="0075660A" w:rsidRDefault="00263F6B" w:rsidP="00220719">
      <w:pPr>
        <w:keepNext/>
        <w:widowControl/>
        <w:spacing w:before="240" w:after="120"/>
        <w:jc w:val="both"/>
        <w:rPr>
          <w:rFonts w:asciiTheme="minorHAnsi" w:hAnsiTheme="minorHAnsi" w:cstheme="minorHAnsi"/>
          <w:b/>
          <w:sz w:val="24"/>
          <w:szCs w:val="24"/>
        </w:rPr>
      </w:pPr>
      <w:r w:rsidRPr="0075660A">
        <w:rPr>
          <w:rFonts w:asciiTheme="minorHAnsi" w:hAnsiTheme="minorHAnsi" w:cstheme="minorHAnsi"/>
          <w:b/>
          <w:sz w:val="24"/>
          <w:szCs w:val="24"/>
        </w:rPr>
        <w:t>2</w:t>
      </w:r>
      <w:r w:rsidR="00B60C67">
        <w:rPr>
          <w:rFonts w:asciiTheme="minorHAnsi" w:hAnsiTheme="minorHAnsi" w:cstheme="minorHAnsi"/>
          <w:b/>
          <w:sz w:val="24"/>
          <w:szCs w:val="24"/>
        </w:rPr>
        <w:t>.</w:t>
      </w:r>
      <w:r w:rsidRPr="0075660A">
        <w:rPr>
          <w:rFonts w:asciiTheme="minorHAnsi" w:hAnsiTheme="minorHAnsi" w:cstheme="minorHAnsi"/>
          <w:b/>
          <w:sz w:val="24"/>
          <w:szCs w:val="24"/>
        </w:rPr>
        <w:t xml:space="preserve"> Odmě</w:t>
      </w:r>
      <w:r w:rsidR="006923AA" w:rsidRPr="0075660A">
        <w:rPr>
          <w:rFonts w:asciiTheme="minorHAnsi" w:hAnsiTheme="minorHAnsi" w:cstheme="minorHAnsi"/>
          <w:b/>
          <w:sz w:val="24"/>
          <w:szCs w:val="24"/>
        </w:rPr>
        <w:t>ny pracovníkům vystaveným riziku onemocnění</w:t>
      </w:r>
      <w:r w:rsidRPr="0075660A">
        <w:rPr>
          <w:rFonts w:asciiTheme="minorHAnsi" w:hAnsiTheme="minorHAnsi" w:cstheme="minorHAnsi"/>
          <w:b/>
          <w:sz w:val="24"/>
          <w:szCs w:val="24"/>
        </w:rPr>
        <w:t xml:space="preserve"> covid-19</w:t>
      </w:r>
    </w:p>
    <w:p w14:paraId="242047DA" w14:textId="6388C55B" w:rsidR="00381F5B" w:rsidRPr="0075660A" w:rsidRDefault="00381F5B" w:rsidP="00972290">
      <w:pPr>
        <w:pStyle w:val="Odstavecseseznamem"/>
        <w:numPr>
          <w:ilvl w:val="0"/>
          <w:numId w:val="31"/>
        </w:numPr>
        <w:spacing w:before="120" w:after="120"/>
        <w:ind w:left="284" w:hanging="284"/>
        <w:contextualSpacing w:val="0"/>
        <w:jc w:val="both"/>
        <w:rPr>
          <w:rFonts w:asciiTheme="minorHAnsi" w:hAnsiTheme="minorHAnsi" w:cstheme="minorHAnsi"/>
          <w:bCs/>
          <w:iCs/>
          <w:sz w:val="24"/>
          <w:szCs w:val="24"/>
        </w:rPr>
      </w:pPr>
      <w:proofErr w:type="spellStart"/>
      <w:r w:rsidRPr="0075660A">
        <w:rPr>
          <w:rFonts w:asciiTheme="minorHAnsi" w:hAnsiTheme="minorHAnsi" w:cstheme="minorHAnsi"/>
          <w:bCs/>
          <w:iCs/>
          <w:sz w:val="24"/>
          <w:szCs w:val="24"/>
        </w:rPr>
        <w:t>MZ</w:t>
      </w:r>
      <w:r w:rsidR="00112674">
        <w:rPr>
          <w:rFonts w:asciiTheme="minorHAnsi" w:hAnsiTheme="minorHAnsi" w:cstheme="minorHAnsi"/>
          <w:bCs/>
          <w:iCs/>
          <w:sz w:val="24"/>
          <w:szCs w:val="24"/>
        </w:rPr>
        <w:t>d</w:t>
      </w:r>
      <w:proofErr w:type="spellEnd"/>
    </w:p>
    <w:p w14:paraId="03C79BD2" w14:textId="77F735FE" w:rsidR="00263F6B" w:rsidRPr="00E94367" w:rsidRDefault="00263F6B" w:rsidP="00972290">
      <w:pPr>
        <w:widowControl/>
        <w:spacing w:before="120" w:after="120"/>
        <w:jc w:val="both"/>
        <w:rPr>
          <w:rFonts w:asciiTheme="minorHAnsi" w:eastAsia="Calibri" w:hAnsiTheme="minorHAnsi" w:cstheme="minorHAnsi"/>
          <w:sz w:val="24"/>
        </w:rPr>
      </w:pPr>
      <w:proofErr w:type="spellStart"/>
      <w:r w:rsidRPr="0075660A">
        <w:rPr>
          <w:rFonts w:asciiTheme="minorHAnsi" w:eastAsia="Calibri" w:hAnsiTheme="minorHAnsi" w:cstheme="minorHAnsi"/>
          <w:sz w:val="24"/>
          <w:szCs w:val="24"/>
        </w:rPr>
        <w:t>MZ</w:t>
      </w:r>
      <w:r w:rsidR="00112674">
        <w:rPr>
          <w:rFonts w:asciiTheme="minorHAnsi" w:eastAsia="Calibri" w:hAnsiTheme="minorHAnsi" w:cstheme="minorHAnsi"/>
          <w:sz w:val="24"/>
          <w:szCs w:val="24"/>
        </w:rPr>
        <w:t>d</w:t>
      </w:r>
      <w:proofErr w:type="spellEnd"/>
      <w:r w:rsidRPr="0075660A">
        <w:rPr>
          <w:rFonts w:asciiTheme="minorHAnsi" w:eastAsia="Calibri" w:hAnsiTheme="minorHAnsi" w:cstheme="minorHAnsi"/>
          <w:sz w:val="24"/>
          <w:szCs w:val="24"/>
        </w:rPr>
        <w:t xml:space="preserve"> vyplatilo </w:t>
      </w:r>
      <w:r w:rsidR="00D4789C">
        <w:rPr>
          <w:rFonts w:asciiTheme="minorHAnsi" w:eastAsia="Calibri" w:hAnsiTheme="minorHAnsi" w:cstheme="minorHAnsi"/>
          <w:sz w:val="24"/>
          <w:szCs w:val="24"/>
        </w:rPr>
        <w:t xml:space="preserve">ze SR </w:t>
      </w:r>
      <w:r w:rsidR="00934CD4" w:rsidRPr="0075660A">
        <w:rPr>
          <w:rFonts w:asciiTheme="minorHAnsi" w:eastAsia="Calibri" w:hAnsiTheme="minorHAnsi" w:cstheme="minorHAnsi"/>
          <w:sz w:val="24"/>
          <w:szCs w:val="24"/>
        </w:rPr>
        <w:t>kontrolovaným FN</w:t>
      </w:r>
      <w:r w:rsidRPr="0075660A">
        <w:rPr>
          <w:rFonts w:asciiTheme="minorHAnsi" w:eastAsia="Calibri" w:hAnsiTheme="minorHAnsi" w:cstheme="minorHAnsi"/>
          <w:sz w:val="24"/>
          <w:szCs w:val="24"/>
        </w:rPr>
        <w:t xml:space="preserve"> </w:t>
      </w:r>
      <w:r w:rsidR="0097491A" w:rsidRPr="0075660A">
        <w:rPr>
          <w:rFonts w:asciiTheme="minorHAnsi" w:eastAsia="Calibri" w:hAnsiTheme="minorHAnsi" w:cstheme="minorHAnsi"/>
          <w:sz w:val="24"/>
          <w:szCs w:val="24"/>
        </w:rPr>
        <w:t xml:space="preserve">příspěvek na </w:t>
      </w:r>
      <w:r w:rsidR="00AA7AF6" w:rsidRPr="0075660A">
        <w:rPr>
          <w:rFonts w:asciiTheme="minorHAnsi" w:eastAsia="Calibri" w:hAnsiTheme="minorHAnsi" w:cstheme="minorHAnsi"/>
          <w:sz w:val="24"/>
          <w:szCs w:val="24"/>
        </w:rPr>
        <w:t>odměny pracovníkům vystaveným riziku onemocnění covid-19 (dále také „odměny covid-19“)</w:t>
      </w:r>
      <w:r w:rsidR="00D4789C">
        <w:rPr>
          <w:rStyle w:val="Znakapoznpodarou"/>
          <w:rFonts w:asciiTheme="minorHAnsi" w:eastAsia="Calibri" w:hAnsiTheme="minorHAnsi"/>
          <w:sz w:val="24"/>
          <w:szCs w:val="24"/>
        </w:rPr>
        <w:footnoteReference w:id="12"/>
      </w:r>
      <w:r w:rsidR="00AA7AF6" w:rsidRPr="0075660A">
        <w:rPr>
          <w:rFonts w:asciiTheme="minorHAnsi" w:eastAsia="Calibri" w:hAnsiTheme="minorHAnsi" w:cstheme="minorHAnsi"/>
          <w:sz w:val="24"/>
          <w:szCs w:val="24"/>
        </w:rPr>
        <w:t xml:space="preserve"> </w:t>
      </w:r>
      <w:r w:rsidRPr="0075660A">
        <w:rPr>
          <w:rFonts w:asciiTheme="minorHAnsi" w:eastAsia="Calibri" w:hAnsiTheme="minorHAnsi" w:cstheme="minorHAnsi"/>
          <w:sz w:val="24"/>
          <w:szCs w:val="24"/>
        </w:rPr>
        <w:t xml:space="preserve">za rok 2020 </w:t>
      </w:r>
      <w:r w:rsidR="00AA698E" w:rsidRPr="0075660A">
        <w:rPr>
          <w:rFonts w:asciiTheme="minorHAnsi" w:eastAsia="Calibri" w:hAnsiTheme="minorHAnsi" w:cstheme="minorHAnsi"/>
          <w:sz w:val="24"/>
          <w:szCs w:val="24"/>
        </w:rPr>
        <w:t>a rok</w:t>
      </w:r>
      <w:r w:rsidRPr="0075660A">
        <w:rPr>
          <w:rFonts w:asciiTheme="minorHAnsi" w:eastAsia="Calibri" w:hAnsiTheme="minorHAnsi" w:cstheme="minorHAnsi"/>
          <w:sz w:val="24"/>
          <w:szCs w:val="24"/>
        </w:rPr>
        <w:t xml:space="preserve"> 2021</w:t>
      </w:r>
      <w:r w:rsidR="00AA698E" w:rsidRPr="0075660A">
        <w:rPr>
          <w:rFonts w:asciiTheme="minorHAnsi" w:eastAsia="Calibri" w:hAnsiTheme="minorHAnsi" w:cstheme="minorHAnsi"/>
          <w:sz w:val="24"/>
          <w:szCs w:val="24"/>
        </w:rPr>
        <w:t xml:space="preserve"> ve výši 1</w:t>
      </w:r>
      <w:r w:rsidR="00AA7AF6" w:rsidRPr="0075660A">
        <w:rPr>
          <w:rFonts w:asciiTheme="minorHAnsi" w:eastAsia="Calibri" w:hAnsiTheme="minorHAnsi" w:cstheme="minorHAnsi"/>
          <w:sz w:val="24"/>
          <w:szCs w:val="24"/>
        </w:rPr>
        <w:t>,3</w:t>
      </w:r>
      <w:r w:rsidR="00887E66" w:rsidRPr="0075660A">
        <w:rPr>
          <w:rFonts w:asciiTheme="minorHAnsi" w:eastAsia="Calibri" w:hAnsiTheme="minorHAnsi" w:cstheme="minorHAnsi"/>
          <w:sz w:val="24"/>
          <w:szCs w:val="24"/>
        </w:rPr>
        <w:t> </w:t>
      </w:r>
      <w:r w:rsidR="00AA7AF6" w:rsidRPr="0075660A">
        <w:rPr>
          <w:rFonts w:asciiTheme="minorHAnsi" w:eastAsia="Calibri" w:hAnsiTheme="minorHAnsi" w:cstheme="minorHAnsi"/>
          <w:sz w:val="24"/>
          <w:szCs w:val="24"/>
        </w:rPr>
        <w:t>mld</w:t>
      </w:r>
      <w:r w:rsidR="00AA698E" w:rsidRPr="0075660A">
        <w:rPr>
          <w:rFonts w:asciiTheme="minorHAnsi" w:eastAsia="Calibri" w:hAnsiTheme="minorHAnsi" w:cstheme="minorHAnsi"/>
          <w:sz w:val="24"/>
          <w:szCs w:val="24"/>
        </w:rPr>
        <w:t>.</w:t>
      </w:r>
      <w:r w:rsidR="00887E66" w:rsidRPr="0075660A">
        <w:rPr>
          <w:rFonts w:asciiTheme="minorHAnsi" w:eastAsia="Calibri" w:hAnsiTheme="minorHAnsi" w:cstheme="minorHAnsi"/>
          <w:sz w:val="24"/>
          <w:szCs w:val="24"/>
        </w:rPr>
        <w:t> </w:t>
      </w:r>
      <w:r w:rsidR="00AA698E" w:rsidRPr="0075660A">
        <w:rPr>
          <w:rFonts w:asciiTheme="minorHAnsi" w:eastAsia="Calibri" w:hAnsiTheme="minorHAnsi" w:cstheme="minorHAnsi"/>
          <w:sz w:val="24"/>
          <w:szCs w:val="24"/>
        </w:rPr>
        <w:t xml:space="preserve">Kč. </w:t>
      </w:r>
      <w:proofErr w:type="spellStart"/>
      <w:r w:rsidR="00AA698E" w:rsidRPr="0075660A">
        <w:rPr>
          <w:rFonts w:asciiTheme="minorHAnsi" w:eastAsia="Calibri" w:hAnsiTheme="minorHAnsi" w:cstheme="minorHAnsi"/>
          <w:sz w:val="24"/>
          <w:szCs w:val="24"/>
        </w:rPr>
        <w:t>MZ</w:t>
      </w:r>
      <w:r w:rsidR="00112674">
        <w:rPr>
          <w:rFonts w:asciiTheme="minorHAnsi" w:eastAsia="Calibri" w:hAnsiTheme="minorHAnsi" w:cstheme="minorHAnsi"/>
          <w:sz w:val="24"/>
          <w:szCs w:val="24"/>
        </w:rPr>
        <w:t>d</w:t>
      </w:r>
      <w:proofErr w:type="spellEnd"/>
      <w:r w:rsidR="00AA698E" w:rsidRPr="0075660A">
        <w:rPr>
          <w:rFonts w:asciiTheme="minorHAnsi" w:eastAsia="Calibri" w:hAnsiTheme="minorHAnsi" w:cstheme="minorHAnsi"/>
          <w:sz w:val="24"/>
          <w:szCs w:val="24"/>
        </w:rPr>
        <w:t xml:space="preserve"> </w:t>
      </w:r>
      <w:r w:rsidRPr="0075660A">
        <w:rPr>
          <w:rFonts w:asciiTheme="minorHAnsi" w:eastAsia="Calibri" w:hAnsiTheme="minorHAnsi" w:cstheme="minorHAnsi"/>
          <w:sz w:val="24"/>
          <w:szCs w:val="24"/>
        </w:rPr>
        <w:t xml:space="preserve">nemělo nastavené kontrolní mechanismy </w:t>
      </w:r>
      <w:r w:rsidR="00AA698E" w:rsidRPr="0075660A">
        <w:rPr>
          <w:rFonts w:asciiTheme="minorHAnsi" w:eastAsia="Calibri" w:hAnsiTheme="minorHAnsi" w:cstheme="minorHAnsi"/>
          <w:sz w:val="24"/>
          <w:szCs w:val="24"/>
        </w:rPr>
        <w:t xml:space="preserve">pro kontrolu plnění </w:t>
      </w:r>
      <w:r w:rsidR="00A921F9" w:rsidRPr="0075660A">
        <w:rPr>
          <w:rFonts w:asciiTheme="minorHAnsi" w:eastAsia="Calibri" w:hAnsiTheme="minorHAnsi" w:cstheme="minorHAnsi"/>
          <w:sz w:val="24"/>
          <w:szCs w:val="24"/>
        </w:rPr>
        <w:t>podmín</w:t>
      </w:r>
      <w:r w:rsidR="00AA698E" w:rsidRPr="0075660A">
        <w:rPr>
          <w:rFonts w:asciiTheme="minorHAnsi" w:eastAsia="Calibri" w:hAnsiTheme="minorHAnsi" w:cstheme="minorHAnsi"/>
          <w:sz w:val="24"/>
          <w:szCs w:val="24"/>
        </w:rPr>
        <w:t>e</w:t>
      </w:r>
      <w:r w:rsidR="00A921F9" w:rsidRPr="0075660A">
        <w:rPr>
          <w:rFonts w:asciiTheme="minorHAnsi" w:eastAsia="Calibri" w:hAnsiTheme="minorHAnsi" w:cstheme="minorHAnsi"/>
          <w:sz w:val="24"/>
          <w:szCs w:val="24"/>
        </w:rPr>
        <w:t>k Výzvy 2020</w:t>
      </w:r>
      <w:r w:rsidR="00CA7970" w:rsidRPr="0075660A">
        <w:rPr>
          <w:rStyle w:val="Znakapoznpodarou"/>
          <w:rFonts w:asciiTheme="minorHAnsi" w:eastAsia="Calibri" w:hAnsiTheme="minorHAnsi" w:cstheme="minorHAnsi"/>
          <w:sz w:val="24"/>
          <w:szCs w:val="24"/>
        </w:rPr>
        <w:footnoteReference w:id="13"/>
      </w:r>
      <w:r w:rsidR="00A921F9" w:rsidRPr="0075660A">
        <w:rPr>
          <w:rFonts w:asciiTheme="minorHAnsi" w:eastAsia="Calibri" w:hAnsiTheme="minorHAnsi" w:cstheme="minorHAnsi"/>
          <w:sz w:val="24"/>
          <w:szCs w:val="24"/>
        </w:rPr>
        <w:t xml:space="preserve"> a</w:t>
      </w:r>
      <w:r w:rsidR="00AA7AF6" w:rsidRPr="0075660A">
        <w:rPr>
          <w:rFonts w:asciiTheme="minorHAnsi" w:eastAsia="Calibri" w:hAnsiTheme="minorHAnsi" w:cstheme="minorHAnsi"/>
          <w:sz w:val="24"/>
          <w:szCs w:val="24"/>
        </w:rPr>
        <w:t> </w:t>
      </w:r>
      <w:r w:rsidR="00A921F9" w:rsidRPr="0075660A">
        <w:rPr>
          <w:rFonts w:asciiTheme="minorHAnsi" w:eastAsia="Calibri" w:hAnsiTheme="minorHAnsi" w:cstheme="minorHAnsi"/>
          <w:sz w:val="24"/>
          <w:szCs w:val="24"/>
        </w:rPr>
        <w:t>Výzvy 2021</w:t>
      </w:r>
      <w:r w:rsidR="006C18AB" w:rsidRPr="0075660A">
        <w:rPr>
          <w:rStyle w:val="Znakapoznpodarou"/>
          <w:rFonts w:asciiTheme="minorHAnsi" w:eastAsia="Calibri" w:hAnsiTheme="minorHAnsi" w:cstheme="minorHAnsi"/>
          <w:sz w:val="24"/>
          <w:szCs w:val="24"/>
        </w:rPr>
        <w:footnoteReference w:id="14"/>
      </w:r>
      <w:r w:rsidRPr="0075660A">
        <w:rPr>
          <w:rFonts w:asciiTheme="minorHAnsi" w:eastAsia="Calibri" w:hAnsiTheme="minorHAnsi" w:cstheme="minorHAnsi"/>
          <w:sz w:val="24"/>
          <w:szCs w:val="24"/>
        </w:rPr>
        <w:t xml:space="preserve"> </w:t>
      </w:r>
      <w:r w:rsidR="009E25E4" w:rsidRPr="00E94367">
        <w:rPr>
          <w:rFonts w:asciiTheme="minorHAnsi" w:eastAsia="Calibri" w:hAnsiTheme="minorHAnsi" w:cstheme="minorHAnsi"/>
          <w:sz w:val="24"/>
          <w:szCs w:val="24"/>
        </w:rPr>
        <w:t>a</w:t>
      </w:r>
      <w:r w:rsidR="00AA698E" w:rsidRPr="00E94367">
        <w:rPr>
          <w:rFonts w:asciiTheme="minorHAnsi" w:eastAsia="Calibri" w:hAnsiTheme="minorHAnsi" w:cstheme="minorHAnsi"/>
          <w:sz w:val="24"/>
          <w:szCs w:val="24"/>
        </w:rPr>
        <w:t xml:space="preserve"> </w:t>
      </w:r>
      <w:r w:rsidR="00981AE0" w:rsidRPr="00E94367">
        <w:rPr>
          <w:rFonts w:asciiTheme="minorHAnsi" w:eastAsia="Calibri" w:hAnsiTheme="minorHAnsi" w:cstheme="minorHAnsi"/>
          <w:sz w:val="24"/>
          <w:szCs w:val="24"/>
        </w:rPr>
        <w:t xml:space="preserve">nepůsobilo ve funkci zřizovatele FN v souladu </w:t>
      </w:r>
      <w:r w:rsidR="00112674">
        <w:rPr>
          <w:rFonts w:asciiTheme="minorHAnsi" w:eastAsia="Calibri" w:hAnsiTheme="minorHAnsi" w:cstheme="minorHAnsi"/>
          <w:sz w:val="24"/>
          <w:szCs w:val="24"/>
        </w:rPr>
        <w:t>s</w:t>
      </w:r>
      <w:r w:rsidR="003B0C01" w:rsidRPr="00E94367">
        <w:rPr>
          <w:rFonts w:asciiTheme="minorHAnsi" w:eastAsia="Calibri" w:hAnsiTheme="minorHAnsi" w:cstheme="minorHAnsi"/>
          <w:sz w:val="24"/>
          <w:szCs w:val="24"/>
        </w:rPr>
        <w:t> </w:t>
      </w:r>
      <w:r w:rsidR="00981AE0" w:rsidRPr="00E94367">
        <w:rPr>
          <w:rFonts w:asciiTheme="minorHAnsi" w:eastAsia="Calibri" w:hAnsiTheme="minorHAnsi" w:cstheme="minorHAnsi"/>
          <w:sz w:val="24"/>
          <w:szCs w:val="24"/>
        </w:rPr>
        <w:t>rozpočtový</w:t>
      </w:r>
      <w:r w:rsidR="00112674">
        <w:rPr>
          <w:rFonts w:asciiTheme="minorHAnsi" w:eastAsia="Calibri" w:hAnsiTheme="minorHAnsi" w:cstheme="minorHAnsi"/>
          <w:sz w:val="24"/>
          <w:szCs w:val="24"/>
        </w:rPr>
        <w:t>mi</w:t>
      </w:r>
      <w:r w:rsidR="00981AE0" w:rsidRPr="00E94367">
        <w:rPr>
          <w:rFonts w:asciiTheme="minorHAnsi" w:eastAsia="Calibri" w:hAnsiTheme="minorHAnsi" w:cstheme="minorHAnsi"/>
          <w:sz w:val="24"/>
          <w:szCs w:val="24"/>
        </w:rPr>
        <w:t xml:space="preserve"> </w:t>
      </w:r>
      <w:r w:rsidR="00981AE0" w:rsidRPr="000402C4">
        <w:rPr>
          <w:rFonts w:asciiTheme="minorHAnsi" w:eastAsia="Calibri" w:hAnsiTheme="minorHAnsi" w:cstheme="minorHAnsi"/>
          <w:sz w:val="24"/>
          <w:szCs w:val="24"/>
        </w:rPr>
        <w:t>pravidl</w:t>
      </w:r>
      <w:r w:rsidR="00112674">
        <w:rPr>
          <w:rFonts w:asciiTheme="minorHAnsi" w:eastAsia="Calibri" w:hAnsiTheme="minorHAnsi" w:cstheme="minorHAnsi"/>
          <w:sz w:val="24"/>
          <w:szCs w:val="24"/>
        </w:rPr>
        <w:t>y</w:t>
      </w:r>
      <w:r w:rsidR="007F25CB" w:rsidRPr="000402C4">
        <w:rPr>
          <w:rStyle w:val="Znakapoznpodarou"/>
          <w:rFonts w:asciiTheme="minorHAnsi" w:eastAsia="Calibri" w:hAnsiTheme="minorHAnsi"/>
          <w:sz w:val="24"/>
          <w:szCs w:val="24"/>
        </w:rPr>
        <w:footnoteReference w:id="15"/>
      </w:r>
      <w:r w:rsidR="00AF5656" w:rsidRPr="000402C4">
        <w:rPr>
          <w:rFonts w:asciiTheme="minorHAnsi" w:eastAsia="Calibri" w:hAnsiTheme="minorHAnsi" w:cstheme="minorHAnsi"/>
          <w:sz w:val="24"/>
          <w:szCs w:val="24"/>
        </w:rPr>
        <w:t>.</w:t>
      </w:r>
      <w:r w:rsidR="00AF5656" w:rsidRPr="00E94367">
        <w:rPr>
          <w:rFonts w:asciiTheme="minorHAnsi" w:eastAsia="Calibri" w:hAnsiTheme="minorHAnsi" w:cstheme="minorHAnsi"/>
          <w:sz w:val="24"/>
          <w:szCs w:val="24"/>
        </w:rPr>
        <w:t xml:space="preserve"> </w:t>
      </w:r>
      <w:proofErr w:type="spellStart"/>
      <w:r w:rsidRPr="00E94367">
        <w:rPr>
          <w:rFonts w:asciiTheme="minorHAnsi" w:eastAsia="Calibri" w:hAnsiTheme="minorHAnsi" w:cstheme="minorHAnsi"/>
          <w:sz w:val="24"/>
        </w:rPr>
        <w:t>MZ</w:t>
      </w:r>
      <w:r w:rsidR="00112674">
        <w:rPr>
          <w:rFonts w:asciiTheme="minorHAnsi" w:eastAsia="Calibri" w:hAnsiTheme="minorHAnsi" w:cstheme="minorHAnsi"/>
          <w:sz w:val="24"/>
        </w:rPr>
        <w:t>d</w:t>
      </w:r>
      <w:proofErr w:type="spellEnd"/>
      <w:r w:rsidRPr="00E94367">
        <w:rPr>
          <w:rFonts w:asciiTheme="minorHAnsi" w:eastAsia="Calibri" w:hAnsiTheme="minorHAnsi" w:cstheme="minorHAnsi"/>
          <w:sz w:val="24"/>
        </w:rPr>
        <w:t xml:space="preserve"> neprovedlo </w:t>
      </w:r>
      <w:r w:rsidR="000402C4">
        <w:rPr>
          <w:rFonts w:asciiTheme="minorHAnsi" w:eastAsia="Calibri" w:hAnsiTheme="minorHAnsi" w:cstheme="minorHAnsi"/>
          <w:sz w:val="24"/>
        </w:rPr>
        <w:t xml:space="preserve">řádnou </w:t>
      </w:r>
      <w:r w:rsidRPr="00E94367">
        <w:rPr>
          <w:rFonts w:asciiTheme="minorHAnsi" w:eastAsia="Calibri" w:hAnsiTheme="minorHAnsi" w:cstheme="minorHAnsi"/>
          <w:sz w:val="24"/>
        </w:rPr>
        <w:t xml:space="preserve">finanční </w:t>
      </w:r>
      <w:r w:rsidRPr="000402C4">
        <w:rPr>
          <w:rFonts w:asciiTheme="minorHAnsi" w:eastAsia="Calibri" w:hAnsiTheme="minorHAnsi" w:cstheme="minorHAnsi"/>
          <w:sz w:val="24"/>
        </w:rPr>
        <w:t>kontrolu</w:t>
      </w:r>
      <w:r w:rsidR="000402C4" w:rsidRPr="000402C4">
        <w:rPr>
          <w:rFonts w:asciiTheme="minorHAnsi" w:eastAsia="Calibri" w:hAnsiTheme="minorHAnsi" w:cstheme="minorHAnsi"/>
          <w:sz w:val="24"/>
          <w:vertAlign w:val="superscript"/>
        </w:rPr>
        <w:t>4</w:t>
      </w:r>
      <w:r w:rsidR="006F574B" w:rsidRPr="000402C4">
        <w:rPr>
          <w:rFonts w:asciiTheme="minorHAnsi" w:eastAsia="Calibri" w:hAnsiTheme="minorHAnsi" w:cstheme="minorHAnsi"/>
          <w:iCs/>
          <w:sz w:val="24"/>
          <w:szCs w:val="24"/>
        </w:rPr>
        <w:t xml:space="preserve">. </w:t>
      </w:r>
      <w:proofErr w:type="spellStart"/>
      <w:r w:rsidR="00235E85" w:rsidRPr="000402C4">
        <w:rPr>
          <w:rFonts w:asciiTheme="minorHAnsi" w:eastAsia="Calibri" w:hAnsiTheme="minorHAnsi" w:cstheme="minorHAnsi"/>
          <w:sz w:val="24"/>
        </w:rPr>
        <w:t>MZ</w:t>
      </w:r>
      <w:r w:rsidR="00112674">
        <w:rPr>
          <w:rFonts w:asciiTheme="minorHAnsi" w:eastAsia="Calibri" w:hAnsiTheme="minorHAnsi" w:cstheme="minorHAnsi"/>
          <w:sz w:val="24"/>
        </w:rPr>
        <w:t>d</w:t>
      </w:r>
      <w:proofErr w:type="spellEnd"/>
      <w:r w:rsidR="00235E85" w:rsidRPr="000402C4">
        <w:rPr>
          <w:rFonts w:asciiTheme="minorHAnsi" w:eastAsia="Calibri" w:hAnsiTheme="minorHAnsi" w:cstheme="minorHAnsi"/>
          <w:sz w:val="24"/>
        </w:rPr>
        <w:t xml:space="preserve"> </w:t>
      </w:r>
      <w:r w:rsidR="005C22E4" w:rsidRPr="000402C4">
        <w:rPr>
          <w:rFonts w:asciiTheme="minorHAnsi" w:eastAsia="Calibri" w:hAnsiTheme="minorHAnsi" w:cstheme="minorHAnsi"/>
          <w:sz w:val="24"/>
        </w:rPr>
        <w:t>ne</w:t>
      </w:r>
      <w:r w:rsidR="00900993" w:rsidRPr="000402C4">
        <w:rPr>
          <w:rFonts w:asciiTheme="minorHAnsi" w:eastAsia="Calibri" w:hAnsiTheme="minorHAnsi" w:cstheme="minorHAnsi"/>
          <w:sz w:val="24"/>
        </w:rPr>
        <w:t>po</w:t>
      </w:r>
      <w:r w:rsidR="005C22E4" w:rsidRPr="000402C4">
        <w:rPr>
          <w:rFonts w:asciiTheme="minorHAnsi" w:eastAsia="Calibri" w:hAnsiTheme="minorHAnsi" w:cstheme="minorHAnsi"/>
          <w:sz w:val="24"/>
        </w:rPr>
        <w:t>žadovalo</w:t>
      </w:r>
      <w:r w:rsidR="005C22E4" w:rsidRPr="00E94367">
        <w:rPr>
          <w:rFonts w:asciiTheme="minorHAnsi" w:eastAsia="Calibri" w:hAnsiTheme="minorHAnsi" w:cstheme="minorHAnsi"/>
          <w:sz w:val="24"/>
        </w:rPr>
        <w:t xml:space="preserve"> zaslání</w:t>
      </w:r>
      <w:r w:rsidR="00235E85" w:rsidRPr="00E94367">
        <w:rPr>
          <w:rFonts w:asciiTheme="minorHAnsi" w:eastAsia="Calibri" w:hAnsiTheme="minorHAnsi" w:cstheme="minorHAnsi"/>
          <w:sz w:val="24"/>
        </w:rPr>
        <w:t xml:space="preserve"> závěrečné zprávy</w:t>
      </w:r>
      <w:r w:rsidR="00900993" w:rsidRPr="00E94367">
        <w:rPr>
          <w:rFonts w:asciiTheme="minorHAnsi" w:eastAsia="Calibri" w:hAnsiTheme="minorHAnsi" w:cstheme="minorHAnsi"/>
          <w:sz w:val="24"/>
        </w:rPr>
        <w:t xml:space="preserve"> u FNKV a FNUSA </w:t>
      </w:r>
      <w:r w:rsidR="00235E85" w:rsidRPr="00E94367">
        <w:rPr>
          <w:rFonts w:asciiTheme="minorHAnsi" w:eastAsia="Calibri" w:hAnsiTheme="minorHAnsi" w:cstheme="minorHAnsi"/>
          <w:sz w:val="24"/>
        </w:rPr>
        <w:t>a</w:t>
      </w:r>
      <w:r w:rsidR="00AA7AF6" w:rsidRPr="00E94367">
        <w:rPr>
          <w:rFonts w:asciiTheme="minorHAnsi" w:eastAsia="Calibri" w:hAnsiTheme="minorHAnsi" w:cstheme="minorHAnsi"/>
          <w:sz w:val="24"/>
        </w:rPr>
        <w:t> </w:t>
      </w:r>
      <w:r w:rsidR="00235E85" w:rsidRPr="00E94367">
        <w:rPr>
          <w:rFonts w:asciiTheme="minorHAnsi" w:eastAsia="Calibri" w:hAnsiTheme="minorHAnsi" w:cstheme="minorHAnsi"/>
          <w:sz w:val="24"/>
        </w:rPr>
        <w:t xml:space="preserve">akceptovalo neúplnou závěrečnou zprávu </w:t>
      </w:r>
      <w:r w:rsidR="00891B8D">
        <w:rPr>
          <w:rFonts w:asciiTheme="minorHAnsi" w:eastAsia="Calibri" w:hAnsiTheme="minorHAnsi" w:cstheme="minorHAnsi"/>
          <w:sz w:val="24"/>
        </w:rPr>
        <w:t xml:space="preserve">u </w:t>
      </w:r>
      <w:r w:rsidR="00235E85" w:rsidRPr="00E94367">
        <w:rPr>
          <w:rFonts w:asciiTheme="minorHAnsi" w:eastAsia="Calibri" w:hAnsiTheme="minorHAnsi" w:cstheme="minorHAnsi"/>
          <w:sz w:val="24"/>
        </w:rPr>
        <w:t>FNB.</w:t>
      </w:r>
    </w:p>
    <w:p w14:paraId="010A2C07" w14:textId="7E47BC04" w:rsidR="00934652" w:rsidRPr="0075660A" w:rsidRDefault="00934652" w:rsidP="00972290">
      <w:pPr>
        <w:pStyle w:val="Odstavecseseznamem"/>
        <w:keepNext/>
        <w:numPr>
          <w:ilvl w:val="0"/>
          <w:numId w:val="31"/>
        </w:numPr>
        <w:spacing w:before="120" w:after="120"/>
        <w:ind w:left="284" w:hanging="284"/>
        <w:contextualSpacing w:val="0"/>
        <w:jc w:val="both"/>
        <w:rPr>
          <w:rFonts w:asciiTheme="minorHAnsi" w:hAnsiTheme="minorHAnsi" w:cstheme="minorHAnsi"/>
          <w:bCs/>
          <w:iCs/>
          <w:sz w:val="24"/>
          <w:szCs w:val="24"/>
        </w:rPr>
      </w:pPr>
      <w:r w:rsidRPr="0075660A">
        <w:rPr>
          <w:rFonts w:asciiTheme="minorHAnsi" w:hAnsiTheme="minorHAnsi" w:cstheme="minorHAnsi"/>
          <w:bCs/>
          <w:iCs/>
          <w:sz w:val="24"/>
          <w:szCs w:val="24"/>
        </w:rPr>
        <w:t>FN</w:t>
      </w:r>
    </w:p>
    <w:p w14:paraId="1B56B123" w14:textId="5D078319" w:rsidR="00934652" w:rsidRPr="0075660A" w:rsidRDefault="00D2461A" w:rsidP="00972290">
      <w:pPr>
        <w:spacing w:before="120" w:after="120"/>
        <w:jc w:val="both"/>
        <w:rPr>
          <w:rFonts w:asciiTheme="minorHAnsi" w:hAnsiTheme="minorHAnsi" w:cstheme="minorHAnsi"/>
          <w:b/>
          <w:sz w:val="24"/>
          <w:szCs w:val="24"/>
        </w:rPr>
      </w:pPr>
      <w:r>
        <w:rPr>
          <w:rFonts w:asciiTheme="minorHAnsi" w:eastAsia="Calibri" w:hAnsiTheme="minorHAnsi" w:cstheme="minorHAnsi"/>
          <w:sz w:val="24"/>
        </w:rPr>
        <w:t xml:space="preserve">FN při výpočtu a vyplacení odměn </w:t>
      </w:r>
      <w:r w:rsidRPr="0075660A">
        <w:rPr>
          <w:rFonts w:asciiTheme="minorHAnsi" w:eastAsia="Calibri" w:hAnsiTheme="minorHAnsi" w:cstheme="minorHAnsi"/>
          <w:sz w:val="24"/>
          <w:szCs w:val="24"/>
        </w:rPr>
        <w:t>pracovníkům vystaveným riziku onemocnění covid-19</w:t>
      </w:r>
      <w:r>
        <w:rPr>
          <w:rFonts w:asciiTheme="minorHAnsi" w:eastAsia="Calibri" w:hAnsiTheme="minorHAnsi" w:cstheme="minorHAnsi"/>
          <w:sz w:val="24"/>
          <w:szCs w:val="24"/>
        </w:rPr>
        <w:t xml:space="preserve"> nedodržely vždy stanovené podmínky Výzvy 2020 a Výzvy 2021.</w:t>
      </w:r>
    </w:p>
    <w:p w14:paraId="536A4ED4" w14:textId="256BD597" w:rsidR="00E97893" w:rsidRPr="0075660A" w:rsidRDefault="00AA543F" w:rsidP="00972290">
      <w:pPr>
        <w:keepNext/>
        <w:widowControl/>
        <w:spacing w:before="240" w:after="120"/>
        <w:jc w:val="both"/>
        <w:rPr>
          <w:rFonts w:asciiTheme="minorHAnsi" w:hAnsiTheme="minorHAnsi" w:cstheme="minorHAnsi"/>
          <w:b/>
          <w:sz w:val="24"/>
          <w:szCs w:val="24"/>
        </w:rPr>
      </w:pPr>
      <w:r w:rsidRPr="0075660A">
        <w:rPr>
          <w:rFonts w:asciiTheme="minorHAnsi" w:hAnsiTheme="minorHAnsi" w:cstheme="minorHAnsi"/>
          <w:b/>
          <w:sz w:val="24"/>
          <w:szCs w:val="24"/>
        </w:rPr>
        <w:t>3</w:t>
      </w:r>
      <w:r w:rsidR="00B60C67">
        <w:rPr>
          <w:rFonts w:asciiTheme="minorHAnsi" w:hAnsiTheme="minorHAnsi" w:cstheme="minorHAnsi"/>
          <w:b/>
          <w:sz w:val="24"/>
          <w:szCs w:val="24"/>
        </w:rPr>
        <w:t>.</w:t>
      </w:r>
      <w:r w:rsidR="00263F6B" w:rsidRPr="0075660A">
        <w:rPr>
          <w:rFonts w:asciiTheme="minorHAnsi" w:hAnsiTheme="minorHAnsi" w:cstheme="minorHAnsi"/>
          <w:b/>
          <w:sz w:val="24"/>
          <w:szCs w:val="24"/>
        </w:rPr>
        <w:t xml:space="preserve"> Záložní</w:t>
      </w:r>
      <w:r w:rsidR="00E97893" w:rsidRPr="0075660A">
        <w:rPr>
          <w:rFonts w:asciiTheme="minorHAnsi" w:hAnsiTheme="minorHAnsi" w:cstheme="minorHAnsi"/>
          <w:b/>
          <w:sz w:val="24"/>
          <w:szCs w:val="24"/>
        </w:rPr>
        <w:t xml:space="preserve"> zdravotnické zařízení</w:t>
      </w:r>
    </w:p>
    <w:p w14:paraId="64109B54" w14:textId="1110BC33" w:rsidR="00381F5B" w:rsidRPr="0075660A" w:rsidRDefault="00381F5B" w:rsidP="00972290">
      <w:pPr>
        <w:pStyle w:val="Odstavecseseznamem"/>
        <w:keepNext/>
        <w:numPr>
          <w:ilvl w:val="0"/>
          <w:numId w:val="31"/>
        </w:numPr>
        <w:spacing w:before="120" w:after="120"/>
        <w:ind w:left="284" w:hanging="284"/>
        <w:contextualSpacing w:val="0"/>
        <w:jc w:val="both"/>
        <w:rPr>
          <w:rFonts w:asciiTheme="minorHAnsi" w:hAnsiTheme="minorHAnsi" w:cstheme="minorHAnsi"/>
          <w:bCs/>
          <w:iCs/>
          <w:sz w:val="24"/>
          <w:szCs w:val="24"/>
        </w:rPr>
      </w:pPr>
      <w:proofErr w:type="spellStart"/>
      <w:r w:rsidRPr="0075660A">
        <w:rPr>
          <w:rFonts w:asciiTheme="minorHAnsi" w:hAnsiTheme="minorHAnsi" w:cstheme="minorHAnsi"/>
          <w:bCs/>
          <w:iCs/>
          <w:sz w:val="24"/>
          <w:szCs w:val="24"/>
        </w:rPr>
        <w:t>MZ</w:t>
      </w:r>
      <w:r w:rsidR="00112674">
        <w:rPr>
          <w:rFonts w:asciiTheme="minorHAnsi" w:hAnsiTheme="minorHAnsi" w:cstheme="minorHAnsi"/>
          <w:bCs/>
          <w:iCs/>
          <w:sz w:val="24"/>
          <w:szCs w:val="24"/>
        </w:rPr>
        <w:t>d</w:t>
      </w:r>
      <w:proofErr w:type="spellEnd"/>
    </w:p>
    <w:p w14:paraId="123D27C6" w14:textId="6085797E" w:rsidR="00035633" w:rsidRPr="0075660A" w:rsidRDefault="00AA543F" w:rsidP="00972290">
      <w:pPr>
        <w:spacing w:before="120" w:after="120"/>
        <w:jc w:val="both"/>
        <w:rPr>
          <w:rFonts w:asciiTheme="minorHAnsi" w:eastAsia="Calibri" w:hAnsiTheme="minorHAnsi" w:cstheme="minorHAnsi"/>
          <w:sz w:val="24"/>
        </w:rPr>
      </w:pPr>
      <w:proofErr w:type="spellStart"/>
      <w:r w:rsidRPr="0075660A">
        <w:rPr>
          <w:rFonts w:asciiTheme="minorHAnsi" w:eastAsia="Calibri" w:hAnsiTheme="minorHAnsi" w:cstheme="minorHAnsi"/>
          <w:sz w:val="24"/>
        </w:rPr>
        <w:t>MZ</w:t>
      </w:r>
      <w:r w:rsidR="005E788C">
        <w:rPr>
          <w:rFonts w:asciiTheme="minorHAnsi" w:eastAsia="Calibri" w:hAnsiTheme="minorHAnsi" w:cstheme="minorHAnsi"/>
          <w:sz w:val="24"/>
        </w:rPr>
        <w:t>d</w:t>
      </w:r>
      <w:proofErr w:type="spellEnd"/>
      <w:r w:rsidRPr="0075660A">
        <w:rPr>
          <w:rFonts w:asciiTheme="minorHAnsi" w:eastAsia="Calibri" w:hAnsiTheme="minorHAnsi" w:cstheme="minorHAnsi"/>
          <w:sz w:val="24"/>
        </w:rPr>
        <w:t xml:space="preserve"> </w:t>
      </w:r>
      <w:r w:rsidR="003A249E" w:rsidRPr="0075660A">
        <w:rPr>
          <w:rFonts w:asciiTheme="minorHAnsi" w:eastAsia="Calibri" w:hAnsiTheme="minorHAnsi" w:cstheme="minorHAnsi"/>
          <w:sz w:val="24"/>
        </w:rPr>
        <w:t xml:space="preserve">uhradilo </w:t>
      </w:r>
      <w:r w:rsidRPr="0075660A">
        <w:rPr>
          <w:rFonts w:asciiTheme="minorHAnsi" w:eastAsia="Calibri" w:hAnsiTheme="minorHAnsi" w:cstheme="minorHAnsi"/>
          <w:sz w:val="24"/>
        </w:rPr>
        <w:t xml:space="preserve">FNB </w:t>
      </w:r>
      <w:r w:rsidR="00035633" w:rsidRPr="0075660A">
        <w:rPr>
          <w:rFonts w:asciiTheme="minorHAnsi" w:eastAsia="Calibri" w:hAnsiTheme="minorHAnsi" w:cstheme="minorHAnsi"/>
          <w:sz w:val="24"/>
        </w:rPr>
        <w:t xml:space="preserve">náklady </w:t>
      </w:r>
      <w:r w:rsidRPr="0075660A">
        <w:rPr>
          <w:rFonts w:asciiTheme="minorHAnsi" w:eastAsia="Calibri" w:hAnsiTheme="minorHAnsi" w:cstheme="minorHAnsi"/>
          <w:sz w:val="24"/>
        </w:rPr>
        <w:t>ve výši 88</w:t>
      </w:r>
      <w:r w:rsidR="00395F1C" w:rsidRPr="0075660A">
        <w:rPr>
          <w:rFonts w:asciiTheme="minorHAnsi" w:eastAsia="Calibri" w:hAnsiTheme="minorHAnsi" w:cstheme="minorHAnsi"/>
          <w:sz w:val="24"/>
        </w:rPr>
        <w:t>,2</w:t>
      </w:r>
      <w:r w:rsidR="009728CB" w:rsidRPr="0075660A">
        <w:rPr>
          <w:rFonts w:asciiTheme="minorHAnsi" w:eastAsia="Calibri" w:hAnsiTheme="minorHAnsi" w:cstheme="minorHAnsi"/>
          <w:sz w:val="24"/>
        </w:rPr>
        <w:t xml:space="preserve"> </w:t>
      </w:r>
      <w:r w:rsidR="00395F1C" w:rsidRPr="0075660A">
        <w:rPr>
          <w:rFonts w:asciiTheme="minorHAnsi" w:eastAsia="Calibri" w:hAnsiTheme="minorHAnsi" w:cstheme="minorHAnsi"/>
          <w:sz w:val="24"/>
        </w:rPr>
        <w:t>mil</w:t>
      </w:r>
      <w:r w:rsidR="009728CB" w:rsidRPr="0075660A">
        <w:rPr>
          <w:rFonts w:asciiTheme="minorHAnsi" w:eastAsia="Calibri" w:hAnsiTheme="minorHAnsi" w:cstheme="minorHAnsi"/>
          <w:sz w:val="24"/>
        </w:rPr>
        <w:t>.</w:t>
      </w:r>
      <w:r w:rsidRPr="0075660A">
        <w:rPr>
          <w:rFonts w:asciiTheme="minorHAnsi" w:eastAsia="Calibri" w:hAnsiTheme="minorHAnsi" w:cstheme="minorHAnsi"/>
          <w:sz w:val="24"/>
        </w:rPr>
        <w:t xml:space="preserve"> Kč</w:t>
      </w:r>
      <w:r w:rsidR="004E1869" w:rsidRPr="0075660A">
        <w:rPr>
          <w:rFonts w:asciiTheme="minorHAnsi" w:eastAsia="Calibri" w:hAnsiTheme="minorHAnsi" w:cstheme="minorHAnsi"/>
          <w:sz w:val="24"/>
        </w:rPr>
        <w:t xml:space="preserve"> formou </w:t>
      </w:r>
      <w:r w:rsidR="00F26EE2">
        <w:rPr>
          <w:rFonts w:asciiTheme="minorHAnsi" w:eastAsia="Calibri" w:hAnsiTheme="minorHAnsi" w:cstheme="minorHAnsi"/>
          <w:sz w:val="24"/>
        </w:rPr>
        <w:t xml:space="preserve">provozního </w:t>
      </w:r>
      <w:r w:rsidR="004E1869" w:rsidRPr="0075660A">
        <w:rPr>
          <w:rFonts w:asciiTheme="minorHAnsi" w:eastAsia="Calibri" w:hAnsiTheme="minorHAnsi" w:cstheme="minorHAnsi"/>
          <w:sz w:val="24"/>
        </w:rPr>
        <w:t>neinvestičního příspěvku</w:t>
      </w:r>
      <w:r w:rsidR="00CD0CE8" w:rsidRPr="0075660A">
        <w:rPr>
          <w:rFonts w:asciiTheme="minorHAnsi" w:eastAsia="Calibri" w:hAnsiTheme="minorHAnsi" w:cstheme="minorHAnsi"/>
          <w:sz w:val="24"/>
        </w:rPr>
        <w:t xml:space="preserve"> </w:t>
      </w:r>
      <w:r w:rsidR="005C22E4" w:rsidRPr="0075660A">
        <w:rPr>
          <w:rFonts w:asciiTheme="minorHAnsi" w:eastAsia="Calibri" w:hAnsiTheme="minorHAnsi" w:cstheme="minorHAnsi"/>
          <w:sz w:val="24"/>
        </w:rPr>
        <w:t xml:space="preserve">za účelem </w:t>
      </w:r>
      <w:r w:rsidR="005C22E4" w:rsidRPr="000402C4">
        <w:rPr>
          <w:rFonts w:asciiTheme="minorHAnsi" w:eastAsia="Calibri" w:hAnsiTheme="minorHAnsi" w:cstheme="minorHAnsi"/>
          <w:sz w:val="24"/>
        </w:rPr>
        <w:t>provozu záložního zdravotnického zařízení</w:t>
      </w:r>
      <w:r w:rsidR="00891B8D" w:rsidRPr="000402C4">
        <w:rPr>
          <w:rStyle w:val="Znakapoznpodarou"/>
          <w:rFonts w:asciiTheme="minorHAnsi" w:hAnsiTheme="minorHAnsi" w:cstheme="minorHAnsi"/>
          <w:sz w:val="24"/>
          <w:szCs w:val="24"/>
        </w:rPr>
        <w:footnoteReference w:id="16"/>
      </w:r>
      <w:r w:rsidR="005C22E4" w:rsidRPr="000402C4">
        <w:rPr>
          <w:rFonts w:asciiTheme="minorHAnsi" w:eastAsia="Calibri" w:hAnsiTheme="minorHAnsi" w:cstheme="minorHAnsi"/>
          <w:sz w:val="24"/>
        </w:rPr>
        <w:t xml:space="preserve"> (dále také „PNL“)</w:t>
      </w:r>
      <w:r w:rsidR="00B14073" w:rsidRPr="000402C4">
        <w:rPr>
          <w:rFonts w:asciiTheme="minorHAnsi" w:eastAsia="Calibri" w:hAnsiTheme="minorHAnsi" w:cstheme="minorHAnsi"/>
          <w:sz w:val="24"/>
        </w:rPr>
        <w:t xml:space="preserve">. </w:t>
      </w:r>
      <w:proofErr w:type="spellStart"/>
      <w:r w:rsidR="00F325FC" w:rsidRPr="000402C4">
        <w:rPr>
          <w:rFonts w:asciiTheme="minorHAnsi" w:eastAsia="Calibri" w:hAnsiTheme="minorHAnsi" w:cstheme="minorHAnsi"/>
          <w:sz w:val="24"/>
        </w:rPr>
        <w:t>MZ</w:t>
      </w:r>
      <w:r w:rsidR="00777706">
        <w:rPr>
          <w:rFonts w:asciiTheme="minorHAnsi" w:eastAsia="Calibri" w:hAnsiTheme="minorHAnsi" w:cstheme="minorHAnsi"/>
          <w:sz w:val="24"/>
        </w:rPr>
        <w:t>d</w:t>
      </w:r>
      <w:proofErr w:type="spellEnd"/>
      <w:r w:rsidR="00F325FC" w:rsidRPr="000402C4">
        <w:rPr>
          <w:rFonts w:asciiTheme="minorHAnsi" w:eastAsia="Calibri" w:hAnsiTheme="minorHAnsi" w:cstheme="minorHAnsi"/>
          <w:sz w:val="24"/>
        </w:rPr>
        <w:t xml:space="preserve"> neprovedlo řádnou finanční kontrolu</w:t>
      </w:r>
      <w:r w:rsidR="000402C4" w:rsidRPr="000402C4">
        <w:rPr>
          <w:rFonts w:asciiTheme="minorHAnsi" w:eastAsia="Calibri" w:hAnsiTheme="minorHAnsi" w:cstheme="minorHAnsi"/>
          <w:sz w:val="24"/>
          <w:vertAlign w:val="superscript"/>
        </w:rPr>
        <w:t>4</w:t>
      </w:r>
      <w:r w:rsidR="00B14073" w:rsidRPr="000402C4">
        <w:rPr>
          <w:rFonts w:asciiTheme="minorHAnsi" w:eastAsia="Calibri" w:hAnsiTheme="minorHAnsi" w:cstheme="minorHAnsi"/>
          <w:sz w:val="24"/>
        </w:rPr>
        <w:t xml:space="preserve"> a</w:t>
      </w:r>
      <w:r w:rsidR="00B14073" w:rsidRPr="000402C4">
        <w:rPr>
          <w:rFonts w:asciiTheme="minorHAnsi" w:hAnsiTheme="minorHAnsi" w:cstheme="minorHAnsi"/>
          <w:sz w:val="24"/>
          <w:szCs w:val="24"/>
        </w:rPr>
        <w:t xml:space="preserve"> uhradilo</w:t>
      </w:r>
      <w:r w:rsidR="00B14073">
        <w:rPr>
          <w:rFonts w:asciiTheme="minorHAnsi" w:hAnsiTheme="minorHAnsi" w:cstheme="minorHAnsi"/>
          <w:sz w:val="24"/>
          <w:szCs w:val="24"/>
        </w:rPr>
        <w:t xml:space="preserve"> tak</w:t>
      </w:r>
      <w:r w:rsidR="00B14073" w:rsidRPr="0075660A">
        <w:rPr>
          <w:rFonts w:asciiTheme="minorHAnsi" w:hAnsiTheme="minorHAnsi" w:cstheme="minorHAnsi"/>
          <w:sz w:val="24"/>
          <w:szCs w:val="24"/>
        </w:rPr>
        <w:t xml:space="preserve"> i investiční náklady.</w:t>
      </w:r>
    </w:p>
    <w:p w14:paraId="6C23C9C4" w14:textId="7F5A1F84" w:rsidR="00381F5B" w:rsidRPr="0075660A" w:rsidRDefault="00381F5B" w:rsidP="00972290">
      <w:pPr>
        <w:pStyle w:val="Odstavecseseznamem"/>
        <w:keepNext/>
        <w:numPr>
          <w:ilvl w:val="0"/>
          <w:numId w:val="31"/>
        </w:numPr>
        <w:spacing w:before="120" w:after="120"/>
        <w:ind w:left="284" w:hanging="284"/>
        <w:contextualSpacing w:val="0"/>
        <w:jc w:val="both"/>
        <w:rPr>
          <w:rFonts w:asciiTheme="minorHAnsi" w:hAnsiTheme="minorHAnsi" w:cstheme="minorHAnsi"/>
          <w:bCs/>
          <w:iCs/>
          <w:sz w:val="24"/>
          <w:szCs w:val="24"/>
        </w:rPr>
      </w:pPr>
      <w:r w:rsidRPr="0075660A">
        <w:rPr>
          <w:rFonts w:asciiTheme="minorHAnsi" w:hAnsiTheme="minorHAnsi" w:cstheme="minorHAnsi"/>
          <w:bCs/>
          <w:iCs/>
          <w:sz w:val="24"/>
          <w:szCs w:val="24"/>
        </w:rPr>
        <w:t>FNB</w:t>
      </w:r>
    </w:p>
    <w:p w14:paraId="640A78C9" w14:textId="0664C3F7" w:rsidR="00C30A3D" w:rsidRPr="00527E83" w:rsidRDefault="00671100" w:rsidP="00972290">
      <w:pPr>
        <w:spacing w:before="120" w:after="12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Celkové n</w:t>
      </w:r>
      <w:r w:rsidR="007B5DD4">
        <w:rPr>
          <w:rFonts w:asciiTheme="minorHAnsi" w:hAnsiTheme="minorHAnsi" w:cstheme="minorHAnsi"/>
          <w:color w:val="000000" w:themeColor="text1"/>
          <w:sz w:val="24"/>
        </w:rPr>
        <w:t>áklady na provoz PNL byl</w:t>
      </w:r>
      <w:r w:rsidR="00F11E29">
        <w:rPr>
          <w:rFonts w:asciiTheme="minorHAnsi" w:hAnsiTheme="minorHAnsi" w:cstheme="minorHAnsi"/>
          <w:color w:val="000000" w:themeColor="text1"/>
          <w:sz w:val="24"/>
        </w:rPr>
        <w:t xml:space="preserve">y ve výši </w:t>
      </w:r>
      <w:r w:rsidR="007B5DD4">
        <w:rPr>
          <w:rFonts w:asciiTheme="minorHAnsi" w:hAnsiTheme="minorHAnsi" w:cstheme="minorHAnsi"/>
          <w:color w:val="000000" w:themeColor="text1"/>
          <w:sz w:val="24"/>
        </w:rPr>
        <w:t xml:space="preserve">88,2 mil. Kč. </w:t>
      </w:r>
      <w:r w:rsidR="00E97893" w:rsidRPr="0075660A">
        <w:rPr>
          <w:rFonts w:asciiTheme="minorHAnsi" w:hAnsiTheme="minorHAnsi" w:cstheme="minorHAnsi"/>
          <w:color w:val="000000" w:themeColor="text1"/>
          <w:sz w:val="24"/>
        </w:rPr>
        <w:t xml:space="preserve">FNB požádala </w:t>
      </w:r>
      <w:proofErr w:type="spellStart"/>
      <w:r w:rsidR="004E1869" w:rsidRPr="0075660A">
        <w:rPr>
          <w:rFonts w:asciiTheme="minorHAnsi" w:hAnsiTheme="minorHAnsi" w:cstheme="minorHAnsi"/>
          <w:color w:val="000000" w:themeColor="text1"/>
          <w:sz w:val="24"/>
        </w:rPr>
        <w:t>MZ</w:t>
      </w:r>
      <w:r w:rsidR="00777706">
        <w:rPr>
          <w:rFonts w:asciiTheme="minorHAnsi" w:hAnsiTheme="minorHAnsi" w:cstheme="minorHAnsi"/>
          <w:color w:val="000000" w:themeColor="text1"/>
          <w:sz w:val="24"/>
        </w:rPr>
        <w:t>d</w:t>
      </w:r>
      <w:proofErr w:type="spellEnd"/>
      <w:r w:rsidR="004E1869" w:rsidRPr="0075660A">
        <w:rPr>
          <w:rFonts w:asciiTheme="minorHAnsi" w:hAnsiTheme="minorHAnsi" w:cstheme="minorHAnsi"/>
          <w:color w:val="000000" w:themeColor="text1"/>
          <w:sz w:val="24"/>
        </w:rPr>
        <w:t xml:space="preserve"> o úhradu výdajů </w:t>
      </w:r>
      <w:r w:rsidR="00E97893" w:rsidRPr="0075660A">
        <w:rPr>
          <w:rFonts w:asciiTheme="minorHAnsi" w:hAnsiTheme="minorHAnsi" w:cstheme="minorHAnsi"/>
          <w:color w:val="000000" w:themeColor="text1"/>
          <w:sz w:val="24"/>
        </w:rPr>
        <w:t>ve výši 1</w:t>
      </w:r>
      <w:r w:rsidR="004E1869" w:rsidRPr="0075660A">
        <w:rPr>
          <w:rFonts w:asciiTheme="minorHAnsi" w:hAnsiTheme="minorHAnsi" w:cstheme="minorHAnsi"/>
          <w:color w:val="000000" w:themeColor="text1"/>
          <w:sz w:val="24"/>
        </w:rPr>
        <w:t>,4</w:t>
      </w:r>
      <w:r w:rsidR="009728CB" w:rsidRPr="0075660A">
        <w:rPr>
          <w:rFonts w:asciiTheme="minorHAnsi" w:hAnsiTheme="minorHAnsi" w:cstheme="minorHAnsi"/>
          <w:color w:val="000000" w:themeColor="text1"/>
          <w:sz w:val="24"/>
        </w:rPr>
        <w:t xml:space="preserve"> </w:t>
      </w:r>
      <w:r w:rsidR="004E1869" w:rsidRPr="0075660A">
        <w:rPr>
          <w:rFonts w:asciiTheme="minorHAnsi" w:hAnsiTheme="minorHAnsi" w:cstheme="minorHAnsi"/>
          <w:color w:val="000000" w:themeColor="text1"/>
          <w:sz w:val="24"/>
        </w:rPr>
        <w:t>mil</w:t>
      </w:r>
      <w:r w:rsidR="009728CB" w:rsidRPr="0075660A">
        <w:rPr>
          <w:rFonts w:asciiTheme="minorHAnsi" w:hAnsiTheme="minorHAnsi" w:cstheme="minorHAnsi"/>
          <w:color w:val="000000" w:themeColor="text1"/>
          <w:sz w:val="24"/>
        </w:rPr>
        <w:t>.</w:t>
      </w:r>
      <w:r w:rsidR="00E97893" w:rsidRPr="0075660A">
        <w:rPr>
          <w:rFonts w:asciiTheme="minorHAnsi" w:hAnsiTheme="minorHAnsi" w:cstheme="minorHAnsi"/>
          <w:color w:val="000000" w:themeColor="text1"/>
          <w:sz w:val="24"/>
        </w:rPr>
        <w:t xml:space="preserve"> Kč</w:t>
      </w:r>
      <w:r w:rsidR="00035633" w:rsidRPr="0075660A">
        <w:rPr>
          <w:rFonts w:asciiTheme="minorHAnsi" w:hAnsiTheme="minorHAnsi" w:cstheme="minorHAnsi"/>
          <w:color w:val="000000" w:themeColor="text1"/>
          <w:sz w:val="24"/>
        </w:rPr>
        <w:t>, které</w:t>
      </w:r>
      <w:r w:rsidR="00E97893" w:rsidRPr="0075660A">
        <w:rPr>
          <w:rFonts w:asciiTheme="minorHAnsi" w:hAnsiTheme="minorHAnsi" w:cstheme="minorHAnsi"/>
          <w:color w:val="000000" w:themeColor="text1"/>
          <w:sz w:val="24"/>
        </w:rPr>
        <w:t xml:space="preserve"> nesplňovaly podmínku provozních neinvestičních výdajů. </w:t>
      </w:r>
      <w:r w:rsidR="00035633" w:rsidRPr="0075660A">
        <w:rPr>
          <w:rFonts w:asciiTheme="minorHAnsi" w:hAnsiTheme="minorHAnsi" w:cstheme="minorHAnsi"/>
          <w:color w:val="000000" w:themeColor="text1"/>
          <w:sz w:val="24"/>
        </w:rPr>
        <w:t>Dále FNB vyúčtovala částku</w:t>
      </w:r>
      <w:r w:rsidR="00E97893" w:rsidRPr="0075660A">
        <w:rPr>
          <w:rFonts w:asciiTheme="minorHAnsi" w:hAnsiTheme="minorHAnsi" w:cstheme="minorHAnsi"/>
          <w:color w:val="000000" w:themeColor="text1"/>
          <w:sz w:val="24"/>
        </w:rPr>
        <w:t xml:space="preserve"> ve výši 1</w:t>
      </w:r>
      <w:r w:rsidR="004E1869" w:rsidRPr="0075660A">
        <w:rPr>
          <w:rFonts w:asciiTheme="minorHAnsi" w:hAnsiTheme="minorHAnsi" w:cstheme="minorHAnsi"/>
          <w:color w:val="000000" w:themeColor="text1"/>
          <w:sz w:val="24"/>
        </w:rPr>
        <w:t>,5 mil</w:t>
      </w:r>
      <w:r w:rsidR="009728CB" w:rsidRPr="0075660A">
        <w:rPr>
          <w:rFonts w:asciiTheme="minorHAnsi" w:hAnsiTheme="minorHAnsi" w:cstheme="minorHAnsi"/>
          <w:color w:val="000000" w:themeColor="text1"/>
          <w:sz w:val="24"/>
        </w:rPr>
        <w:t>.</w:t>
      </w:r>
      <w:r w:rsidR="00E97893" w:rsidRPr="0075660A">
        <w:rPr>
          <w:rFonts w:asciiTheme="minorHAnsi" w:hAnsiTheme="minorHAnsi" w:cstheme="minorHAnsi"/>
          <w:color w:val="000000" w:themeColor="text1"/>
          <w:sz w:val="24"/>
        </w:rPr>
        <w:t xml:space="preserve"> Kč </w:t>
      </w:r>
      <w:r w:rsidR="00035633" w:rsidRPr="0075660A">
        <w:rPr>
          <w:rFonts w:asciiTheme="minorHAnsi" w:hAnsiTheme="minorHAnsi" w:cstheme="minorHAnsi"/>
          <w:color w:val="000000" w:themeColor="text1"/>
          <w:sz w:val="24"/>
        </w:rPr>
        <w:t xml:space="preserve">za nákup majetku, který </w:t>
      </w:r>
      <w:r w:rsidR="00E05431">
        <w:rPr>
          <w:rFonts w:asciiTheme="minorHAnsi" w:hAnsiTheme="minorHAnsi" w:cstheme="minorHAnsi"/>
          <w:color w:val="000000" w:themeColor="text1"/>
          <w:sz w:val="24"/>
        </w:rPr>
        <w:t>nevyužívala</w:t>
      </w:r>
      <w:r w:rsidR="00035633" w:rsidRPr="0075660A">
        <w:rPr>
          <w:rFonts w:asciiTheme="minorHAnsi" w:hAnsiTheme="minorHAnsi" w:cstheme="minorHAnsi"/>
          <w:color w:val="000000" w:themeColor="text1"/>
          <w:sz w:val="24"/>
        </w:rPr>
        <w:t xml:space="preserve"> k</w:t>
      </w:r>
      <w:r w:rsidR="00E05431">
        <w:rPr>
          <w:rFonts w:asciiTheme="minorHAnsi" w:hAnsiTheme="minorHAnsi" w:cstheme="minorHAnsi"/>
          <w:color w:val="000000" w:themeColor="text1"/>
          <w:sz w:val="24"/>
        </w:rPr>
        <w:t>e</w:t>
      </w:r>
      <w:r w:rsidR="00035633" w:rsidRPr="0075660A">
        <w:rPr>
          <w:rFonts w:asciiTheme="minorHAnsi" w:hAnsiTheme="minorHAnsi" w:cstheme="minorHAnsi"/>
          <w:color w:val="000000" w:themeColor="text1"/>
          <w:sz w:val="24"/>
        </w:rPr>
        <w:t> zřízení a</w:t>
      </w:r>
      <w:r>
        <w:rPr>
          <w:rFonts w:asciiTheme="minorHAnsi" w:hAnsiTheme="minorHAnsi" w:cstheme="minorHAnsi"/>
          <w:color w:val="000000" w:themeColor="text1"/>
          <w:sz w:val="24"/>
        </w:rPr>
        <w:t> </w:t>
      </w:r>
      <w:r w:rsidR="00035633" w:rsidRPr="0075660A">
        <w:rPr>
          <w:rFonts w:asciiTheme="minorHAnsi" w:hAnsiTheme="minorHAnsi" w:cstheme="minorHAnsi"/>
          <w:color w:val="000000" w:themeColor="text1"/>
          <w:sz w:val="24"/>
        </w:rPr>
        <w:t>provozu PNL</w:t>
      </w:r>
      <w:r w:rsidR="00C30A3D" w:rsidRPr="0075660A">
        <w:rPr>
          <w:rFonts w:asciiTheme="minorHAnsi" w:hAnsiTheme="minorHAnsi" w:cstheme="minorHAnsi"/>
          <w:color w:val="000000" w:themeColor="text1"/>
          <w:sz w:val="24"/>
        </w:rPr>
        <w:t>,</w:t>
      </w:r>
      <w:r w:rsidR="00C30A3D" w:rsidRPr="0075660A">
        <w:rPr>
          <w:rFonts w:asciiTheme="minorHAnsi" w:hAnsiTheme="minorHAnsi" w:cstheme="minorHAnsi"/>
          <w:sz w:val="24"/>
        </w:rPr>
        <w:t xml:space="preserve"> tím nedbala, aby plnila určené úkoly </w:t>
      </w:r>
      <w:r w:rsidR="00C30A3D" w:rsidRPr="0098714E">
        <w:rPr>
          <w:rFonts w:asciiTheme="minorHAnsi" w:hAnsiTheme="minorHAnsi" w:cstheme="minorHAnsi"/>
          <w:sz w:val="24"/>
        </w:rPr>
        <w:t>nejhospodárnějším způsobem</w:t>
      </w:r>
      <w:r w:rsidR="00AC0D57" w:rsidRPr="0098714E">
        <w:rPr>
          <w:rFonts w:asciiTheme="minorHAnsi" w:hAnsiTheme="minorHAnsi" w:cstheme="minorHAnsi"/>
          <w:sz w:val="24"/>
        </w:rPr>
        <w:t xml:space="preserve"> dle rozpočtových pravid</w:t>
      </w:r>
      <w:r w:rsidR="00777706">
        <w:rPr>
          <w:rFonts w:asciiTheme="minorHAnsi" w:hAnsiTheme="minorHAnsi" w:cstheme="minorHAnsi"/>
          <w:sz w:val="24"/>
        </w:rPr>
        <w:t>e</w:t>
      </w:r>
      <w:r w:rsidR="00AC0D57" w:rsidRPr="0098714E">
        <w:rPr>
          <w:rFonts w:asciiTheme="minorHAnsi" w:hAnsiTheme="minorHAnsi" w:cstheme="minorHAnsi"/>
          <w:sz w:val="24"/>
        </w:rPr>
        <w:t>l</w:t>
      </w:r>
      <w:r w:rsidR="00B02D15">
        <w:rPr>
          <w:rFonts w:asciiTheme="minorHAnsi" w:hAnsiTheme="minorHAnsi" w:cstheme="minorHAnsi"/>
          <w:sz w:val="24"/>
          <w:vertAlign w:val="superscript"/>
        </w:rPr>
        <w:t>8</w:t>
      </w:r>
      <w:r w:rsidR="00B14073" w:rsidRPr="0098714E">
        <w:rPr>
          <w:rFonts w:asciiTheme="minorHAnsi" w:hAnsiTheme="minorHAnsi" w:cstheme="minorHAnsi"/>
          <w:sz w:val="24"/>
        </w:rPr>
        <w:t>. FNB nepoužívala</w:t>
      </w:r>
      <w:r w:rsidR="00777706">
        <w:rPr>
          <w:rFonts w:asciiTheme="minorHAnsi" w:hAnsiTheme="minorHAnsi" w:cstheme="minorHAnsi"/>
          <w:sz w:val="24"/>
        </w:rPr>
        <w:t xml:space="preserve"> </w:t>
      </w:r>
      <w:r w:rsidR="00C30A3D" w:rsidRPr="0098714E">
        <w:rPr>
          <w:rFonts w:asciiTheme="minorHAnsi" w:hAnsiTheme="minorHAnsi" w:cstheme="minorHAnsi"/>
          <w:sz w:val="24"/>
        </w:rPr>
        <w:t>peněžní prostředk</w:t>
      </w:r>
      <w:r w:rsidR="00B14073" w:rsidRPr="0098714E">
        <w:rPr>
          <w:rFonts w:asciiTheme="minorHAnsi" w:hAnsiTheme="minorHAnsi" w:cstheme="minorHAnsi"/>
          <w:sz w:val="24"/>
        </w:rPr>
        <w:t>y</w:t>
      </w:r>
      <w:r w:rsidR="00C30A3D" w:rsidRPr="0098714E">
        <w:rPr>
          <w:rFonts w:asciiTheme="minorHAnsi" w:hAnsiTheme="minorHAnsi" w:cstheme="minorHAnsi"/>
          <w:sz w:val="24"/>
        </w:rPr>
        <w:t xml:space="preserve"> jen k</w:t>
      </w:r>
      <w:r w:rsidR="00022794" w:rsidRPr="0098714E">
        <w:rPr>
          <w:rFonts w:asciiTheme="minorHAnsi" w:hAnsiTheme="minorHAnsi" w:cstheme="minorHAnsi"/>
          <w:sz w:val="24"/>
        </w:rPr>
        <w:t> </w:t>
      </w:r>
      <w:r w:rsidR="00C30A3D" w:rsidRPr="0098714E">
        <w:rPr>
          <w:rFonts w:asciiTheme="minorHAnsi" w:hAnsiTheme="minorHAnsi" w:cstheme="minorHAnsi"/>
          <w:sz w:val="24"/>
        </w:rPr>
        <w:t>účelům, na které jsou určeny, tj.</w:t>
      </w:r>
      <w:r w:rsidR="006842B7">
        <w:rPr>
          <w:rFonts w:asciiTheme="minorHAnsi" w:hAnsiTheme="minorHAnsi" w:cstheme="minorHAnsi"/>
          <w:sz w:val="24"/>
        </w:rPr>
        <w:t> </w:t>
      </w:r>
      <w:r w:rsidR="00C30A3D" w:rsidRPr="0098714E">
        <w:rPr>
          <w:rFonts w:asciiTheme="minorHAnsi" w:hAnsiTheme="minorHAnsi" w:cstheme="minorHAnsi"/>
          <w:sz w:val="24"/>
        </w:rPr>
        <w:t xml:space="preserve">k zajištění </w:t>
      </w:r>
      <w:r w:rsidR="001C5502" w:rsidRPr="0098714E">
        <w:rPr>
          <w:rFonts w:asciiTheme="minorHAnsi" w:hAnsiTheme="minorHAnsi" w:cstheme="minorHAnsi"/>
          <w:sz w:val="24"/>
        </w:rPr>
        <w:t xml:space="preserve">zřízení a </w:t>
      </w:r>
      <w:r w:rsidR="00C30A3D" w:rsidRPr="0098714E">
        <w:rPr>
          <w:rFonts w:asciiTheme="minorHAnsi" w:hAnsiTheme="minorHAnsi" w:cstheme="minorHAnsi"/>
          <w:sz w:val="24"/>
        </w:rPr>
        <w:t>provozu PNL</w:t>
      </w:r>
      <w:r w:rsidR="00AC0D57" w:rsidRPr="0098714E">
        <w:rPr>
          <w:rFonts w:asciiTheme="minorHAnsi" w:hAnsiTheme="minorHAnsi" w:cstheme="minorHAnsi"/>
          <w:sz w:val="24"/>
        </w:rPr>
        <w:t>, dle zákona o</w:t>
      </w:r>
      <w:r w:rsidR="001C5502" w:rsidRPr="0098714E">
        <w:rPr>
          <w:rFonts w:asciiTheme="minorHAnsi" w:hAnsiTheme="minorHAnsi" w:cstheme="minorHAnsi"/>
          <w:sz w:val="24"/>
        </w:rPr>
        <w:t> </w:t>
      </w:r>
      <w:r w:rsidR="00AC0D57" w:rsidRPr="0098714E">
        <w:rPr>
          <w:rFonts w:asciiTheme="minorHAnsi" w:hAnsiTheme="minorHAnsi" w:cstheme="minorHAnsi"/>
          <w:sz w:val="24"/>
        </w:rPr>
        <w:t>majetku státu</w:t>
      </w:r>
      <w:r w:rsidR="007F25CB" w:rsidRPr="0098714E">
        <w:rPr>
          <w:rStyle w:val="Znakapoznpodarou"/>
          <w:rFonts w:asciiTheme="minorHAnsi" w:hAnsiTheme="minorHAnsi"/>
          <w:sz w:val="24"/>
        </w:rPr>
        <w:footnoteReference w:id="17"/>
      </w:r>
      <w:r w:rsidR="00C30A3D" w:rsidRPr="0098714E">
        <w:rPr>
          <w:rFonts w:asciiTheme="minorHAnsi" w:hAnsiTheme="minorHAnsi" w:cstheme="minorHAnsi"/>
          <w:sz w:val="24"/>
        </w:rPr>
        <w:t>.</w:t>
      </w:r>
    </w:p>
    <w:p w14:paraId="51D68750" w14:textId="34EDBCAD" w:rsidR="00BF734E" w:rsidRPr="0075660A" w:rsidRDefault="00AA543F" w:rsidP="00972290">
      <w:pPr>
        <w:keepNext/>
        <w:widowControl/>
        <w:spacing w:before="240" w:after="120"/>
        <w:jc w:val="both"/>
        <w:rPr>
          <w:rFonts w:asciiTheme="minorHAnsi" w:hAnsiTheme="minorHAnsi" w:cstheme="minorHAnsi"/>
          <w:b/>
          <w:sz w:val="24"/>
          <w:szCs w:val="24"/>
        </w:rPr>
      </w:pPr>
      <w:r w:rsidRPr="0075660A">
        <w:rPr>
          <w:rFonts w:asciiTheme="minorHAnsi" w:hAnsiTheme="minorHAnsi" w:cstheme="minorHAnsi"/>
          <w:b/>
          <w:sz w:val="24"/>
          <w:szCs w:val="24"/>
        </w:rPr>
        <w:t>4</w:t>
      </w:r>
      <w:r w:rsidR="00B60C67">
        <w:rPr>
          <w:rFonts w:asciiTheme="minorHAnsi" w:hAnsiTheme="minorHAnsi" w:cstheme="minorHAnsi"/>
          <w:b/>
          <w:sz w:val="24"/>
          <w:szCs w:val="24"/>
        </w:rPr>
        <w:t>.</w:t>
      </w:r>
      <w:r w:rsidR="007C68AE" w:rsidRPr="0075660A">
        <w:rPr>
          <w:rFonts w:asciiTheme="minorHAnsi" w:hAnsiTheme="minorHAnsi" w:cstheme="minorHAnsi"/>
          <w:b/>
          <w:sz w:val="24"/>
          <w:szCs w:val="24"/>
        </w:rPr>
        <w:t xml:space="preserve"> </w:t>
      </w:r>
      <w:r w:rsidR="003F4D70" w:rsidRPr="0075660A">
        <w:rPr>
          <w:rFonts w:asciiTheme="minorHAnsi" w:hAnsiTheme="minorHAnsi" w:cstheme="minorHAnsi"/>
          <w:b/>
          <w:sz w:val="24"/>
          <w:szCs w:val="24"/>
        </w:rPr>
        <w:t>Pořizování léčivých přípravků a zdravotnických prostředků</w:t>
      </w:r>
    </w:p>
    <w:p w14:paraId="3F78108D" w14:textId="1E03A4E9" w:rsidR="00381F5B" w:rsidRPr="0075660A" w:rsidRDefault="00381F5B" w:rsidP="00972290">
      <w:pPr>
        <w:pStyle w:val="Odstavecseseznamem"/>
        <w:keepNext/>
        <w:numPr>
          <w:ilvl w:val="0"/>
          <w:numId w:val="31"/>
        </w:numPr>
        <w:spacing w:before="120" w:after="120"/>
        <w:ind w:left="284" w:hanging="284"/>
        <w:contextualSpacing w:val="0"/>
        <w:jc w:val="both"/>
        <w:rPr>
          <w:rFonts w:asciiTheme="minorHAnsi" w:hAnsiTheme="minorHAnsi" w:cstheme="minorHAnsi"/>
          <w:bCs/>
          <w:iCs/>
          <w:sz w:val="24"/>
          <w:szCs w:val="24"/>
        </w:rPr>
      </w:pPr>
      <w:proofErr w:type="spellStart"/>
      <w:r w:rsidRPr="0075660A">
        <w:rPr>
          <w:rFonts w:asciiTheme="minorHAnsi" w:hAnsiTheme="minorHAnsi" w:cstheme="minorHAnsi"/>
          <w:bCs/>
          <w:iCs/>
          <w:sz w:val="24"/>
          <w:szCs w:val="24"/>
        </w:rPr>
        <w:t>MZ</w:t>
      </w:r>
      <w:r w:rsidR="00777706">
        <w:rPr>
          <w:rFonts w:asciiTheme="minorHAnsi" w:hAnsiTheme="minorHAnsi" w:cstheme="minorHAnsi"/>
          <w:bCs/>
          <w:iCs/>
          <w:sz w:val="24"/>
          <w:szCs w:val="24"/>
        </w:rPr>
        <w:t>d</w:t>
      </w:r>
      <w:proofErr w:type="spellEnd"/>
    </w:p>
    <w:p w14:paraId="1A035A50" w14:textId="0CDA3858" w:rsidR="005D6FE3" w:rsidRDefault="00433589" w:rsidP="00972290">
      <w:pPr>
        <w:widowControl/>
        <w:spacing w:before="120" w:after="120"/>
        <w:jc w:val="both"/>
        <w:rPr>
          <w:rFonts w:asciiTheme="minorHAnsi" w:hAnsiTheme="minorHAnsi" w:cstheme="minorHAnsi"/>
          <w:sz w:val="24"/>
          <w:szCs w:val="24"/>
        </w:rPr>
      </w:pPr>
      <w:proofErr w:type="spellStart"/>
      <w:r w:rsidRPr="0075660A">
        <w:rPr>
          <w:rFonts w:asciiTheme="minorHAnsi" w:hAnsiTheme="minorHAnsi" w:cstheme="minorHAnsi"/>
          <w:sz w:val="24"/>
          <w:szCs w:val="24"/>
        </w:rPr>
        <w:t>MZ</w:t>
      </w:r>
      <w:r w:rsidR="00777706">
        <w:rPr>
          <w:rFonts w:asciiTheme="minorHAnsi" w:hAnsiTheme="minorHAnsi" w:cstheme="minorHAnsi"/>
          <w:sz w:val="24"/>
          <w:szCs w:val="24"/>
        </w:rPr>
        <w:t>d</w:t>
      </w:r>
      <w:proofErr w:type="spellEnd"/>
      <w:r w:rsidRPr="0075660A">
        <w:rPr>
          <w:rFonts w:asciiTheme="minorHAnsi" w:hAnsiTheme="minorHAnsi" w:cstheme="minorHAnsi"/>
          <w:sz w:val="24"/>
          <w:szCs w:val="24"/>
        </w:rPr>
        <w:t xml:space="preserve"> </w:t>
      </w:r>
      <w:r w:rsidR="00796293" w:rsidRPr="0075660A">
        <w:rPr>
          <w:rFonts w:asciiTheme="minorHAnsi" w:hAnsiTheme="minorHAnsi" w:cstheme="minorHAnsi"/>
          <w:sz w:val="24"/>
          <w:szCs w:val="24"/>
        </w:rPr>
        <w:t xml:space="preserve">nerealizovalo úplně a včas </w:t>
      </w:r>
      <w:r w:rsidR="00971C6A" w:rsidRPr="0075660A">
        <w:rPr>
          <w:rFonts w:asciiTheme="minorHAnsi" w:hAnsiTheme="minorHAnsi" w:cstheme="minorHAnsi"/>
          <w:sz w:val="24"/>
          <w:szCs w:val="24"/>
        </w:rPr>
        <w:t xml:space="preserve">opatření k odstranění nedostatků </w:t>
      </w:r>
      <w:r w:rsidR="003A4511" w:rsidRPr="0075660A">
        <w:rPr>
          <w:rFonts w:asciiTheme="minorHAnsi" w:hAnsiTheme="minorHAnsi" w:cstheme="minorHAnsi"/>
          <w:sz w:val="24"/>
          <w:szCs w:val="24"/>
        </w:rPr>
        <w:t>vyplývajících</w:t>
      </w:r>
      <w:r w:rsidR="00796293" w:rsidRPr="0075660A">
        <w:rPr>
          <w:rFonts w:asciiTheme="minorHAnsi" w:hAnsiTheme="minorHAnsi" w:cstheme="minorHAnsi"/>
          <w:sz w:val="24"/>
          <w:szCs w:val="24"/>
        </w:rPr>
        <w:t xml:space="preserve"> z</w:t>
      </w:r>
      <w:r w:rsidR="00254FCB" w:rsidRPr="0075660A">
        <w:rPr>
          <w:rFonts w:asciiTheme="minorHAnsi" w:hAnsiTheme="minorHAnsi" w:cstheme="minorHAnsi"/>
          <w:sz w:val="24"/>
          <w:szCs w:val="24"/>
        </w:rPr>
        <w:t> </w:t>
      </w:r>
      <w:r w:rsidR="00796293" w:rsidRPr="0075660A">
        <w:rPr>
          <w:rFonts w:asciiTheme="minorHAnsi" w:hAnsiTheme="minorHAnsi" w:cstheme="minorHAnsi"/>
          <w:sz w:val="24"/>
          <w:szCs w:val="24"/>
        </w:rPr>
        <w:t>kontrolní akc</w:t>
      </w:r>
      <w:r w:rsidR="00254FCB" w:rsidRPr="0075660A">
        <w:rPr>
          <w:rFonts w:asciiTheme="minorHAnsi" w:hAnsiTheme="minorHAnsi" w:cstheme="minorHAnsi"/>
          <w:sz w:val="24"/>
          <w:szCs w:val="24"/>
        </w:rPr>
        <w:t>e</w:t>
      </w:r>
      <w:r w:rsidR="00796293" w:rsidRPr="0075660A">
        <w:rPr>
          <w:rFonts w:asciiTheme="minorHAnsi" w:hAnsiTheme="minorHAnsi" w:cstheme="minorHAnsi"/>
          <w:sz w:val="24"/>
          <w:szCs w:val="24"/>
        </w:rPr>
        <w:t xml:space="preserve"> (dále také „KA“) č. 17/19</w:t>
      </w:r>
      <w:r w:rsidR="00796293" w:rsidRPr="0075660A">
        <w:rPr>
          <w:rStyle w:val="Znakapoznpodarou"/>
          <w:rFonts w:asciiTheme="minorHAnsi" w:hAnsiTheme="minorHAnsi" w:cstheme="minorHAnsi"/>
          <w:sz w:val="24"/>
          <w:szCs w:val="24"/>
        </w:rPr>
        <w:footnoteReference w:id="18"/>
      </w:r>
      <w:r w:rsidR="00796293" w:rsidRPr="0075660A">
        <w:rPr>
          <w:rFonts w:asciiTheme="minorHAnsi" w:hAnsiTheme="minorHAnsi" w:cstheme="minorHAnsi"/>
          <w:sz w:val="24"/>
          <w:szCs w:val="24"/>
        </w:rPr>
        <w:t xml:space="preserve">, </w:t>
      </w:r>
      <w:r w:rsidR="008621AB" w:rsidRPr="0075660A">
        <w:rPr>
          <w:rFonts w:asciiTheme="minorHAnsi" w:hAnsiTheme="minorHAnsi" w:cstheme="minorHAnsi"/>
          <w:sz w:val="24"/>
          <w:szCs w:val="24"/>
        </w:rPr>
        <w:t>např. dostatečně neřídilo FN v oblasti zajištění transparentnosti obdržených bonusů ve fázi přípravy a realizace zadávacího řízení dle zákona o zadávání veřejných zakázek</w:t>
      </w:r>
      <w:r w:rsidR="00200066" w:rsidRPr="0075660A">
        <w:rPr>
          <w:rFonts w:asciiTheme="minorHAnsi" w:hAnsiTheme="minorHAnsi" w:cstheme="minorHAnsi"/>
          <w:sz w:val="24"/>
          <w:szCs w:val="24"/>
        </w:rPr>
        <w:t>.</w:t>
      </w:r>
    </w:p>
    <w:p w14:paraId="20A4D43D" w14:textId="2AB011CB" w:rsidR="002F2BD0" w:rsidRPr="0075660A" w:rsidRDefault="00AA36FB" w:rsidP="00972290">
      <w:pPr>
        <w:widowControl/>
        <w:spacing w:before="120" w:after="120"/>
        <w:jc w:val="both"/>
        <w:rPr>
          <w:rFonts w:asciiTheme="minorHAnsi" w:hAnsiTheme="minorHAnsi" w:cstheme="minorHAnsi"/>
          <w:sz w:val="24"/>
          <w:szCs w:val="24"/>
        </w:rPr>
      </w:pPr>
      <w:r>
        <w:rPr>
          <w:rFonts w:asciiTheme="minorHAnsi" w:hAnsiTheme="minorHAnsi" w:cstheme="minorHAnsi"/>
          <w:sz w:val="24"/>
          <w:szCs w:val="24"/>
        </w:rPr>
        <w:t>Ani v kontrolovaném období 2019 až 2021</w:t>
      </w:r>
      <w:r w:rsidR="00777706" w:rsidRPr="00777706">
        <w:rPr>
          <w:rFonts w:asciiTheme="minorHAnsi" w:hAnsiTheme="minorHAnsi" w:cstheme="minorHAnsi"/>
          <w:sz w:val="24"/>
          <w:szCs w:val="24"/>
        </w:rPr>
        <w:t xml:space="preserve"> </w:t>
      </w:r>
      <w:r w:rsidR="00777706">
        <w:rPr>
          <w:rFonts w:asciiTheme="minorHAnsi" w:hAnsiTheme="minorHAnsi" w:cstheme="minorHAnsi"/>
          <w:sz w:val="24"/>
          <w:szCs w:val="24"/>
        </w:rPr>
        <w:t>nepůsobilo</w:t>
      </w:r>
      <w:r>
        <w:rPr>
          <w:rFonts w:asciiTheme="minorHAnsi" w:hAnsiTheme="minorHAnsi" w:cstheme="minorHAnsi"/>
          <w:sz w:val="24"/>
          <w:szCs w:val="24"/>
        </w:rPr>
        <w:t xml:space="preserve"> </w:t>
      </w:r>
      <w:proofErr w:type="spellStart"/>
      <w:r w:rsidR="002F2BD0">
        <w:rPr>
          <w:rFonts w:asciiTheme="minorHAnsi" w:hAnsiTheme="minorHAnsi" w:cstheme="minorHAnsi"/>
          <w:sz w:val="24"/>
          <w:szCs w:val="24"/>
        </w:rPr>
        <w:t>MZ</w:t>
      </w:r>
      <w:r w:rsidR="00777706">
        <w:rPr>
          <w:rFonts w:asciiTheme="minorHAnsi" w:hAnsiTheme="minorHAnsi" w:cstheme="minorHAnsi"/>
          <w:sz w:val="24"/>
          <w:szCs w:val="24"/>
        </w:rPr>
        <w:t>d</w:t>
      </w:r>
      <w:proofErr w:type="spellEnd"/>
      <w:r w:rsidR="002F2BD0">
        <w:rPr>
          <w:rFonts w:asciiTheme="minorHAnsi" w:hAnsiTheme="minorHAnsi" w:cstheme="minorHAnsi"/>
          <w:sz w:val="24"/>
          <w:szCs w:val="24"/>
        </w:rPr>
        <w:t xml:space="preserve"> při řízení nákupů léčiv, popř. vybraných zdravotnických prostředků</w:t>
      </w:r>
      <w:r w:rsidR="00777706">
        <w:rPr>
          <w:rFonts w:asciiTheme="minorHAnsi" w:hAnsiTheme="minorHAnsi" w:cstheme="minorHAnsi"/>
          <w:sz w:val="24"/>
          <w:szCs w:val="24"/>
        </w:rPr>
        <w:t>,</w:t>
      </w:r>
      <w:r w:rsidR="002F2BD0">
        <w:rPr>
          <w:rFonts w:asciiTheme="minorHAnsi" w:hAnsiTheme="minorHAnsi" w:cstheme="minorHAnsi"/>
          <w:sz w:val="24"/>
          <w:szCs w:val="24"/>
        </w:rPr>
        <w:t xml:space="preserve"> u svých příspěvkových organizací </w:t>
      </w:r>
      <w:r w:rsidR="00773A24">
        <w:rPr>
          <w:rFonts w:asciiTheme="minorHAnsi" w:hAnsiTheme="minorHAnsi" w:cstheme="minorHAnsi"/>
          <w:sz w:val="24"/>
          <w:szCs w:val="24"/>
        </w:rPr>
        <w:t>tak</w:t>
      </w:r>
      <w:r w:rsidR="002F2BD0">
        <w:rPr>
          <w:rFonts w:asciiTheme="minorHAnsi" w:hAnsiTheme="minorHAnsi" w:cstheme="minorHAnsi"/>
          <w:sz w:val="24"/>
          <w:szCs w:val="24"/>
        </w:rPr>
        <w:t xml:space="preserve">, aby vynakládání výdajů </w:t>
      </w:r>
      <w:r w:rsidR="00777706">
        <w:rPr>
          <w:rFonts w:asciiTheme="minorHAnsi" w:hAnsiTheme="minorHAnsi" w:cstheme="minorHAnsi"/>
          <w:sz w:val="24"/>
          <w:szCs w:val="24"/>
        </w:rPr>
        <w:t>b</w:t>
      </w:r>
      <w:r w:rsidR="002F2BD0">
        <w:rPr>
          <w:rFonts w:asciiTheme="minorHAnsi" w:hAnsiTheme="minorHAnsi" w:cstheme="minorHAnsi"/>
          <w:sz w:val="24"/>
          <w:szCs w:val="24"/>
        </w:rPr>
        <w:t>ylo co nejhospodárnější, nejefektivnější a nejúčelnější</w:t>
      </w:r>
      <w:r w:rsidR="00BB4FEF">
        <w:rPr>
          <w:rFonts w:asciiTheme="minorHAnsi" w:hAnsiTheme="minorHAnsi" w:cstheme="minorHAnsi"/>
          <w:sz w:val="24"/>
          <w:szCs w:val="24"/>
        </w:rPr>
        <w:t xml:space="preserve"> dle rozpočtových pravid</w:t>
      </w:r>
      <w:r w:rsidR="00777706">
        <w:rPr>
          <w:rFonts w:asciiTheme="minorHAnsi" w:hAnsiTheme="minorHAnsi" w:cstheme="minorHAnsi"/>
          <w:sz w:val="24"/>
          <w:szCs w:val="24"/>
        </w:rPr>
        <w:t>e</w:t>
      </w:r>
      <w:r w:rsidR="00BB4FEF">
        <w:rPr>
          <w:rFonts w:asciiTheme="minorHAnsi" w:hAnsiTheme="minorHAnsi" w:cstheme="minorHAnsi"/>
          <w:sz w:val="24"/>
          <w:szCs w:val="24"/>
        </w:rPr>
        <w:t>l</w:t>
      </w:r>
      <w:r w:rsidRPr="0027595A">
        <w:rPr>
          <w:rFonts w:asciiTheme="minorHAnsi" w:hAnsiTheme="minorHAnsi" w:cstheme="minorHAnsi"/>
          <w:sz w:val="24"/>
          <w:szCs w:val="24"/>
          <w:vertAlign w:val="superscript"/>
        </w:rPr>
        <w:t>14</w:t>
      </w:r>
      <w:r>
        <w:rPr>
          <w:rFonts w:asciiTheme="minorHAnsi" w:hAnsiTheme="minorHAnsi" w:cstheme="minorHAnsi"/>
          <w:sz w:val="24"/>
          <w:szCs w:val="24"/>
        </w:rPr>
        <w:t>.</w:t>
      </w:r>
    </w:p>
    <w:p w14:paraId="7C1FC5F7" w14:textId="44D02573" w:rsidR="00381F5B" w:rsidRPr="0075660A" w:rsidRDefault="00381F5B" w:rsidP="00972290">
      <w:pPr>
        <w:pStyle w:val="Odstavecseseznamem"/>
        <w:keepNext/>
        <w:numPr>
          <w:ilvl w:val="0"/>
          <w:numId w:val="31"/>
        </w:numPr>
        <w:spacing w:before="120" w:after="120"/>
        <w:ind w:left="284" w:hanging="284"/>
        <w:contextualSpacing w:val="0"/>
        <w:jc w:val="both"/>
        <w:rPr>
          <w:rFonts w:asciiTheme="minorHAnsi" w:hAnsiTheme="minorHAnsi" w:cstheme="minorHAnsi"/>
          <w:bCs/>
          <w:iCs/>
          <w:sz w:val="24"/>
          <w:szCs w:val="24"/>
        </w:rPr>
      </w:pPr>
      <w:bookmarkStart w:id="5" w:name="_Hlk87492506"/>
      <w:r w:rsidRPr="0075660A">
        <w:rPr>
          <w:rFonts w:asciiTheme="minorHAnsi" w:hAnsiTheme="minorHAnsi" w:cstheme="minorHAnsi"/>
          <w:bCs/>
          <w:iCs/>
          <w:sz w:val="24"/>
          <w:szCs w:val="24"/>
        </w:rPr>
        <w:t>FN</w:t>
      </w:r>
    </w:p>
    <w:p w14:paraId="5F97583F" w14:textId="3FA77249" w:rsidR="005B4C8F" w:rsidRPr="0075660A" w:rsidRDefault="005B4C8F" w:rsidP="00972290">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FNB, FNKV a FNUSA při pořizování léčivých přípravků</w:t>
      </w:r>
      <w:r w:rsidR="009717DC" w:rsidRPr="0075660A">
        <w:rPr>
          <w:rFonts w:asciiTheme="minorHAnsi" w:hAnsiTheme="minorHAnsi" w:cstheme="minorHAnsi"/>
          <w:sz w:val="24"/>
          <w:szCs w:val="24"/>
        </w:rPr>
        <w:t xml:space="preserve"> (dále také „léčiv“ nebo „léků“)</w:t>
      </w:r>
      <w:r w:rsidRPr="0075660A">
        <w:rPr>
          <w:rFonts w:asciiTheme="minorHAnsi" w:hAnsiTheme="minorHAnsi" w:cstheme="minorHAnsi"/>
          <w:sz w:val="24"/>
          <w:szCs w:val="24"/>
        </w:rPr>
        <w:t xml:space="preserve"> či</w:t>
      </w:r>
      <w:r w:rsidR="00777706">
        <w:rPr>
          <w:rFonts w:asciiTheme="minorHAnsi" w:hAnsiTheme="minorHAnsi" w:cstheme="minorHAnsi"/>
          <w:sz w:val="24"/>
          <w:szCs w:val="24"/>
        </w:rPr>
        <w:t xml:space="preserve"> </w:t>
      </w:r>
      <w:r w:rsidRPr="0075660A">
        <w:rPr>
          <w:rFonts w:asciiTheme="minorHAnsi" w:hAnsiTheme="minorHAnsi" w:cstheme="minorHAnsi"/>
          <w:sz w:val="24"/>
          <w:szCs w:val="24"/>
        </w:rPr>
        <w:t>zdravotnických prostředků</w:t>
      </w:r>
      <w:r w:rsidR="00332BF2" w:rsidRPr="0075660A">
        <w:rPr>
          <w:rFonts w:asciiTheme="minorHAnsi" w:hAnsiTheme="minorHAnsi" w:cstheme="minorHAnsi"/>
          <w:sz w:val="24"/>
          <w:szCs w:val="24"/>
        </w:rPr>
        <w:t xml:space="preserve"> </w:t>
      </w:r>
      <w:r w:rsidR="009717DC" w:rsidRPr="0075660A">
        <w:rPr>
          <w:rFonts w:asciiTheme="minorHAnsi" w:hAnsiTheme="minorHAnsi" w:cstheme="minorHAnsi"/>
          <w:sz w:val="24"/>
          <w:szCs w:val="24"/>
        </w:rPr>
        <w:t>(dále také „</w:t>
      </w:r>
      <w:proofErr w:type="spellStart"/>
      <w:r w:rsidR="009717DC" w:rsidRPr="0075660A">
        <w:rPr>
          <w:rFonts w:asciiTheme="minorHAnsi" w:hAnsiTheme="minorHAnsi" w:cstheme="minorHAnsi"/>
          <w:sz w:val="24"/>
          <w:szCs w:val="24"/>
        </w:rPr>
        <w:t>ZPr</w:t>
      </w:r>
      <w:proofErr w:type="spellEnd"/>
      <w:r w:rsidR="009717DC" w:rsidRPr="0075660A">
        <w:rPr>
          <w:rFonts w:asciiTheme="minorHAnsi" w:hAnsiTheme="minorHAnsi" w:cstheme="minorHAnsi"/>
          <w:sz w:val="24"/>
          <w:szCs w:val="24"/>
        </w:rPr>
        <w:t xml:space="preserve">“) </w:t>
      </w:r>
      <w:r w:rsidR="00CB418F">
        <w:rPr>
          <w:rFonts w:asciiTheme="minorHAnsi" w:hAnsiTheme="minorHAnsi" w:cstheme="minorHAnsi"/>
          <w:sz w:val="24"/>
          <w:szCs w:val="24"/>
        </w:rPr>
        <w:t xml:space="preserve">postupovaly </w:t>
      </w:r>
      <w:r w:rsidR="0027705E">
        <w:rPr>
          <w:rFonts w:asciiTheme="minorHAnsi" w:hAnsiTheme="minorHAnsi" w:cstheme="minorHAnsi"/>
          <w:sz w:val="24"/>
          <w:szCs w:val="24"/>
        </w:rPr>
        <w:t xml:space="preserve">v některých případech </w:t>
      </w:r>
      <w:r w:rsidR="00CB418F">
        <w:rPr>
          <w:rFonts w:asciiTheme="minorHAnsi" w:hAnsiTheme="minorHAnsi" w:cstheme="minorHAnsi"/>
          <w:sz w:val="24"/>
          <w:szCs w:val="24"/>
        </w:rPr>
        <w:t>v rozporu se zákonem o zadávání veřejných zakázek</w:t>
      </w:r>
      <w:r w:rsidR="0027705E" w:rsidRPr="0075660A">
        <w:rPr>
          <w:rStyle w:val="Znakapoznpodarou"/>
          <w:rFonts w:asciiTheme="minorHAnsi" w:hAnsiTheme="minorHAnsi" w:cstheme="minorHAnsi"/>
          <w:sz w:val="24"/>
          <w:szCs w:val="24"/>
        </w:rPr>
        <w:footnoteReference w:id="19"/>
      </w:r>
      <w:r w:rsidR="0027705E">
        <w:rPr>
          <w:rFonts w:asciiTheme="minorHAnsi" w:hAnsiTheme="minorHAnsi" w:cstheme="minorHAnsi"/>
          <w:sz w:val="24"/>
          <w:szCs w:val="24"/>
        </w:rPr>
        <w:t xml:space="preserve">. Tyto FN tak </w:t>
      </w:r>
      <w:r w:rsidR="00B20A5E" w:rsidRPr="0075660A">
        <w:rPr>
          <w:rFonts w:asciiTheme="minorHAnsi" w:hAnsiTheme="minorHAnsi" w:cstheme="minorHAnsi"/>
          <w:sz w:val="24"/>
          <w:szCs w:val="24"/>
        </w:rPr>
        <w:t>neoprávněně použily jiné peněžní prostředky státu</w:t>
      </w:r>
      <w:r w:rsidR="0027705E">
        <w:rPr>
          <w:rFonts w:asciiTheme="minorHAnsi" w:hAnsiTheme="minorHAnsi" w:cstheme="minorHAnsi"/>
          <w:sz w:val="24"/>
          <w:szCs w:val="24"/>
        </w:rPr>
        <w:t xml:space="preserve"> tím</w:t>
      </w:r>
      <w:r w:rsidR="00777706">
        <w:rPr>
          <w:rFonts w:asciiTheme="minorHAnsi" w:hAnsiTheme="minorHAnsi" w:cstheme="minorHAnsi"/>
          <w:sz w:val="24"/>
          <w:szCs w:val="24"/>
        </w:rPr>
        <w:t>,</w:t>
      </w:r>
      <w:r w:rsidR="0027705E">
        <w:rPr>
          <w:rFonts w:asciiTheme="minorHAnsi" w:hAnsiTheme="minorHAnsi" w:cstheme="minorHAnsi"/>
          <w:sz w:val="24"/>
          <w:szCs w:val="24"/>
        </w:rPr>
        <w:t xml:space="preserve"> že</w:t>
      </w:r>
      <w:r w:rsidR="00B20A5E" w:rsidRPr="0075660A">
        <w:rPr>
          <w:rFonts w:asciiTheme="minorHAnsi" w:hAnsiTheme="minorHAnsi" w:cstheme="minorHAnsi"/>
          <w:sz w:val="24"/>
          <w:szCs w:val="24"/>
        </w:rPr>
        <w:t xml:space="preserve"> </w:t>
      </w:r>
      <w:r w:rsidR="0027705E" w:rsidRPr="00BD5759">
        <w:rPr>
          <w:rFonts w:asciiTheme="minorHAnsi" w:hAnsiTheme="minorHAnsi" w:cstheme="minorHAnsi"/>
          <w:sz w:val="24"/>
          <w:szCs w:val="24"/>
        </w:rPr>
        <w:t>u</w:t>
      </w:r>
      <w:r w:rsidR="00B20A5E" w:rsidRPr="00BD5759">
        <w:rPr>
          <w:rFonts w:asciiTheme="minorHAnsi" w:hAnsiTheme="minorHAnsi" w:cstheme="minorHAnsi"/>
          <w:sz w:val="24"/>
          <w:szCs w:val="24"/>
        </w:rPr>
        <w:t>skutečnily jejich výdej, jehož provedením porušily povinnosti stanovené právním předpisem</w:t>
      </w:r>
      <w:r w:rsidR="00A13181">
        <w:rPr>
          <w:rFonts w:asciiTheme="minorHAnsi" w:hAnsiTheme="minorHAnsi" w:cstheme="minorHAnsi"/>
          <w:sz w:val="24"/>
          <w:szCs w:val="24"/>
          <w:vertAlign w:val="superscript"/>
        </w:rPr>
        <w:t>18</w:t>
      </w:r>
      <w:r w:rsidR="006B607E" w:rsidRPr="00BD5759">
        <w:rPr>
          <w:rFonts w:asciiTheme="minorHAnsi" w:hAnsiTheme="minorHAnsi" w:cstheme="minorHAnsi"/>
          <w:sz w:val="24"/>
          <w:szCs w:val="24"/>
        </w:rPr>
        <w:t>.</w:t>
      </w:r>
      <w:r w:rsidR="00332BF2" w:rsidRPr="00BD5759">
        <w:rPr>
          <w:rFonts w:asciiTheme="minorHAnsi" w:hAnsiTheme="minorHAnsi" w:cstheme="minorHAnsi"/>
          <w:sz w:val="24"/>
          <w:szCs w:val="24"/>
        </w:rPr>
        <w:t xml:space="preserve"> </w:t>
      </w:r>
      <w:r w:rsidR="006B607E" w:rsidRPr="00BD5759">
        <w:rPr>
          <w:rFonts w:asciiTheme="minorHAnsi" w:hAnsiTheme="minorHAnsi" w:cstheme="minorHAnsi"/>
          <w:sz w:val="24"/>
          <w:szCs w:val="24"/>
        </w:rPr>
        <w:t>J</w:t>
      </w:r>
      <w:r w:rsidR="00B20A5E" w:rsidRPr="00BD5759">
        <w:rPr>
          <w:rFonts w:asciiTheme="minorHAnsi" w:hAnsiTheme="minorHAnsi" w:cstheme="minorHAnsi"/>
          <w:sz w:val="24"/>
          <w:szCs w:val="24"/>
        </w:rPr>
        <w:t>edn</w:t>
      </w:r>
      <w:r w:rsidR="00987C8E" w:rsidRPr="00BD5759">
        <w:rPr>
          <w:rFonts w:asciiTheme="minorHAnsi" w:hAnsiTheme="minorHAnsi" w:cstheme="minorHAnsi"/>
          <w:sz w:val="24"/>
          <w:szCs w:val="24"/>
        </w:rPr>
        <w:t>alo</w:t>
      </w:r>
      <w:r w:rsidR="00B20A5E" w:rsidRPr="00BD5759">
        <w:rPr>
          <w:rFonts w:asciiTheme="minorHAnsi" w:hAnsiTheme="minorHAnsi" w:cstheme="minorHAnsi"/>
          <w:sz w:val="24"/>
          <w:szCs w:val="24"/>
        </w:rPr>
        <w:t xml:space="preserve"> se o skutečnosti nasvědčující porušení rozpočtové kázně</w:t>
      </w:r>
      <w:r w:rsidR="008D51D3">
        <w:rPr>
          <w:rStyle w:val="Znakapoznpodarou"/>
          <w:rFonts w:asciiTheme="minorHAnsi" w:hAnsiTheme="minorHAnsi"/>
          <w:sz w:val="24"/>
          <w:szCs w:val="24"/>
        </w:rPr>
        <w:footnoteReference w:id="20"/>
      </w:r>
      <w:r w:rsidR="00021C74" w:rsidRPr="00BD5759">
        <w:rPr>
          <w:rFonts w:asciiTheme="minorHAnsi" w:hAnsiTheme="minorHAnsi" w:cstheme="minorHAnsi"/>
          <w:sz w:val="24"/>
          <w:szCs w:val="24"/>
        </w:rPr>
        <w:t xml:space="preserve"> v celkové výši 41,6 mil. Kč vč. DPH.</w:t>
      </w:r>
    </w:p>
    <w:p w14:paraId="2EECEB09" w14:textId="221ACF87" w:rsidR="0027705E" w:rsidRDefault="0027705E" w:rsidP="00972290">
      <w:pPr>
        <w:widowControl/>
        <w:spacing w:before="120" w:after="120"/>
        <w:jc w:val="both"/>
        <w:rPr>
          <w:rFonts w:asciiTheme="minorHAnsi" w:hAnsiTheme="minorHAnsi" w:cstheme="minorHAnsi"/>
          <w:sz w:val="24"/>
          <w:szCs w:val="24"/>
        </w:rPr>
      </w:pPr>
      <w:r>
        <w:rPr>
          <w:rFonts w:asciiTheme="minorHAnsi" w:hAnsiTheme="minorHAnsi" w:cstheme="minorHAnsi"/>
          <w:sz w:val="24"/>
          <w:szCs w:val="24"/>
        </w:rPr>
        <w:t>V následující tabulce je uveden přehled uskutečněných veřejných zakázek FN na kontrolovaném vzorku.</w:t>
      </w:r>
    </w:p>
    <w:p w14:paraId="4EE4061F" w14:textId="77777777" w:rsidR="0027705E" w:rsidRPr="0075660A" w:rsidRDefault="0027705E" w:rsidP="006842B7">
      <w:pPr>
        <w:keepNext/>
        <w:spacing w:before="120" w:after="40"/>
        <w:jc w:val="both"/>
        <w:rPr>
          <w:rFonts w:asciiTheme="minorHAnsi" w:hAnsiTheme="minorHAnsi" w:cstheme="minorHAnsi"/>
          <w:b/>
          <w:sz w:val="24"/>
          <w:szCs w:val="24"/>
        </w:rPr>
      </w:pPr>
      <w:r w:rsidRPr="0075660A">
        <w:rPr>
          <w:rFonts w:asciiTheme="minorHAnsi" w:hAnsiTheme="minorHAnsi" w:cstheme="minorHAnsi"/>
          <w:b/>
          <w:noProof/>
          <w:sz w:val="24"/>
          <w:szCs w:val="24"/>
        </w:rPr>
        <w:t>Tabulka č. 1: Uskutečněné veřejné zakázky v letech 2019 až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7"/>
        <w:gridCol w:w="1604"/>
        <w:gridCol w:w="1604"/>
        <w:gridCol w:w="1605"/>
      </w:tblGrid>
      <w:tr w:rsidR="0027705E" w:rsidRPr="0075660A" w14:paraId="16DEB179" w14:textId="77777777" w:rsidTr="00D80747">
        <w:trPr>
          <w:trHeight w:val="283"/>
        </w:trPr>
        <w:tc>
          <w:tcPr>
            <w:tcW w:w="2344" w:type="pct"/>
            <w:shd w:val="clear" w:color="auto" w:fill="E5F1FF"/>
            <w:vAlign w:val="center"/>
          </w:tcPr>
          <w:p w14:paraId="1CCBAFA7" w14:textId="77777777" w:rsidR="0027705E" w:rsidRPr="0075660A" w:rsidRDefault="0027705E" w:rsidP="006842B7">
            <w:pPr>
              <w:pStyle w:val="Zkladntext3"/>
              <w:keepNext/>
              <w:spacing w:after="0"/>
              <w:jc w:val="left"/>
              <w:rPr>
                <w:rFonts w:asciiTheme="minorHAnsi" w:hAnsiTheme="minorHAnsi" w:cstheme="minorHAnsi"/>
                <w:b/>
                <w:sz w:val="20"/>
                <w:szCs w:val="20"/>
              </w:rPr>
            </w:pPr>
            <w:r w:rsidRPr="0075660A">
              <w:rPr>
                <w:rFonts w:asciiTheme="minorHAnsi" w:hAnsiTheme="minorHAnsi" w:cstheme="minorHAnsi"/>
                <w:b/>
                <w:sz w:val="20"/>
                <w:szCs w:val="20"/>
              </w:rPr>
              <w:t>Veřejné zakázky na dodávky</w:t>
            </w:r>
          </w:p>
        </w:tc>
        <w:tc>
          <w:tcPr>
            <w:tcW w:w="885" w:type="pct"/>
            <w:shd w:val="clear" w:color="auto" w:fill="E5F1FF"/>
            <w:vAlign w:val="center"/>
          </w:tcPr>
          <w:p w14:paraId="4D1E4BB8" w14:textId="77777777" w:rsidR="0027705E" w:rsidRPr="0075660A" w:rsidRDefault="0027705E" w:rsidP="006842B7">
            <w:pPr>
              <w:pStyle w:val="Zkladntext3"/>
              <w:keepNext/>
              <w:spacing w:after="0"/>
              <w:jc w:val="center"/>
              <w:rPr>
                <w:rFonts w:asciiTheme="minorHAnsi" w:hAnsiTheme="minorHAnsi" w:cstheme="minorHAnsi"/>
                <w:b/>
                <w:sz w:val="20"/>
                <w:szCs w:val="20"/>
              </w:rPr>
            </w:pPr>
            <w:r w:rsidRPr="0075660A">
              <w:rPr>
                <w:rFonts w:asciiTheme="minorHAnsi" w:hAnsiTheme="minorHAnsi" w:cstheme="minorHAnsi"/>
                <w:b/>
                <w:sz w:val="20"/>
                <w:szCs w:val="20"/>
              </w:rPr>
              <w:t>FNB</w:t>
            </w:r>
          </w:p>
        </w:tc>
        <w:tc>
          <w:tcPr>
            <w:tcW w:w="885" w:type="pct"/>
            <w:shd w:val="clear" w:color="auto" w:fill="E5F1FF"/>
            <w:vAlign w:val="center"/>
          </w:tcPr>
          <w:p w14:paraId="1E4BB893" w14:textId="77777777" w:rsidR="0027705E" w:rsidRPr="0075660A" w:rsidRDefault="0027705E" w:rsidP="006842B7">
            <w:pPr>
              <w:pStyle w:val="Zkladntext3"/>
              <w:keepNext/>
              <w:spacing w:after="0"/>
              <w:jc w:val="center"/>
              <w:rPr>
                <w:rFonts w:asciiTheme="minorHAnsi" w:hAnsiTheme="minorHAnsi" w:cstheme="minorHAnsi"/>
                <w:b/>
                <w:sz w:val="20"/>
                <w:szCs w:val="20"/>
              </w:rPr>
            </w:pPr>
            <w:r w:rsidRPr="0075660A">
              <w:rPr>
                <w:rFonts w:asciiTheme="minorHAnsi" w:hAnsiTheme="minorHAnsi" w:cstheme="minorHAnsi"/>
                <w:b/>
                <w:sz w:val="20"/>
                <w:szCs w:val="20"/>
              </w:rPr>
              <w:t>FNKV</w:t>
            </w:r>
          </w:p>
        </w:tc>
        <w:tc>
          <w:tcPr>
            <w:tcW w:w="886" w:type="pct"/>
            <w:shd w:val="clear" w:color="auto" w:fill="E5F1FF"/>
            <w:vAlign w:val="center"/>
          </w:tcPr>
          <w:p w14:paraId="59F49400" w14:textId="77777777" w:rsidR="0027705E" w:rsidRPr="0075660A" w:rsidRDefault="0027705E" w:rsidP="006842B7">
            <w:pPr>
              <w:pStyle w:val="Zkladntext3"/>
              <w:keepNext/>
              <w:spacing w:after="0"/>
              <w:jc w:val="center"/>
              <w:rPr>
                <w:rFonts w:asciiTheme="minorHAnsi" w:hAnsiTheme="minorHAnsi" w:cstheme="minorHAnsi"/>
                <w:b/>
                <w:sz w:val="20"/>
                <w:szCs w:val="20"/>
              </w:rPr>
            </w:pPr>
            <w:r w:rsidRPr="0075660A">
              <w:rPr>
                <w:rFonts w:asciiTheme="minorHAnsi" w:hAnsiTheme="minorHAnsi" w:cstheme="minorHAnsi"/>
                <w:b/>
                <w:sz w:val="20"/>
                <w:szCs w:val="20"/>
              </w:rPr>
              <w:t>FNUSA</w:t>
            </w:r>
          </w:p>
        </w:tc>
      </w:tr>
      <w:tr w:rsidR="0027705E" w:rsidRPr="0075660A" w14:paraId="6B71BC4B" w14:textId="77777777" w:rsidTr="00D80747">
        <w:trPr>
          <w:trHeight w:val="283"/>
        </w:trPr>
        <w:tc>
          <w:tcPr>
            <w:tcW w:w="2344" w:type="pct"/>
            <w:vAlign w:val="center"/>
          </w:tcPr>
          <w:p w14:paraId="784B30E4" w14:textId="77777777" w:rsidR="0027705E" w:rsidRPr="0075660A" w:rsidRDefault="0027705E" w:rsidP="006842B7">
            <w:pPr>
              <w:pStyle w:val="Zkladntext3"/>
              <w:keepNext/>
              <w:spacing w:after="0"/>
              <w:jc w:val="left"/>
              <w:rPr>
                <w:rFonts w:asciiTheme="minorHAnsi" w:hAnsiTheme="minorHAnsi" w:cstheme="minorHAnsi"/>
                <w:sz w:val="20"/>
                <w:szCs w:val="20"/>
              </w:rPr>
            </w:pPr>
            <w:proofErr w:type="spellStart"/>
            <w:r w:rsidRPr="0075660A">
              <w:rPr>
                <w:rFonts w:asciiTheme="minorHAnsi" w:hAnsiTheme="minorHAnsi" w:cstheme="minorHAnsi"/>
                <w:sz w:val="20"/>
                <w:szCs w:val="20"/>
              </w:rPr>
              <w:t>Centrových</w:t>
            </w:r>
            <w:proofErr w:type="spellEnd"/>
            <w:r w:rsidRPr="0075660A">
              <w:rPr>
                <w:rFonts w:asciiTheme="minorHAnsi" w:hAnsiTheme="minorHAnsi" w:cstheme="minorHAnsi"/>
                <w:sz w:val="20"/>
                <w:szCs w:val="20"/>
              </w:rPr>
              <w:t xml:space="preserve"> léků kontrolního vzorku</w:t>
            </w:r>
          </w:p>
        </w:tc>
        <w:tc>
          <w:tcPr>
            <w:tcW w:w="885" w:type="pct"/>
            <w:vAlign w:val="center"/>
          </w:tcPr>
          <w:p w14:paraId="779F9508"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49,3 %</w:t>
            </w:r>
          </w:p>
        </w:tc>
        <w:tc>
          <w:tcPr>
            <w:tcW w:w="885" w:type="pct"/>
            <w:vAlign w:val="center"/>
          </w:tcPr>
          <w:p w14:paraId="40255E00"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1,7 %</w:t>
            </w:r>
          </w:p>
        </w:tc>
        <w:tc>
          <w:tcPr>
            <w:tcW w:w="886" w:type="pct"/>
            <w:vAlign w:val="center"/>
          </w:tcPr>
          <w:p w14:paraId="7493F6D8"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31,4 %</w:t>
            </w:r>
          </w:p>
        </w:tc>
      </w:tr>
      <w:tr w:rsidR="0027705E" w:rsidRPr="0075660A" w14:paraId="6BACA0A5" w14:textId="77777777" w:rsidTr="00D80747">
        <w:trPr>
          <w:trHeight w:val="283"/>
        </w:trPr>
        <w:tc>
          <w:tcPr>
            <w:tcW w:w="2344" w:type="pct"/>
            <w:vAlign w:val="center"/>
          </w:tcPr>
          <w:p w14:paraId="055184F5" w14:textId="77777777" w:rsidR="0027705E" w:rsidRPr="0075660A" w:rsidRDefault="0027705E" w:rsidP="006842B7">
            <w:pPr>
              <w:pStyle w:val="Zkladntext3"/>
              <w:keepNext/>
              <w:spacing w:after="0"/>
              <w:jc w:val="left"/>
              <w:rPr>
                <w:rFonts w:asciiTheme="minorHAnsi" w:hAnsiTheme="minorHAnsi" w:cstheme="minorHAnsi"/>
                <w:sz w:val="20"/>
                <w:szCs w:val="20"/>
              </w:rPr>
            </w:pPr>
            <w:r w:rsidRPr="0075660A">
              <w:rPr>
                <w:rFonts w:asciiTheme="minorHAnsi" w:hAnsiTheme="minorHAnsi" w:cstheme="minorHAnsi"/>
                <w:sz w:val="20"/>
                <w:szCs w:val="20"/>
              </w:rPr>
              <w:t>Léčiv skupiny ATC – J kontrolního vzorku</w:t>
            </w:r>
          </w:p>
        </w:tc>
        <w:tc>
          <w:tcPr>
            <w:tcW w:w="885" w:type="pct"/>
            <w:vAlign w:val="center"/>
          </w:tcPr>
          <w:p w14:paraId="23665A49"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23,8 %</w:t>
            </w:r>
          </w:p>
        </w:tc>
        <w:tc>
          <w:tcPr>
            <w:tcW w:w="885" w:type="pct"/>
            <w:vAlign w:val="center"/>
          </w:tcPr>
          <w:p w14:paraId="28A26D99"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0,4 %</w:t>
            </w:r>
          </w:p>
        </w:tc>
        <w:tc>
          <w:tcPr>
            <w:tcW w:w="886" w:type="pct"/>
            <w:vAlign w:val="center"/>
          </w:tcPr>
          <w:p w14:paraId="7A536091"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36,5 %</w:t>
            </w:r>
          </w:p>
        </w:tc>
      </w:tr>
      <w:tr w:rsidR="0027705E" w:rsidRPr="0075660A" w14:paraId="7DE6C31E" w14:textId="77777777" w:rsidTr="00D80747">
        <w:trPr>
          <w:trHeight w:val="283"/>
        </w:trPr>
        <w:tc>
          <w:tcPr>
            <w:tcW w:w="2344" w:type="pct"/>
            <w:vAlign w:val="center"/>
          </w:tcPr>
          <w:p w14:paraId="589BD173" w14:textId="77777777" w:rsidR="0027705E" w:rsidRPr="0075660A" w:rsidRDefault="0027705E" w:rsidP="006842B7">
            <w:pPr>
              <w:pStyle w:val="Zkladntext3"/>
              <w:keepNext/>
              <w:spacing w:after="0"/>
              <w:jc w:val="left"/>
              <w:rPr>
                <w:rFonts w:asciiTheme="minorHAnsi" w:hAnsiTheme="minorHAnsi" w:cstheme="minorHAnsi"/>
                <w:sz w:val="20"/>
                <w:szCs w:val="20"/>
              </w:rPr>
            </w:pPr>
            <w:proofErr w:type="spellStart"/>
            <w:r w:rsidRPr="0075660A">
              <w:rPr>
                <w:rFonts w:asciiTheme="minorHAnsi" w:hAnsiTheme="minorHAnsi" w:cstheme="minorHAnsi"/>
                <w:sz w:val="20"/>
                <w:szCs w:val="20"/>
              </w:rPr>
              <w:t>ZPr</w:t>
            </w:r>
            <w:proofErr w:type="spellEnd"/>
            <w:r w:rsidRPr="0075660A">
              <w:rPr>
                <w:rFonts w:asciiTheme="minorHAnsi" w:hAnsiTheme="minorHAnsi" w:cstheme="minorHAnsi"/>
                <w:sz w:val="20"/>
                <w:szCs w:val="20"/>
              </w:rPr>
              <w:t xml:space="preserve"> (resp. SZM) kontrolního vzorku</w:t>
            </w:r>
          </w:p>
        </w:tc>
        <w:tc>
          <w:tcPr>
            <w:tcW w:w="885" w:type="pct"/>
            <w:vAlign w:val="center"/>
          </w:tcPr>
          <w:p w14:paraId="6CBF1E30"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22,0 %</w:t>
            </w:r>
          </w:p>
        </w:tc>
        <w:tc>
          <w:tcPr>
            <w:tcW w:w="885" w:type="pct"/>
            <w:vAlign w:val="center"/>
          </w:tcPr>
          <w:p w14:paraId="7AF6097A" w14:textId="77777777"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0,0 %</w:t>
            </w:r>
          </w:p>
        </w:tc>
        <w:tc>
          <w:tcPr>
            <w:tcW w:w="886" w:type="pct"/>
            <w:vAlign w:val="center"/>
          </w:tcPr>
          <w:p w14:paraId="4BD678D8" w14:textId="073366DA" w:rsidR="0027705E" w:rsidRPr="00D80747" w:rsidRDefault="0027705E" w:rsidP="006842B7">
            <w:pPr>
              <w:pStyle w:val="Zkladntext3"/>
              <w:keepNext/>
              <w:spacing w:after="0"/>
              <w:ind w:right="401"/>
              <w:jc w:val="right"/>
              <w:rPr>
                <w:rFonts w:asciiTheme="minorHAnsi" w:hAnsiTheme="minorHAnsi" w:cstheme="minorHAnsi"/>
                <w:color w:val="000000" w:themeColor="text1"/>
                <w:sz w:val="20"/>
                <w:szCs w:val="20"/>
              </w:rPr>
            </w:pPr>
            <w:r w:rsidRPr="00D80747">
              <w:rPr>
                <w:rFonts w:asciiTheme="minorHAnsi" w:hAnsiTheme="minorHAnsi" w:cstheme="minorHAnsi"/>
                <w:color w:val="000000" w:themeColor="text1"/>
                <w:sz w:val="20"/>
                <w:szCs w:val="20"/>
              </w:rPr>
              <w:t>5,6 %</w:t>
            </w:r>
          </w:p>
        </w:tc>
      </w:tr>
    </w:tbl>
    <w:p w14:paraId="18D84F23" w14:textId="77777777" w:rsidR="0027705E" w:rsidRPr="0075660A" w:rsidRDefault="0027705E" w:rsidP="006842B7">
      <w:pPr>
        <w:pStyle w:val="Zdroj"/>
        <w:keepNext/>
        <w:spacing w:before="40"/>
        <w:ind w:left="567" w:hanging="567"/>
        <w:rPr>
          <w:rFonts w:asciiTheme="minorHAnsi" w:hAnsiTheme="minorHAnsi" w:cstheme="minorHAnsi"/>
          <w:i w:val="0"/>
        </w:rPr>
      </w:pPr>
      <w:r w:rsidRPr="0075660A">
        <w:rPr>
          <w:rFonts w:asciiTheme="minorHAnsi" w:hAnsiTheme="minorHAnsi" w:cstheme="minorHAnsi"/>
          <w:b/>
          <w:i w:val="0"/>
        </w:rPr>
        <w:t>Zdroj:</w:t>
      </w:r>
      <w:r w:rsidRPr="0075660A">
        <w:rPr>
          <w:rFonts w:asciiTheme="minorHAnsi" w:hAnsiTheme="minorHAnsi" w:cstheme="minorHAnsi"/>
          <w:i w:val="0"/>
        </w:rPr>
        <w:t xml:space="preserve"> dokumentace FN.</w:t>
      </w:r>
    </w:p>
    <w:p w14:paraId="3D60A14B" w14:textId="15D836AF" w:rsidR="0027705E" w:rsidRPr="0075660A" w:rsidRDefault="0027705E" w:rsidP="00A22D79">
      <w:pPr>
        <w:pStyle w:val="Zdroj"/>
        <w:spacing w:after="120"/>
        <w:ind w:left="567" w:hanging="567"/>
        <w:rPr>
          <w:rFonts w:asciiTheme="minorHAnsi" w:hAnsiTheme="minorHAnsi" w:cstheme="minorHAnsi"/>
          <w:i w:val="0"/>
        </w:rPr>
      </w:pPr>
      <w:r w:rsidRPr="0075660A">
        <w:rPr>
          <w:rFonts w:asciiTheme="minorHAnsi" w:hAnsiTheme="minorHAnsi" w:cstheme="minorHAnsi"/>
          <w:b/>
          <w:i w:val="0"/>
        </w:rPr>
        <w:t>Pozn</w:t>
      </w:r>
      <w:r w:rsidR="00A22D79">
        <w:rPr>
          <w:rFonts w:asciiTheme="minorHAnsi" w:hAnsiTheme="minorHAnsi" w:cstheme="minorHAnsi"/>
          <w:b/>
          <w:i w:val="0"/>
        </w:rPr>
        <w:t>.</w:t>
      </w:r>
      <w:r w:rsidRPr="0075660A">
        <w:rPr>
          <w:rFonts w:asciiTheme="minorHAnsi" w:hAnsiTheme="minorHAnsi" w:cstheme="minorHAnsi"/>
          <w:b/>
          <w:i w:val="0"/>
        </w:rPr>
        <w:t>:</w:t>
      </w:r>
      <w:r w:rsidRPr="0075660A">
        <w:rPr>
          <w:rFonts w:asciiTheme="minorHAnsi" w:hAnsiTheme="minorHAnsi" w:cstheme="minorHAnsi"/>
          <w:i w:val="0"/>
        </w:rPr>
        <w:t xml:space="preserve"> Jednalo se o shodný kontrolní vzorek 15 druhů </w:t>
      </w:r>
      <w:proofErr w:type="spellStart"/>
      <w:r w:rsidRPr="0075660A">
        <w:rPr>
          <w:rFonts w:asciiTheme="minorHAnsi" w:hAnsiTheme="minorHAnsi" w:cstheme="minorHAnsi"/>
          <w:i w:val="0"/>
        </w:rPr>
        <w:t>centrových</w:t>
      </w:r>
      <w:proofErr w:type="spellEnd"/>
      <w:r w:rsidRPr="0075660A">
        <w:rPr>
          <w:rFonts w:asciiTheme="minorHAnsi" w:hAnsiTheme="minorHAnsi" w:cstheme="minorHAnsi"/>
          <w:i w:val="0"/>
        </w:rPr>
        <w:t xml:space="preserve"> léků, 15 druhů léčiv skupiny ATC</w:t>
      </w:r>
      <w:r w:rsidR="00D80747">
        <w:rPr>
          <w:rFonts w:asciiTheme="minorHAnsi" w:hAnsiTheme="minorHAnsi" w:cstheme="minorHAnsi"/>
          <w:i w:val="0"/>
        </w:rPr>
        <w:t> </w:t>
      </w:r>
      <w:r w:rsidR="0084608E">
        <w:rPr>
          <w:rFonts w:asciiTheme="minorHAnsi" w:hAnsiTheme="minorHAnsi" w:cstheme="minorHAnsi"/>
          <w:i w:val="0"/>
        </w:rPr>
        <w:t>–</w:t>
      </w:r>
      <w:r w:rsidR="00D80747">
        <w:rPr>
          <w:rFonts w:asciiTheme="minorHAnsi" w:hAnsiTheme="minorHAnsi" w:cstheme="minorHAnsi"/>
          <w:i w:val="0"/>
        </w:rPr>
        <w:t> </w:t>
      </w:r>
      <w:r w:rsidRPr="0075660A">
        <w:rPr>
          <w:rFonts w:asciiTheme="minorHAnsi" w:hAnsiTheme="minorHAnsi" w:cstheme="minorHAnsi"/>
          <w:i w:val="0"/>
        </w:rPr>
        <w:t xml:space="preserve">J a 10 druhů </w:t>
      </w:r>
      <w:proofErr w:type="spellStart"/>
      <w:r w:rsidRPr="0075660A">
        <w:rPr>
          <w:rFonts w:asciiTheme="minorHAnsi" w:hAnsiTheme="minorHAnsi" w:cstheme="minorHAnsi"/>
          <w:i w:val="0"/>
        </w:rPr>
        <w:t>ZPr</w:t>
      </w:r>
      <w:proofErr w:type="spellEnd"/>
      <w:r w:rsidRPr="0075660A">
        <w:rPr>
          <w:rFonts w:asciiTheme="minorHAnsi" w:hAnsiTheme="minorHAnsi" w:cstheme="minorHAnsi"/>
          <w:i w:val="0"/>
        </w:rPr>
        <w:t>, resp. SZM.</w:t>
      </w:r>
    </w:p>
    <w:bookmarkEnd w:id="5"/>
    <w:p w14:paraId="0077C1B7" w14:textId="010EF7B6" w:rsidR="0027705E" w:rsidRPr="0027705E" w:rsidRDefault="0027705E" w:rsidP="00D80747">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NKÚ na kontrolním vzorku shodných léčivých přípravků a </w:t>
      </w:r>
      <w:proofErr w:type="spellStart"/>
      <w:r w:rsidRPr="0075660A">
        <w:rPr>
          <w:rFonts w:asciiTheme="minorHAnsi" w:hAnsiTheme="minorHAnsi" w:cstheme="minorHAnsi"/>
          <w:sz w:val="24"/>
          <w:szCs w:val="24"/>
        </w:rPr>
        <w:t>ZPr</w:t>
      </w:r>
      <w:proofErr w:type="spellEnd"/>
      <w:r w:rsidRPr="0075660A">
        <w:rPr>
          <w:rFonts w:asciiTheme="minorHAnsi" w:hAnsiTheme="minorHAnsi" w:cstheme="minorHAnsi"/>
          <w:sz w:val="24"/>
          <w:szCs w:val="24"/>
        </w:rPr>
        <w:t xml:space="preserve"> (resp. spotřebního zdravotního materiálu, dále také „SZM“) provedl porovnání jednotkových</w:t>
      </w:r>
      <w:r w:rsidR="0001663D">
        <w:rPr>
          <w:rStyle w:val="Znakapoznpodarou"/>
          <w:rFonts w:asciiTheme="minorHAnsi" w:hAnsiTheme="minorHAnsi"/>
          <w:sz w:val="24"/>
          <w:szCs w:val="24"/>
        </w:rPr>
        <w:footnoteReference w:id="21"/>
      </w:r>
      <w:r w:rsidRPr="0075660A">
        <w:rPr>
          <w:rFonts w:asciiTheme="minorHAnsi" w:hAnsiTheme="minorHAnsi" w:cstheme="minorHAnsi"/>
          <w:sz w:val="24"/>
          <w:szCs w:val="24"/>
        </w:rPr>
        <w:t xml:space="preserve"> nákupních cen jednotlivých FN a zjistil značné rozdíly</w:t>
      </w:r>
      <w:r>
        <w:rPr>
          <w:rFonts w:asciiTheme="minorHAnsi" w:hAnsiTheme="minorHAnsi" w:cstheme="minorHAnsi"/>
          <w:sz w:val="24"/>
          <w:szCs w:val="24"/>
        </w:rPr>
        <w:t xml:space="preserve"> v jednotlivých letech u </w:t>
      </w:r>
      <w:proofErr w:type="spellStart"/>
      <w:r w:rsidRPr="0027705E">
        <w:rPr>
          <w:rFonts w:asciiTheme="minorHAnsi" w:hAnsiTheme="minorHAnsi" w:cstheme="minorHAnsi"/>
          <w:sz w:val="24"/>
          <w:szCs w:val="24"/>
        </w:rPr>
        <w:t>centrových</w:t>
      </w:r>
      <w:proofErr w:type="spellEnd"/>
      <w:r w:rsidRPr="0027705E">
        <w:rPr>
          <w:rFonts w:asciiTheme="minorHAnsi" w:hAnsiTheme="minorHAnsi" w:cstheme="minorHAnsi"/>
          <w:sz w:val="24"/>
          <w:szCs w:val="24"/>
        </w:rPr>
        <w:t xml:space="preserve"> léků až 91,0 % za balení</w:t>
      </w:r>
      <w:r>
        <w:rPr>
          <w:rFonts w:asciiTheme="minorHAnsi" w:hAnsiTheme="minorHAnsi" w:cstheme="minorHAnsi"/>
          <w:sz w:val="24"/>
          <w:szCs w:val="24"/>
        </w:rPr>
        <w:t xml:space="preserve">, u </w:t>
      </w:r>
      <w:r w:rsidRPr="0027705E">
        <w:rPr>
          <w:rFonts w:asciiTheme="minorHAnsi" w:hAnsiTheme="minorHAnsi" w:cstheme="minorHAnsi"/>
          <w:sz w:val="24"/>
          <w:szCs w:val="24"/>
        </w:rPr>
        <w:t>léčiv skupiny ATC – J</w:t>
      </w:r>
      <w:r w:rsidRPr="0075660A">
        <w:rPr>
          <w:rStyle w:val="Znakapoznpodarou"/>
          <w:rFonts w:asciiTheme="minorHAnsi" w:hAnsiTheme="minorHAnsi" w:cstheme="minorHAnsi"/>
          <w:sz w:val="24"/>
          <w:szCs w:val="24"/>
        </w:rPr>
        <w:footnoteReference w:id="22"/>
      </w:r>
      <w:r>
        <w:rPr>
          <w:rFonts w:asciiTheme="minorHAnsi" w:hAnsiTheme="minorHAnsi" w:cstheme="minorHAnsi"/>
          <w:sz w:val="24"/>
          <w:szCs w:val="24"/>
        </w:rPr>
        <w:t xml:space="preserve"> </w:t>
      </w:r>
      <w:r w:rsidRPr="0027705E">
        <w:rPr>
          <w:rFonts w:asciiTheme="minorHAnsi" w:hAnsiTheme="minorHAnsi" w:cstheme="minorHAnsi"/>
          <w:sz w:val="24"/>
          <w:szCs w:val="24"/>
        </w:rPr>
        <w:t>až 309,2 %</w:t>
      </w:r>
      <w:r w:rsidRPr="0075660A">
        <w:rPr>
          <w:rStyle w:val="Znakapoznpodarou"/>
          <w:rFonts w:asciiTheme="minorHAnsi" w:hAnsiTheme="minorHAnsi" w:cstheme="minorHAnsi"/>
          <w:sz w:val="24"/>
          <w:szCs w:val="24"/>
        </w:rPr>
        <w:footnoteReference w:id="23"/>
      </w:r>
      <w:r w:rsidRPr="0027705E">
        <w:rPr>
          <w:rFonts w:asciiTheme="minorHAnsi" w:hAnsiTheme="minorHAnsi" w:cstheme="minorHAnsi"/>
          <w:sz w:val="24"/>
          <w:szCs w:val="24"/>
        </w:rPr>
        <w:t xml:space="preserve"> za balení</w:t>
      </w:r>
      <w:r>
        <w:rPr>
          <w:rFonts w:asciiTheme="minorHAnsi" w:hAnsiTheme="minorHAnsi" w:cstheme="minorHAnsi"/>
          <w:sz w:val="24"/>
          <w:szCs w:val="24"/>
        </w:rPr>
        <w:t xml:space="preserve"> a u </w:t>
      </w:r>
      <w:proofErr w:type="spellStart"/>
      <w:r w:rsidRPr="0027705E">
        <w:rPr>
          <w:rFonts w:asciiTheme="minorHAnsi" w:hAnsiTheme="minorHAnsi" w:cstheme="minorHAnsi"/>
          <w:sz w:val="24"/>
          <w:szCs w:val="24"/>
        </w:rPr>
        <w:t>ZPr</w:t>
      </w:r>
      <w:proofErr w:type="spellEnd"/>
      <w:r w:rsidRPr="0027705E">
        <w:rPr>
          <w:rFonts w:asciiTheme="minorHAnsi" w:hAnsiTheme="minorHAnsi" w:cstheme="minorHAnsi"/>
          <w:sz w:val="24"/>
          <w:szCs w:val="24"/>
        </w:rPr>
        <w:t>, resp. SZM</w:t>
      </w:r>
      <w:r>
        <w:rPr>
          <w:rFonts w:asciiTheme="minorHAnsi" w:hAnsiTheme="minorHAnsi" w:cstheme="minorHAnsi"/>
          <w:sz w:val="24"/>
          <w:szCs w:val="24"/>
        </w:rPr>
        <w:t xml:space="preserve"> </w:t>
      </w:r>
      <w:r w:rsidRPr="0027705E">
        <w:rPr>
          <w:rFonts w:asciiTheme="minorHAnsi" w:hAnsiTheme="minorHAnsi" w:cstheme="minorHAnsi"/>
          <w:sz w:val="24"/>
          <w:szCs w:val="24"/>
        </w:rPr>
        <w:t>až 252,6 % za kus.</w:t>
      </w:r>
    </w:p>
    <w:p w14:paraId="5979F8C7" w14:textId="1F6C02E1" w:rsidR="00BF734E" w:rsidRPr="0075660A" w:rsidRDefault="00970A2F" w:rsidP="00D80747">
      <w:pPr>
        <w:keepNext/>
        <w:spacing w:before="240" w:after="120"/>
        <w:jc w:val="both"/>
        <w:rPr>
          <w:rFonts w:asciiTheme="minorHAnsi" w:hAnsiTheme="minorHAnsi" w:cstheme="minorHAnsi"/>
          <w:b/>
          <w:sz w:val="24"/>
          <w:szCs w:val="24"/>
        </w:rPr>
      </w:pPr>
      <w:r w:rsidRPr="0075660A">
        <w:rPr>
          <w:rFonts w:asciiTheme="minorHAnsi" w:hAnsiTheme="minorHAnsi" w:cstheme="minorHAnsi"/>
          <w:b/>
          <w:sz w:val="24"/>
          <w:szCs w:val="24"/>
        </w:rPr>
        <w:t>5</w:t>
      </w:r>
      <w:r w:rsidR="00B60C67">
        <w:rPr>
          <w:rFonts w:asciiTheme="minorHAnsi" w:hAnsiTheme="minorHAnsi" w:cstheme="minorHAnsi"/>
          <w:b/>
          <w:sz w:val="24"/>
          <w:szCs w:val="24"/>
        </w:rPr>
        <w:t>.</w:t>
      </w:r>
      <w:r w:rsidRPr="0075660A">
        <w:rPr>
          <w:rFonts w:asciiTheme="minorHAnsi" w:hAnsiTheme="minorHAnsi" w:cstheme="minorHAnsi"/>
          <w:b/>
          <w:sz w:val="24"/>
          <w:szCs w:val="24"/>
        </w:rPr>
        <w:t xml:space="preserve"> </w:t>
      </w:r>
      <w:r w:rsidR="00E57EAC" w:rsidRPr="0075660A">
        <w:rPr>
          <w:rFonts w:asciiTheme="minorHAnsi" w:hAnsiTheme="minorHAnsi" w:cstheme="minorHAnsi"/>
          <w:b/>
          <w:sz w:val="24"/>
          <w:szCs w:val="24"/>
        </w:rPr>
        <w:t>Registr smluv</w:t>
      </w:r>
    </w:p>
    <w:p w14:paraId="307DD26F" w14:textId="390D1AB2" w:rsidR="004274A0" w:rsidRPr="0075660A" w:rsidRDefault="00203AD5" w:rsidP="00D80747">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V rozporu se </w:t>
      </w:r>
      <w:r w:rsidR="00B8560B" w:rsidRPr="00E94367">
        <w:rPr>
          <w:rFonts w:asciiTheme="minorHAnsi" w:hAnsiTheme="minorHAnsi" w:cstheme="minorHAnsi"/>
          <w:sz w:val="24"/>
          <w:szCs w:val="24"/>
        </w:rPr>
        <w:t>zákon</w:t>
      </w:r>
      <w:r w:rsidRPr="00E94367">
        <w:rPr>
          <w:rFonts w:asciiTheme="minorHAnsi" w:hAnsiTheme="minorHAnsi" w:cstheme="minorHAnsi"/>
          <w:sz w:val="24"/>
          <w:szCs w:val="24"/>
        </w:rPr>
        <w:t>em</w:t>
      </w:r>
      <w:r w:rsidR="00B8560B" w:rsidRPr="00E94367">
        <w:rPr>
          <w:rFonts w:asciiTheme="minorHAnsi" w:hAnsiTheme="minorHAnsi" w:cstheme="minorHAnsi"/>
          <w:sz w:val="24"/>
          <w:szCs w:val="24"/>
        </w:rPr>
        <w:t xml:space="preserve"> o registru smluv</w:t>
      </w:r>
      <w:r w:rsidR="00B8560B" w:rsidRPr="00E94367">
        <w:rPr>
          <w:rStyle w:val="Znakapoznpodarou"/>
          <w:rFonts w:asciiTheme="minorHAnsi" w:hAnsiTheme="minorHAnsi" w:cstheme="minorHAnsi"/>
          <w:sz w:val="24"/>
          <w:szCs w:val="24"/>
        </w:rPr>
        <w:footnoteReference w:id="24"/>
      </w:r>
      <w:r w:rsidRPr="00E94367">
        <w:rPr>
          <w:rFonts w:asciiTheme="minorHAnsi" w:hAnsiTheme="minorHAnsi" w:cstheme="minorHAnsi"/>
          <w:sz w:val="24"/>
          <w:szCs w:val="24"/>
        </w:rPr>
        <w:t xml:space="preserve"> </w:t>
      </w:r>
      <w:r w:rsidR="004274A0" w:rsidRPr="00E94367">
        <w:rPr>
          <w:rFonts w:asciiTheme="minorHAnsi" w:hAnsiTheme="minorHAnsi" w:cstheme="minorHAnsi"/>
          <w:sz w:val="24"/>
          <w:szCs w:val="24"/>
        </w:rPr>
        <w:t xml:space="preserve">FN </w:t>
      </w:r>
      <w:r w:rsidR="007A7FDC">
        <w:rPr>
          <w:rFonts w:asciiTheme="minorHAnsi" w:hAnsiTheme="minorHAnsi" w:cstheme="minorHAnsi"/>
          <w:sz w:val="24"/>
          <w:szCs w:val="24"/>
        </w:rPr>
        <w:t xml:space="preserve">nezaslaly k uveřejnění </w:t>
      </w:r>
      <w:r w:rsidRPr="00E94367">
        <w:rPr>
          <w:rFonts w:asciiTheme="minorHAnsi" w:hAnsiTheme="minorHAnsi" w:cstheme="minorHAnsi"/>
          <w:sz w:val="24"/>
          <w:szCs w:val="24"/>
        </w:rPr>
        <w:t xml:space="preserve">celkem 123 smluv </w:t>
      </w:r>
      <w:r w:rsidR="004274A0" w:rsidRPr="00E94367">
        <w:rPr>
          <w:rFonts w:asciiTheme="minorHAnsi" w:hAnsiTheme="minorHAnsi" w:cstheme="minorHAnsi"/>
          <w:sz w:val="24"/>
          <w:szCs w:val="24"/>
        </w:rPr>
        <w:t xml:space="preserve">prostřednictvím registru smluv </w:t>
      </w:r>
      <w:r w:rsidR="00C26FED" w:rsidRPr="00E94367">
        <w:rPr>
          <w:rFonts w:asciiTheme="minorHAnsi" w:hAnsiTheme="minorHAnsi" w:cstheme="minorHAnsi"/>
          <w:sz w:val="24"/>
          <w:szCs w:val="24"/>
        </w:rPr>
        <w:t xml:space="preserve">v </w:t>
      </w:r>
      <w:r w:rsidR="004274A0" w:rsidRPr="00E94367">
        <w:rPr>
          <w:rFonts w:asciiTheme="minorHAnsi" w:hAnsiTheme="minorHAnsi" w:cstheme="minorHAnsi"/>
          <w:sz w:val="24"/>
          <w:szCs w:val="24"/>
        </w:rPr>
        <w:t>požadovaném rozsahu</w:t>
      </w:r>
      <w:r w:rsidR="004274A0" w:rsidRPr="00E94367">
        <w:rPr>
          <w:rStyle w:val="Znakapoznpodarou"/>
          <w:rFonts w:asciiTheme="minorHAnsi" w:hAnsiTheme="minorHAnsi" w:cstheme="minorHAnsi"/>
          <w:sz w:val="24"/>
          <w:szCs w:val="24"/>
        </w:rPr>
        <w:footnoteReference w:id="25"/>
      </w:r>
      <w:r w:rsidR="004274A0" w:rsidRPr="00E94367">
        <w:rPr>
          <w:rFonts w:asciiTheme="minorHAnsi" w:hAnsiTheme="minorHAnsi" w:cstheme="minorHAnsi"/>
          <w:sz w:val="24"/>
          <w:szCs w:val="24"/>
        </w:rPr>
        <w:t xml:space="preserve"> nebo ve stanovené lhůtě</w:t>
      </w:r>
      <w:r w:rsidR="004274A0" w:rsidRPr="00E94367">
        <w:rPr>
          <w:rStyle w:val="Znakapoznpodarou"/>
          <w:rFonts w:asciiTheme="minorHAnsi" w:hAnsiTheme="minorHAnsi" w:cstheme="minorHAnsi"/>
          <w:sz w:val="24"/>
          <w:szCs w:val="24"/>
        </w:rPr>
        <w:footnoteReference w:id="26"/>
      </w:r>
      <w:r w:rsidR="004106C7" w:rsidRPr="00E94367">
        <w:rPr>
          <w:rFonts w:asciiTheme="minorHAnsi" w:hAnsiTheme="minorHAnsi" w:cstheme="minorHAnsi"/>
          <w:sz w:val="24"/>
          <w:szCs w:val="24"/>
        </w:rPr>
        <w:t xml:space="preserve">, 11 z nich </w:t>
      </w:r>
      <w:r w:rsidRPr="00E94367">
        <w:rPr>
          <w:rFonts w:asciiTheme="minorHAnsi" w:hAnsiTheme="minorHAnsi" w:cstheme="minorHAnsi"/>
          <w:sz w:val="24"/>
          <w:szCs w:val="24"/>
        </w:rPr>
        <w:t xml:space="preserve">tak </w:t>
      </w:r>
      <w:r w:rsidR="004106C7" w:rsidRPr="00E94367">
        <w:rPr>
          <w:rFonts w:asciiTheme="minorHAnsi" w:hAnsiTheme="minorHAnsi" w:cstheme="minorHAnsi"/>
          <w:sz w:val="24"/>
          <w:szCs w:val="24"/>
        </w:rPr>
        <w:t>bylo zrušeno od počátku</w:t>
      </w:r>
      <w:r w:rsidR="004600DE" w:rsidRPr="00E94367">
        <w:rPr>
          <w:rStyle w:val="Znakapoznpodarou"/>
          <w:rFonts w:asciiTheme="minorHAnsi" w:hAnsiTheme="minorHAnsi"/>
          <w:sz w:val="24"/>
          <w:szCs w:val="24"/>
        </w:rPr>
        <w:footnoteReference w:id="27"/>
      </w:r>
      <w:r w:rsidR="00750FBE" w:rsidRPr="00E94367">
        <w:rPr>
          <w:rFonts w:asciiTheme="minorHAnsi" w:hAnsiTheme="minorHAnsi" w:cstheme="minorHAnsi"/>
          <w:sz w:val="24"/>
          <w:szCs w:val="24"/>
        </w:rPr>
        <w:t xml:space="preserve">. NKÚ zjištěné skutečnosti vyhodnotil jako </w:t>
      </w:r>
      <w:r w:rsidR="00184327" w:rsidRPr="00E94367">
        <w:rPr>
          <w:rFonts w:asciiTheme="minorHAnsi" w:hAnsiTheme="minorHAnsi" w:cstheme="minorHAnsi"/>
          <w:sz w:val="24"/>
          <w:szCs w:val="24"/>
        </w:rPr>
        <w:t>skutečnosti nasvědčující porušení rozpočtové kázně</w:t>
      </w:r>
      <w:r w:rsidR="00D8522B">
        <w:rPr>
          <w:rFonts w:asciiTheme="minorHAnsi" w:hAnsiTheme="minorHAnsi" w:cstheme="minorHAnsi"/>
          <w:sz w:val="24"/>
          <w:szCs w:val="24"/>
          <w:vertAlign w:val="superscript"/>
        </w:rPr>
        <w:t>19</w:t>
      </w:r>
      <w:r w:rsidR="004106C7" w:rsidRPr="00E94367">
        <w:rPr>
          <w:rFonts w:asciiTheme="minorHAnsi" w:hAnsiTheme="minorHAnsi" w:cstheme="minorHAnsi"/>
          <w:sz w:val="24"/>
          <w:szCs w:val="24"/>
        </w:rPr>
        <w:t xml:space="preserve"> minimálně ve výši</w:t>
      </w:r>
      <w:r w:rsidR="004106C7" w:rsidRPr="0075660A">
        <w:rPr>
          <w:rFonts w:asciiTheme="minorHAnsi" w:hAnsiTheme="minorHAnsi" w:cstheme="minorHAnsi"/>
          <w:sz w:val="24"/>
          <w:szCs w:val="24"/>
        </w:rPr>
        <w:t xml:space="preserve"> 2,1 mil. Kč.</w:t>
      </w:r>
    </w:p>
    <w:p w14:paraId="54535BC6" w14:textId="113B572B" w:rsidR="00246D13" w:rsidRPr="0075660A" w:rsidRDefault="00246D13" w:rsidP="002F4E48">
      <w:pPr>
        <w:widowControl/>
        <w:shd w:val="clear" w:color="auto" w:fill="FFFFFF"/>
        <w:spacing w:before="720" w:after="240"/>
        <w:jc w:val="center"/>
        <w:rPr>
          <w:rFonts w:asciiTheme="minorHAnsi" w:hAnsiTheme="minorHAnsi" w:cstheme="minorHAnsi"/>
          <w:sz w:val="28"/>
          <w:szCs w:val="28"/>
        </w:rPr>
      </w:pPr>
      <w:r w:rsidRPr="0075660A">
        <w:rPr>
          <w:rFonts w:asciiTheme="minorHAnsi" w:hAnsiTheme="minorHAnsi" w:cstheme="minorHAnsi"/>
          <w:b/>
          <w:bCs/>
          <w:sz w:val="28"/>
          <w:szCs w:val="28"/>
        </w:rPr>
        <w:t>II.</w:t>
      </w:r>
      <w:r w:rsidR="005071B3" w:rsidRPr="0075660A">
        <w:rPr>
          <w:rFonts w:asciiTheme="minorHAnsi" w:hAnsiTheme="minorHAnsi" w:cstheme="minorHAnsi"/>
          <w:b/>
          <w:bCs/>
          <w:sz w:val="28"/>
          <w:szCs w:val="28"/>
        </w:rPr>
        <w:t xml:space="preserve"> </w:t>
      </w:r>
      <w:r w:rsidRPr="0075660A">
        <w:rPr>
          <w:rFonts w:asciiTheme="minorHAnsi" w:hAnsiTheme="minorHAnsi" w:cstheme="minorHAnsi"/>
          <w:b/>
          <w:bCs/>
          <w:sz w:val="28"/>
          <w:szCs w:val="28"/>
        </w:rPr>
        <w:t>Informace o kontrolovan</w:t>
      </w:r>
      <w:r w:rsidRPr="0075660A">
        <w:rPr>
          <w:rFonts w:asciiTheme="minorHAnsi" w:eastAsia="Times New Roman" w:hAnsiTheme="minorHAnsi" w:cstheme="minorHAnsi"/>
          <w:b/>
          <w:bCs/>
          <w:sz w:val="28"/>
          <w:szCs w:val="28"/>
        </w:rPr>
        <w:t>é oblasti</w:t>
      </w:r>
    </w:p>
    <w:p w14:paraId="7EC4255C" w14:textId="6E3F5215" w:rsidR="00741D78" w:rsidRPr="0075660A" w:rsidRDefault="00741D78" w:rsidP="009E4BD5">
      <w:pPr>
        <w:keepNext/>
        <w:widowControl/>
        <w:autoSpaceDE/>
        <w:autoSpaceDN/>
        <w:adjustRightInd/>
        <w:spacing w:before="240" w:after="120"/>
        <w:jc w:val="both"/>
        <w:rPr>
          <w:rFonts w:asciiTheme="minorHAnsi" w:eastAsia="Times New Roman" w:hAnsiTheme="minorHAnsi" w:cstheme="minorHAnsi"/>
          <w:b/>
          <w:sz w:val="24"/>
          <w:szCs w:val="24"/>
        </w:rPr>
      </w:pPr>
      <w:r w:rsidRPr="0075660A">
        <w:rPr>
          <w:rFonts w:asciiTheme="minorHAnsi" w:eastAsia="Times New Roman" w:hAnsiTheme="minorHAnsi" w:cstheme="minorHAnsi"/>
          <w:b/>
          <w:sz w:val="24"/>
          <w:szCs w:val="24"/>
        </w:rPr>
        <w:t xml:space="preserve">Ministerstvo zdravotnictví </w:t>
      </w:r>
    </w:p>
    <w:p w14:paraId="0399C154" w14:textId="50516DDB" w:rsidR="00741D78" w:rsidRPr="0075660A" w:rsidRDefault="00741D78" w:rsidP="009E4BD5">
      <w:pPr>
        <w:widowControl/>
        <w:autoSpaceDE/>
        <w:autoSpaceDN/>
        <w:adjustRightInd/>
        <w:spacing w:before="120" w:after="120"/>
        <w:jc w:val="both"/>
        <w:rPr>
          <w:rFonts w:asciiTheme="minorHAnsi" w:eastAsia="Times New Roman" w:hAnsiTheme="minorHAnsi" w:cstheme="minorHAnsi"/>
          <w:sz w:val="24"/>
          <w:szCs w:val="24"/>
        </w:rPr>
      </w:pPr>
      <w:r w:rsidRPr="0075660A">
        <w:rPr>
          <w:rFonts w:asciiTheme="minorHAnsi" w:eastAsia="Times New Roman" w:hAnsiTheme="minorHAnsi" w:cstheme="minorHAnsi"/>
          <w:sz w:val="24"/>
          <w:szCs w:val="24"/>
        </w:rPr>
        <w:t xml:space="preserve">Je ústředním orgánem státní správy mj. pro zdravotní služby, ochranu veřejného zdraví, zdravotnickou vědeckovýzkumnou činnost a poskytovatele zdravotních služeb v přímé řídicí působnosti. </w:t>
      </w:r>
      <w:proofErr w:type="spellStart"/>
      <w:r w:rsidRPr="0075660A">
        <w:rPr>
          <w:rFonts w:asciiTheme="minorHAnsi" w:eastAsia="Times New Roman" w:hAnsiTheme="minorHAnsi" w:cstheme="minorHAnsi"/>
          <w:sz w:val="24"/>
          <w:szCs w:val="24"/>
        </w:rPr>
        <w:t>MZ</w:t>
      </w:r>
      <w:r w:rsidR="009C1A32">
        <w:rPr>
          <w:rFonts w:asciiTheme="minorHAnsi" w:eastAsia="Times New Roman" w:hAnsiTheme="minorHAnsi" w:cstheme="minorHAnsi"/>
          <w:sz w:val="24"/>
          <w:szCs w:val="24"/>
        </w:rPr>
        <w:t>d</w:t>
      </w:r>
      <w:proofErr w:type="spellEnd"/>
      <w:r w:rsidRPr="0075660A">
        <w:rPr>
          <w:rFonts w:asciiTheme="minorHAnsi" w:eastAsia="Times New Roman" w:hAnsiTheme="minorHAnsi" w:cstheme="minorHAnsi"/>
          <w:sz w:val="24"/>
          <w:szCs w:val="24"/>
        </w:rPr>
        <w:t xml:space="preserve"> je organizační složkou státu a je účetní jednotkou dle zákona </w:t>
      </w:r>
      <w:r w:rsidR="00203F6F" w:rsidRPr="0075660A">
        <w:rPr>
          <w:rFonts w:asciiTheme="minorHAnsi" w:eastAsia="Times New Roman" w:hAnsiTheme="minorHAnsi" w:cstheme="minorHAnsi"/>
          <w:sz w:val="24"/>
          <w:szCs w:val="24"/>
        </w:rPr>
        <w:t>o účetnictví</w:t>
      </w:r>
      <w:r w:rsidR="00203F6F" w:rsidRPr="0075660A">
        <w:rPr>
          <w:rStyle w:val="Znakapoznpodarou"/>
          <w:rFonts w:asciiTheme="minorHAnsi" w:eastAsia="Times New Roman" w:hAnsiTheme="minorHAnsi" w:cstheme="minorHAnsi"/>
          <w:sz w:val="24"/>
          <w:szCs w:val="24"/>
        </w:rPr>
        <w:footnoteReference w:id="28"/>
      </w:r>
      <w:r w:rsidR="0071286C" w:rsidRPr="0075660A">
        <w:rPr>
          <w:rFonts w:asciiTheme="minorHAnsi" w:eastAsia="Times New Roman" w:hAnsiTheme="minorHAnsi" w:cstheme="minorHAnsi"/>
          <w:sz w:val="24"/>
          <w:szCs w:val="24"/>
        </w:rPr>
        <w:t>.</w:t>
      </w:r>
      <w:r w:rsidR="00E56D3F">
        <w:rPr>
          <w:rFonts w:asciiTheme="minorHAnsi" w:eastAsia="Times New Roman" w:hAnsiTheme="minorHAnsi" w:cstheme="minorHAnsi"/>
          <w:sz w:val="24"/>
          <w:szCs w:val="24"/>
        </w:rPr>
        <w:t xml:space="preserve"> </w:t>
      </w:r>
      <w:proofErr w:type="spellStart"/>
      <w:r w:rsidRPr="0075660A">
        <w:rPr>
          <w:rFonts w:asciiTheme="minorHAnsi" w:eastAsia="Times New Roman" w:hAnsiTheme="minorHAnsi" w:cstheme="minorHAnsi"/>
          <w:sz w:val="24"/>
          <w:szCs w:val="24"/>
        </w:rPr>
        <w:t>MZ</w:t>
      </w:r>
      <w:r w:rsidR="009C1A32">
        <w:rPr>
          <w:rFonts w:asciiTheme="minorHAnsi" w:eastAsia="Times New Roman" w:hAnsiTheme="minorHAnsi" w:cstheme="minorHAnsi"/>
          <w:sz w:val="24"/>
          <w:szCs w:val="24"/>
        </w:rPr>
        <w:t>d</w:t>
      </w:r>
      <w:proofErr w:type="spellEnd"/>
      <w:r w:rsidRPr="0075660A">
        <w:rPr>
          <w:rFonts w:asciiTheme="minorHAnsi" w:eastAsia="Times New Roman" w:hAnsiTheme="minorHAnsi" w:cstheme="minorHAnsi"/>
          <w:sz w:val="24"/>
          <w:szCs w:val="24"/>
        </w:rPr>
        <w:t xml:space="preserve"> </w:t>
      </w:r>
      <w:r w:rsidR="00DE336F" w:rsidRPr="0075660A">
        <w:rPr>
          <w:rFonts w:asciiTheme="minorHAnsi" w:eastAsia="Times New Roman" w:hAnsiTheme="minorHAnsi" w:cstheme="minorHAnsi"/>
          <w:sz w:val="24"/>
          <w:szCs w:val="24"/>
        </w:rPr>
        <w:t>je zřizovatelem</w:t>
      </w:r>
      <w:r w:rsidRPr="0075660A">
        <w:rPr>
          <w:rFonts w:asciiTheme="minorHAnsi" w:eastAsia="Times New Roman" w:hAnsiTheme="minorHAnsi" w:cstheme="minorHAnsi"/>
          <w:sz w:val="24"/>
          <w:szCs w:val="24"/>
        </w:rPr>
        <w:t xml:space="preserve"> příspěvkový</w:t>
      </w:r>
      <w:r w:rsidR="00DE336F" w:rsidRPr="0075660A">
        <w:rPr>
          <w:rFonts w:asciiTheme="minorHAnsi" w:eastAsia="Times New Roman" w:hAnsiTheme="minorHAnsi" w:cstheme="minorHAnsi"/>
          <w:sz w:val="24"/>
          <w:szCs w:val="24"/>
        </w:rPr>
        <w:t>ch</w:t>
      </w:r>
      <w:r w:rsidRPr="0075660A">
        <w:rPr>
          <w:rFonts w:asciiTheme="minorHAnsi" w:eastAsia="Times New Roman" w:hAnsiTheme="minorHAnsi" w:cstheme="minorHAnsi"/>
          <w:sz w:val="24"/>
          <w:szCs w:val="24"/>
        </w:rPr>
        <w:t xml:space="preserve"> organizací</w:t>
      </w:r>
      <w:r w:rsidR="00431E17">
        <w:rPr>
          <w:rFonts w:asciiTheme="minorHAnsi" w:eastAsia="Times New Roman" w:hAnsiTheme="minorHAnsi" w:cstheme="minorHAnsi"/>
          <w:sz w:val="24"/>
          <w:szCs w:val="24"/>
        </w:rPr>
        <w:t>, mj. fakultních nemocnic.</w:t>
      </w:r>
    </w:p>
    <w:p w14:paraId="08E141CC" w14:textId="5EF0405A" w:rsidR="00741D78" w:rsidRPr="0075660A" w:rsidRDefault="00741D78" w:rsidP="009E4BD5">
      <w:pPr>
        <w:widowControl/>
        <w:autoSpaceDE/>
        <w:autoSpaceDN/>
        <w:adjustRightInd/>
        <w:spacing w:before="120" w:after="120"/>
        <w:jc w:val="both"/>
        <w:rPr>
          <w:rFonts w:asciiTheme="minorHAnsi" w:eastAsia="Times New Roman" w:hAnsiTheme="minorHAnsi" w:cstheme="minorHAnsi"/>
          <w:sz w:val="24"/>
          <w:szCs w:val="24"/>
        </w:rPr>
      </w:pPr>
      <w:proofErr w:type="spellStart"/>
      <w:r w:rsidRPr="0075660A">
        <w:rPr>
          <w:rFonts w:asciiTheme="minorHAnsi" w:eastAsia="Times New Roman" w:hAnsiTheme="minorHAnsi" w:cstheme="minorHAnsi"/>
          <w:sz w:val="24"/>
          <w:szCs w:val="24"/>
        </w:rPr>
        <w:t>MZ</w:t>
      </w:r>
      <w:r w:rsidR="009C1A32">
        <w:rPr>
          <w:rFonts w:asciiTheme="minorHAnsi" w:eastAsia="Times New Roman" w:hAnsiTheme="minorHAnsi" w:cstheme="minorHAnsi"/>
          <w:sz w:val="24"/>
          <w:szCs w:val="24"/>
        </w:rPr>
        <w:t>d</w:t>
      </w:r>
      <w:proofErr w:type="spellEnd"/>
      <w:r w:rsidRPr="0075660A">
        <w:rPr>
          <w:rFonts w:asciiTheme="minorHAnsi" w:eastAsia="Times New Roman" w:hAnsiTheme="minorHAnsi" w:cstheme="minorHAnsi"/>
          <w:sz w:val="24"/>
          <w:szCs w:val="24"/>
        </w:rPr>
        <w:t xml:space="preserve"> zabezpečuje organizační, koordinační a metodic</w:t>
      </w:r>
      <w:r w:rsidR="007F327F" w:rsidRPr="0075660A">
        <w:rPr>
          <w:rFonts w:asciiTheme="minorHAnsi" w:eastAsia="Times New Roman" w:hAnsiTheme="minorHAnsi" w:cstheme="minorHAnsi"/>
          <w:sz w:val="24"/>
          <w:szCs w:val="24"/>
        </w:rPr>
        <w:t>ké</w:t>
      </w:r>
      <w:r w:rsidRPr="0075660A">
        <w:rPr>
          <w:rFonts w:asciiTheme="minorHAnsi" w:eastAsia="Times New Roman" w:hAnsiTheme="minorHAnsi" w:cstheme="minorHAnsi"/>
          <w:sz w:val="24"/>
          <w:szCs w:val="24"/>
        </w:rPr>
        <w:t xml:space="preserve"> řízení ve vztahu k vybraným přímo řízeným organizacím; koordinuje práci a realizuje úkoly v oblasti systému veřejného zdravotního pojištění a v oblasti lékové politiky, zejména cenové regulace a stanovení úhrad léčivých přípravků; připravuje materiály zásadní povahy v oblasti poskytování a úhrad zdravotní péče hrazené na základě veřejného zdravotního pojištění a podílí se na vytváření koncepce úhrad zdravotní péče.</w:t>
      </w:r>
    </w:p>
    <w:p w14:paraId="2A492A20" w14:textId="0E40AB6C" w:rsidR="00D27588" w:rsidRPr="0075660A" w:rsidRDefault="00495F47" w:rsidP="009E4BD5">
      <w:pPr>
        <w:keepNext/>
        <w:widowControl/>
        <w:spacing w:before="240" w:after="120"/>
        <w:jc w:val="both"/>
        <w:rPr>
          <w:rFonts w:asciiTheme="minorHAnsi" w:hAnsiTheme="minorHAnsi" w:cstheme="minorHAnsi"/>
          <w:b/>
          <w:sz w:val="24"/>
          <w:szCs w:val="24"/>
        </w:rPr>
      </w:pPr>
      <w:r w:rsidRPr="0075660A">
        <w:rPr>
          <w:rFonts w:asciiTheme="minorHAnsi" w:hAnsiTheme="minorHAnsi" w:cstheme="minorHAnsi"/>
          <w:b/>
          <w:sz w:val="24"/>
          <w:szCs w:val="24"/>
        </w:rPr>
        <w:t xml:space="preserve">Příspěvky </w:t>
      </w:r>
      <w:r w:rsidR="009A53B6">
        <w:rPr>
          <w:rFonts w:asciiTheme="minorHAnsi" w:hAnsiTheme="minorHAnsi" w:cstheme="minorHAnsi"/>
          <w:b/>
          <w:sz w:val="24"/>
          <w:szCs w:val="24"/>
        </w:rPr>
        <w:t>určené na</w:t>
      </w:r>
      <w:r w:rsidR="00D27588" w:rsidRPr="0075660A">
        <w:rPr>
          <w:rFonts w:asciiTheme="minorHAnsi" w:hAnsiTheme="minorHAnsi" w:cstheme="minorHAnsi"/>
          <w:b/>
          <w:sz w:val="24"/>
          <w:szCs w:val="24"/>
        </w:rPr>
        <w:t xml:space="preserve"> oddlužení, </w:t>
      </w:r>
      <w:r w:rsidR="00EC38AE" w:rsidRPr="0075660A">
        <w:rPr>
          <w:rFonts w:asciiTheme="minorHAnsi" w:hAnsiTheme="minorHAnsi" w:cstheme="minorHAnsi"/>
          <w:b/>
          <w:sz w:val="24"/>
          <w:szCs w:val="24"/>
        </w:rPr>
        <w:t>odměn</w:t>
      </w:r>
      <w:r w:rsidR="009A53B6">
        <w:rPr>
          <w:rFonts w:asciiTheme="minorHAnsi" w:hAnsiTheme="minorHAnsi" w:cstheme="minorHAnsi"/>
          <w:b/>
          <w:sz w:val="24"/>
          <w:szCs w:val="24"/>
        </w:rPr>
        <w:t>y</w:t>
      </w:r>
      <w:r w:rsidR="0071286C" w:rsidRPr="0075660A">
        <w:rPr>
          <w:rFonts w:asciiTheme="minorHAnsi" w:hAnsiTheme="minorHAnsi" w:cstheme="minorHAnsi"/>
          <w:b/>
          <w:sz w:val="24"/>
          <w:szCs w:val="24"/>
        </w:rPr>
        <w:t xml:space="preserve"> covid-19</w:t>
      </w:r>
      <w:r w:rsidR="00EC38AE" w:rsidRPr="0075660A">
        <w:rPr>
          <w:rFonts w:asciiTheme="minorHAnsi" w:hAnsiTheme="minorHAnsi" w:cstheme="minorHAnsi"/>
          <w:b/>
          <w:sz w:val="24"/>
          <w:szCs w:val="24"/>
        </w:rPr>
        <w:t xml:space="preserve"> </w:t>
      </w:r>
      <w:r w:rsidR="00D27588" w:rsidRPr="0075660A">
        <w:rPr>
          <w:rFonts w:asciiTheme="minorHAnsi" w:hAnsiTheme="minorHAnsi" w:cstheme="minorHAnsi"/>
          <w:b/>
          <w:sz w:val="24"/>
          <w:szCs w:val="24"/>
        </w:rPr>
        <w:t>a</w:t>
      </w:r>
      <w:r w:rsidR="00E56D3F">
        <w:rPr>
          <w:rFonts w:asciiTheme="minorHAnsi" w:hAnsiTheme="minorHAnsi" w:cstheme="minorHAnsi"/>
          <w:b/>
          <w:sz w:val="24"/>
          <w:szCs w:val="24"/>
        </w:rPr>
        <w:t> </w:t>
      </w:r>
      <w:r w:rsidR="0071286C" w:rsidRPr="0075660A">
        <w:rPr>
          <w:rFonts w:asciiTheme="minorHAnsi" w:hAnsiTheme="minorHAnsi" w:cstheme="minorHAnsi"/>
          <w:b/>
          <w:sz w:val="24"/>
          <w:szCs w:val="24"/>
        </w:rPr>
        <w:t>zřízení a</w:t>
      </w:r>
      <w:r w:rsidR="00AE2C96" w:rsidRPr="0075660A">
        <w:rPr>
          <w:rFonts w:asciiTheme="minorHAnsi" w:hAnsiTheme="minorHAnsi" w:cstheme="minorHAnsi"/>
          <w:b/>
          <w:sz w:val="24"/>
          <w:szCs w:val="24"/>
        </w:rPr>
        <w:t> </w:t>
      </w:r>
      <w:r w:rsidR="0071286C" w:rsidRPr="0075660A">
        <w:rPr>
          <w:rFonts w:asciiTheme="minorHAnsi" w:hAnsiTheme="minorHAnsi" w:cstheme="minorHAnsi"/>
          <w:b/>
          <w:sz w:val="24"/>
          <w:szCs w:val="24"/>
        </w:rPr>
        <w:t xml:space="preserve">provoz </w:t>
      </w:r>
      <w:r w:rsidR="00037B9A" w:rsidRPr="0075660A">
        <w:rPr>
          <w:rFonts w:asciiTheme="minorHAnsi" w:hAnsiTheme="minorHAnsi" w:cstheme="minorHAnsi"/>
          <w:b/>
          <w:sz w:val="24"/>
          <w:szCs w:val="24"/>
        </w:rPr>
        <w:t>PNL</w:t>
      </w:r>
    </w:p>
    <w:p w14:paraId="53E1E79D" w14:textId="288A6E80" w:rsidR="00D27588" w:rsidRPr="0075660A" w:rsidRDefault="00761E00" w:rsidP="009E4BD5">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FN obdržely od </w:t>
      </w:r>
      <w:proofErr w:type="spellStart"/>
      <w:r w:rsidRPr="0075660A">
        <w:rPr>
          <w:rFonts w:asciiTheme="minorHAnsi" w:hAnsiTheme="minorHAnsi" w:cstheme="minorHAnsi"/>
          <w:sz w:val="24"/>
          <w:szCs w:val="24"/>
        </w:rPr>
        <w:t>MZ</w:t>
      </w:r>
      <w:r w:rsidR="000D74CA">
        <w:rPr>
          <w:rFonts w:asciiTheme="minorHAnsi" w:hAnsiTheme="minorHAnsi" w:cstheme="minorHAnsi"/>
          <w:sz w:val="24"/>
          <w:szCs w:val="24"/>
        </w:rPr>
        <w:t>d</w:t>
      </w:r>
      <w:proofErr w:type="spellEnd"/>
      <w:r w:rsidRPr="0075660A">
        <w:rPr>
          <w:rFonts w:asciiTheme="minorHAnsi" w:hAnsiTheme="minorHAnsi" w:cstheme="minorHAnsi"/>
          <w:sz w:val="24"/>
          <w:szCs w:val="24"/>
        </w:rPr>
        <w:t xml:space="preserve"> příspěv</w:t>
      </w:r>
      <w:r w:rsidR="00021E95" w:rsidRPr="0075660A">
        <w:rPr>
          <w:rFonts w:asciiTheme="minorHAnsi" w:hAnsiTheme="minorHAnsi" w:cstheme="minorHAnsi"/>
          <w:sz w:val="24"/>
          <w:szCs w:val="24"/>
        </w:rPr>
        <w:t>e</w:t>
      </w:r>
      <w:r w:rsidRPr="0075660A">
        <w:rPr>
          <w:rFonts w:asciiTheme="minorHAnsi" w:hAnsiTheme="minorHAnsi" w:cstheme="minorHAnsi"/>
          <w:sz w:val="24"/>
          <w:szCs w:val="24"/>
        </w:rPr>
        <w:t xml:space="preserve">k </w:t>
      </w:r>
      <w:r w:rsidR="00F82E3C" w:rsidRPr="0075660A">
        <w:rPr>
          <w:rFonts w:asciiTheme="minorHAnsi" w:hAnsiTheme="minorHAnsi" w:cstheme="minorHAnsi"/>
          <w:sz w:val="24"/>
          <w:szCs w:val="24"/>
        </w:rPr>
        <w:t xml:space="preserve">za účelem </w:t>
      </w:r>
      <w:r w:rsidR="00D27588" w:rsidRPr="0075660A">
        <w:rPr>
          <w:rFonts w:asciiTheme="minorHAnsi" w:hAnsiTheme="minorHAnsi" w:cstheme="minorHAnsi"/>
          <w:sz w:val="24"/>
          <w:szCs w:val="24"/>
        </w:rPr>
        <w:t xml:space="preserve">oddlužení, </w:t>
      </w:r>
      <w:r w:rsidR="00021E95" w:rsidRPr="0075660A">
        <w:rPr>
          <w:rFonts w:asciiTheme="minorHAnsi" w:hAnsiTheme="minorHAnsi" w:cstheme="minorHAnsi"/>
          <w:sz w:val="24"/>
          <w:szCs w:val="24"/>
        </w:rPr>
        <w:t xml:space="preserve">příspěvek </w:t>
      </w:r>
      <w:r w:rsidR="00D27588" w:rsidRPr="0075660A">
        <w:rPr>
          <w:rFonts w:asciiTheme="minorHAnsi" w:hAnsiTheme="minorHAnsi" w:cstheme="minorHAnsi"/>
          <w:sz w:val="24"/>
          <w:szCs w:val="24"/>
        </w:rPr>
        <w:t xml:space="preserve">na </w:t>
      </w:r>
      <w:r w:rsidR="00EC38AE" w:rsidRPr="0075660A">
        <w:rPr>
          <w:rFonts w:asciiTheme="minorHAnsi" w:hAnsiTheme="minorHAnsi" w:cstheme="minorHAnsi"/>
          <w:sz w:val="24"/>
          <w:szCs w:val="24"/>
        </w:rPr>
        <w:t xml:space="preserve">odměny </w:t>
      </w:r>
      <w:r w:rsidRPr="0075660A">
        <w:rPr>
          <w:rFonts w:asciiTheme="minorHAnsi" w:hAnsiTheme="minorHAnsi" w:cstheme="minorHAnsi"/>
          <w:sz w:val="24"/>
          <w:szCs w:val="24"/>
        </w:rPr>
        <w:t>cov</w:t>
      </w:r>
      <w:r w:rsidR="003A65C6" w:rsidRPr="0075660A">
        <w:rPr>
          <w:rFonts w:asciiTheme="minorHAnsi" w:hAnsiTheme="minorHAnsi" w:cstheme="minorHAnsi"/>
          <w:sz w:val="24"/>
          <w:szCs w:val="24"/>
        </w:rPr>
        <w:t>i</w:t>
      </w:r>
      <w:r w:rsidRPr="0075660A">
        <w:rPr>
          <w:rFonts w:asciiTheme="minorHAnsi" w:hAnsiTheme="minorHAnsi" w:cstheme="minorHAnsi"/>
          <w:sz w:val="24"/>
          <w:szCs w:val="24"/>
        </w:rPr>
        <w:t>d-19</w:t>
      </w:r>
      <w:r w:rsidR="00D27588" w:rsidRPr="0075660A">
        <w:rPr>
          <w:rFonts w:asciiTheme="minorHAnsi" w:hAnsiTheme="minorHAnsi" w:cstheme="minorHAnsi"/>
          <w:sz w:val="24"/>
          <w:szCs w:val="24"/>
        </w:rPr>
        <w:t xml:space="preserve"> a </w:t>
      </w:r>
      <w:r w:rsidR="00A05494">
        <w:rPr>
          <w:rFonts w:asciiTheme="minorHAnsi" w:hAnsiTheme="minorHAnsi" w:cstheme="minorHAnsi"/>
          <w:sz w:val="24"/>
          <w:szCs w:val="24"/>
        </w:rPr>
        <w:t xml:space="preserve">FNB </w:t>
      </w:r>
      <w:r w:rsidR="00021E95" w:rsidRPr="0075660A">
        <w:rPr>
          <w:rFonts w:asciiTheme="minorHAnsi" w:hAnsiTheme="minorHAnsi" w:cstheme="minorHAnsi"/>
          <w:sz w:val="24"/>
          <w:szCs w:val="24"/>
        </w:rPr>
        <w:t xml:space="preserve">provozní neinvestiční příspěvek </w:t>
      </w:r>
      <w:r w:rsidR="00D27588" w:rsidRPr="0075660A">
        <w:rPr>
          <w:rFonts w:asciiTheme="minorHAnsi" w:hAnsiTheme="minorHAnsi" w:cstheme="minorHAnsi"/>
          <w:sz w:val="24"/>
          <w:szCs w:val="24"/>
        </w:rPr>
        <w:t xml:space="preserve">na provoz </w:t>
      </w:r>
      <w:r w:rsidRPr="0075660A">
        <w:rPr>
          <w:rFonts w:asciiTheme="minorHAnsi" w:hAnsiTheme="minorHAnsi" w:cstheme="minorHAnsi"/>
          <w:sz w:val="24"/>
          <w:szCs w:val="24"/>
        </w:rPr>
        <w:t>PNL</w:t>
      </w:r>
      <w:r w:rsidR="00D27588" w:rsidRPr="0075660A">
        <w:rPr>
          <w:rFonts w:asciiTheme="minorHAnsi" w:hAnsiTheme="minorHAnsi" w:cstheme="minorHAnsi"/>
          <w:sz w:val="24"/>
          <w:szCs w:val="24"/>
        </w:rPr>
        <w:t xml:space="preserve">. V následující tabulce je uveden </w:t>
      </w:r>
      <w:r w:rsidRPr="0075660A">
        <w:rPr>
          <w:rFonts w:asciiTheme="minorHAnsi" w:hAnsiTheme="minorHAnsi" w:cstheme="minorHAnsi"/>
          <w:sz w:val="24"/>
          <w:szCs w:val="24"/>
        </w:rPr>
        <w:t xml:space="preserve">jejich </w:t>
      </w:r>
      <w:r w:rsidR="00D27588" w:rsidRPr="0075660A">
        <w:rPr>
          <w:rFonts w:asciiTheme="minorHAnsi" w:hAnsiTheme="minorHAnsi" w:cstheme="minorHAnsi"/>
          <w:sz w:val="24"/>
          <w:szCs w:val="24"/>
        </w:rPr>
        <w:t>přehled</w:t>
      </w:r>
      <w:r w:rsidRPr="0075660A">
        <w:rPr>
          <w:rFonts w:asciiTheme="minorHAnsi" w:hAnsiTheme="minorHAnsi" w:cstheme="minorHAnsi"/>
          <w:sz w:val="24"/>
          <w:szCs w:val="24"/>
        </w:rPr>
        <w:t>.</w:t>
      </w:r>
    </w:p>
    <w:p w14:paraId="1C7F51A5" w14:textId="1E65EA0F" w:rsidR="00D27588" w:rsidRPr="0075660A" w:rsidRDefault="00D27588" w:rsidP="00924E8F">
      <w:pPr>
        <w:keepNext/>
        <w:tabs>
          <w:tab w:val="right" w:pos="9070"/>
        </w:tabs>
        <w:spacing w:before="120" w:after="40"/>
        <w:jc w:val="both"/>
        <w:rPr>
          <w:rFonts w:asciiTheme="minorHAnsi" w:hAnsiTheme="minorHAnsi" w:cstheme="minorHAnsi"/>
          <w:b/>
          <w:sz w:val="24"/>
          <w:szCs w:val="24"/>
        </w:rPr>
      </w:pPr>
      <w:r w:rsidRPr="0075660A">
        <w:rPr>
          <w:rFonts w:asciiTheme="minorHAnsi" w:hAnsiTheme="minorHAnsi" w:cstheme="minorHAnsi"/>
          <w:b/>
          <w:noProof/>
          <w:sz w:val="24"/>
          <w:szCs w:val="24"/>
        </w:rPr>
        <w:t xml:space="preserve">Tabulka č. </w:t>
      </w:r>
      <w:r w:rsidR="00B840E1" w:rsidRPr="0075660A">
        <w:rPr>
          <w:rFonts w:asciiTheme="minorHAnsi" w:hAnsiTheme="minorHAnsi" w:cstheme="minorHAnsi"/>
          <w:b/>
          <w:noProof/>
          <w:sz w:val="24"/>
          <w:szCs w:val="24"/>
        </w:rPr>
        <w:t>2</w:t>
      </w:r>
      <w:r w:rsidRPr="0075660A">
        <w:rPr>
          <w:rFonts w:asciiTheme="minorHAnsi" w:hAnsiTheme="minorHAnsi" w:cstheme="minorHAnsi"/>
          <w:b/>
          <w:noProof/>
          <w:sz w:val="24"/>
          <w:szCs w:val="24"/>
        </w:rPr>
        <w:t xml:space="preserve">: Přehled </w:t>
      </w:r>
      <w:r w:rsidR="00402C34">
        <w:rPr>
          <w:rFonts w:asciiTheme="minorHAnsi" w:hAnsiTheme="minorHAnsi" w:cstheme="minorHAnsi"/>
          <w:b/>
          <w:noProof/>
          <w:sz w:val="24"/>
          <w:szCs w:val="24"/>
        </w:rPr>
        <w:t>kontrolovaných</w:t>
      </w:r>
      <w:r w:rsidRPr="0075660A">
        <w:rPr>
          <w:rFonts w:asciiTheme="minorHAnsi" w:hAnsiTheme="minorHAnsi" w:cstheme="minorHAnsi"/>
          <w:b/>
          <w:noProof/>
          <w:sz w:val="24"/>
          <w:szCs w:val="24"/>
        </w:rPr>
        <w:t xml:space="preserve"> </w:t>
      </w:r>
      <w:r w:rsidR="00495F47" w:rsidRPr="0075660A">
        <w:rPr>
          <w:rFonts w:asciiTheme="minorHAnsi" w:hAnsiTheme="minorHAnsi" w:cstheme="minorHAnsi"/>
          <w:b/>
          <w:noProof/>
          <w:sz w:val="24"/>
          <w:szCs w:val="24"/>
        </w:rPr>
        <w:t>příspěvků</w:t>
      </w:r>
      <w:r w:rsidR="000D09D7">
        <w:rPr>
          <w:rFonts w:asciiTheme="minorHAnsi" w:hAnsiTheme="minorHAnsi" w:cstheme="minorHAnsi"/>
          <w:b/>
          <w:noProof/>
          <w:sz w:val="24"/>
          <w:szCs w:val="24"/>
        </w:rPr>
        <w:tab/>
      </w:r>
      <w:r w:rsidRPr="0075660A">
        <w:rPr>
          <w:rFonts w:asciiTheme="minorHAnsi" w:hAnsiTheme="minorHAnsi" w:cstheme="minorHAnsi"/>
          <w:b/>
          <w:noProof/>
          <w:sz w:val="24"/>
          <w:szCs w:val="24"/>
        </w:rPr>
        <w:t>(v tis.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5"/>
        <w:gridCol w:w="2265"/>
        <w:gridCol w:w="2265"/>
        <w:gridCol w:w="2265"/>
      </w:tblGrid>
      <w:tr w:rsidR="00D27588" w:rsidRPr="00924E8F" w14:paraId="73EFD32C" w14:textId="77777777" w:rsidTr="00924E8F">
        <w:trPr>
          <w:trHeight w:val="283"/>
        </w:trPr>
        <w:tc>
          <w:tcPr>
            <w:tcW w:w="1250" w:type="pct"/>
            <w:shd w:val="clear" w:color="auto" w:fill="E5F1FF"/>
            <w:vAlign w:val="center"/>
          </w:tcPr>
          <w:p w14:paraId="5B6BF816" w14:textId="77777777" w:rsidR="00D27588" w:rsidRPr="00924E8F" w:rsidRDefault="00D27588" w:rsidP="00337513">
            <w:pPr>
              <w:pStyle w:val="Zkladntext3"/>
              <w:spacing w:after="0"/>
              <w:jc w:val="center"/>
              <w:rPr>
                <w:rFonts w:cs="Calibri"/>
                <w:b/>
                <w:sz w:val="20"/>
                <w:szCs w:val="20"/>
              </w:rPr>
            </w:pPr>
            <w:r w:rsidRPr="00924E8F">
              <w:rPr>
                <w:rFonts w:cs="Calibri"/>
                <w:b/>
                <w:sz w:val="20"/>
                <w:szCs w:val="20"/>
              </w:rPr>
              <w:t>FN</w:t>
            </w:r>
          </w:p>
        </w:tc>
        <w:tc>
          <w:tcPr>
            <w:tcW w:w="1250" w:type="pct"/>
            <w:shd w:val="clear" w:color="auto" w:fill="E5F1FF"/>
            <w:vAlign w:val="center"/>
          </w:tcPr>
          <w:p w14:paraId="58195954" w14:textId="77777777" w:rsidR="00D27588" w:rsidRPr="00924E8F" w:rsidRDefault="00D27588" w:rsidP="00337513">
            <w:pPr>
              <w:pStyle w:val="Zkladntext3"/>
              <w:spacing w:after="0"/>
              <w:jc w:val="center"/>
              <w:rPr>
                <w:rFonts w:cs="Calibri"/>
                <w:b/>
                <w:sz w:val="20"/>
                <w:szCs w:val="20"/>
              </w:rPr>
            </w:pPr>
            <w:r w:rsidRPr="00924E8F">
              <w:rPr>
                <w:rFonts w:cs="Calibri"/>
                <w:b/>
                <w:sz w:val="20"/>
                <w:szCs w:val="20"/>
              </w:rPr>
              <w:t>Oddlužení*</w:t>
            </w:r>
          </w:p>
        </w:tc>
        <w:tc>
          <w:tcPr>
            <w:tcW w:w="1250" w:type="pct"/>
            <w:shd w:val="clear" w:color="auto" w:fill="E5F1FF"/>
            <w:vAlign w:val="center"/>
          </w:tcPr>
          <w:p w14:paraId="5F84D696" w14:textId="5038546A" w:rsidR="00D27588" w:rsidRPr="00924E8F" w:rsidRDefault="00D27588" w:rsidP="00337513">
            <w:pPr>
              <w:pStyle w:val="Zkladntext3"/>
              <w:spacing w:after="0"/>
              <w:jc w:val="center"/>
              <w:rPr>
                <w:rFonts w:cs="Calibri"/>
                <w:b/>
                <w:sz w:val="20"/>
                <w:szCs w:val="20"/>
              </w:rPr>
            </w:pPr>
            <w:r w:rsidRPr="00924E8F">
              <w:rPr>
                <w:rFonts w:cs="Calibri"/>
                <w:b/>
                <w:sz w:val="20"/>
                <w:szCs w:val="20"/>
              </w:rPr>
              <w:t>Odměny covid-19</w:t>
            </w:r>
          </w:p>
        </w:tc>
        <w:tc>
          <w:tcPr>
            <w:tcW w:w="1250" w:type="pct"/>
            <w:shd w:val="clear" w:color="auto" w:fill="E5F1FF"/>
            <w:vAlign w:val="center"/>
          </w:tcPr>
          <w:p w14:paraId="062927FD" w14:textId="30077920" w:rsidR="00D27588" w:rsidRPr="00924E8F" w:rsidRDefault="00037B9A" w:rsidP="00337513">
            <w:pPr>
              <w:pStyle w:val="Zkladntext3"/>
              <w:spacing w:after="0"/>
              <w:jc w:val="center"/>
              <w:rPr>
                <w:rFonts w:cs="Calibri"/>
                <w:b/>
                <w:sz w:val="20"/>
                <w:szCs w:val="20"/>
              </w:rPr>
            </w:pPr>
            <w:r w:rsidRPr="00924E8F">
              <w:rPr>
                <w:rFonts w:cs="Calibri"/>
                <w:b/>
                <w:sz w:val="20"/>
                <w:szCs w:val="20"/>
              </w:rPr>
              <w:t>PNL</w:t>
            </w:r>
          </w:p>
        </w:tc>
      </w:tr>
      <w:tr w:rsidR="00D27588" w:rsidRPr="00924E8F" w14:paraId="5FE96F97" w14:textId="77777777" w:rsidTr="00924E8F">
        <w:trPr>
          <w:trHeight w:val="283"/>
        </w:trPr>
        <w:tc>
          <w:tcPr>
            <w:tcW w:w="1250" w:type="pct"/>
            <w:vAlign w:val="center"/>
          </w:tcPr>
          <w:p w14:paraId="52853D03" w14:textId="77777777" w:rsidR="00D27588" w:rsidRPr="00924E8F" w:rsidRDefault="00D27588" w:rsidP="00924E8F">
            <w:pPr>
              <w:pStyle w:val="Zkladntext3"/>
              <w:spacing w:after="0"/>
              <w:jc w:val="left"/>
              <w:rPr>
                <w:rFonts w:cs="Calibri"/>
                <w:sz w:val="20"/>
                <w:szCs w:val="20"/>
              </w:rPr>
            </w:pPr>
            <w:r w:rsidRPr="00924E8F">
              <w:rPr>
                <w:rFonts w:cs="Calibri"/>
                <w:sz w:val="20"/>
                <w:szCs w:val="20"/>
              </w:rPr>
              <w:t>FNB</w:t>
            </w:r>
          </w:p>
        </w:tc>
        <w:tc>
          <w:tcPr>
            <w:tcW w:w="1250" w:type="pct"/>
            <w:vAlign w:val="center"/>
          </w:tcPr>
          <w:p w14:paraId="5C828A02"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1 285 478,55</w:t>
            </w:r>
          </w:p>
        </w:tc>
        <w:tc>
          <w:tcPr>
            <w:tcW w:w="1250" w:type="pct"/>
            <w:vAlign w:val="center"/>
          </w:tcPr>
          <w:p w14:paraId="16F55A7A"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385 207,27</w:t>
            </w:r>
          </w:p>
        </w:tc>
        <w:tc>
          <w:tcPr>
            <w:tcW w:w="1250" w:type="pct"/>
            <w:vAlign w:val="center"/>
          </w:tcPr>
          <w:p w14:paraId="5D9CB570" w14:textId="4FE28202" w:rsidR="00D27588" w:rsidRPr="00924E8F" w:rsidRDefault="00D27588" w:rsidP="00924E8F">
            <w:pPr>
              <w:pStyle w:val="Zkladntext3"/>
              <w:spacing w:after="0"/>
              <w:ind w:right="284"/>
              <w:jc w:val="right"/>
              <w:rPr>
                <w:rFonts w:cs="Calibri"/>
                <w:color w:val="000000" w:themeColor="text1"/>
                <w:sz w:val="20"/>
                <w:szCs w:val="20"/>
              </w:rPr>
            </w:pPr>
            <w:r w:rsidRPr="00924E8F">
              <w:rPr>
                <w:rFonts w:cs="Calibri"/>
                <w:color w:val="000000" w:themeColor="text1"/>
                <w:sz w:val="20"/>
                <w:szCs w:val="20"/>
              </w:rPr>
              <w:t>88 158,39</w:t>
            </w:r>
            <w:r w:rsidR="009C1A32">
              <w:rPr>
                <w:rFonts w:cs="Calibri"/>
                <w:color w:val="000000" w:themeColor="text1"/>
                <w:sz w:val="20"/>
                <w:szCs w:val="20"/>
              </w:rPr>
              <w:t>**</w:t>
            </w:r>
          </w:p>
        </w:tc>
      </w:tr>
      <w:tr w:rsidR="00D27588" w:rsidRPr="00924E8F" w14:paraId="029650ED" w14:textId="77777777" w:rsidTr="00924E8F">
        <w:trPr>
          <w:trHeight w:val="283"/>
        </w:trPr>
        <w:tc>
          <w:tcPr>
            <w:tcW w:w="1250" w:type="pct"/>
            <w:vAlign w:val="center"/>
          </w:tcPr>
          <w:p w14:paraId="196ACEE5" w14:textId="77777777" w:rsidR="00D27588" w:rsidRPr="00924E8F" w:rsidRDefault="00D27588" w:rsidP="00924E8F">
            <w:pPr>
              <w:pStyle w:val="Zkladntext3"/>
              <w:spacing w:after="0"/>
              <w:jc w:val="left"/>
              <w:rPr>
                <w:rFonts w:cs="Calibri"/>
                <w:sz w:val="20"/>
                <w:szCs w:val="20"/>
              </w:rPr>
            </w:pPr>
            <w:r w:rsidRPr="00924E8F">
              <w:rPr>
                <w:rFonts w:cs="Calibri"/>
                <w:sz w:val="20"/>
                <w:szCs w:val="20"/>
              </w:rPr>
              <w:t>FNKV</w:t>
            </w:r>
          </w:p>
        </w:tc>
        <w:tc>
          <w:tcPr>
            <w:tcW w:w="1250" w:type="pct"/>
            <w:vAlign w:val="center"/>
          </w:tcPr>
          <w:p w14:paraId="318FF545"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433 344,56</w:t>
            </w:r>
          </w:p>
        </w:tc>
        <w:tc>
          <w:tcPr>
            <w:tcW w:w="1250" w:type="pct"/>
            <w:vAlign w:val="center"/>
          </w:tcPr>
          <w:p w14:paraId="7AC115E1"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473 388,52</w:t>
            </w:r>
          </w:p>
        </w:tc>
        <w:tc>
          <w:tcPr>
            <w:tcW w:w="1250" w:type="pct"/>
            <w:vAlign w:val="center"/>
          </w:tcPr>
          <w:p w14:paraId="5C715352"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w:t>
            </w:r>
          </w:p>
        </w:tc>
      </w:tr>
      <w:tr w:rsidR="00D27588" w:rsidRPr="00924E8F" w14:paraId="3BBA38C8" w14:textId="77777777" w:rsidTr="00924E8F">
        <w:trPr>
          <w:trHeight w:val="283"/>
        </w:trPr>
        <w:tc>
          <w:tcPr>
            <w:tcW w:w="1250" w:type="pct"/>
            <w:vAlign w:val="center"/>
          </w:tcPr>
          <w:p w14:paraId="5BAB494C" w14:textId="77777777" w:rsidR="00D27588" w:rsidRPr="00924E8F" w:rsidRDefault="00D27588" w:rsidP="00924E8F">
            <w:pPr>
              <w:pStyle w:val="Zkladntext3"/>
              <w:spacing w:after="0"/>
              <w:jc w:val="left"/>
              <w:rPr>
                <w:rFonts w:cs="Calibri"/>
                <w:sz w:val="20"/>
                <w:szCs w:val="20"/>
              </w:rPr>
            </w:pPr>
            <w:r w:rsidRPr="00924E8F">
              <w:rPr>
                <w:rFonts w:cs="Calibri"/>
                <w:sz w:val="20"/>
                <w:szCs w:val="20"/>
              </w:rPr>
              <w:t>FNUSA</w:t>
            </w:r>
          </w:p>
        </w:tc>
        <w:tc>
          <w:tcPr>
            <w:tcW w:w="1250" w:type="pct"/>
            <w:vAlign w:val="center"/>
          </w:tcPr>
          <w:p w14:paraId="5527C11A"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1 664 143,03</w:t>
            </w:r>
          </w:p>
        </w:tc>
        <w:tc>
          <w:tcPr>
            <w:tcW w:w="1250" w:type="pct"/>
            <w:vAlign w:val="center"/>
          </w:tcPr>
          <w:p w14:paraId="7127E0C7"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431 457,33</w:t>
            </w:r>
          </w:p>
        </w:tc>
        <w:tc>
          <w:tcPr>
            <w:tcW w:w="1250" w:type="pct"/>
            <w:vAlign w:val="center"/>
          </w:tcPr>
          <w:p w14:paraId="21E7266F" w14:textId="77777777" w:rsidR="00D27588" w:rsidRPr="00924E8F" w:rsidRDefault="00D27588" w:rsidP="00924E8F">
            <w:pPr>
              <w:pStyle w:val="Zkladntext3"/>
              <w:spacing w:after="0"/>
              <w:ind w:right="501"/>
              <w:jc w:val="right"/>
              <w:rPr>
                <w:rFonts w:cs="Calibri"/>
                <w:color w:val="000000" w:themeColor="text1"/>
                <w:sz w:val="20"/>
                <w:szCs w:val="20"/>
              </w:rPr>
            </w:pPr>
            <w:r w:rsidRPr="00924E8F">
              <w:rPr>
                <w:rFonts w:cs="Calibri"/>
                <w:color w:val="000000" w:themeColor="text1"/>
                <w:sz w:val="20"/>
                <w:szCs w:val="20"/>
              </w:rPr>
              <w:t>-</w:t>
            </w:r>
          </w:p>
        </w:tc>
      </w:tr>
      <w:tr w:rsidR="00D27588" w:rsidRPr="00924E8F" w14:paraId="5B721D5A" w14:textId="77777777" w:rsidTr="00924E8F">
        <w:trPr>
          <w:trHeight w:val="283"/>
        </w:trPr>
        <w:tc>
          <w:tcPr>
            <w:tcW w:w="1250" w:type="pct"/>
            <w:vAlign w:val="center"/>
          </w:tcPr>
          <w:p w14:paraId="72211CEE" w14:textId="77777777" w:rsidR="00D27588" w:rsidRPr="00924E8F" w:rsidRDefault="00D27588" w:rsidP="00924E8F">
            <w:pPr>
              <w:pStyle w:val="Zkladntext3"/>
              <w:spacing w:after="0"/>
              <w:jc w:val="left"/>
              <w:rPr>
                <w:rFonts w:cs="Calibri"/>
                <w:b/>
                <w:sz w:val="20"/>
                <w:szCs w:val="20"/>
              </w:rPr>
            </w:pPr>
            <w:r w:rsidRPr="00924E8F">
              <w:rPr>
                <w:rFonts w:cs="Calibri"/>
                <w:b/>
                <w:sz w:val="20"/>
                <w:szCs w:val="20"/>
              </w:rPr>
              <w:t>Celkem</w:t>
            </w:r>
          </w:p>
        </w:tc>
        <w:tc>
          <w:tcPr>
            <w:tcW w:w="1250" w:type="pct"/>
            <w:vAlign w:val="center"/>
          </w:tcPr>
          <w:p w14:paraId="7B5FD337" w14:textId="77777777" w:rsidR="00D27588" w:rsidRPr="00924E8F" w:rsidRDefault="00D27588" w:rsidP="00924E8F">
            <w:pPr>
              <w:pStyle w:val="Zkladntext3"/>
              <w:spacing w:after="0"/>
              <w:ind w:right="501"/>
              <w:jc w:val="right"/>
              <w:rPr>
                <w:rFonts w:cs="Calibri"/>
                <w:b/>
                <w:color w:val="000000" w:themeColor="text1"/>
                <w:sz w:val="20"/>
                <w:szCs w:val="20"/>
              </w:rPr>
            </w:pPr>
            <w:r w:rsidRPr="00924E8F">
              <w:rPr>
                <w:rFonts w:cs="Calibri"/>
                <w:b/>
                <w:color w:val="000000" w:themeColor="text1"/>
                <w:sz w:val="20"/>
                <w:szCs w:val="20"/>
              </w:rPr>
              <w:t>3 382 966,14</w:t>
            </w:r>
          </w:p>
        </w:tc>
        <w:tc>
          <w:tcPr>
            <w:tcW w:w="1250" w:type="pct"/>
            <w:vAlign w:val="center"/>
          </w:tcPr>
          <w:p w14:paraId="2636CF75" w14:textId="77777777" w:rsidR="00D27588" w:rsidRPr="00924E8F" w:rsidRDefault="00D27588" w:rsidP="00924E8F">
            <w:pPr>
              <w:pStyle w:val="Zkladntext3"/>
              <w:spacing w:after="0"/>
              <w:ind w:right="501"/>
              <w:jc w:val="right"/>
              <w:rPr>
                <w:rFonts w:cs="Calibri"/>
                <w:b/>
                <w:color w:val="000000" w:themeColor="text1"/>
                <w:sz w:val="20"/>
                <w:szCs w:val="20"/>
              </w:rPr>
            </w:pPr>
            <w:r w:rsidRPr="00924E8F">
              <w:rPr>
                <w:rFonts w:cs="Calibri"/>
                <w:b/>
                <w:color w:val="000000" w:themeColor="text1"/>
                <w:sz w:val="20"/>
                <w:szCs w:val="20"/>
              </w:rPr>
              <w:t>1 290 053,12</w:t>
            </w:r>
          </w:p>
        </w:tc>
        <w:tc>
          <w:tcPr>
            <w:tcW w:w="1250" w:type="pct"/>
            <w:vAlign w:val="center"/>
          </w:tcPr>
          <w:p w14:paraId="1FC17354" w14:textId="77777777" w:rsidR="00D27588" w:rsidRPr="00924E8F" w:rsidRDefault="00D27588" w:rsidP="00924E8F">
            <w:pPr>
              <w:pStyle w:val="Zkladntext3"/>
              <w:spacing w:after="0"/>
              <w:ind w:right="501"/>
              <w:jc w:val="right"/>
              <w:rPr>
                <w:rFonts w:cs="Calibri"/>
                <w:b/>
                <w:color w:val="000000" w:themeColor="text1"/>
                <w:sz w:val="20"/>
                <w:szCs w:val="20"/>
              </w:rPr>
            </w:pPr>
            <w:r w:rsidRPr="00924E8F">
              <w:rPr>
                <w:rFonts w:cs="Calibri"/>
                <w:b/>
                <w:color w:val="000000" w:themeColor="text1"/>
                <w:sz w:val="20"/>
                <w:szCs w:val="20"/>
              </w:rPr>
              <w:t>88 158,39</w:t>
            </w:r>
          </w:p>
        </w:tc>
      </w:tr>
    </w:tbl>
    <w:p w14:paraId="43DCFC9B" w14:textId="457B2CC1" w:rsidR="00D27588" w:rsidRPr="0075660A" w:rsidRDefault="00D27588" w:rsidP="00924E8F">
      <w:pPr>
        <w:pStyle w:val="Zdroj"/>
        <w:spacing w:before="40"/>
        <w:ind w:left="567" w:hanging="567"/>
        <w:rPr>
          <w:rFonts w:asciiTheme="minorHAnsi" w:hAnsiTheme="minorHAnsi" w:cstheme="minorHAnsi"/>
          <w:i w:val="0"/>
        </w:rPr>
      </w:pPr>
      <w:r w:rsidRPr="0075660A">
        <w:rPr>
          <w:rFonts w:asciiTheme="minorHAnsi" w:hAnsiTheme="minorHAnsi" w:cstheme="minorHAnsi"/>
          <w:b/>
          <w:i w:val="0"/>
        </w:rPr>
        <w:t>Zdroj:</w:t>
      </w:r>
      <w:r w:rsidRPr="0075660A">
        <w:rPr>
          <w:rFonts w:asciiTheme="minorHAnsi" w:hAnsiTheme="minorHAnsi" w:cstheme="minorHAnsi"/>
          <w:i w:val="0"/>
        </w:rPr>
        <w:t xml:space="preserve"> </w:t>
      </w:r>
      <w:r w:rsidR="00924E8F">
        <w:rPr>
          <w:rFonts w:asciiTheme="minorHAnsi" w:hAnsiTheme="minorHAnsi" w:cstheme="minorHAnsi"/>
          <w:i w:val="0"/>
        </w:rPr>
        <w:tab/>
      </w:r>
      <w:r w:rsidRPr="0075660A">
        <w:rPr>
          <w:rFonts w:asciiTheme="minorHAnsi" w:hAnsiTheme="minorHAnsi" w:cstheme="minorHAnsi"/>
          <w:i w:val="0"/>
        </w:rPr>
        <w:t xml:space="preserve">výkazy FN za roky 2019, 2020 a 2021, </w:t>
      </w:r>
      <w:r w:rsidR="00021E95" w:rsidRPr="0075660A">
        <w:rPr>
          <w:rFonts w:asciiTheme="minorHAnsi" w:hAnsiTheme="minorHAnsi" w:cstheme="minorHAnsi"/>
          <w:i w:val="0"/>
        </w:rPr>
        <w:t xml:space="preserve">mimořádné </w:t>
      </w:r>
      <w:r w:rsidRPr="0075660A">
        <w:rPr>
          <w:rFonts w:asciiTheme="minorHAnsi" w:hAnsiTheme="minorHAnsi" w:cstheme="minorHAnsi"/>
          <w:i w:val="0"/>
        </w:rPr>
        <w:t>příspěvky na odměny covid-19, usnesení vlády č.</w:t>
      </w:r>
      <w:r w:rsidR="003A65C6" w:rsidRPr="0075660A">
        <w:rPr>
          <w:rFonts w:asciiTheme="minorHAnsi" w:hAnsiTheme="minorHAnsi" w:cstheme="minorHAnsi"/>
          <w:i w:val="0"/>
        </w:rPr>
        <w:t> </w:t>
      </w:r>
      <w:r w:rsidRPr="0075660A">
        <w:rPr>
          <w:rFonts w:asciiTheme="minorHAnsi" w:hAnsiTheme="minorHAnsi" w:cstheme="minorHAnsi"/>
          <w:i w:val="0"/>
        </w:rPr>
        <w:t>480; vyúčtování nákladů FNB související s PNL.</w:t>
      </w:r>
    </w:p>
    <w:p w14:paraId="0FD3AA44" w14:textId="552B57A8" w:rsidR="00D27588" w:rsidRPr="0075660A" w:rsidRDefault="00D27588" w:rsidP="00924E8F">
      <w:pPr>
        <w:pStyle w:val="Zdroj"/>
        <w:ind w:left="284" w:hanging="284"/>
        <w:rPr>
          <w:rFonts w:asciiTheme="minorHAnsi" w:hAnsiTheme="minorHAnsi" w:cstheme="minorHAnsi"/>
          <w:i w:val="0"/>
        </w:rPr>
      </w:pPr>
      <w:r w:rsidRPr="0075660A">
        <w:rPr>
          <w:rFonts w:asciiTheme="minorHAnsi" w:hAnsiTheme="minorHAnsi" w:cstheme="minorHAnsi"/>
          <w:i w:val="0"/>
        </w:rPr>
        <w:t>*</w:t>
      </w:r>
      <w:r w:rsidR="00A22D79">
        <w:rPr>
          <w:rFonts w:asciiTheme="minorHAnsi" w:hAnsiTheme="minorHAnsi" w:cstheme="minorHAnsi"/>
          <w:i w:val="0"/>
        </w:rPr>
        <w:tab/>
        <w:t>P</w:t>
      </w:r>
      <w:r w:rsidRPr="0075660A">
        <w:rPr>
          <w:rFonts w:asciiTheme="minorHAnsi" w:hAnsiTheme="minorHAnsi" w:cstheme="minorHAnsi"/>
          <w:i w:val="0"/>
        </w:rPr>
        <w:t>rojekt oddlužení vybraných nemocnic byl schválen usnesením vlády č. 480 s cílem poskytnout příspěvek na jejich ekonomické ozdravení a byl zaměřen na úhradu jejich krátkodobých závazků (po splatnosti nebo nad 60 dnů od DUZP) a u FNB navíc na částečnou úhradu refinancovaných závazků ve výši 500 mil. Kč. FNUSA použila alokované peněžní prostředky rovněž na úhradu svých refinancovaných závazků.</w:t>
      </w:r>
    </w:p>
    <w:p w14:paraId="4637B204" w14:textId="7ACE9A39" w:rsidR="00D27588" w:rsidRPr="0075660A" w:rsidRDefault="00D27588" w:rsidP="00924E8F">
      <w:pPr>
        <w:pStyle w:val="Zdroj"/>
        <w:spacing w:after="120"/>
        <w:ind w:left="284" w:hanging="284"/>
        <w:rPr>
          <w:rFonts w:asciiTheme="minorHAnsi" w:hAnsiTheme="minorHAnsi" w:cstheme="minorHAnsi"/>
          <w:i w:val="0"/>
        </w:rPr>
      </w:pPr>
      <w:r w:rsidRPr="0075660A">
        <w:rPr>
          <w:rFonts w:asciiTheme="minorHAnsi" w:hAnsiTheme="minorHAnsi" w:cstheme="minorHAnsi"/>
          <w:i w:val="0"/>
        </w:rPr>
        <w:t>**</w:t>
      </w:r>
      <w:r w:rsidR="00A22D79">
        <w:rPr>
          <w:rFonts w:asciiTheme="minorHAnsi" w:hAnsiTheme="minorHAnsi" w:cstheme="minorHAnsi"/>
          <w:i w:val="0"/>
        </w:rPr>
        <w:tab/>
        <w:t>V</w:t>
      </w:r>
      <w:r w:rsidRPr="0075660A">
        <w:rPr>
          <w:rFonts w:asciiTheme="minorHAnsi" w:hAnsiTheme="minorHAnsi" w:cstheme="minorHAnsi"/>
          <w:i w:val="0"/>
        </w:rPr>
        <w:t xml:space="preserve">yúčtovaná částka FNB k 23. 3. 2021, která byla předložena </w:t>
      </w:r>
      <w:proofErr w:type="spellStart"/>
      <w:r w:rsidRPr="0075660A">
        <w:rPr>
          <w:rFonts w:asciiTheme="minorHAnsi" w:hAnsiTheme="minorHAnsi" w:cstheme="minorHAnsi"/>
          <w:i w:val="0"/>
        </w:rPr>
        <w:t>MZ</w:t>
      </w:r>
      <w:r w:rsidR="000D74CA">
        <w:rPr>
          <w:rFonts w:asciiTheme="minorHAnsi" w:hAnsiTheme="minorHAnsi" w:cstheme="minorHAnsi"/>
          <w:i w:val="0"/>
        </w:rPr>
        <w:t>d</w:t>
      </w:r>
      <w:proofErr w:type="spellEnd"/>
      <w:r w:rsidRPr="0075660A">
        <w:rPr>
          <w:rFonts w:asciiTheme="minorHAnsi" w:hAnsiTheme="minorHAnsi" w:cstheme="minorHAnsi"/>
          <w:i w:val="0"/>
        </w:rPr>
        <w:t xml:space="preserve"> za účelem </w:t>
      </w:r>
      <w:r w:rsidR="00875798" w:rsidRPr="0075660A">
        <w:rPr>
          <w:rFonts w:asciiTheme="minorHAnsi" w:hAnsiTheme="minorHAnsi" w:cstheme="minorHAnsi"/>
          <w:i w:val="0"/>
        </w:rPr>
        <w:t>jej</w:t>
      </w:r>
      <w:r w:rsidR="000D09D7">
        <w:rPr>
          <w:rFonts w:asciiTheme="minorHAnsi" w:hAnsiTheme="minorHAnsi" w:cstheme="minorHAnsi"/>
          <w:i w:val="0"/>
        </w:rPr>
        <w:t>í</w:t>
      </w:r>
      <w:r w:rsidR="00875798" w:rsidRPr="0075660A">
        <w:rPr>
          <w:rFonts w:asciiTheme="minorHAnsi" w:hAnsiTheme="minorHAnsi" w:cstheme="minorHAnsi"/>
          <w:i w:val="0"/>
        </w:rPr>
        <w:t xml:space="preserve"> úhrady</w:t>
      </w:r>
      <w:r w:rsidRPr="0075660A">
        <w:rPr>
          <w:rFonts w:asciiTheme="minorHAnsi" w:hAnsiTheme="minorHAnsi" w:cstheme="minorHAnsi"/>
          <w:i w:val="0"/>
        </w:rPr>
        <w:t>.</w:t>
      </w:r>
    </w:p>
    <w:p w14:paraId="61B52FF3" w14:textId="62FF86DF" w:rsidR="00D27588" w:rsidRPr="0075660A" w:rsidRDefault="00EC38AE" w:rsidP="00924E8F">
      <w:pPr>
        <w:widowControl/>
        <w:autoSpaceDE/>
        <w:autoSpaceDN/>
        <w:adjustRightInd/>
        <w:spacing w:before="120" w:after="120"/>
        <w:jc w:val="both"/>
        <w:rPr>
          <w:rFonts w:asciiTheme="minorHAnsi" w:hAnsiTheme="minorHAnsi" w:cstheme="minorHAnsi"/>
          <w:sz w:val="24"/>
          <w:szCs w:val="24"/>
        </w:rPr>
      </w:pPr>
      <w:proofErr w:type="spellStart"/>
      <w:r w:rsidRPr="0075660A">
        <w:rPr>
          <w:rFonts w:asciiTheme="minorHAnsi" w:hAnsiTheme="minorHAnsi" w:cstheme="minorHAnsi"/>
          <w:bCs/>
          <w:iCs/>
          <w:sz w:val="24"/>
          <w:szCs w:val="24"/>
        </w:rPr>
        <w:t>MZ</w:t>
      </w:r>
      <w:r w:rsidR="000D74CA">
        <w:rPr>
          <w:rFonts w:asciiTheme="minorHAnsi" w:hAnsiTheme="minorHAnsi" w:cstheme="minorHAnsi"/>
          <w:bCs/>
          <w:iCs/>
          <w:sz w:val="24"/>
          <w:szCs w:val="24"/>
        </w:rPr>
        <w:t>d</w:t>
      </w:r>
      <w:proofErr w:type="spellEnd"/>
      <w:r w:rsidRPr="0075660A">
        <w:rPr>
          <w:rFonts w:asciiTheme="minorHAnsi" w:hAnsiTheme="minorHAnsi" w:cstheme="minorHAnsi"/>
          <w:bCs/>
          <w:iCs/>
          <w:sz w:val="24"/>
          <w:szCs w:val="24"/>
        </w:rPr>
        <w:t xml:space="preserve"> poskytlo </w:t>
      </w:r>
      <w:r w:rsidR="00F907FC" w:rsidRPr="0075660A">
        <w:rPr>
          <w:rFonts w:asciiTheme="minorHAnsi" w:hAnsiTheme="minorHAnsi" w:cstheme="minorHAnsi"/>
          <w:bCs/>
          <w:iCs/>
          <w:sz w:val="24"/>
          <w:szCs w:val="24"/>
        </w:rPr>
        <w:t xml:space="preserve">kontrolovaným FN </w:t>
      </w:r>
      <w:r w:rsidRPr="0075660A">
        <w:rPr>
          <w:rFonts w:asciiTheme="minorHAnsi" w:hAnsiTheme="minorHAnsi" w:cstheme="minorHAnsi"/>
          <w:bCs/>
          <w:iCs/>
          <w:sz w:val="24"/>
          <w:szCs w:val="24"/>
        </w:rPr>
        <w:t xml:space="preserve">v květnu 2020 </w:t>
      </w:r>
      <w:r w:rsidR="00651E02">
        <w:rPr>
          <w:rFonts w:asciiTheme="minorHAnsi" w:hAnsiTheme="minorHAnsi" w:cstheme="minorHAnsi"/>
          <w:bCs/>
          <w:iCs/>
          <w:sz w:val="24"/>
          <w:szCs w:val="24"/>
        </w:rPr>
        <w:t xml:space="preserve">ze SR </w:t>
      </w:r>
      <w:r w:rsidRPr="0075660A">
        <w:rPr>
          <w:rFonts w:asciiTheme="minorHAnsi" w:hAnsiTheme="minorHAnsi" w:cstheme="minorHAnsi"/>
          <w:bCs/>
          <w:iCs/>
          <w:sz w:val="24"/>
          <w:szCs w:val="24"/>
        </w:rPr>
        <w:t xml:space="preserve">celkem 3,4 mld. Kč na </w:t>
      </w:r>
      <w:r w:rsidRPr="00E77F33">
        <w:rPr>
          <w:rFonts w:asciiTheme="minorHAnsi" w:hAnsiTheme="minorHAnsi" w:cstheme="minorHAnsi"/>
          <w:bCs/>
          <w:iCs/>
          <w:sz w:val="24"/>
          <w:szCs w:val="24"/>
        </w:rPr>
        <w:t>základě usnesení vlády č.</w:t>
      </w:r>
      <w:r w:rsidR="00F907FC" w:rsidRPr="00E77F33">
        <w:rPr>
          <w:rFonts w:asciiTheme="minorHAnsi" w:hAnsiTheme="minorHAnsi" w:cstheme="minorHAnsi"/>
          <w:bCs/>
          <w:iCs/>
          <w:sz w:val="24"/>
          <w:szCs w:val="24"/>
        </w:rPr>
        <w:t> </w:t>
      </w:r>
      <w:r w:rsidRPr="00E77F33">
        <w:rPr>
          <w:rFonts w:asciiTheme="minorHAnsi" w:hAnsiTheme="minorHAnsi" w:cstheme="minorHAnsi"/>
          <w:bCs/>
          <w:iCs/>
          <w:sz w:val="24"/>
          <w:szCs w:val="24"/>
        </w:rPr>
        <w:t>480. Jednalo se o</w:t>
      </w:r>
      <w:r w:rsidR="00761E00" w:rsidRPr="00E77F33">
        <w:rPr>
          <w:rFonts w:asciiTheme="minorHAnsi" w:hAnsiTheme="minorHAnsi" w:cstheme="minorHAnsi"/>
          <w:bCs/>
          <w:iCs/>
          <w:sz w:val="24"/>
          <w:szCs w:val="24"/>
        </w:rPr>
        <w:t> </w:t>
      </w:r>
      <w:r w:rsidRPr="00E77F33">
        <w:rPr>
          <w:rFonts w:asciiTheme="minorHAnsi" w:hAnsiTheme="minorHAnsi" w:cstheme="minorHAnsi"/>
          <w:bCs/>
          <w:iCs/>
          <w:sz w:val="24"/>
          <w:szCs w:val="24"/>
        </w:rPr>
        <w:t>jednorázový příspěvek</w:t>
      </w:r>
      <w:r w:rsidR="00D23802" w:rsidRPr="00E77F33">
        <w:rPr>
          <w:rFonts w:asciiTheme="minorHAnsi" w:hAnsiTheme="minorHAnsi" w:cstheme="minorHAnsi"/>
          <w:bCs/>
          <w:iCs/>
          <w:sz w:val="24"/>
          <w:szCs w:val="24"/>
        </w:rPr>
        <w:t xml:space="preserve"> </w:t>
      </w:r>
      <w:r w:rsidR="00F82E3C" w:rsidRPr="00E77F33">
        <w:rPr>
          <w:rFonts w:asciiTheme="minorHAnsi" w:hAnsiTheme="minorHAnsi" w:cstheme="minorHAnsi"/>
          <w:bCs/>
          <w:iCs/>
          <w:sz w:val="24"/>
          <w:szCs w:val="24"/>
        </w:rPr>
        <w:t>za účelem</w:t>
      </w:r>
      <w:r w:rsidRPr="00E77F33">
        <w:rPr>
          <w:rFonts w:asciiTheme="minorHAnsi" w:hAnsiTheme="minorHAnsi" w:cstheme="minorHAnsi"/>
          <w:bCs/>
          <w:iCs/>
          <w:sz w:val="24"/>
          <w:szCs w:val="24"/>
        </w:rPr>
        <w:t xml:space="preserve"> oddlužení vybraných FN</w:t>
      </w:r>
      <w:r w:rsidR="009A33CC">
        <w:rPr>
          <w:rFonts w:asciiTheme="minorHAnsi" w:hAnsiTheme="minorHAnsi" w:cstheme="minorHAnsi"/>
          <w:bCs/>
          <w:iCs/>
          <w:sz w:val="24"/>
          <w:szCs w:val="24"/>
          <w:vertAlign w:val="superscript"/>
        </w:rPr>
        <w:t>7</w:t>
      </w:r>
      <w:r w:rsidRPr="00E77F33">
        <w:rPr>
          <w:rFonts w:asciiTheme="minorHAnsi" w:hAnsiTheme="minorHAnsi" w:cstheme="minorHAnsi"/>
          <w:bCs/>
          <w:iCs/>
          <w:sz w:val="24"/>
          <w:szCs w:val="24"/>
        </w:rPr>
        <w:t>. Tyto peněžní prostředky byly určen</w:t>
      </w:r>
      <w:r w:rsidR="009C1A32">
        <w:rPr>
          <w:rFonts w:asciiTheme="minorHAnsi" w:hAnsiTheme="minorHAnsi" w:cstheme="minorHAnsi"/>
          <w:bCs/>
          <w:iCs/>
          <w:sz w:val="24"/>
          <w:szCs w:val="24"/>
        </w:rPr>
        <w:t>y</w:t>
      </w:r>
      <w:r w:rsidRPr="00E77F33">
        <w:rPr>
          <w:rFonts w:asciiTheme="minorHAnsi" w:hAnsiTheme="minorHAnsi" w:cstheme="minorHAnsi"/>
          <w:bCs/>
          <w:iCs/>
          <w:sz w:val="24"/>
          <w:szCs w:val="24"/>
        </w:rPr>
        <w:t xml:space="preserve"> na úhradu závazků po splatnosti nebo závazků nad 60</w:t>
      </w:r>
      <w:r w:rsidRPr="0075660A">
        <w:rPr>
          <w:rFonts w:asciiTheme="minorHAnsi" w:hAnsiTheme="minorHAnsi" w:cstheme="minorHAnsi"/>
          <w:bCs/>
          <w:iCs/>
          <w:sz w:val="24"/>
          <w:szCs w:val="24"/>
        </w:rPr>
        <w:t xml:space="preserve"> dnů od data uskutečnění zdanitelného plnění a </w:t>
      </w:r>
      <w:proofErr w:type="spellStart"/>
      <w:r w:rsidRPr="0075660A">
        <w:rPr>
          <w:rFonts w:asciiTheme="minorHAnsi" w:hAnsiTheme="minorHAnsi" w:cstheme="minorHAnsi"/>
          <w:bCs/>
          <w:iCs/>
          <w:sz w:val="24"/>
          <w:szCs w:val="24"/>
        </w:rPr>
        <w:t>přefinancovaných</w:t>
      </w:r>
      <w:proofErr w:type="spellEnd"/>
      <w:r w:rsidRPr="0075660A">
        <w:rPr>
          <w:rFonts w:asciiTheme="minorHAnsi" w:hAnsiTheme="minorHAnsi" w:cstheme="minorHAnsi"/>
          <w:bCs/>
          <w:iCs/>
          <w:sz w:val="24"/>
          <w:szCs w:val="24"/>
        </w:rPr>
        <w:t xml:space="preserve"> závazků.</w:t>
      </w:r>
      <w:r w:rsidR="00761E00" w:rsidRPr="0075660A">
        <w:rPr>
          <w:rFonts w:asciiTheme="minorHAnsi" w:hAnsiTheme="minorHAnsi" w:cstheme="minorHAnsi"/>
          <w:bCs/>
          <w:iCs/>
          <w:sz w:val="24"/>
          <w:szCs w:val="24"/>
        </w:rPr>
        <w:t xml:space="preserve"> </w:t>
      </w:r>
      <w:r w:rsidR="00D27588" w:rsidRPr="0075660A">
        <w:rPr>
          <w:rFonts w:asciiTheme="minorHAnsi" w:hAnsiTheme="minorHAnsi" w:cstheme="minorHAnsi"/>
          <w:sz w:val="24"/>
          <w:szCs w:val="24"/>
        </w:rPr>
        <w:t>Největší objem peněžních prostředků na oddlužení obdržela FNUSA.</w:t>
      </w:r>
    </w:p>
    <w:p w14:paraId="7EFD57B6" w14:textId="11874F6B" w:rsidR="00D27588" w:rsidRPr="0075660A" w:rsidRDefault="00EC38AE" w:rsidP="00924E8F">
      <w:pPr>
        <w:spacing w:before="120" w:after="120"/>
        <w:jc w:val="both"/>
        <w:rPr>
          <w:rFonts w:asciiTheme="minorHAnsi" w:eastAsia="Calibri" w:hAnsiTheme="minorHAnsi" w:cstheme="minorHAnsi"/>
          <w:sz w:val="24"/>
          <w:szCs w:val="24"/>
        </w:rPr>
      </w:pPr>
      <w:proofErr w:type="spellStart"/>
      <w:r w:rsidRPr="0075660A">
        <w:rPr>
          <w:rFonts w:asciiTheme="minorHAnsi" w:eastAsia="Calibri" w:hAnsiTheme="minorHAnsi" w:cstheme="minorHAnsi"/>
          <w:sz w:val="24"/>
          <w:szCs w:val="24"/>
        </w:rPr>
        <w:t>MZ</w:t>
      </w:r>
      <w:r w:rsidR="009C1A32">
        <w:rPr>
          <w:rFonts w:asciiTheme="minorHAnsi" w:eastAsia="Calibri" w:hAnsiTheme="minorHAnsi" w:cstheme="minorHAnsi"/>
          <w:sz w:val="24"/>
          <w:szCs w:val="24"/>
        </w:rPr>
        <w:t>d</w:t>
      </w:r>
      <w:proofErr w:type="spellEnd"/>
      <w:r w:rsidRPr="0075660A">
        <w:rPr>
          <w:rFonts w:asciiTheme="minorHAnsi" w:eastAsia="Calibri" w:hAnsiTheme="minorHAnsi" w:cstheme="minorHAnsi"/>
          <w:sz w:val="24"/>
          <w:szCs w:val="24"/>
        </w:rPr>
        <w:t xml:space="preserve"> poskytlo </w:t>
      </w:r>
      <w:r w:rsidR="00761E00" w:rsidRPr="0075660A">
        <w:rPr>
          <w:rFonts w:asciiTheme="minorHAnsi" w:eastAsia="Calibri" w:hAnsiTheme="minorHAnsi" w:cstheme="minorHAnsi"/>
          <w:sz w:val="24"/>
          <w:szCs w:val="24"/>
        </w:rPr>
        <w:t xml:space="preserve">v jednotlivých letech 2020 a 2021 </w:t>
      </w:r>
      <w:r w:rsidRPr="0075660A">
        <w:rPr>
          <w:rFonts w:asciiTheme="minorHAnsi" w:eastAsia="Calibri" w:hAnsiTheme="minorHAnsi" w:cstheme="minorHAnsi"/>
          <w:sz w:val="24"/>
          <w:szCs w:val="24"/>
        </w:rPr>
        <w:t>poskytovatelům lůžkové péče (vč. fakultních</w:t>
      </w:r>
      <w:r w:rsidRPr="00527E83">
        <w:rPr>
          <w:rFonts w:asciiTheme="minorHAnsi" w:eastAsia="Calibri" w:hAnsiTheme="minorHAnsi" w:cstheme="minorHAnsi"/>
          <w:sz w:val="24"/>
          <w:szCs w:val="24"/>
        </w:rPr>
        <w:t xml:space="preserve"> nemocnic)</w:t>
      </w:r>
      <w:r w:rsidRPr="00527E83">
        <w:rPr>
          <w:rFonts w:asciiTheme="minorHAnsi" w:eastAsia="Calibri" w:hAnsiTheme="minorHAnsi" w:cstheme="minorHAnsi"/>
          <w:sz w:val="24"/>
          <w:szCs w:val="24"/>
          <w:vertAlign w:val="superscript"/>
        </w:rPr>
        <w:footnoteReference w:id="29"/>
      </w:r>
      <w:r w:rsidRPr="00527E83">
        <w:rPr>
          <w:rFonts w:asciiTheme="minorHAnsi" w:eastAsia="Calibri" w:hAnsiTheme="minorHAnsi" w:cstheme="minorHAnsi"/>
          <w:sz w:val="24"/>
          <w:szCs w:val="24"/>
        </w:rPr>
        <w:t xml:space="preserve"> </w:t>
      </w:r>
      <w:r w:rsidRPr="0075660A">
        <w:rPr>
          <w:rFonts w:asciiTheme="minorHAnsi" w:eastAsia="Calibri" w:hAnsiTheme="minorHAnsi" w:cstheme="minorHAnsi"/>
          <w:sz w:val="24"/>
          <w:szCs w:val="24"/>
        </w:rPr>
        <w:t>mimořádný příspěvek na odměny pracovníkům za práci</w:t>
      </w:r>
      <w:r w:rsidR="009C1A32">
        <w:rPr>
          <w:rFonts w:asciiTheme="minorHAnsi" w:eastAsia="Calibri" w:hAnsiTheme="minorHAnsi" w:cstheme="minorHAnsi"/>
          <w:sz w:val="24"/>
          <w:szCs w:val="24"/>
        </w:rPr>
        <w:t xml:space="preserve"> </w:t>
      </w:r>
      <w:r w:rsidRPr="0075660A">
        <w:rPr>
          <w:rFonts w:asciiTheme="minorHAnsi" w:eastAsia="Calibri" w:hAnsiTheme="minorHAnsi" w:cstheme="minorHAnsi"/>
          <w:sz w:val="24"/>
          <w:szCs w:val="24"/>
        </w:rPr>
        <w:t xml:space="preserve">ve ztíženém pracovním prostředí, kde byl pracovník vystaven riziku nákazy onemocnění </w:t>
      </w:r>
      <w:proofErr w:type="spellStart"/>
      <w:r w:rsidRPr="0075660A">
        <w:rPr>
          <w:rFonts w:asciiTheme="minorHAnsi" w:eastAsia="Calibri" w:hAnsiTheme="minorHAnsi" w:cstheme="minorHAnsi"/>
          <w:sz w:val="24"/>
          <w:szCs w:val="24"/>
        </w:rPr>
        <w:t>koronavir</w:t>
      </w:r>
      <w:r w:rsidR="00651E02">
        <w:rPr>
          <w:rFonts w:asciiTheme="minorHAnsi" w:eastAsia="Calibri" w:hAnsiTheme="minorHAnsi" w:cstheme="minorHAnsi"/>
          <w:sz w:val="24"/>
          <w:szCs w:val="24"/>
        </w:rPr>
        <w:t>em</w:t>
      </w:r>
      <w:proofErr w:type="spellEnd"/>
      <w:r w:rsidRPr="0075660A">
        <w:rPr>
          <w:rFonts w:asciiTheme="minorHAnsi" w:eastAsia="Calibri" w:hAnsiTheme="minorHAnsi" w:cstheme="minorHAnsi"/>
          <w:sz w:val="24"/>
          <w:szCs w:val="24"/>
        </w:rPr>
        <w:t xml:space="preserve"> SARS CoV-2, a</w:t>
      </w:r>
      <w:r w:rsidR="007F1CA3">
        <w:rPr>
          <w:rFonts w:asciiTheme="minorHAnsi" w:eastAsia="Calibri" w:hAnsiTheme="minorHAnsi" w:cstheme="minorHAnsi"/>
          <w:sz w:val="24"/>
          <w:szCs w:val="24"/>
        </w:rPr>
        <w:t> </w:t>
      </w:r>
      <w:r w:rsidRPr="0075660A">
        <w:rPr>
          <w:rFonts w:asciiTheme="minorHAnsi" w:eastAsia="Calibri" w:hAnsiTheme="minorHAnsi" w:cstheme="minorHAnsi"/>
          <w:sz w:val="24"/>
          <w:szCs w:val="24"/>
        </w:rPr>
        <w:t>to v návaznosti na usnesení vlády České republiky ze dne 27. července 2020 č. 809 a ze dne 24. srpna 2020 č. 870 a usnesení vlády České republiky ze dne 8. března 2021 č. 274 a ze dne 26.</w:t>
      </w:r>
      <w:r w:rsidR="00CE6C2D">
        <w:rPr>
          <w:rFonts w:asciiTheme="minorHAnsi" w:eastAsia="Calibri" w:hAnsiTheme="minorHAnsi" w:cstheme="minorHAnsi"/>
          <w:sz w:val="24"/>
          <w:szCs w:val="24"/>
        </w:rPr>
        <w:t> </w:t>
      </w:r>
      <w:r w:rsidRPr="0075660A">
        <w:rPr>
          <w:rFonts w:asciiTheme="minorHAnsi" w:eastAsia="Calibri" w:hAnsiTheme="minorHAnsi" w:cstheme="minorHAnsi"/>
          <w:sz w:val="24"/>
          <w:szCs w:val="24"/>
        </w:rPr>
        <w:t>dubna 2021 č. 417</w:t>
      </w:r>
      <w:r w:rsidRPr="0075660A">
        <w:rPr>
          <w:rFonts w:asciiTheme="minorHAnsi" w:eastAsia="Calibri" w:hAnsiTheme="minorHAnsi" w:cstheme="minorHAnsi"/>
          <w:sz w:val="24"/>
          <w:szCs w:val="24"/>
          <w:vertAlign w:val="superscript"/>
        </w:rPr>
        <w:footnoteReference w:id="30"/>
      </w:r>
      <w:r w:rsidR="00AE2C96" w:rsidRPr="0075660A">
        <w:rPr>
          <w:rFonts w:asciiTheme="minorHAnsi" w:eastAsia="Calibri" w:hAnsiTheme="minorHAnsi" w:cstheme="minorHAnsi"/>
          <w:sz w:val="24"/>
          <w:szCs w:val="24"/>
        </w:rPr>
        <w:t>.</w:t>
      </w:r>
      <w:r w:rsidRPr="0075660A">
        <w:rPr>
          <w:rFonts w:asciiTheme="minorHAnsi" w:eastAsia="Calibri" w:hAnsiTheme="minorHAnsi" w:cstheme="minorHAnsi"/>
          <w:sz w:val="24"/>
          <w:szCs w:val="24"/>
        </w:rPr>
        <w:t xml:space="preserve"> </w:t>
      </w:r>
      <w:r w:rsidR="00671100">
        <w:rPr>
          <w:rFonts w:asciiTheme="minorHAnsi" w:hAnsiTheme="minorHAnsi" w:cstheme="minorHAnsi"/>
          <w:sz w:val="24"/>
          <w:szCs w:val="24"/>
        </w:rPr>
        <w:t xml:space="preserve">FN </w:t>
      </w:r>
      <w:r w:rsidR="00590DEB">
        <w:rPr>
          <w:rFonts w:asciiTheme="minorHAnsi" w:hAnsiTheme="minorHAnsi" w:cstheme="minorHAnsi"/>
          <w:sz w:val="24"/>
          <w:szCs w:val="24"/>
        </w:rPr>
        <w:t xml:space="preserve">následně </w:t>
      </w:r>
      <w:r w:rsidR="00671100">
        <w:rPr>
          <w:rFonts w:asciiTheme="minorHAnsi" w:hAnsiTheme="minorHAnsi" w:cstheme="minorHAnsi"/>
          <w:sz w:val="24"/>
          <w:szCs w:val="24"/>
        </w:rPr>
        <w:t>vyplatily</w:t>
      </w:r>
      <w:r w:rsidR="00671100" w:rsidRPr="0075660A">
        <w:rPr>
          <w:rFonts w:asciiTheme="minorHAnsi" w:hAnsiTheme="minorHAnsi" w:cstheme="minorHAnsi"/>
          <w:sz w:val="24"/>
          <w:szCs w:val="24"/>
        </w:rPr>
        <w:t xml:space="preserve"> </w:t>
      </w:r>
      <w:r w:rsidR="00671100">
        <w:rPr>
          <w:rFonts w:asciiTheme="minorHAnsi" w:hAnsiTheme="minorHAnsi" w:cstheme="minorHAnsi"/>
          <w:sz w:val="24"/>
          <w:szCs w:val="24"/>
        </w:rPr>
        <w:t>peněžní prostředky</w:t>
      </w:r>
      <w:r w:rsidR="00D27588" w:rsidRPr="0075660A">
        <w:rPr>
          <w:rFonts w:asciiTheme="minorHAnsi" w:hAnsiTheme="minorHAnsi" w:cstheme="minorHAnsi"/>
          <w:sz w:val="24"/>
          <w:szCs w:val="24"/>
        </w:rPr>
        <w:t xml:space="preserve"> na odměny covid-19 </w:t>
      </w:r>
      <w:r w:rsidR="007F0811">
        <w:rPr>
          <w:rFonts w:asciiTheme="minorHAnsi" w:hAnsiTheme="minorHAnsi" w:cstheme="minorHAnsi"/>
          <w:sz w:val="24"/>
          <w:szCs w:val="24"/>
        </w:rPr>
        <w:t>svým pracovníkům</w:t>
      </w:r>
      <w:r w:rsidR="00D27588" w:rsidRPr="0075660A">
        <w:rPr>
          <w:rFonts w:asciiTheme="minorHAnsi" w:hAnsiTheme="minorHAnsi" w:cstheme="minorHAnsi"/>
          <w:sz w:val="24"/>
          <w:szCs w:val="24"/>
        </w:rPr>
        <w:t xml:space="preserve">. </w:t>
      </w:r>
      <w:r w:rsidR="007F0811">
        <w:rPr>
          <w:rFonts w:asciiTheme="minorHAnsi" w:hAnsiTheme="minorHAnsi" w:cstheme="minorHAnsi"/>
          <w:sz w:val="24"/>
          <w:szCs w:val="24"/>
        </w:rPr>
        <w:t>Celkový o</w:t>
      </w:r>
      <w:r w:rsidR="00D27588" w:rsidRPr="0075660A">
        <w:rPr>
          <w:rFonts w:asciiTheme="minorHAnsi" w:hAnsiTheme="minorHAnsi" w:cstheme="minorHAnsi"/>
          <w:sz w:val="24"/>
          <w:szCs w:val="24"/>
        </w:rPr>
        <w:t xml:space="preserve">bjem </w:t>
      </w:r>
      <w:r w:rsidR="00D27588" w:rsidRPr="003B3F20">
        <w:rPr>
          <w:rFonts w:asciiTheme="minorHAnsi" w:hAnsiTheme="minorHAnsi" w:cstheme="minorHAnsi"/>
          <w:sz w:val="24"/>
          <w:szCs w:val="24"/>
        </w:rPr>
        <w:t xml:space="preserve">peněžních prostředků na odměny covid-19 se pohyboval u FN v rozmezí </w:t>
      </w:r>
      <w:r w:rsidR="003E33A2" w:rsidRPr="003B3F20">
        <w:rPr>
          <w:rFonts w:asciiTheme="minorHAnsi" w:hAnsiTheme="minorHAnsi" w:cstheme="minorHAnsi"/>
          <w:sz w:val="24"/>
          <w:szCs w:val="24"/>
        </w:rPr>
        <w:t>385,2</w:t>
      </w:r>
      <w:r w:rsidR="00E56D3F" w:rsidRPr="003B3F20">
        <w:rPr>
          <w:rFonts w:asciiTheme="minorHAnsi" w:hAnsiTheme="minorHAnsi" w:cstheme="minorHAnsi"/>
          <w:sz w:val="24"/>
          <w:szCs w:val="24"/>
        </w:rPr>
        <w:t> </w:t>
      </w:r>
      <w:r w:rsidR="003E33A2" w:rsidRPr="003B3F20">
        <w:rPr>
          <w:rFonts w:asciiTheme="minorHAnsi" w:hAnsiTheme="minorHAnsi" w:cstheme="minorHAnsi"/>
          <w:sz w:val="24"/>
          <w:szCs w:val="24"/>
        </w:rPr>
        <w:t>mil.</w:t>
      </w:r>
      <w:r w:rsidR="00E56D3F" w:rsidRPr="003B3F20">
        <w:rPr>
          <w:rFonts w:asciiTheme="minorHAnsi" w:hAnsiTheme="minorHAnsi" w:cstheme="minorHAnsi"/>
          <w:sz w:val="24"/>
          <w:szCs w:val="24"/>
        </w:rPr>
        <w:t> </w:t>
      </w:r>
      <w:r w:rsidR="003E33A2" w:rsidRPr="003B3F20">
        <w:rPr>
          <w:rFonts w:asciiTheme="minorHAnsi" w:hAnsiTheme="minorHAnsi" w:cstheme="minorHAnsi"/>
          <w:sz w:val="24"/>
          <w:szCs w:val="24"/>
        </w:rPr>
        <w:t>Kč</w:t>
      </w:r>
      <w:r w:rsidR="00D27588" w:rsidRPr="003B3F20">
        <w:rPr>
          <w:rFonts w:asciiTheme="minorHAnsi" w:hAnsiTheme="minorHAnsi" w:cstheme="minorHAnsi"/>
          <w:sz w:val="24"/>
          <w:szCs w:val="24"/>
        </w:rPr>
        <w:t xml:space="preserve"> až </w:t>
      </w:r>
      <w:r w:rsidR="003E33A2" w:rsidRPr="003B3F20">
        <w:rPr>
          <w:rFonts w:asciiTheme="minorHAnsi" w:hAnsiTheme="minorHAnsi" w:cstheme="minorHAnsi"/>
          <w:sz w:val="24"/>
          <w:szCs w:val="24"/>
        </w:rPr>
        <w:t>473,4 </w:t>
      </w:r>
      <w:r w:rsidR="00D27588" w:rsidRPr="003B3F20">
        <w:rPr>
          <w:rFonts w:asciiTheme="minorHAnsi" w:hAnsiTheme="minorHAnsi" w:cstheme="minorHAnsi"/>
          <w:sz w:val="24"/>
          <w:szCs w:val="24"/>
        </w:rPr>
        <w:t>mil. Kč, nejv</w:t>
      </w:r>
      <w:r w:rsidR="00671100" w:rsidRPr="003B3F20">
        <w:rPr>
          <w:rFonts w:asciiTheme="minorHAnsi" w:hAnsiTheme="minorHAnsi" w:cstheme="minorHAnsi"/>
          <w:sz w:val="24"/>
          <w:szCs w:val="24"/>
        </w:rPr>
        <w:t>ětší objem</w:t>
      </w:r>
      <w:r w:rsidR="00D27588" w:rsidRPr="003B3F20">
        <w:rPr>
          <w:rFonts w:asciiTheme="minorHAnsi" w:hAnsiTheme="minorHAnsi" w:cstheme="minorHAnsi"/>
          <w:sz w:val="24"/>
          <w:szCs w:val="24"/>
        </w:rPr>
        <w:t xml:space="preserve"> </w:t>
      </w:r>
      <w:r w:rsidR="00445B2E" w:rsidRPr="003B3F20">
        <w:rPr>
          <w:rFonts w:asciiTheme="minorHAnsi" w:hAnsiTheme="minorHAnsi" w:cstheme="minorHAnsi"/>
          <w:sz w:val="24"/>
          <w:szCs w:val="24"/>
        </w:rPr>
        <w:t>peněžních prostředků</w:t>
      </w:r>
      <w:r w:rsidR="00445B2E" w:rsidRPr="0075660A">
        <w:rPr>
          <w:rFonts w:asciiTheme="minorHAnsi" w:hAnsiTheme="minorHAnsi" w:cstheme="minorHAnsi"/>
          <w:sz w:val="24"/>
          <w:szCs w:val="24"/>
        </w:rPr>
        <w:t xml:space="preserve"> </w:t>
      </w:r>
      <w:r w:rsidR="007F0811">
        <w:rPr>
          <w:rFonts w:asciiTheme="minorHAnsi" w:hAnsiTheme="minorHAnsi" w:cstheme="minorHAnsi"/>
          <w:sz w:val="24"/>
          <w:szCs w:val="24"/>
        </w:rPr>
        <w:t>vyplatila</w:t>
      </w:r>
      <w:r w:rsidR="00D27588" w:rsidRPr="0075660A">
        <w:rPr>
          <w:rFonts w:asciiTheme="minorHAnsi" w:hAnsiTheme="minorHAnsi" w:cstheme="minorHAnsi"/>
          <w:sz w:val="24"/>
          <w:szCs w:val="24"/>
        </w:rPr>
        <w:t xml:space="preserve"> FNKV. </w:t>
      </w:r>
    </w:p>
    <w:p w14:paraId="256CCF80" w14:textId="5C5812ED" w:rsidR="00527E83" w:rsidRPr="0075660A" w:rsidRDefault="00EC38AE" w:rsidP="00CE6C2D">
      <w:pPr>
        <w:widowControl/>
        <w:spacing w:before="120" w:after="120"/>
        <w:jc w:val="both"/>
        <w:rPr>
          <w:rFonts w:asciiTheme="minorHAnsi" w:eastAsia="Times New Roman" w:hAnsiTheme="minorHAnsi" w:cstheme="minorHAnsi"/>
          <w:b/>
          <w:sz w:val="24"/>
          <w:szCs w:val="24"/>
        </w:rPr>
      </w:pPr>
      <w:r w:rsidRPr="0075660A">
        <w:rPr>
          <w:rFonts w:asciiTheme="minorHAnsi" w:eastAsia="Calibri" w:hAnsiTheme="minorHAnsi" w:cstheme="minorHAnsi"/>
          <w:sz w:val="24"/>
        </w:rPr>
        <w:t>V souvislosti s prevencí šíření onemocnění covid-19 bylo vydáno usnesení vlády České republiky ze dne 16. října 2020 č.</w:t>
      </w:r>
      <w:r w:rsidR="00450C4A" w:rsidRPr="0075660A">
        <w:rPr>
          <w:rFonts w:asciiTheme="minorHAnsi" w:eastAsia="Calibri" w:hAnsiTheme="minorHAnsi" w:cstheme="minorHAnsi"/>
          <w:sz w:val="24"/>
        </w:rPr>
        <w:t> </w:t>
      </w:r>
      <w:r w:rsidRPr="0075660A">
        <w:rPr>
          <w:rFonts w:asciiTheme="minorHAnsi" w:eastAsia="Calibri" w:hAnsiTheme="minorHAnsi" w:cstheme="minorHAnsi"/>
          <w:sz w:val="24"/>
        </w:rPr>
        <w:t>1043</w:t>
      </w:r>
      <w:r w:rsidRPr="0075660A">
        <w:rPr>
          <w:rStyle w:val="Znakapoznpodarou"/>
          <w:rFonts w:asciiTheme="minorHAnsi" w:eastAsia="Calibri" w:hAnsiTheme="minorHAnsi" w:cstheme="minorHAnsi"/>
          <w:sz w:val="24"/>
        </w:rPr>
        <w:footnoteReference w:id="31"/>
      </w:r>
      <w:r w:rsidRPr="0075660A">
        <w:rPr>
          <w:rFonts w:asciiTheme="minorHAnsi" w:eastAsia="Calibri" w:hAnsiTheme="minorHAnsi" w:cstheme="minorHAnsi"/>
          <w:sz w:val="24"/>
        </w:rPr>
        <w:t xml:space="preserve">, kterým </w:t>
      </w:r>
      <w:r w:rsidR="00671100">
        <w:rPr>
          <w:rFonts w:asciiTheme="minorHAnsi" w:eastAsia="Calibri" w:hAnsiTheme="minorHAnsi" w:cstheme="minorHAnsi"/>
          <w:sz w:val="24"/>
        </w:rPr>
        <w:t xml:space="preserve">vláda ČR </w:t>
      </w:r>
      <w:r w:rsidRPr="0075660A">
        <w:rPr>
          <w:rFonts w:asciiTheme="minorHAnsi" w:eastAsia="Calibri" w:hAnsiTheme="minorHAnsi" w:cstheme="minorHAnsi"/>
          <w:sz w:val="24"/>
        </w:rPr>
        <w:t xml:space="preserve">schválila návrh nařízení vlády o použití Armády České republiky k záchranným pracím při ochraně obyvatelstva a prevenci šíření </w:t>
      </w:r>
      <w:proofErr w:type="spellStart"/>
      <w:r w:rsidRPr="0075660A">
        <w:rPr>
          <w:rFonts w:asciiTheme="minorHAnsi" w:eastAsia="Calibri" w:hAnsiTheme="minorHAnsi" w:cstheme="minorHAnsi"/>
          <w:sz w:val="24"/>
        </w:rPr>
        <w:t>koronaviru</w:t>
      </w:r>
      <w:proofErr w:type="spellEnd"/>
      <w:r w:rsidRPr="0075660A">
        <w:rPr>
          <w:rFonts w:asciiTheme="minorHAnsi" w:eastAsia="Calibri" w:hAnsiTheme="minorHAnsi" w:cstheme="minorHAnsi"/>
          <w:sz w:val="24"/>
        </w:rPr>
        <w:t xml:space="preserve"> SARS CoV-2 spočívající ve vybudování záložního zdravotnického zařízení a</w:t>
      </w:r>
      <w:r w:rsidR="003D6F0B">
        <w:rPr>
          <w:rFonts w:asciiTheme="minorHAnsi" w:eastAsia="Calibri" w:hAnsiTheme="minorHAnsi" w:cstheme="minorHAnsi"/>
          <w:sz w:val="24"/>
        </w:rPr>
        <w:t> </w:t>
      </w:r>
      <w:r w:rsidRPr="0075660A">
        <w:rPr>
          <w:rFonts w:asciiTheme="minorHAnsi" w:eastAsia="Calibri" w:hAnsiTheme="minorHAnsi" w:cstheme="minorHAnsi"/>
          <w:sz w:val="24"/>
        </w:rPr>
        <w:t>jeho částečné obsluze. Vláda České republiky vydala dne 16. 10. 2020 nařízení vlády č.</w:t>
      </w:r>
      <w:r w:rsidR="00450C4A" w:rsidRPr="0075660A">
        <w:rPr>
          <w:rFonts w:asciiTheme="minorHAnsi" w:eastAsia="Calibri" w:hAnsiTheme="minorHAnsi" w:cstheme="minorHAnsi"/>
          <w:sz w:val="24"/>
        </w:rPr>
        <w:t> </w:t>
      </w:r>
      <w:r w:rsidRPr="0075660A">
        <w:rPr>
          <w:rFonts w:asciiTheme="minorHAnsi" w:eastAsia="Calibri" w:hAnsiTheme="minorHAnsi" w:cstheme="minorHAnsi"/>
          <w:sz w:val="24"/>
        </w:rPr>
        <w:t>416/2020</w:t>
      </w:r>
      <w:r w:rsidR="00DC1F46" w:rsidRPr="0075660A">
        <w:rPr>
          <w:rFonts w:asciiTheme="minorHAnsi" w:eastAsia="Calibri" w:hAnsiTheme="minorHAnsi" w:cstheme="minorHAnsi"/>
          <w:sz w:val="24"/>
        </w:rPr>
        <w:t> </w:t>
      </w:r>
      <w:r w:rsidRPr="0075660A">
        <w:rPr>
          <w:rFonts w:asciiTheme="minorHAnsi" w:eastAsia="Calibri" w:hAnsiTheme="minorHAnsi" w:cstheme="minorHAnsi"/>
          <w:sz w:val="24"/>
        </w:rPr>
        <w:t>Sb.</w:t>
      </w:r>
      <w:r w:rsidRPr="0075660A">
        <w:rPr>
          <w:rStyle w:val="Znakapoznpodarou"/>
          <w:rFonts w:asciiTheme="minorHAnsi" w:eastAsia="Calibri" w:hAnsiTheme="minorHAnsi" w:cstheme="minorHAnsi"/>
          <w:sz w:val="24"/>
        </w:rPr>
        <w:footnoteReference w:id="32"/>
      </w:r>
      <w:r w:rsidRPr="0075660A">
        <w:rPr>
          <w:rFonts w:asciiTheme="minorHAnsi" w:eastAsia="Calibri" w:hAnsiTheme="minorHAnsi" w:cstheme="minorHAnsi"/>
          <w:sz w:val="24"/>
        </w:rPr>
        <w:t xml:space="preserve"> </w:t>
      </w:r>
      <w:r w:rsidR="00D27588" w:rsidRPr="0075660A">
        <w:rPr>
          <w:rFonts w:asciiTheme="minorHAnsi" w:hAnsiTheme="minorHAnsi" w:cstheme="minorHAnsi"/>
          <w:sz w:val="24"/>
          <w:szCs w:val="24"/>
        </w:rPr>
        <w:t xml:space="preserve">Výdaje na zřízení a provoz </w:t>
      </w:r>
      <w:r w:rsidR="00037B9A" w:rsidRPr="0075660A">
        <w:rPr>
          <w:rFonts w:asciiTheme="minorHAnsi" w:hAnsiTheme="minorHAnsi" w:cstheme="minorHAnsi"/>
          <w:sz w:val="24"/>
          <w:szCs w:val="24"/>
        </w:rPr>
        <w:t>PNL</w:t>
      </w:r>
      <w:r w:rsidR="00D27588" w:rsidRPr="0075660A">
        <w:rPr>
          <w:rFonts w:asciiTheme="minorHAnsi" w:hAnsiTheme="minorHAnsi" w:cstheme="minorHAnsi"/>
          <w:sz w:val="24"/>
          <w:szCs w:val="24"/>
        </w:rPr>
        <w:t xml:space="preserve"> souvisely s</w:t>
      </w:r>
      <w:r w:rsidR="00450C4A" w:rsidRPr="0075660A">
        <w:rPr>
          <w:rFonts w:asciiTheme="minorHAnsi" w:hAnsiTheme="minorHAnsi" w:cstheme="minorHAnsi"/>
          <w:sz w:val="24"/>
          <w:szCs w:val="24"/>
        </w:rPr>
        <w:t> je</w:t>
      </w:r>
      <w:r w:rsidR="00037B9A" w:rsidRPr="0075660A">
        <w:rPr>
          <w:rFonts w:asciiTheme="minorHAnsi" w:hAnsiTheme="minorHAnsi" w:cstheme="minorHAnsi"/>
          <w:sz w:val="24"/>
          <w:szCs w:val="24"/>
        </w:rPr>
        <w:t>jím</w:t>
      </w:r>
      <w:r w:rsidR="00450C4A" w:rsidRPr="0075660A">
        <w:rPr>
          <w:rFonts w:asciiTheme="minorHAnsi" w:hAnsiTheme="minorHAnsi" w:cstheme="minorHAnsi"/>
          <w:sz w:val="24"/>
          <w:szCs w:val="24"/>
        </w:rPr>
        <w:t xml:space="preserve"> </w:t>
      </w:r>
      <w:r w:rsidR="00D27588" w:rsidRPr="0075660A">
        <w:rPr>
          <w:rFonts w:asciiTheme="minorHAnsi" w:hAnsiTheme="minorHAnsi" w:cstheme="minorHAnsi"/>
          <w:sz w:val="24"/>
          <w:szCs w:val="24"/>
        </w:rPr>
        <w:t>vybudováním a provozem pro případ dramatické eskalace pandemické situace, kdy by poskytování zdravotní péče ve standardních zdravotnických zařízeních nebylo dostačující.</w:t>
      </w:r>
      <w:r w:rsidR="00D571EC" w:rsidRPr="0075660A">
        <w:rPr>
          <w:rFonts w:asciiTheme="minorHAnsi" w:hAnsiTheme="minorHAnsi" w:cstheme="minorHAnsi"/>
          <w:sz w:val="24"/>
          <w:szCs w:val="24"/>
        </w:rPr>
        <w:t xml:space="preserve"> Peněžní prostředky související se zřízením a provozem PNL poskytlo </w:t>
      </w:r>
      <w:proofErr w:type="spellStart"/>
      <w:r w:rsidR="00D571EC" w:rsidRPr="0075660A">
        <w:rPr>
          <w:rFonts w:asciiTheme="minorHAnsi" w:hAnsiTheme="minorHAnsi" w:cstheme="minorHAnsi"/>
          <w:sz w:val="24"/>
          <w:szCs w:val="24"/>
        </w:rPr>
        <w:t>MZ</w:t>
      </w:r>
      <w:r w:rsidR="00CE6C2D">
        <w:rPr>
          <w:rFonts w:asciiTheme="minorHAnsi" w:hAnsiTheme="minorHAnsi" w:cstheme="minorHAnsi"/>
          <w:sz w:val="24"/>
          <w:szCs w:val="24"/>
        </w:rPr>
        <w:t>d</w:t>
      </w:r>
      <w:proofErr w:type="spellEnd"/>
      <w:r w:rsidR="00D571EC" w:rsidRPr="0075660A">
        <w:rPr>
          <w:rFonts w:asciiTheme="minorHAnsi" w:hAnsiTheme="minorHAnsi" w:cstheme="minorHAnsi"/>
          <w:sz w:val="24"/>
          <w:szCs w:val="24"/>
        </w:rPr>
        <w:t xml:space="preserve"> formou provozního neinvestičního příspěvku</w:t>
      </w:r>
      <w:r w:rsidR="00FA24FC" w:rsidRPr="0075660A">
        <w:rPr>
          <w:rFonts w:asciiTheme="minorHAnsi" w:hAnsiTheme="minorHAnsi" w:cstheme="minorHAnsi"/>
          <w:sz w:val="24"/>
          <w:szCs w:val="24"/>
        </w:rPr>
        <w:t xml:space="preserve"> na základě vyúčtování</w:t>
      </w:r>
      <w:r w:rsidR="00D571EC" w:rsidRPr="0075660A">
        <w:rPr>
          <w:rFonts w:asciiTheme="minorHAnsi" w:hAnsiTheme="minorHAnsi" w:cstheme="minorHAnsi"/>
          <w:sz w:val="24"/>
          <w:szCs w:val="24"/>
        </w:rPr>
        <w:t xml:space="preserve"> </w:t>
      </w:r>
      <w:r w:rsidR="007A7AFB">
        <w:rPr>
          <w:rFonts w:asciiTheme="minorHAnsi" w:hAnsiTheme="minorHAnsi" w:cstheme="minorHAnsi"/>
          <w:sz w:val="24"/>
          <w:szCs w:val="24"/>
        </w:rPr>
        <w:t xml:space="preserve">předloženého </w:t>
      </w:r>
      <w:r w:rsidR="00D571EC" w:rsidRPr="0075660A">
        <w:rPr>
          <w:rFonts w:asciiTheme="minorHAnsi" w:hAnsiTheme="minorHAnsi" w:cstheme="minorHAnsi"/>
          <w:sz w:val="24"/>
          <w:szCs w:val="24"/>
        </w:rPr>
        <w:t xml:space="preserve">FNB. </w:t>
      </w:r>
    </w:p>
    <w:p w14:paraId="2F359721" w14:textId="4CA51739" w:rsidR="00C1281C" w:rsidRPr="0075660A" w:rsidRDefault="00741D78" w:rsidP="000D192D">
      <w:pPr>
        <w:keepNext/>
        <w:widowControl/>
        <w:autoSpaceDE/>
        <w:autoSpaceDN/>
        <w:adjustRightInd/>
        <w:spacing w:before="120" w:after="120"/>
        <w:jc w:val="both"/>
        <w:rPr>
          <w:rFonts w:asciiTheme="minorHAnsi" w:eastAsia="Times New Roman" w:hAnsiTheme="minorHAnsi" w:cstheme="minorHAnsi"/>
          <w:sz w:val="24"/>
          <w:szCs w:val="24"/>
        </w:rPr>
      </w:pPr>
      <w:r w:rsidRPr="0075660A">
        <w:rPr>
          <w:rFonts w:asciiTheme="minorHAnsi" w:eastAsia="Times New Roman" w:hAnsiTheme="minorHAnsi" w:cstheme="minorHAnsi"/>
          <w:b/>
          <w:sz w:val="24"/>
          <w:szCs w:val="24"/>
        </w:rPr>
        <w:t>Fakultní nemocnice</w:t>
      </w:r>
      <w:r w:rsidRPr="0075660A">
        <w:rPr>
          <w:rFonts w:asciiTheme="minorHAnsi" w:eastAsia="Times New Roman" w:hAnsiTheme="minorHAnsi" w:cstheme="minorHAnsi"/>
          <w:sz w:val="24"/>
          <w:szCs w:val="24"/>
        </w:rPr>
        <w:t xml:space="preserve"> </w:t>
      </w:r>
    </w:p>
    <w:p w14:paraId="15BC64A9" w14:textId="39DAEA7C" w:rsidR="003E638C" w:rsidRPr="0075660A" w:rsidRDefault="007F327F" w:rsidP="00924E8F">
      <w:pPr>
        <w:widowControl/>
        <w:autoSpaceDE/>
        <w:autoSpaceDN/>
        <w:adjustRightInd/>
        <w:spacing w:before="120" w:after="120"/>
        <w:jc w:val="both"/>
        <w:rPr>
          <w:rFonts w:asciiTheme="minorHAnsi" w:eastAsia="Calibri" w:hAnsiTheme="minorHAnsi" w:cstheme="minorHAnsi"/>
          <w:sz w:val="24"/>
        </w:rPr>
      </w:pPr>
      <w:r w:rsidRPr="0075660A">
        <w:rPr>
          <w:rFonts w:asciiTheme="minorHAnsi" w:eastAsia="Calibri" w:hAnsiTheme="minorHAnsi" w:cstheme="minorHAnsi"/>
          <w:sz w:val="24"/>
        </w:rPr>
        <w:t>FN</w:t>
      </w:r>
      <w:r w:rsidR="00741D78" w:rsidRPr="0075660A">
        <w:rPr>
          <w:rFonts w:asciiTheme="minorHAnsi" w:eastAsia="Calibri" w:hAnsiTheme="minorHAnsi" w:cstheme="minorHAnsi"/>
          <w:sz w:val="24"/>
        </w:rPr>
        <w:t xml:space="preserve"> </w:t>
      </w:r>
      <w:r w:rsidR="00CE7DD4">
        <w:rPr>
          <w:rFonts w:asciiTheme="minorHAnsi" w:eastAsia="Calibri" w:hAnsiTheme="minorHAnsi" w:cstheme="minorHAnsi"/>
          <w:sz w:val="24"/>
        </w:rPr>
        <w:t>j</w:t>
      </w:r>
      <w:r w:rsidR="00750A9A">
        <w:rPr>
          <w:rFonts w:asciiTheme="minorHAnsi" w:eastAsia="Calibri" w:hAnsiTheme="minorHAnsi" w:cstheme="minorHAnsi"/>
          <w:sz w:val="24"/>
        </w:rPr>
        <w:t>sou</w:t>
      </w:r>
      <w:r w:rsidR="00741D78" w:rsidRPr="0075660A">
        <w:rPr>
          <w:rFonts w:asciiTheme="minorHAnsi" w:eastAsia="Calibri" w:hAnsiTheme="minorHAnsi" w:cstheme="minorHAnsi"/>
          <w:sz w:val="24"/>
        </w:rPr>
        <w:t xml:space="preserve"> příspěvkov</w:t>
      </w:r>
      <w:r w:rsidR="00750A9A">
        <w:rPr>
          <w:rFonts w:asciiTheme="minorHAnsi" w:eastAsia="Calibri" w:hAnsiTheme="minorHAnsi" w:cstheme="minorHAnsi"/>
          <w:sz w:val="24"/>
        </w:rPr>
        <w:t>ými</w:t>
      </w:r>
      <w:r w:rsidR="00741D78" w:rsidRPr="0075660A">
        <w:rPr>
          <w:rFonts w:asciiTheme="minorHAnsi" w:eastAsia="Calibri" w:hAnsiTheme="minorHAnsi" w:cstheme="minorHAnsi"/>
          <w:sz w:val="24"/>
        </w:rPr>
        <w:t xml:space="preserve"> organizac</w:t>
      </w:r>
      <w:r w:rsidR="00750A9A">
        <w:rPr>
          <w:rFonts w:asciiTheme="minorHAnsi" w:eastAsia="Calibri" w:hAnsiTheme="minorHAnsi" w:cstheme="minorHAnsi"/>
          <w:sz w:val="24"/>
        </w:rPr>
        <w:t>emi</w:t>
      </w:r>
      <w:r w:rsidR="00741D78" w:rsidRPr="0075660A">
        <w:rPr>
          <w:rFonts w:asciiTheme="minorHAnsi" w:eastAsia="Calibri" w:hAnsiTheme="minorHAnsi" w:cstheme="minorHAnsi"/>
          <w:sz w:val="24"/>
        </w:rPr>
        <w:t xml:space="preserve"> v působnosti </w:t>
      </w:r>
      <w:proofErr w:type="spellStart"/>
      <w:r w:rsidR="00741D78" w:rsidRPr="0075660A">
        <w:rPr>
          <w:rFonts w:asciiTheme="minorHAnsi" w:eastAsia="Calibri" w:hAnsiTheme="minorHAnsi" w:cstheme="minorHAnsi"/>
          <w:sz w:val="24"/>
        </w:rPr>
        <w:t>MZ</w:t>
      </w:r>
      <w:r w:rsidR="00CE6C2D">
        <w:rPr>
          <w:rFonts w:asciiTheme="minorHAnsi" w:eastAsia="Calibri" w:hAnsiTheme="minorHAnsi" w:cstheme="minorHAnsi"/>
          <w:sz w:val="24"/>
        </w:rPr>
        <w:t>d</w:t>
      </w:r>
      <w:proofErr w:type="spellEnd"/>
      <w:r w:rsidR="00741D78" w:rsidRPr="0075660A">
        <w:rPr>
          <w:rFonts w:asciiTheme="minorHAnsi" w:eastAsia="Calibri" w:hAnsiTheme="minorHAnsi" w:cstheme="minorHAnsi"/>
          <w:sz w:val="24"/>
        </w:rPr>
        <w:t>.</w:t>
      </w:r>
      <w:r w:rsidR="003E638C" w:rsidRPr="0075660A">
        <w:rPr>
          <w:rFonts w:asciiTheme="minorHAnsi" w:eastAsia="Calibri" w:hAnsiTheme="minorHAnsi" w:cstheme="minorHAnsi"/>
          <w:sz w:val="24"/>
        </w:rPr>
        <w:t xml:space="preserve"> FN jsou účetními jednotkami. V souladu s</w:t>
      </w:r>
      <w:r w:rsidR="00CE7DD4">
        <w:rPr>
          <w:rFonts w:asciiTheme="minorHAnsi" w:eastAsia="Calibri" w:hAnsiTheme="minorHAnsi" w:cstheme="minorHAnsi"/>
          <w:sz w:val="24"/>
        </w:rPr>
        <w:t> </w:t>
      </w:r>
      <w:r w:rsidR="003E638C" w:rsidRPr="0075660A">
        <w:rPr>
          <w:rFonts w:asciiTheme="minorHAnsi" w:eastAsia="Calibri" w:hAnsiTheme="minorHAnsi" w:cstheme="minorHAnsi"/>
          <w:sz w:val="24"/>
        </w:rPr>
        <w:t>příslušnými právními předpisy FN hospodaří s majetkem státu, který potřebují k</w:t>
      </w:r>
      <w:r w:rsidR="00495F47" w:rsidRPr="0075660A">
        <w:rPr>
          <w:rFonts w:asciiTheme="minorHAnsi" w:eastAsia="Calibri" w:hAnsiTheme="minorHAnsi" w:cstheme="minorHAnsi"/>
          <w:sz w:val="24"/>
        </w:rPr>
        <w:t> </w:t>
      </w:r>
      <w:r w:rsidR="003E638C" w:rsidRPr="0075660A">
        <w:rPr>
          <w:rFonts w:asciiTheme="minorHAnsi" w:eastAsia="Calibri" w:hAnsiTheme="minorHAnsi" w:cstheme="minorHAnsi"/>
          <w:sz w:val="24"/>
        </w:rPr>
        <w:t xml:space="preserve">výkonu stanoveného předmětu činnosti. </w:t>
      </w:r>
      <w:r w:rsidR="0003346F">
        <w:rPr>
          <w:rFonts w:asciiTheme="minorHAnsi" w:eastAsia="Calibri" w:hAnsiTheme="minorHAnsi" w:cstheme="minorHAnsi"/>
          <w:sz w:val="24"/>
        </w:rPr>
        <w:t>Ve FN probíhá také výuka studentů lékařských fakult.</w:t>
      </w:r>
    </w:p>
    <w:p w14:paraId="1D5741AC" w14:textId="1FA7C3BC" w:rsidR="003E638C" w:rsidRPr="0075660A" w:rsidRDefault="00E57EAC" w:rsidP="00924E8F">
      <w:pPr>
        <w:keepNext/>
        <w:widowControl/>
        <w:autoSpaceDE/>
        <w:autoSpaceDN/>
        <w:adjustRightInd/>
        <w:spacing w:before="120" w:after="120"/>
        <w:jc w:val="both"/>
        <w:rPr>
          <w:rFonts w:asciiTheme="minorHAnsi" w:hAnsiTheme="minorHAnsi" w:cstheme="minorHAnsi"/>
          <w:b/>
          <w:sz w:val="24"/>
          <w:szCs w:val="24"/>
        </w:rPr>
      </w:pPr>
      <w:r w:rsidRPr="0075660A">
        <w:rPr>
          <w:rFonts w:asciiTheme="minorHAnsi" w:hAnsiTheme="minorHAnsi" w:cstheme="minorHAnsi"/>
          <w:b/>
          <w:sz w:val="24"/>
          <w:szCs w:val="24"/>
        </w:rPr>
        <w:t xml:space="preserve">Hospodaření </w:t>
      </w:r>
      <w:r w:rsidR="00326B31" w:rsidRPr="0075660A">
        <w:rPr>
          <w:rFonts w:asciiTheme="minorHAnsi" w:hAnsiTheme="minorHAnsi" w:cstheme="minorHAnsi"/>
          <w:b/>
          <w:sz w:val="24"/>
          <w:szCs w:val="24"/>
        </w:rPr>
        <w:t>FN</w:t>
      </w:r>
    </w:p>
    <w:p w14:paraId="45321E2C" w14:textId="03DAEC8F" w:rsidR="003E638C" w:rsidRPr="00527E83" w:rsidRDefault="003E638C" w:rsidP="00924E8F">
      <w:pPr>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V následující tabulce jsou uvedeny vybrané ekonomické údaje kontrolovaných FN.</w:t>
      </w:r>
    </w:p>
    <w:p w14:paraId="3D291283" w14:textId="58ECDA3A" w:rsidR="00E57EAC" w:rsidRPr="0075660A" w:rsidRDefault="00E57EAC" w:rsidP="000D192D">
      <w:pPr>
        <w:tabs>
          <w:tab w:val="right" w:pos="9070"/>
        </w:tabs>
        <w:autoSpaceDE/>
        <w:autoSpaceDN/>
        <w:adjustRightInd/>
        <w:spacing w:after="40"/>
        <w:jc w:val="both"/>
        <w:rPr>
          <w:rFonts w:asciiTheme="minorHAnsi" w:eastAsia="Times New Roman" w:hAnsiTheme="minorHAnsi" w:cstheme="minorHAnsi"/>
          <w:sz w:val="24"/>
          <w:szCs w:val="24"/>
        </w:rPr>
      </w:pPr>
      <w:r w:rsidRPr="0075660A">
        <w:rPr>
          <w:rFonts w:asciiTheme="minorHAnsi" w:hAnsiTheme="minorHAnsi" w:cstheme="minorHAnsi"/>
          <w:b/>
          <w:sz w:val="24"/>
          <w:szCs w:val="24"/>
        </w:rPr>
        <w:t xml:space="preserve">Tabulka č. </w:t>
      </w:r>
      <w:r w:rsidR="00B840E1" w:rsidRPr="0075660A">
        <w:rPr>
          <w:rFonts w:asciiTheme="minorHAnsi" w:hAnsiTheme="minorHAnsi" w:cstheme="minorHAnsi"/>
          <w:b/>
          <w:sz w:val="24"/>
          <w:szCs w:val="24"/>
        </w:rPr>
        <w:t>3</w:t>
      </w:r>
      <w:r w:rsidRPr="0075660A">
        <w:rPr>
          <w:rFonts w:asciiTheme="minorHAnsi" w:hAnsiTheme="minorHAnsi" w:cstheme="minorHAnsi"/>
          <w:b/>
          <w:sz w:val="24"/>
          <w:szCs w:val="24"/>
        </w:rPr>
        <w:t xml:space="preserve">: Přehled vybraných ekonomických údajů </w:t>
      </w:r>
      <w:r w:rsidR="00313B28" w:rsidRPr="0075660A">
        <w:rPr>
          <w:rFonts w:asciiTheme="minorHAnsi" w:hAnsiTheme="minorHAnsi" w:cstheme="minorHAnsi"/>
          <w:b/>
          <w:sz w:val="24"/>
          <w:szCs w:val="24"/>
        </w:rPr>
        <w:t>FN</w:t>
      </w:r>
      <w:r w:rsidR="00F80865" w:rsidRPr="0075660A">
        <w:rPr>
          <w:rFonts w:asciiTheme="minorHAnsi" w:hAnsiTheme="minorHAnsi" w:cstheme="minorHAnsi"/>
          <w:b/>
          <w:sz w:val="24"/>
          <w:szCs w:val="24"/>
        </w:rPr>
        <w:tab/>
      </w:r>
      <w:r w:rsidR="00EE54A1" w:rsidRPr="0075660A">
        <w:rPr>
          <w:rFonts w:asciiTheme="minorHAnsi" w:hAnsiTheme="minorHAnsi" w:cstheme="minorHAnsi"/>
          <w:b/>
          <w:sz w:val="24"/>
          <w:szCs w:val="24"/>
        </w:rPr>
        <w:t>(v tis.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0"/>
        <w:gridCol w:w="1225"/>
        <w:gridCol w:w="1785"/>
        <w:gridCol w:w="1785"/>
        <w:gridCol w:w="1785"/>
      </w:tblGrid>
      <w:tr w:rsidR="000C117A" w:rsidRPr="000D192D" w14:paraId="3D86524A" w14:textId="77777777" w:rsidTr="000D192D">
        <w:trPr>
          <w:trHeight w:val="255"/>
        </w:trPr>
        <w:tc>
          <w:tcPr>
            <w:tcW w:w="1369" w:type="pct"/>
            <w:shd w:val="clear" w:color="000000" w:fill="E5F1FF"/>
            <w:vAlign w:val="center"/>
            <w:hideMark/>
          </w:tcPr>
          <w:p w14:paraId="6BB80C78" w14:textId="77777777" w:rsidR="000C117A" w:rsidRPr="000D192D" w:rsidRDefault="000C117A" w:rsidP="003E638C">
            <w:pPr>
              <w:jc w:val="center"/>
              <w:rPr>
                <w:rFonts w:ascii="Calibri" w:hAnsi="Calibri" w:cs="Calibri"/>
                <w:b/>
                <w:bCs/>
              </w:rPr>
            </w:pPr>
            <w:r w:rsidRPr="000D192D">
              <w:rPr>
                <w:rFonts w:ascii="Calibri" w:hAnsi="Calibri" w:cs="Calibri"/>
                <w:b/>
                <w:bCs/>
              </w:rPr>
              <w:t>Ukazatel</w:t>
            </w:r>
          </w:p>
        </w:tc>
        <w:tc>
          <w:tcPr>
            <w:tcW w:w="676" w:type="pct"/>
            <w:shd w:val="clear" w:color="000000" w:fill="E5F1FF"/>
            <w:vAlign w:val="center"/>
            <w:hideMark/>
          </w:tcPr>
          <w:p w14:paraId="0EC3527B" w14:textId="1E737511" w:rsidR="000C117A" w:rsidRPr="000D192D" w:rsidRDefault="000C117A" w:rsidP="003E638C">
            <w:pPr>
              <w:jc w:val="center"/>
              <w:rPr>
                <w:rFonts w:ascii="Calibri" w:hAnsi="Calibri" w:cs="Calibri"/>
                <w:b/>
                <w:bCs/>
              </w:rPr>
            </w:pPr>
            <w:r w:rsidRPr="000D192D">
              <w:rPr>
                <w:rFonts w:ascii="Calibri" w:hAnsi="Calibri" w:cs="Calibri"/>
                <w:b/>
                <w:bCs/>
              </w:rPr>
              <w:t>FN</w:t>
            </w:r>
          </w:p>
        </w:tc>
        <w:tc>
          <w:tcPr>
            <w:tcW w:w="985" w:type="pct"/>
            <w:shd w:val="clear" w:color="000000" w:fill="E5F1FF"/>
            <w:vAlign w:val="center"/>
            <w:hideMark/>
          </w:tcPr>
          <w:p w14:paraId="0CB2B9D0" w14:textId="52C77518" w:rsidR="000C117A" w:rsidRPr="000D192D" w:rsidRDefault="000C117A" w:rsidP="003E638C">
            <w:pPr>
              <w:ind w:right="68"/>
              <w:jc w:val="center"/>
              <w:rPr>
                <w:rFonts w:ascii="Calibri" w:hAnsi="Calibri" w:cs="Calibri"/>
                <w:b/>
                <w:bCs/>
              </w:rPr>
            </w:pPr>
            <w:r w:rsidRPr="000D192D">
              <w:rPr>
                <w:rFonts w:ascii="Calibri" w:hAnsi="Calibri" w:cs="Calibri"/>
                <w:b/>
                <w:bCs/>
              </w:rPr>
              <w:t>2019</w:t>
            </w:r>
          </w:p>
        </w:tc>
        <w:tc>
          <w:tcPr>
            <w:tcW w:w="985" w:type="pct"/>
            <w:shd w:val="clear" w:color="000000" w:fill="E5F1FF"/>
            <w:vAlign w:val="center"/>
            <w:hideMark/>
          </w:tcPr>
          <w:p w14:paraId="3F8F1457" w14:textId="6D7ACC5A" w:rsidR="000C117A" w:rsidRPr="000D192D" w:rsidRDefault="000C117A" w:rsidP="003E638C">
            <w:pPr>
              <w:ind w:right="68"/>
              <w:jc w:val="center"/>
              <w:rPr>
                <w:rFonts w:ascii="Calibri" w:hAnsi="Calibri" w:cs="Calibri"/>
                <w:b/>
                <w:bCs/>
              </w:rPr>
            </w:pPr>
            <w:r w:rsidRPr="000D192D">
              <w:rPr>
                <w:rFonts w:ascii="Calibri" w:hAnsi="Calibri" w:cs="Calibri"/>
                <w:b/>
                <w:bCs/>
              </w:rPr>
              <w:t>2020</w:t>
            </w:r>
          </w:p>
        </w:tc>
        <w:tc>
          <w:tcPr>
            <w:tcW w:w="985" w:type="pct"/>
            <w:shd w:val="clear" w:color="000000" w:fill="E5F1FF"/>
            <w:vAlign w:val="center"/>
            <w:hideMark/>
          </w:tcPr>
          <w:p w14:paraId="6F0C14C9" w14:textId="5BB5E082" w:rsidR="000C117A" w:rsidRPr="000D192D" w:rsidRDefault="000C117A" w:rsidP="003E638C">
            <w:pPr>
              <w:ind w:right="68"/>
              <w:jc w:val="center"/>
              <w:rPr>
                <w:rFonts w:ascii="Calibri" w:hAnsi="Calibri" w:cs="Calibri"/>
                <w:b/>
                <w:bCs/>
              </w:rPr>
            </w:pPr>
            <w:r w:rsidRPr="000D192D">
              <w:rPr>
                <w:rFonts w:ascii="Calibri" w:hAnsi="Calibri" w:cs="Calibri"/>
                <w:b/>
                <w:bCs/>
              </w:rPr>
              <w:t>2021</w:t>
            </w:r>
          </w:p>
        </w:tc>
      </w:tr>
      <w:tr w:rsidR="000C117A" w:rsidRPr="000D192D" w14:paraId="557DC6A7" w14:textId="77777777" w:rsidTr="000D192D">
        <w:trPr>
          <w:trHeight w:val="255"/>
        </w:trPr>
        <w:tc>
          <w:tcPr>
            <w:tcW w:w="1369" w:type="pct"/>
            <w:vMerge w:val="restart"/>
            <w:shd w:val="clear" w:color="auto" w:fill="auto"/>
            <w:vAlign w:val="center"/>
            <w:hideMark/>
          </w:tcPr>
          <w:p w14:paraId="650FB0AE" w14:textId="77777777" w:rsidR="000C117A" w:rsidRPr="000D192D" w:rsidRDefault="000C117A" w:rsidP="000D192D">
            <w:pPr>
              <w:rPr>
                <w:rFonts w:ascii="Calibri" w:hAnsi="Calibri" w:cs="Calibri"/>
              </w:rPr>
            </w:pPr>
            <w:r w:rsidRPr="000D192D">
              <w:rPr>
                <w:rFonts w:ascii="Calibri" w:hAnsi="Calibri" w:cs="Calibri"/>
              </w:rPr>
              <w:t>Náklady celkem</w:t>
            </w:r>
          </w:p>
        </w:tc>
        <w:tc>
          <w:tcPr>
            <w:tcW w:w="676" w:type="pct"/>
            <w:shd w:val="clear" w:color="auto" w:fill="auto"/>
            <w:vAlign w:val="center"/>
            <w:hideMark/>
          </w:tcPr>
          <w:p w14:paraId="25F9EE36" w14:textId="77777777" w:rsidR="000C117A" w:rsidRPr="000D192D" w:rsidRDefault="000C117A" w:rsidP="004A5469">
            <w:pPr>
              <w:jc w:val="center"/>
              <w:rPr>
                <w:rFonts w:ascii="Calibri" w:hAnsi="Calibri" w:cs="Calibri"/>
              </w:rPr>
            </w:pPr>
            <w:r w:rsidRPr="000D192D">
              <w:rPr>
                <w:rFonts w:ascii="Calibri" w:hAnsi="Calibri" w:cs="Calibri"/>
              </w:rPr>
              <w:t>FNB</w:t>
            </w:r>
          </w:p>
        </w:tc>
        <w:tc>
          <w:tcPr>
            <w:tcW w:w="985" w:type="pct"/>
            <w:shd w:val="clear" w:color="auto" w:fill="auto"/>
            <w:noWrap/>
            <w:vAlign w:val="center"/>
          </w:tcPr>
          <w:p w14:paraId="71E56E0A" w14:textId="54E0A223" w:rsidR="000C117A" w:rsidRPr="000D192D" w:rsidRDefault="00F82465" w:rsidP="000D192D">
            <w:pPr>
              <w:ind w:right="179"/>
              <w:jc w:val="right"/>
              <w:rPr>
                <w:rFonts w:ascii="Calibri" w:hAnsi="Calibri" w:cs="Calibri"/>
              </w:rPr>
            </w:pPr>
            <w:r w:rsidRPr="000D192D">
              <w:rPr>
                <w:rFonts w:ascii="Calibri" w:hAnsi="Calibri" w:cs="Calibri"/>
              </w:rPr>
              <w:t>3 777</w:t>
            </w:r>
            <w:r w:rsidR="00B232E6" w:rsidRPr="000D192D">
              <w:rPr>
                <w:rFonts w:ascii="Calibri" w:hAnsi="Calibri" w:cs="Calibri"/>
              </w:rPr>
              <w:t> 990,85</w:t>
            </w:r>
          </w:p>
        </w:tc>
        <w:tc>
          <w:tcPr>
            <w:tcW w:w="985" w:type="pct"/>
            <w:shd w:val="clear" w:color="auto" w:fill="auto"/>
            <w:noWrap/>
            <w:vAlign w:val="center"/>
          </w:tcPr>
          <w:p w14:paraId="09BB734B" w14:textId="58ACC319" w:rsidR="000C117A" w:rsidRPr="000D192D" w:rsidRDefault="00B232E6" w:rsidP="000D192D">
            <w:pPr>
              <w:ind w:right="179"/>
              <w:jc w:val="right"/>
              <w:rPr>
                <w:rFonts w:ascii="Calibri" w:hAnsi="Calibri" w:cs="Calibri"/>
              </w:rPr>
            </w:pPr>
            <w:r w:rsidRPr="000D192D">
              <w:rPr>
                <w:rFonts w:ascii="Calibri" w:hAnsi="Calibri" w:cs="Calibri"/>
              </w:rPr>
              <w:t>4 556 978,81</w:t>
            </w:r>
          </w:p>
        </w:tc>
        <w:tc>
          <w:tcPr>
            <w:tcW w:w="985" w:type="pct"/>
            <w:shd w:val="clear" w:color="auto" w:fill="auto"/>
            <w:noWrap/>
            <w:vAlign w:val="center"/>
          </w:tcPr>
          <w:p w14:paraId="7742B745" w14:textId="0CB6698F" w:rsidR="000C117A" w:rsidRPr="000D192D" w:rsidRDefault="00B232E6" w:rsidP="000D192D">
            <w:pPr>
              <w:ind w:right="179"/>
              <w:jc w:val="right"/>
              <w:rPr>
                <w:rFonts w:ascii="Calibri" w:hAnsi="Calibri" w:cs="Calibri"/>
              </w:rPr>
            </w:pPr>
            <w:r w:rsidRPr="000D192D">
              <w:rPr>
                <w:rFonts w:ascii="Calibri" w:hAnsi="Calibri" w:cs="Calibri"/>
              </w:rPr>
              <w:t>5 003 350,12</w:t>
            </w:r>
          </w:p>
        </w:tc>
      </w:tr>
      <w:tr w:rsidR="000C117A" w:rsidRPr="000D192D" w14:paraId="6E2AE4DB" w14:textId="77777777" w:rsidTr="000D192D">
        <w:trPr>
          <w:trHeight w:val="255"/>
        </w:trPr>
        <w:tc>
          <w:tcPr>
            <w:tcW w:w="1369" w:type="pct"/>
            <w:vMerge/>
            <w:shd w:val="clear" w:color="auto" w:fill="auto"/>
            <w:vAlign w:val="center"/>
            <w:hideMark/>
          </w:tcPr>
          <w:p w14:paraId="553AE6C8" w14:textId="77777777" w:rsidR="000C117A" w:rsidRPr="000D192D" w:rsidRDefault="000C117A" w:rsidP="000D192D">
            <w:pPr>
              <w:rPr>
                <w:rFonts w:ascii="Calibri" w:hAnsi="Calibri" w:cs="Calibri"/>
              </w:rPr>
            </w:pPr>
          </w:p>
        </w:tc>
        <w:tc>
          <w:tcPr>
            <w:tcW w:w="676" w:type="pct"/>
            <w:shd w:val="clear" w:color="auto" w:fill="auto"/>
            <w:vAlign w:val="center"/>
            <w:hideMark/>
          </w:tcPr>
          <w:p w14:paraId="4FB478FF" w14:textId="1C68B69C" w:rsidR="000C117A" w:rsidRPr="000D192D" w:rsidRDefault="000C117A" w:rsidP="004A5469">
            <w:pPr>
              <w:jc w:val="center"/>
              <w:rPr>
                <w:rFonts w:ascii="Calibri" w:hAnsi="Calibri" w:cs="Calibri"/>
              </w:rPr>
            </w:pPr>
            <w:r w:rsidRPr="000D192D">
              <w:rPr>
                <w:rFonts w:ascii="Calibri" w:hAnsi="Calibri" w:cs="Calibri"/>
              </w:rPr>
              <w:t>FNKV</w:t>
            </w:r>
          </w:p>
        </w:tc>
        <w:tc>
          <w:tcPr>
            <w:tcW w:w="985" w:type="pct"/>
            <w:shd w:val="clear" w:color="auto" w:fill="auto"/>
            <w:noWrap/>
            <w:vAlign w:val="center"/>
          </w:tcPr>
          <w:p w14:paraId="6B6455D5" w14:textId="420727D1" w:rsidR="000C117A" w:rsidRPr="000D192D" w:rsidRDefault="00C60141" w:rsidP="000D192D">
            <w:pPr>
              <w:ind w:right="179"/>
              <w:jc w:val="right"/>
              <w:rPr>
                <w:rFonts w:ascii="Calibri" w:hAnsi="Calibri" w:cs="Calibri"/>
              </w:rPr>
            </w:pPr>
            <w:r w:rsidRPr="000D192D">
              <w:rPr>
                <w:rFonts w:ascii="Calibri" w:hAnsi="Calibri" w:cs="Calibri"/>
              </w:rPr>
              <w:t>5 075 437,93</w:t>
            </w:r>
          </w:p>
        </w:tc>
        <w:tc>
          <w:tcPr>
            <w:tcW w:w="985" w:type="pct"/>
            <w:shd w:val="clear" w:color="auto" w:fill="auto"/>
            <w:noWrap/>
            <w:vAlign w:val="center"/>
          </w:tcPr>
          <w:p w14:paraId="033DC864" w14:textId="1AF6E5AB" w:rsidR="000C117A" w:rsidRPr="000D192D" w:rsidRDefault="00C60141" w:rsidP="000D192D">
            <w:pPr>
              <w:ind w:right="179"/>
              <w:jc w:val="right"/>
              <w:rPr>
                <w:rFonts w:ascii="Calibri" w:hAnsi="Calibri" w:cs="Calibri"/>
              </w:rPr>
            </w:pPr>
            <w:r w:rsidRPr="000D192D">
              <w:rPr>
                <w:rFonts w:ascii="Calibri" w:hAnsi="Calibri" w:cs="Calibri"/>
              </w:rPr>
              <w:t>6 285 662,96</w:t>
            </w:r>
          </w:p>
        </w:tc>
        <w:tc>
          <w:tcPr>
            <w:tcW w:w="985" w:type="pct"/>
            <w:shd w:val="clear" w:color="auto" w:fill="auto"/>
            <w:noWrap/>
            <w:vAlign w:val="center"/>
          </w:tcPr>
          <w:p w14:paraId="743D491D" w14:textId="23097F6D" w:rsidR="000C117A" w:rsidRPr="000D192D" w:rsidRDefault="00C60141" w:rsidP="000D192D">
            <w:pPr>
              <w:ind w:right="179"/>
              <w:jc w:val="right"/>
              <w:rPr>
                <w:rFonts w:ascii="Calibri" w:hAnsi="Calibri" w:cs="Calibri"/>
              </w:rPr>
            </w:pPr>
            <w:r w:rsidRPr="000D192D">
              <w:rPr>
                <w:rFonts w:ascii="Calibri" w:hAnsi="Calibri" w:cs="Calibri"/>
              </w:rPr>
              <w:t>6 652 255,58</w:t>
            </w:r>
          </w:p>
        </w:tc>
      </w:tr>
      <w:tr w:rsidR="000C117A" w:rsidRPr="000D192D" w14:paraId="00340654" w14:textId="77777777" w:rsidTr="000D192D">
        <w:trPr>
          <w:trHeight w:val="255"/>
        </w:trPr>
        <w:tc>
          <w:tcPr>
            <w:tcW w:w="1369" w:type="pct"/>
            <w:vMerge/>
            <w:shd w:val="clear" w:color="auto" w:fill="auto"/>
            <w:vAlign w:val="center"/>
            <w:hideMark/>
          </w:tcPr>
          <w:p w14:paraId="7E9A981F" w14:textId="77777777" w:rsidR="000C117A" w:rsidRPr="000D192D" w:rsidRDefault="000C117A" w:rsidP="000D192D">
            <w:pPr>
              <w:rPr>
                <w:rFonts w:ascii="Calibri" w:hAnsi="Calibri" w:cs="Calibri"/>
              </w:rPr>
            </w:pPr>
          </w:p>
        </w:tc>
        <w:tc>
          <w:tcPr>
            <w:tcW w:w="676" w:type="pct"/>
            <w:shd w:val="clear" w:color="auto" w:fill="auto"/>
            <w:vAlign w:val="center"/>
            <w:hideMark/>
          </w:tcPr>
          <w:p w14:paraId="0BCAD321" w14:textId="7BF66F9B" w:rsidR="000C117A" w:rsidRPr="000D192D" w:rsidRDefault="000C117A" w:rsidP="004A5469">
            <w:pPr>
              <w:jc w:val="center"/>
              <w:rPr>
                <w:rFonts w:ascii="Calibri" w:hAnsi="Calibri" w:cs="Calibri"/>
              </w:rPr>
            </w:pPr>
            <w:r w:rsidRPr="000D192D">
              <w:rPr>
                <w:rFonts w:ascii="Calibri" w:hAnsi="Calibri" w:cs="Calibri"/>
              </w:rPr>
              <w:t>FNUSA</w:t>
            </w:r>
          </w:p>
        </w:tc>
        <w:tc>
          <w:tcPr>
            <w:tcW w:w="985" w:type="pct"/>
            <w:shd w:val="clear" w:color="auto" w:fill="auto"/>
            <w:noWrap/>
            <w:vAlign w:val="center"/>
          </w:tcPr>
          <w:p w14:paraId="7A741543" w14:textId="5071900C" w:rsidR="000C117A" w:rsidRPr="000D192D" w:rsidRDefault="002A08CC" w:rsidP="000D192D">
            <w:pPr>
              <w:ind w:right="179"/>
              <w:jc w:val="right"/>
              <w:rPr>
                <w:rFonts w:ascii="Calibri" w:hAnsi="Calibri" w:cs="Calibri"/>
              </w:rPr>
            </w:pPr>
            <w:r w:rsidRPr="000D192D">
              <w:rPr>
                <w:rFonts w:ascii="Calibri" w:hAnsi="Calibri" w:cs="Calibri"/>
              </w:rPr>
              <w:t>4 798 267,0</w:t>
            </w:r>
            <w:r w:rsidR="00D11CAB" w:rsidRPr="000D192D">
              <w:rPr>
                <w:rFonts w:ascii="Calibri" w:hAnsi="Calibri" w:cs="Calibri"/>
              </w:rPr>
              <w:t>7</w:t>
            </w:r>
          </w:p>
        </w:tc>
        <w:tc>
          <w:tcPr>
            <w:tcW w:w="985" w:type="pct"/>
            <w:shd w:val="clear" w:color="auto" w:fill="auto"/>
            <w:noWrap/>
            <w:vAlign w:val="center"/>
          </w:tcPr>
          <w:p w14:paraId="5260B4D5" w14:textId="6A1158FB" w:rsidR="000C117A" w:rsidRPr="000D192D" w:rsidRDefault="002A08CC" w:rsidP="000D192D">
            <w:pPr>
              <w:ind w:right="179"/>
              <w:jc w:val="right"/>
              <w:rPr>
                <w:rFonts w:ascii="Calibri" w:hAnsi="Calibri" w:cs="Calibri"/>
              </w:rPr>
            </w:pPr>
            <w:r w:rsidRPr="000D192D">
              <w:rPr>
                <w:rFonts w:ascii="Calibri" w:hAnsi="Calibri" w:cs="Calibri"/>
              </w:rPr>
              <w:t>6 920 47</w:t>
            </w:r>
            <w:r w:rsidR="00D11CAB" w:rsidRPr="000D192D">
              <w:rPr>
                <w:rFonts w:ascii="Calibri" w:hAnsi="Calibri" w:cs="Calibri"/>
              </w:rPr>
              <w:t>1</w:t>
            </w:r>
            <w:r w:rsidRPr="000D192D">
              <w:rPr>
                <w:rFonts w:ascii="Calibri" w:hAnsi="Calibri" w:cs="Calibri"/>
              </w:rPr>
              <w:t>,</w:t>
            </w:r>
            <w:r w:rsidR="00D11CAB" w:rsidRPr="000D192D">
              <w:rPr>
                <w:rFonts w:ascii="Calibri" w:hAnsi="Calibri" w:cs="Calibri"/>
              </w:rPr>
              <w:t>92</w:t>
            </w:r>
          </w:p>
        </w:tc>
        <w:tc>
          <w:tcPr>
            <w:tcW w:w="985" w:type="pct"/>
            <w:shd w:val="clear" w:color="auto" w:fill="auto"/>
            <w:noWrap/>
            <w:vAlign w:val="center"/>
          </w:tcPr>
          <w:p w14:paraId="63063534" w14:textId="20382B17" w:rsidR="000C117A" w:rsidRPr="000D192D" w:rsidRDefault="002A08CC" w:rsidP="000D192D">
            <w:pPr>
              <w:ind w:right="179"/>
              <w:jc w:val="right"/>
              <w:rPr>
                <w:rFonts w:ascii="Calibri" w:hAnsi="Calibri" w:cs="Calibri"/>
              </w:rPr>
            </w:pPr>
            <w:r w:rsidRPr="000D192D">
              <w:rPr>
                <w:rFonts w:ascii="Calibri" w:hAnsi="Calibri" w:cs="Calibri"/>
              </w:rPr>
              <w:t>6 543 275,</w:t>
            </w:r>
            <w:r w:rsidR="00D11CAB" w:rsidRPr="000D192D">
              <w:rPr>
                <w:rFonts w:ascii="Calibri" w:hAnsi="Calibri" w:cs="Calibri"/>
              </w:rPr>
              <w:t>20</w:t>
            </w:r>
          </w:p>
        </w:tc>
      </w:tr>
      <w:tr w:rsidR="000C117A" w:rsidRPr="000D192D" w14:paraId="36DB1725" w14:textId="77777777" w:rsidTr="000D192D">
        <w:trPr>
          <w:trHeight w:val="255"/>
        </w:trPr>
        <w:tc>
          <w:tcPr>
            <w:tcW w:w="1369" w:type="pct"/>
            <w:vMerge w:val="restart"/>
            <w:shd w:val="clear" w:color="auto" w:fill="auto"/>
            <w:vAlign w:val="center"/>
            <w:hideMark/>
          </w:tcPr>
          <w:p w14:paraId="66E37059" w14:textId="77777777" w:rsidR="000C117A" w:rsidRPr="000D192D" w:rsidRDefault="000C117A" w:rsidP="000D192D">
            <w:pPr>
              <w:rPr>
                <w:rFonts w:ascii="Calibri" w:hAnsi="Calibri" w:cs="Calibri"/>
              </w:rPr>
            </w:pPr>
            <w:r w:rsidRPr="000D192D">
              <w:rPr>
                <w:rFonts w:ascii="Calibri" w:hAnsi="Calibri" w:cs="Calibri"/>
              </w:rPr>
              <w:t>Výnosy celkem</w:t>
            </w:r>
          </w:p>
        </w:tc>
        <w:tc>
          <w:tcPr>
            <w:tcW w:w="676" w:type="pct"/>
            <w:shd w:val="clear" w:color="auto" w:fill="auto"/>
            <w:vAlign w:val="center"/>
            <w:hideMark/>
          </w:tcPr>
          <w:p w14:paraId="3E59EA23" w14:textId="77777777" w:rsidR="000C117A" w:rsidRPr="000D192D" w:rsidRDefault="000C117A" w:rsidP="004A5469">
            <w:pPr>
              <w:jc w:val="center"/>
              <w:rPr>
                <w:rFonts w:ascii="Calibri" w:hAnsi="Calibri" w:cs="Calibri"/>
              </w:rPr>
            </w:pPr>
            <w:r w:rsidRPr="000D192D">
              <w:rPr>
                <w:rFonts w:ascii="Calibri" w:hAnsi="Calibri" w:cs="Calibri"/>
              </w:rPr>
              <w:t>FNB</w:t>
            </w:r>
          </w:p>
        </w:tc>
        <w:tc>
          <w:tcPr>
            <w:tcW w:w="985" w:type="pct"/>
            <w:shd w:val="clear" w:color="auto" w:fill="auto"/>
            <w:noWrap/>
            <w:vAlign w:val="center"/>
          </w:tcPr>
          <w:p w14:paraId="0E76F60D" w14:textId="49E4ED83" w:rsidR="000C117A" w:rsidRPr="000D192D" w:rsidRDefault="00B232E6" w:rsidP="000D192D">
            <w:pPr>
              <w:ind w:right="179"/>
              <w:jc w:val="right"/>
              <w:rPr>
                <w:rFonts w:ascii="Calibri" w:hAnsi="Calibri" w:cs="Calibri"/>
              </w:rPr>
            </w:pPr>
            <w:r w:rsidRPr="000D192D">
              <w:rPr>
                <w:rFonts w:ascii="Calibri" w:hAnsi="Calibri" w:cs="Calibri"/>
              </w:rPr>
              <w:t>3 524 816,83</w:t>
            </w:r>
          </w:p>
        </w:tc>
        <w:tc>
          <w:tcPr>
            <w:tcW w:w="985" w:type="pct"/>
            <w:shd w:val="clear" w:color="auto" w:fill="auto"/>
            <w:noWrap/>
            <w:vAlign w:val="center"/>
          </w:tcPr>
          <w:p w14:paraId="04CA1270" w14:textId="396B3C38" w:rsidR="000C117A" w:rsidRPr="000D192D" w:rsidRDefault="00B232E6" w:rsidP="000D192D">
            <w:pPr>
              <w:ind w:right="179"/>
              <w:jc w:val="right"/>
              <w:rPr>
                <w:rFonts w:ascii="Calibri" w:hAnsi="Calibri" w:cs="Calibri"/>
              </w:rPr>
            </w:pPr>
            <w:r w:rsidRPr="000D192D">
              <w:rPr>
                <w:rFonts w:ascii="Calibri" w:hAnsi="Calibri" w:cs="Calibri"/>
              </w:rPr>
              <w:t>5 440 066,31</w:t>
            </w:r>
          </w:p>
        </w:tc>
        <w:tc>
          <w:tcPr>
            <w:tcW w:w="985" w:type="pct"/>
            <w:shd w:val="clear" w:color="auto" w:fill="auto"/>
            <w:noWrap/>
            <w:vAlign w:val="center"/>
          </w:tcPr>
          <w:p w14:paraId="573211A0" w14:textId="7CBA6A79" w:rsidR="000C117A" w:rsidRPr="000D192D" w:rsidRDefault="00B232E6" w:rsidP="000D192D">
            <w:pPr>
              <w:ind w:right="179"/>
              <w:jc w:val="right"/>
              <w:rPr>
                <w:rFonts w:ascii="Calibri" w:hAnsi="Calibri" w:cs="Calibri"/>
              </w:rPr>
            </w:pPr>
            <w:r w:rsidRPr="000D192D">
              <w:rPr>
                <w:rFonts w:ascii="Calibri" w:hAnsi="Calibri" w:cs="Calibri"/>
              </w:rPr>
              <w:t>5 073 584,83</w:t>
            </w:r>
          </w:p>
        </w:tc>
      </w:tr>
      <w:tr w:rsidR="000C117A" w:rsidRPr="000D192D" w14:paraId="43D92BA6" w14:textId="77777777" w:rsidTr="000D192D">
        <w:trPr>
          <w:trHeight w:val="255"/>
        </w:trPr>
        <w:tc>
          <w:tcPr>
            <w:tcW w:w="1369" w:type="pct"/>
            <w:vMerge/>
            <w:shd w:val="clear" w:color="auto" w:fill="auto"/>
            <w:vAlign w:val="center"/>
            <w:hideMark/>
          </w:tcPr>
          <w:p w14:paraId="0E13AF20" w14:textId="77777777" w:rsidR="000C117A" w:rsidRPr="000D192D" w:rsidRDefault="000C117A" w:rsidP="000D192D">
            <w:pPr>
              <w:rPr>
                <w:rFonts w:ascii="Calibri" w:hAnsi="Calibri" w:cs="Calibri"/>
              </w:rPr>
            </w:pPr>
          </w:p>
        </w:tc>
        <w:tc>
          <w:tcPr>
            <w:tcW w:w="676" w:type="pct"/>
            <w:shd w:val="clear" w:color="auto" w:fill="auto"/>
            <w:vAlign w:val="center"/>
            <w:hideMark/>
          </w:tcPr>
          <w:p w14:paraId="24321972" w14:textId="530BA8E9" w:rsidR="000C117A" w:rsidRPr="000D192D" w:rsidRDefault="000C117A" w:rsidP="004A5469">
            <w:pPr>
              <w:jc w:val="center"/>
              <w:rPr>
                <w:rFonts w:ascii="Calibri" w:hAnsi="Calibri" w:cs="Calibri"/>
              </w:rPr>
            </w:pPr>
            <w:r w:rsidRPr="000D192D">
              <w:rPr>
                <w:rFonts w:ascii="Calibri" w:hAnsi="Calibri" w:cs="Calibri"/>
              </w:rPr>
              <w:t>FN</w:t>
            </w:r>
            <w:r w:rsidR="00C60141" w:rsidRPr="000D192D">
              <w:rPr>
                <w:rFonts w:ascii="Calibri" w:hAnsi="Calibri" w:cs="Calibri"/>
              </w:rPr>
              <w:t>KV</w:t>
            </w:r>
          </w:p>
        </w:tc>
        <w:tc>
          <w:tcPr>
            <w:tcW w:w="985" w:type="pct"/>
            <w:shd w:val="clear" w:color="auto" w:fill="auto"/>
            <w:noWrap/>
            <w:vAlign w:val="center"/>
          </w:tcPr>
          <w:p w14:paraId="72DC7E92" w14:textId="4C060DB1" w:rsidR="000C117A" w:rsidRPr="000D192D" w:rsidRDefault="00C60141" w:rsidP="000D192D">
            <w:pPr>
              <w:ind w:right="179"/>
              <w:jc w:val="right"/>
              <w:rPr>
                <w:rFonts w:ascii="Calibri" w:hAnsi="Calibri" w:cs="Calibri"/>
              </w:rPr>
            </w:pPr>
            <w:r w:rsidRPr="000D192D">
              <w:rPr>
                <w:rFonts w:ascii="Calibri" w:hAnsi="Calibri" w:cs="Calibri"/>
              </w:rPr>
              <w:t>5 077 959,85</w:t>
            </w:r>
          </w:p>
        </w:tc>
        <w:tc>
          <w:tcPr>
            <w:tcW w:w="985" w:type="pct"/>
            <w:shd w:val="clear" w:color="auto" w:fill="auto"/>
            <w:noWrap/>
            <w:vAlign w:val="center"/>
          </w:tcPr>
          <w:p w14:paraId="0FF099FB" w14:textId="4BD0F190" w:rsidR="000C117A" w:rsidRPr="000D192D" w:rsidRDefault="00C60141" w:rsidP="000D192D">
            <w:pPr>
              <w:ind w:right="179"/>
              <w:jc w:val="right"/>
              <w:rPr>
                <w:rFonts w:ascii="Calibri" w:hAnsi="Calibri" w:cs="Calibri"/>
              </w:rPr>
            </w:pPr>
            <w:r w:rsidRPr="000D192D">
              <w:rPr>
                <w:rFonts w:ascii="Calibri" w:hAnsi="Calibri" w:cs="Calibri"/>
              </w:rPr>
              <w:t>6 537 892,52</w:t>
            </w:r>
          </w:p>
        </w:tc>
        <w:tc>
          <w:tcPr>
            <w:tcW w:w="985" w:type="pct"/>
            <w:shd w:val="clear" w:color="auto" w:fill="auto"/>
            <w:noWrap/>
            <w:vAlign w:val="center"/>
          </w:tcPr>
          <w:p w14:paraId="1C4FFE3D" w14:textId="0CD560DB" w:rsidR="000C117A" w:rsidRPr="000D192D" w:rsidRDefault="00C60141" w:rsidP="000D192D">
            <w:pPr>
              <w:ind w:right="179"/>
              <w:jc w:val="right"/>
              <w:rPr>
                <w:rFonts w:ascii="Calibri" w:hAnsi="Calibri" w:cs="Calibri"/>
              </w:rPr>
            </w:pPr>
            <w:r w:rsidRPr="000D192D">
              <w:rPr>
                <w:rFonts w:ascii="Calibri" w:hAnsi="Calibri" w:cs="Calibri"/>
              </w:rPr>
              <w:t>7 379 458,16</w:t>
            </w:r>
          </w:p>
        </w:tc>
      </w:tr>
      <w:tr w:rsidR="000C117A" w:rsidRPr="000D192D" w14:paraId="2BD83966" w14:textId="77777777" w:rsidTr="000D192D">
        <w:trPr>
          <w:trHeight w:val="255"/>
        </w:trPr>
        <w:tc>
          <w:tcPr>
            <w:tcW w:w="1369" w:type="pct"/>
            <w:vMerge/>
            <w:shd w:val="clear" w:color="auto" w:fill="auto"/>
            <w:vAlign w:val="center"/>
            <w:hideMark/>
          </w:tcPr>
          <w:p w14:paraId="7D6C4FB3" w14:textId="77777777" w:rsidR="000C117A" w:rsidRPr="000D192D" w:rsidRDefault="000C117A" w:rsidP="000D192D">
            <w:pPr>
              <w:rPr>
                <w:rFonts w:ascii="Calibri" w:hAnsi="Calibri" w:cs="Calibri"/>
              </w:rPr>
            </w:pPr>
          </w:p>
        </w:tc>
        <w:tc>
          <w:tcPr>
            <w:tcW w:w="676" w:type="pct"/>
            <w:shd w:val="clear" w:color="auto" w:fill="auto"/>
            <w:vAlign w:val="center"/>
            <w:hideMark/>
          </w:tcPr>
          <w:p w14:paraId="3F3A8269" w14:textId="0093C7A8" w:rsidR="000C117A" w:rsidRPr="000D192D" w:rsidRDefault="00C60141" w:rsidP="004A5469">
            <w:pPr>
              <w:jc w:val="center"/>
              <w:rPr>
                <w:rFonts w:ascii="Calibri" w:hAnsi="Calibri" w:cs="Calibri"/>
              </w:rPr>
            </w:pPr>
            <w:r w:rsidRPr="000D192D">
              <w:rPr>
                <w:rFonts w:ascii="Calibri" w:hAnsi="Calibri" w:cs="Calibri"/>
              </w:rPr>
              <w:t>FNUSA</w:t>
            </w:r>
          </w:p>
        </w:tc>
        <w:tc>
          <w:tcPr>
            <w:tcW w:w="985" w:type="pct"/>
            <w:shd w:val="clear" w:color="auto" w:fill="auto"/>
            <w:noWrap/>
            <w:vAlign w:val="center"/>
          </w:tcPr>
          <w:p w14:paraId="04DF67C7" w14:textId="1CE3893A" w:rsidR="000C117A" w:rsidRPr="000D192D" w:rsidRDefault="002A08CC" w:rsidP="000D192D">
            <w:pPr>
              <w:ind w:right="179"/>
              <w:jc w:val="right"/>
              <w:rPr>
                <w:rFonts w:ascii="Calibri" w:hAnsi="Calibri" w:cs="Calibri"/>
              </w:rPr>
            </w:pPr>
            <w:r w:rsidRPr="000D192D">
              <w:rPr>
                <w:rFonts w:ascii="Calibri" w:hAnsi="Calibri" w:cs="Calibri"/>
              </w:rPr>
              <w:t>4 620 209,</w:t>
            </w:r>
            <w:r w:rsidR="006F5256" w:rsidRPr="000D192D">
              <w:rPr>
                <w:rFonts w:ascii="Calibri" w:hAnsi="Calibri" w:cs="Calibri"/>
              </w:rPr>
              <w:t>35</w:t>
            </w:r>
          </w:p>
        </w:tc>
        <w:tc>
          <w:tcPr>
            <w:tcW w:w="985" w:type="pct"/>
            <w:shd w:val="clear" w:color="auto" w:fill="auto"/>
            <w:noWrap/>
            <w:vAlign w:val="center"/>
          </w:tcPr>
          <w:p w14:paraId="099CF86A" w14:textId="244510A6" w:rsidR="000C117A" w:rsidRPr="000D192D" w:rsidRDefault="002A08CC" w:rsidP="000D192D">
            <w:pPr>
              <w:ind w:right="179"/>
              <w:jc w:val="right"/>
              <w:rPr>
                <w:rFonts w:ascii="Calibri" w:hAnsi="Calibri" w:cs="Calibri"/>
              </w:rPr>
            </w:pPr>
            <w:r w:rsidRPr="000D192D">
              <w:rPr>
                <w:rFonts w:ascii="Calibri" w:hAnsi="Calibri" w:cs="Calibri"/>
              </w:rPr>
              <w:t>8 429 421,</w:t>
            </w:r>
            <w:r w:rsidR="006F5256" w:rsidRPr="000D192D">
              <w:rPr>
                <w:rFonts w:ascii="Calibri" w:hAnsi="Calibri" w:cs="Calibri"/>
              </w:rPr>
              <w:t>17</w:t>
            </w:r>
          </w:p>
        </w:tc>
        <w:tc>
          <w:tcPr>
            <w:tcW w:w="985" w:type="pct"/>
            <w:shd w:val="clear" w:color="auto" w:fill="auto"/>
            <w:noWrap/>
            <w:vAlign w:val="center"/>
          </w:tcPr>
          <w:p w14:paraId="65F2BA0C" w14:textId="090B4F83" w:rsidR="000C117A" w:rsidRPr="000D192D" w:rsidRDefault="002A08CC" w:rsidP="000D192D">
            <w:pPr>
              <w:ind w:right="179"/>
              <w:jc w:val="right"/>
              <w:rPr>
                <w:rFonts w:ascii="Calibri" w:hAnsi="Calibri" w:cs="Calibri"/>
              </w:rPr>
            </w:pPr>
            <w:r w:rsidRPr="000D192D">
              <w:rPr>
                <w:rFonts w:ascii="Calibri" w:hAnsi="Calibri" w:cs="Calibri"/>
              </w:rPr>
              <w:t>6 846 295,</w:t>
            </w:r>
            <w:r w:rsidR="0082746C" w:rsidRPr="000D192D">
              <w:rPr>
                <w:rFonts w:ascii="Calibri" w:hAnsi="Calibri" w:cs="Calibri"/>
              </w:rPr>
              <w:t>32</w:t>
            </w:r>
          </w:p>
        </w:tc>
      </w:tr>
      <w:tr w:rsidR="000C117A" w:rsidRPr="000D192D" w14:paraId="217F555C" w14:textId="77777777" w:rsidTr="000D192D">
        <w:trPr>
          <w:trHeight w:val="255"/>
        </w:trPr>
        <w:tc>
          <w:tcPr>
            <w:tcW w:w="1369" w:type="pct"/>
            <w:vMerge w:val="restart"/>
            <w:shd w:val="clear" w:color="auto" w:fill="auto"/>
            <w:vAlign w:val="center"/>
            <w:hideMark/>
          </w:tcPr>
          <w:p w14:paraId="211ECC22" w14:textId="77777777" w:rsidR="000C117A" w:rsidRPr="000D192D" w:rsidRDefault="000C117A" w:rsidP="000D192D">
            <w:pPr>
              <w:rPr>
                <w:rFonts w:ascii="Calibri" w:hAnsi="Calibri" w:cs="Calibri"/>
              </w:rPr>
            </w:pPr>
            <w:r w:rsidRPr="000D192D">
              <w:rPr>
                <w:rFonts w:ascii="Calibri" w:hAnsi="Calibri" w:cs="Calibri"/>
              </w:rPr>
              <w:t>Výsledek hospodaření</w:t>
            </w:r>
          </w:p>
        </w:tc>
        <w:tc>
          <w:tcPr>
            <w:tcW w:w="676" w:type="pct"/>
            <w:shd w:val="clear" w:color="auto" w:fill="auto"/>
            <w:vAlign w:val="center"/>
            <w:hideMark/>
          </w:tcPr>
          <w:p w14:paraId="3589F22B" w14:textId="77777777" w:rsidR="000C117A" w:rsidRPr="000D192D" w:rsidRDefault="000C117A" w:rsidP="004A5469">
            <w:pPr>
              <w:jc w:val="center"/>
              <w:rPr>
                <w:rFonts w:ascii="Calibri" w:hAnsi="Calibri" w:cs="Calibri"/>
              </w:rPr>
            </w:pPr>
            <w:r w:rsidRPr="000D192D">
              <w:rPr>
                <w:rFonts w:ascii="Calibri" w:hAnsi="Calibri" w:cs="Calibri"/>
              </w:rPr>
              <w:t>FNB</w:t>
            </w:r>
          </w:p>
        </w:tc>
        <w:tc>
          <w:tcPr>
            <w:tcW w:w="985" w:type="pct"/>
            <w:shd w:val="clear" w:color="auto" w:fill="auto"/>
            <w:vAlign w:val="center"/>
          </w:tcPr>
          <w:p w14:paraId="3C642B3D" w14:textId="7FE6171D" w:rsidR="000C117A" w:rsidRPr="000D192D" w:rsidRDefault="00CE6C2D" w:rsidP="000D192D">
            <w:pPr>
              <w:ind w:right="179"/>
              <w:jc w:val="right"/>
              <w:rPr>
                <w:rFonts w:ascii="Calibri" w:hAnsi="Calibri" w:cs="Calibri"/>
              </w:rPr>
            </w:pPr>
            <w:r>
              <w:rPr>
                <w:rFonts w:ascii="Calibri" w:hAnsi="Calibri" w:cs="Calibri"/>
              </w:rPr>
              <w:t>−</w:t>
            </w:r>
            <w:r w:rsidR="00B232E6" w:rsidRPr="000D192D">
              <w:rPr>
                <w:rFonts w:ascii="Calibri" w:hAnsi="Calibri" w:cs="Calibri"/>
              </w:rPr>
              <w:t>253 174,02</w:t>
            </w:r>
          </w:p>
        </w:tc>
        <w:tc>
          <w:tcPr>
            <w:tcW w:w="985" w:type="pct"/>
            <w:shd w:val="clear" w:color="auto" w:fill="auto"/>
            <w:vAlign w:val="center"/>
          </w:tcPr>
          <w:p w14:paraId="69DB9EB8" w14:textId="6A44654C" w:rsidR="000C117A" w:rsidRPr="000D192D" w:rsidRDefault="00D4362B" w:rsidP="000D192D">
            <w:pPr>
              <w:ind w:right="179"/>
              <w:jc w:val="right"/>
              <w:rPr>
                <w:rFonts w:ascii="Calibri" w:hAnsi="Calibri" w:cs="Calibri"/>
              </w:rPr>
            </w:pPr>
            <w:r w:rsidRPr="000D192D">
              <w:rPr>
                <w:rFonts w:ascii="Calibri" w:hAnsi="Calibri" w:cs="Calibri"/>
              </w:rPr>
              <w:t>883 087,51</w:t>
            </w:r>
          </w:p>
        </w:tc>
        <w:tc>
          <w:tcPr>
            <w:tcW w:w="985" w:type="pct"/>
            <w:shd w:val="clear" w:color="auto" w:fill="auto"/>
            <w:vAlign w:val="center"/>
          </w:tcPr>
          <w:p w14:paraId="2964F7B3" w14:textId="4BC8299A" w:rsidR="000C117A" w:rsidRPr="000D192D" w:rsidRDefault="00D4362B" w:rsidP="000D192D">
            <w:pPr>
              <w:ind w:right="179"/>
              <w:jc w:val="right"/>
              <w:rPr>
                <w:rFonts w:ascii="Calibri" w:hAnsi="Calibri" w:cs="Calibri"/>
              </w:rPr>
            </w:pPr>
            <w:r w:rsidRPr="000D192D">
              <w:rPr>
                <w:rFonts w:ascii="Calibri" w:hAnsi="Calibri" w:cs="Calibri"/>
              </w:rPr>
              <w:t>70 234,71</w:t>
            </w:r>
          </w:p>
        </w:tc>
      </w:tr>
      <w:tr w:rsidR="000C117A" w:rsidRPr="000D192D" w14:paraId="7B515C9B" w14:textId="77777777" w:rsidTr="000D192D">
        <w:trPr>
          <w:trHeight w:val="255"/>
        </w:trPr>
        <w:tc>
          <w:tcPr>
            <w:tcW w:w="1369" w:type="pct"/>
            <w:vMerge/>
            <w:shd w:val="clear" w:color="auto" w:fill="auto"/>
            <w:vAlign w:val="center"/>
            <w:hideMark/>
          </w:tcPr>
          <w:p w14:paraId="2CFA8144" w14:textId="77777777" w:rsidR="000C117A" w:rsidRPr="000D192D" w:rsidRDefault="000C117A" w:rsidP="000D192D">
            <w:pPr>
              <w:rPr>
                <w:rFonts w:ascii="Calibri" w:hAnsi="Calibri" w:cs="Calibri"/>
              </w:rPr>
            </w:pPr>
          </w:p>
        </w:tc>
        <w:tc>
          <w:tcPr>
            <w:tcW w:w="676" w:type="pct"/>
            <w:shd w:val="clear" w:color="auto" w:fill="auto"/>
            <w:vAlign w:val="center"/>
            <w:hideMark/>
          </w:tcPr>
          <w:p w14:paraId="213DD530" w14:textId="5A3746E9" w:rsidR="000C117A" w:rsidRPr="000D192D" w:rsidRDefault="000C117A" w:rsidP="004A5469">
            <w:pPr>
              <w:jc w:val="center"/>
              <w:rPr>
                <w:rFonts w:ascii="Calibri" w:hAnsi="Calibri" w:cs="Calibri"/>
              </w:rPr>
            </w:pPr>
            <w:r w:rsidRPr="000D192D">
              <w:rPr>
                <w:rFonts w:ascii="Calibri" w:hAnsi="Calibri" w:cs="Calibri"/>
              </w:rPr>
              <w:t>FNKV</w:t>
            </w:r>
          </w:p>
        </w:tc>
        <w:tc>
          <w:tcPr>
            <w:tcW w:w="985" w:type="pct"/>
            <w:shd w:val="clear" w:color="auto" w:fill="auto"/>
            <w:vAlign w:val="center"/>
          </w:tcPr>
          <w:p w14:paraId="11B2A0CD" w14:textId="6C0554E6" w:rsidR="000C117A" w:rsidRPr="000D192D" w:rsidRDefault="00C60141" w:rsidP="000D192D">
            <w:pPr>
              <w:ind w:right="179"/>
              <w:jc w:val="right"/>
              <w:rPr>
                <w:rFonts w:ascii="Calibri" w:hAnsi="Calibri" w:cs="Calibri"/>
              </w:rPr>
            </w:pPr>
            <w:r w:rsidRPr="000D192D">
              <w:rPr>
                <w:rFonts w:ascii="Calibri" w:hAnsi="Calibri" w:cs="Calibri"/>
              </w:rPr>
              <w:t>2 521,91</w:t>
            </w:r>
          </w:p>
        </w:tc>
        <w:tc>
          <w:tcPr>
            <w:tcW w:w="985" w:type="pct"/>
            <w:shd w:val="clear" w:color="auto" w:fill="auto"/>
            <w:vAlign w:val="center"/>
          </w:tcPr>
          <w:p w14:paraId="0CCF97A4" w14:textId="04C72F7F" w:rsidR="000C117A" w:rsidRPr="000D192D" w:rsidRDefault="00C60141" w:rsidP="000D192D">
            <w:pPr>
              <w:ind w:right="179"/>
              <w:jc w:val="right"/>
              <w:rPr>
                <w:rFonts w:ascii="Calibri" w:hAnsi="Calibri" w:cs="Calibri"/>
              </w:rPr>
            </w:pPr>
            <w:r w:rsidRPr="000D192D">
              <w:rPr>
                <w:rFonts w:ascii="Calibri" w:hAnsi="Calibri" w:cs="Calibri"/>
              </w:rPr>
              <w:t>252 229,56</w:t>
            </w:r>
          </w:p>
        </w:tc>
        <w:tc>
          <w:tcPr>
            <w:tcW w:w="985" w:type="pct"/>
            <w:shd w:val="clear" w:color="auto" w:fill="auto"/>
            <w:vAlign w:val="center"/>
          </w:tcPr>
          <w:p w14:paraId="12F926C7" w14:textId="104BE6B1" w:rsidR="000C117A" w:rsidRPr="000D192D" w:rsidRDefault="00C60141" w:rsidP="000D192D">
            <w:pPr>
              <w:ind w:right="179"/>
              <w:jc w:val="right"/>
              <w:rPr>
                <w:rFonts w:ascii="Calibri" w:hAnsi="Calibri" w:cs="Calibri"/>
              </w:rPr>
            </w:pPr>
            <w:r w:rsidRPr="000D192D">
              <w:rPr>
                <w:rFonts w:ascii="Calibri" w:hAnsi="Calibri" w:cs="Calibri"/>
              </w:rPr>
              <w:t>727 202,58</w:t>
            </w:r>
          </w:p>
        </w:tc>
      </w:tr>
      <w:tr w:rsidR="000C117A" w:rsidRPr="000D192D" w14:paraId="1FD063DD" w14:textId="77777777" w:rsidTr="000D192D">
        <w:trPr>
          <w:trHeight w:val="255"/>
        </w:trPr>
        <w:tc>
          <w:tcPr>
            <w:tcW w:w="1369" w:type="pct"/>
            <w:vMerge/>
            <w:shd w:val="clear" w:color="auto" w:fill="auto"/>
            <w:vAlign w:val="center"/>
            <w:hideMark/>
          </w:tcPr>
          <w:p w14:paraId="7B5AAEF9" w14:textId="77777777" w:rsidR="000C117A" w:rsidRPr="000D192D" w:rsidRDefault="000C117A" w:rsidP="000D192D">
            <w:pPr>
              <w:rPr>
                <w:rFonts w:ascii="Calibri" w:hAnsi="Calibri" w:cs="Calibri"/>
              </w:rPr>
            </w:pPr>
          </w:p>
        </w:tc>
        <w:tc>
          <w:tcPr>
            <w:tcW w:w="676" w:type="pct"/>
            <w:shd w:val="clear" w:color="auto" w:fill="auto"/>
            <w:vAlign w:val="center"/>
            <w:hideMark/>
          </w:tcPr>
          <w:p w14:paraId="60F792A5" w14:textId="73856F9C" w:rsidR="000C117A" w:rsidRPr="000D192D" w:rsidRDefault="000C117A" w:rsidP="004A5469">
            <w:pPr>
              <w:jc w:val="center"/>
              <w:rPr>
                <w:rFonts w:ascii="Calibri" w:hAnsi="Calibri" w:cs="Calibri"/>
              </w:rPr>
            </w:pPr>
            <w:r w:rsidRPr="000D192D">
              <w:rPr>
                <w:rFonts w:ascii="Calibri" w:hAnsi="Calibri" w:cs="Calibri"/>
              </w:rPr>
              <w:t>FNUSA</w:t>
            </w:r>
          </w:p>
        </w:tc>
        <w:tc>
          <w:tcPr>
            <w:tcW w:w="985" w:type="pct"/>
            <w:shd w:val="clear" w:color="auto" w:fill="auto"/>
            <w:vAlign w:val="center"/>
          </w:tcPr>
          <w:p w14:paraId="67B41AF1" w14:textId="3911A846" w:rsidR="000C117A" w:rsidRPr="000D192D" w:rsidRDefault="00CE6C2D" w:rsidP="000D192D">
            <w:pPr>
              <w:ind w:right="179"/>
              <w:jc w:val="right"/>
              <w:rPr>
                <w:rFonts w:ascii="Calibri" w:hAnsi="Calibri" w:cs="Calibri"/>
              </w:rPr>
            </w:pPr>
            <w:r>
              <w:rPr>
                <w:rFonts w:ascii="Calibri" w:hAnsi="Calibri" w:cs="Calibri"/>
              </w:rPr>
              <w:t>−</w:t>
            </w:r>
            <w:r w:rsidR="002A08CC" w:rsidRPr="000D192D">
              <w:rPr>
                <w:rFonts w:ascii="Calibri" w:hAnsi="Calibri" w:cs="Calibri"/>
              </w:rPr>
              <w:t>178 05</w:t>
            </w:r>
            <w:r w:rsidR="006F5256" w:rsidRPr="000D192D">
              <w:rPr>
                <w:rFonts w:ascii="Calibri" w:hAnsi="Calibri" w:cs="Calibri"/>
              </w:rPr>
              <w:t>7</w:t>
            </w:r>
            <w:r w:rsidR="002A08CC" w:rsidRPr="000D192D">
              <w:rPr>
                <w:rFonts w:ascii="Calibri" w:hAnsi="Calibri" w:cs="Calibri"/>
              </w:rPr>
              <w:t>,</w:t>
            </w:r>
            <w:r w:rsidR="006F5256" w:rsidRPr="000D192D">
              <w:rPr>
                <w:rFonts w:ascii="Calibri" w:hAnsi="Calibri" w:cs="Calibri"/>
              </w:rPr>
              <w:t>72</w:t>
            </w:r>
          </w:p>
        </w:tc>
        <w:tc>
          <w:tcPr>
            <w:tcW w:w="985" w:type="pct"/>
            <w:shd w:val="clear" w:color="auto" w:fill="auto"/>
            <w:vAlign w:val="center"/>
          </w:tcPr>
          <w:p w14:paraId="037A6F3D" w14:textId="1AF649A5" w:rsidR="000C117A" w:rsidRPr="000D192D" w:rsidRDefault="002A08CC" w:rsidP="000D192D">
            <w:pPr>
              <w:ind w:right="179"/>
              <w:jc w:val="right"/>
              <w:rPr>
                <w:rFonts w:ascii="Calibri" w:hAnsi="Calibri" w:cs="Calibri"/>
              </w:rPr>
            </w:pPr>
            <w:r w:rsidRPr="000D192D">
              <w:rPr>
                <w:rFonts w:ascii="Calibri" w:hAnsi="Calibri" w:cs="Calibri"/>
              </w:rPr>
              <w:t>1 508 949,</w:t>
            </w:r>
            <w:r w:rsidR="0082746C" w:rsidRPr="000D192D">
              <w:rPr>
                <w:rFonts w:ascii="Calibri" w:hAnsi="Calibri" w:cs="Calibri"/>
              </w:rPr>
              <w:t>25</w:t>
            </w:r>
          </w:p>
        </w:tc>
        <w:tc>
          <w:tcPr>
            <w:tcW w:w="985" w:type="pct"/>
            <w:shd w:val="clear" w:color="auto" w:fill="auto"/>
            <w:vAlign w:val="center"/>
          </w:tcPr>
          <w:p w14:paraId="0B0A28EB" w14:textId="342F725E" w:rsidR="000C117A" w:rsidRPr="000D192D" w:rsidRDefault="002A08CC" w:rsidP="000D192D">
            <w:pPr>
              <w:ind w:right="179"/>
              <w:jc w:val="right"/>
              <w:rPr>
                <w:rFonts w:ascii="Calibri" w:hAnsi="Calibri" w:cs="Calibri"/>
              </w:rPr>
            </w:pPr>
            <w:r w:rsidRPr="000D192D">
              <w:rPr>
                <w:rFonts w:ascii="Calibri" w:hAnsi="Calibri" w:cs="Calibri"/>
              </w:rPr>
              <w:t>303 020,</w:t>
            </w:r>
            <w:r w:rsidR="0082746C" w:rsidRPr="000D192D">
              <w:rPr>
                <w:rFonts w:ascii="Calibri" w:hAnsi="Calibri" w:cs="Calibri"/>
              </w:rPr>
              <w:t>12</w:t>
            </w:r>
          </w:p>
        </w:tc>
      </w:tr>
      <w:tr w:rsidR="000C117A" w:rsidRPr="000D192D" w14:paraId="52BB77A9" w14:textId="77777777" w:rsidTr="000D192D">
        <w:trPr>
          <w:trHeight w:val="255"/>
        </w:trPr>
        <w:tc>
          <w:tcPr>
            <w:tcW w:w="1369" w:type="pct"/>
            <w:vMerge w:val="restart"/>
            <w:shd w:val="clear" w:color="auto" w:fill="auto"/>
            <w:vAlign w:val="center"/>
            <w:hideMark/>
          </w:tcPr>
          <w:p w14:paraId="1893DA5F" w14:textId="77777777" w:rsidR="000C117A" w:rsidRPr="000D192D" w:rsidRDefault="000C117A" w:rsidP="000D192D">
            <w:pPr>
              <w:rPr>
                <w:rFonts w:ascii="Calibri" w:hAnsi="Calibri" w:cs="Calibri"/>
              </w:rPr>
            </w:pPr>
            <w:r w:rsidRPr="000D192D">
              <w:rPr>
                <w:rFonts w:ascii="Calibri" w:hAnsi="Calibri" w:cs="Calibri"/>
              </w:rPr>
              <w:t>Náklady na léčivé přípravky</w:t>
            </w:r>
          </w:p>
        </w:tc>
        <w:tc>
          <w:tcPr>
            <w:tcW w:w="676" w:type="pct"/>
            <w:shd w:val="clear" w:color="auto" w:fill="auto"/>
            <w:vAlign w:val="center"/>
            <w:hideMark/>
          </w:tcPr>
          <w:p w14:paraId="7B2D341E" w14:textId="77777777" w:rsidR="000C117A" w:rsidRPr="000D192D" w:rsidRDefault="000C117A" w:rsidP="004A5469">
            <w:pPr>
              <w:jc w:val="center"/>
              <w:rPr>
                <w:rFonts w:ascii="Calibri" w:hAnsi="Calibri" w:cs="Calibri"/>
              </w:rPr>
            </w:pPr>
            <w:r w:rsidRPr="000D192D">
              <w:rPr>
                <w:rFonts w:ascii="Calibri" w:hAnsi="Calibri" w:cs="Calibri"/>
              </w:rPr>
              <w:t>FNB</w:t>
            </w:r>
          </w:p>
        </w:tc>
        <w:tc>
          <w:tcPr>
            <w:tcW w:w="985" w:type="pct"/>
            <w:shd w:val="clear" w:color="auto" w:fill="auto"/>
            <w:vAlign w:val="center"/>
          </w:tcPr>
          <w:p w14:paraId="69AF1F0E" w14:textId="10936C09" w:rsidR="000C117A" w:rsidRPr="000D192D" w:rsidRDefault="001B03BC" w:rsidP="000D192D">
            <w:pPr>
              <w:ind w:right="179"/>
              <w:jc w:val="right"/>
              <w:rPr>
                <w:rFonts w:ascii="Calibri" w:hAnsi="Calibri" w:cs="Calibri"/>
              </w:rPr>
            </w:pPr>
            <w:r w:rsidRPr="000D192D">
              <w:rPr>
                <w:rFonts w:ascii="Calibri" w:hAnsi="Calibri" w:cs="Calibri"/>
              </w:rPr>
              <w:t>847 582,36</w:t>
            </w:r>
          </w:p>
        </w:tc>
        <w:tc>
          <w:tcPr>
            <w:tcW w:w="985" w:type="pct"/>
            <w:shd w:val="clear" w:color="auto" w:fill="auto"/>
            <w:vAlign w:val="center"/>
          </w:tcPr>
          <w:p w14:paraId="7E475E9C" w14:textId="43E08198" w:rsidR="000C117A" w:rsidRPr="000D192D" w:rsidRDefault="001B03BC" w:rsidP="000D192D">
            <w:pPr>
              <w:ind w:right="179"/>
              <w:jc w:val="right"/>
              <w:rPr>
                <w:rFonts w:ascii="Calibri" w:hAnsi="Calibri" w:cs="Calibri"/>
              </w:rPr>
            </w:pPr>
            <w:r w:rsidRPr="000D192D">
              <w:rPr>
                <w:rFonts w:ascii="Calibri" w:hAnsi="Calibri" w:cs="Calibri"/>
              </w:rPr>
              <w:t>829 723,22</w:t>
            </w:r>
          </w:p>
        </w:tc>
        <w:tc>
          <w:tcPr>
            <w:tcW w:w="985" w:type="pct"/>
            <w:shd w:val="clear" w:color="auto" w:fill="auto"/>
            <w:vAlign w:val="center"/>
          </w:tcPr>
          <w:p w14:paraId="1305708C" w14:textId="6E443E38" w:rsidR="000C117A" w:rsidRPr="000D192D" w:rsidRDefault="001B03BC" w:rsidP="000D192D">
            <w:pPr>
              <w:ind w:right="179"/>
              <w:jc w:val="right"/>
              <w:rPr>
                <w:rFonts w:ascii="Calibri" w:hAnsi="Calibri" w:cs="Calibri"/>
              </w:rPr>
            </w:pPr>
            <w:r w:rsidRPr="000D192D">
              <w:rPr>
                <w:rFonts w:ascii="Calibri" w:hAnsi="Calibri" w:cs="Calibri"/>
              </w:rPr>
              <w:t>943 989,96</w:t>
            </w:r>
          </w:p>
        </w:tc>
      </w:tr>
      <w:tr w:rsidR="000C117A" w:rsidRPr="000D192D" w14:paraId="644B6F9E" w14:textId="77777777" w:rsidTr="000D192D">
        <w:trPr>
          <w:trHeight w:val="255"/>
        </w:trPr>
        <w:tc>
          <w:tcPr>
            <w:tcW w:w="1369" w:type="pct"/>
            <w:vMerge/>
            <w:shd w:val="clear" w:color="auto" w:fill="auto"/>
            <w:vAlign w:val="center"/>
            <w:hideMark/>
          </w:tcPr>
          <w:p w14:paraId="7CEA6F33" w14:textId="77777777" w:rsidR="000C117A" w:rsidRPr="000D192D" w:rsidRDefault="000C117A" w:rsidP="000D192D">
            <w:pPr>
              <w:rPr>
                <w:rFonts w:ascii="Calibri" w:hAnsi="Calibri" w:cs="Calibri"/>
              </w:rPr>
            </w:pPr>
          </w:p>
        </w:tc>
        <w:tc>
          <w:tcPr>
            <w:tcW w:w="676" w:type="pct"/>
            <w:shd w:val="clear" w:color="auto" w:fill="auto"/>
            <w:vAlign w:val="center"/>
            <w:hideMark/>
          </w:tcPr>
          <w:p w14:paraId="48B8EB71" w14:textId="389E5943" w:rsidR="000C117A" w:rsidRPr="000D192D" w:rsidRDefault="000C117A" w:rsidP="004A5469">
            <w:pPr>
              <w:jc w:val="center"/>
              <w:rPr>
                <w:rFonts w:ascii="Calibri" w:hAnsi="Calibri" w:cs="Calibri"/>
              </w:rPr>
            </w:pPr>
            <w:r w:rsidRPr="000D192D">
              <w:rPr>
                <w:rFonts w:ascii="Calibri" w:hAnsi="Calibri" w:cs="Calibri"/>
              </w:rPr>
              <w:t>FNKV</w:t>
            </w:r>
          </w:p>
        </w:tc>
        <w:tc>
          <w:tcPr>
            <w:tcW w:w="985" w:type="pct"/>
            <w:shd w:val="clear" w:color="auto" w:fill="auto"/>
            <w:vAlign w:val="center"/>
          </w:tcPr>
          <w:p w14:paraId="54602780" w14:textId="09FC2C6A" w:rsidR="000C117A" w:rsidRPr="000D192D" w:rsidRDefault="0041203E" w:rsidP="000D192D">
            <w:pPr>
              <w:ind w:right="179"/>
              <w:jc w:val="right"/>
              <w:rPr>
                <w:rFonts w:ascii="Calibri" w:hAnsi="Calibri" w:cs="Calibri"/>
              </w:rPr>
            </w:pPr>
            <w:r w:rsidRPr="000D192D">
              <w:rPr>
                <w:rFonts w:ascii="Calibri" w:hAnsi="Calibri" w:cs="Calibri"/>
              </w:rPr>
              <w:t>1 125 901,67</w:t>
            </w:r>
          </w:p>
        </w:tc>
        <w:tc>
          <w:tcPr>
            <w:tcW w:w="985" w:type="pct"/>
            <w:shd w:val="clear" w:color="auto" w:fill="auto"/>
            <w:vAlign w:val="center"/>
          </w:tcPr>
          <w:p w14:paraId="07D8330B" w14:textId="15DE5759" w:rsidR="000C117A" w:rsidRPr="000D192D" w:rsidRDefault="0041203E" w:rsidP="000D192D">
            <w:pPr>
              <w:ind w:right="179"/>
              <w:jc w:val="right"/>
              <w:rPr>
                <w:rFonts w:ascii="Calibri" w:hAnsi="Calibri" w:cs="Calibri"/>
              </w:rPr>
            </w:pPr>
            <w:r w:rsidRPr="000D192D">
              <w:rPr>
                <w:rFonts w:ascii="Calibri" w:hAnsi="Calibri" w:cs="Calibri"/>
              </w:rPr>
              <w:t>1 284 967,23</w:t>
            </w:r>
          </w:p>
        </w:tc>
        <w:tc>
          <w:tcPr>
            <w:tcW w:w="985" w:type="pct"/>
            <w:shd w:val="clear" w:color="auto" w:fill="auto"/>
            <w:vAlign w:val="center"/>
          </w:tcPr>
          <w:p w14:paraId="0C2AE2CC" w14:textId="79D6CB4C" w:rsidR="000C117A" w:rsidRPr="000D192D" w:rsidRDefault="0041203E" w:rsidP="000D192D">
            <w:pPr>
              <w:ind w:right="179"/>
              <w:jc w:val="right"/>
              <w:rPr>
                <w:rFonts w:ascii="Calibri" w:hAnsi="Calibri" w:cs="Calibri"/>
              </w:rPr>
            </w:pPr>
            <w:r w:rsidRPr="000D192D">
              <w:rPr>
                <w:rFonts w:ascii="Calibri" w:hAnsi="Calibri" w:cs="Calibri"/>
              </w:rPr>
              <w:t>1 513 111,23</w:t>
            </w:r>
          </w:p>
        </w:tc>
      </w:tr>
      <w:tr w:rsidR="000C117A" w:rsidRPr="000D192D" w14:paraId="66B8DC41" w14:textId="77777777" w:rsidTr="000D192D">
        <w:trPr>
          <w:trHeight w:val="255"/>
        </w:trPr>
        <w:tc>
          <w:tcPr>
            <w:tcW w:w="1369" w:type="pct"/>
            <w:vMerge/>
            <w:shd w:val="clear" w:color="auto" w:fill="auto"/>
            <w:vAlign w:val="center"/>
            <w:hideMark/>
          </w:tcPr>
          <w:p w14:paraId="3D05F37D" w14:textId="77777777" w:rsidR="000C117A" w:rsidRPr="000D192D" w:rsidRDefault="000C117A" w:rsidP="000D192D">
            <w:pPr>
              <w:rPr>
                <w:rFonts w:ascii="Calibri" w:hAnsi="Calibri" w:cs="Calibri"/>
              </w:rPr>
            </w:pPr>
          </w:p>
        </w:tc>
        <w:tc>
          <w:tcPr>
            <w:tcW w:w="676" w:type="pct"/>
            <w:shd w:val="clear" w:color="auto" w:fill="auto"/>
            <w:vAlign w:val="center"/>
            <w:hideMark/>
          </w:tcPr>
          <w:p w14:paraId="285ADC40" w14:textId="1A6DD516" w:rsidR="000C117A" w:rsidRPr="000D192D" w:rsidRDefault="000C117A" w:rsidP="004A5469">
            <w:pPr>
              <w:jc w:val="center"/>
              <w:rPr>
                <w:rFonts w:ascii="Calibri" w:hAnsi="Calibri" w:cs="Calibri"/>
              </w:rPr>
            </w:pPr>
            <w:r w:rsidRPr="000D192D">
              <w:rPr>
                <w:rFonts w:ascii="Calibri" w:hAnsi="Calibri" w:cs="Calibri"/>
              </w:rPr>
              <w:t>FNUSA</w:t>
            </w:r>
          </w:p>
        </w:tc>
        <w:tc>
          <w:tcPr>
            <w:tcW w:w="985" w:type="pct"/>
            <w:shd w:val="clear" w:color="auto" w:fill="auto"/>
            <w:vAlign w:val="center"/>
          </w:tcPr>
          <w:p w14:paraId="2D86BB20" w14:textId="591C9CAE" w:rsidR="000C117A" w:rsidRPr="000D192D" w:rsidRDefault="007A216C" w:rsidP="000D192D">
            <w:pPr>
              <w:ind w:right="179"/>
              <w:jc w:val="right"/>
              <w:rPr>
                <w:rFonts w:ascii="Calibri" w:hAnsi="Calibri" w:cs="Calibri"/>
              </w:rPr>
            </w:pPr>
            <w:r w:rsidRPr="000D192D">
              <w:rPr>
                <w:rFonts w:ascii="Calibri" w:hAnsi="Calibri" w:cs="Calibri"/>
              </w:rPr>
              <w:t>976</w:t>
            </w:r>
            <w:r w:rsidR="002407AC" w:rsidRPr="000D192D">
              <w:rPr>
                <w:rFonts w:ascii="Calibri" w:hAnsi="Calibri" w:cs="Calibri"/>
              </w:rPr>
              <w:t> </w:t>
            </w:r>
            <w:r w:rsidRPr="000D192D">
              <w:rPr>
                <w:rFonts w:ascii="Calibri" w:hAnsi="Calibri" w:cs="Calibri"/>
              </w:rPr>
              <w:t>718</w:t>
            </w:r>
            <w:r w:rsidR="002407AC" w:rsidRPr="000D192D">
              <w:rPr>
                <w:rFonts w:ascii="Calibri" w:hAnsi="Calibri" w:cs="Calibri"/>
              </w:rPr>
              <w:t>,</w:t>
            </w:r>
            <w:r w:rsidR="003219B5" w:rsidRPr="000D192D">
              <w:rPr>
                <w:rFonts w:ascii="Calibri" w:hAnsi="Calibri" w:cs="Calibri"/>
              </w:rPr>
              <w:t>01</w:t>
            </w:r>
          </w:p>
        </w:tc>
        <w:tc>
          <w:tcPr>
            <w:tcW w:w="985" w:type="pct"/>
            <w:shd w:val="clear" w:color="auto" w:fill="auto"/>
            <w:vAlign w:val="center"/>
          </w:tcPr>
          <w:p w14:paraId="24C588DA" w14:textId="496733F2" w:rsidR="000C117A" w:rsidRPr="000D192D" w:rsidRDefault="007A216C" w:rsidP="000D192D">
            <w:pPr>
              <w:ind w:right="179"/>
              <w:jc w:val="right"/>
              <w:rPr>
                <w:rFonts w:ascii="Calibri" w:hAnsi="Calibri" w:cs="Calibri"/>
              </w:rPr>
            </w:pPr>
            <w:r w:rsidRPr="000D192D">
              <w:rPr>
                <w:rFonts w:ascii="Calibri" w:hAnsi="Calibri" w:cs="Calibri"/>
              </w:rPr>
              <w:t>1 013</w:t>
            </w:r>
            <w:r w:rsidR="002407AC" w:rsidRPr="000D192D">
              <w:rPr>
                <w:rFonts w:ascii="Calibri" w:hAnsi="Calibri" w:cs="Calibri"/>
              </w:rPr>
              <w:t> </w:t>
            </w:r>
            <w:r w:rsidRPr="000D192D">
              <w:rPr>
                <w:rFonts w:ascii="Calibri" w:hAnsi="Calibri" w:cs="Calibri"/>
              </w:rPr>
              <w:t>61</w:t>
            </w:r>
            <w:r w:rsidR="003219B5" w:rsidRPr="000D192D">
              <w:rPr>
                <w:rFonts w:ascii="Calibri" w:hAnsi="Calibri" w:cs="Calibri"/>
              </w:rPr>
              <w:t>1</w:t>
            </w:r>
            <w:r w:rsidR="002407AC" w:rsidRPr="000D192D">
              <w:rPr>
                <w:rFonts w:ascii="Calibri" w:hAnsi="Calibri" w:cs="Calibri"/>
              </w:rPr>
              <w:t>,</w:t>
            </w:r>
            <w:r w:rsidR="003219B5" w:rsidRPr="000D192D">
              <w:rPr>
                <w:rFonts w:ascii="Calibri" w:hAnsi="Calibri" w:cs="Calibri"/>
              </w:rPr>
              <w:t>4</w:t>
            </w:r>
            <w:r w:rsidR="002407AC" w:rsidRPr="000D192D">
              <w:rPr>
                <w:rFonts w:ascii="Calibri" w:hAnsi="Calibri" w:cs="Calibri"/>
              </w:rPr>
              <w:t>8</w:t>
            </w:r>
          </w:p>
        </w:tc>
        <w:tc>
          <w:tcPr>
            <w:tcW w:w="985" w:type="pct"/>
            <w:shd w:val="clear" w:color="auto" w:fill="auto"/>
            <w:vAlign w:val="center"/>
          </w:tcPr>
          <w:p w14:paraId="491FDEF3" w14:textId="7FC0C137" w:rsidR="000C117A" w:rsidRPr="000D192D" w:rsidRDefault="007A216C" w:rsidP="000D192D">
            <w:pPr>
              <w:ind w:right="179"/>
              <w:jc w:val="right"/>
              <w:rPr>
                <w:rFonts w:ascii="Calibri" w:hAnsi="Calibri" w:cs="Calibri"/>
              </w:rPr>
            </w:pPr>
            <w:r w:rsidRPr="000D192D">
              <w:rPr>
                <w:rFonts w:ascii="Calibri" w:hAnsi="Calibri" w:cs="Calibri"/>
              </w:rPr>
              <w:t>1 158</w:t>
            </w:r>
            <w:r w:rsidR="002407AC" w:rsidRPr="000D192D">
              <w:rPr>
                <w:rFonts w:ascii="Calibri" w:hAnsi="Calibri" w:cs="Calibri"/>
              </w:rPr>
              <w:t> </w:t>
            </w:r>
            <w:r w:rsidRPr="000D192D">
              <w:rPr>
                <w:rFonts w:ascii="Calibri" w:hAnsi="Calibri" w:cs="Calibri"/>
              </w:rPr>
              <w:t>947</w:t>
            </w:r>
            <w:r w:rsidR="002407AC" w:rsidRPr="000D192D">
              <w:rPr>
                <w:rFonts w:ascii="Calibri" w:hAnsi="Calibri" w:cs="Calibri"/>
              </w:rPr>
              <w:t>,</w:t>
            </w:r>
            <w:r w:rsidR="003219B5" w:rsidRPr="000D192D">
              <w:rPr>
                <w:rFonts w:ascii="Calibri" w:hAnsi="Calibri" w:cs="Calibri"/>
              </w:rPr>
              <w:t>1</w:t>
            </w:r>
            <w:r w:rsidR="002407AC" w:rsidRPr="000D192D">
              <w:rPr>
                <w:rFonts w:ascii="Calibri" w:hAnsi="Calibri" w:cs="Calibri"/>
              </w:rPr>
              <w:t>1</w:t>
            </w:r>
          </w:p>
        </w:tc>
      </w:tr>
      <w:tr w:rsidR="000C117A" w:rsidRPr="000D192D" w14:paraId="7606AD17" w14:textId="77777777" w:rsidTr="000D192D">
        <w:trPr>
          <w:trHeight w:val="255"/>
        </w:trPr>
        <w:tc>
          <w:tcPr>
            <w:tcW w:w="1369" w:type="pct"/>
            <w:vMerge w:val="restart"/>
            <w:shd w:val="clear" w:color="auto" w:fill="auto"/>
            <w:vAlign w:val="center"/>
            <w:hideMark/>
          </w:tcPr>
          <w:p w14:paraId="5CE68A7E" w14:textId="77777777" w:rsidR="000C117A" w:rsidRPr="000D192D" w:rsidRDefault="000C117A" w:rsidP="000D192D">
            <w:pPr>
              <w:rPr>
                <w:rFonts w:ascii="Calibri" w:hAnsi="Calibri" w:cs="Calibri"/>
              </w:rPr>
            </w:pPr>
            <w:r w:rsidRPr="000D192D">
              <w:rPr>
                <w:rFonts w:ascii="Calibri" w:hAnsi="Calibri" w:cs="Calibri"/>
              </w:rPr>
              <w:t>Náklady na zdravotnické prostředky</w:t>
            </w:r>
            <w:r w:rsidRPr="000D192D">
              <w:rPr>
                <w:rStyle w:val="Znakapoznpodarou"/>
                <w:rFonts w:ascii="Calibri" w:hAnsi="Calibri" w:cs="Calibri"/>
              </w:rPr>
              <w:footnoteReference w:id="33"/>
            </w:r>
          </w:p>
        </w:tc>
        <w:tc>
          <w:tcPr>
            <w:tcW w:w="676" w:type="pct"/>
            <w:shd w:val="clear" w:color="auto" w:fill="auto"/>
            <w:vAlign w:val="center"/>
            <w:hideMark/>
          </w:tcPr>
          <w:p w14:paraId="135BFEA9" w14:textId="77777777" w:rsidR="000C117A" w:rsidRPr="000D192D" w:rsidRDefault="000C117A" w:rsidP="004A5469">
            <w:pPr>
              <w:jc w:val="center"/>
              <w:rPr>
                <w:rFonts w:ascii="Calibri" w:hAnsi="Calibri" w:cs="Calibri"/>
              </w:rPr>
            </w:pPr>
            <w:r w:rsidRPr="000D192D">
              <w:rPr>
                <w:rFonts w:ascii="Calibri" w:hAnsi="Calibri" w:cs="Calibri"/>
              </w:rPr>
              <w:t>FNB</w:t>
            </w:r>
          </w:p>
        </w:tc>
        <w:tc>
          <w:tcPr>
            <w:tcW w:w="985" w:type="pct"/>
            <w:shd w:val="clear" w:color="auto" w:fill="auto"/>
            <w:vAlign w:val="center"/>
          </w:tcPr>
          <w:p w14:paraId="3C01DFED" w14:textId="6D7B6D97" w:rsidR="000C117A" w:rsidRPr="000D192D" w:rsidRDefault="001B03BC" w:rsidP="000D192D">
            <w:pPr>
              <w:ind w:right="179"/>
              <w:jc w:val="right"/>
              <w:rPr>
                <w:rFonts w:ascii="Calibri" w:hAnsi="Calibri" w:cs="Calibri"/>
              </w:rPr>
            </w:pPr>
            <w:r w:rsidRPr="000D192D">
              <w:rPr>
                <w:rFonts w:ascii="Calibri" w:hAnsi="Calibri" w:cs="Calibri"/>
              </w:rPr>
              <w:t>251 432,61</w:t>
            </w:r>
          </w:p>
        </w:tc>
        <w:tc>
          <w:tcPr>
            <w:tcW w:w="985" w:type="pct"/>
            <w:shd w:val="clear" w:color="auto" w:fill="auto"/>
            <w:vAlign w:val="center"/>
          </w:tcPr>
          <w:p w14:paraId="2EF86117" w14:textId="77587A3B" w:rsidR="000C117A" w:rsidRPr="000D192D" w:rsidRDefault="001B03BC" w:rsidP="000D192D">
            <w:pPr>
              <w:ind w:right="179"/>
              <w:jc w:val="right"/>
              <w:rPr>
                <w:rFonts w:ascii="Calibri" w:hAnsi="Calibri" w:cs="Calibri"/>
              </w:rPr>
            </w:pPr>
            <w:r w:rsidRPr="000D192D">
              <w:rPr>
                <w:rFonts w:ascii="Calibri" w:hAnsi="Calibri" w:cs="Calibri"/>
              </w:rPr>
              <w:t>362 056,06</w:t>
            </w:r>
          </w:p>
        </w:tc>
        <w:tc>
          <w:tcPr>
            <w:tcW w:w="985" w:type="pct"/>
            <w:shd w:val="clear" w:color="auto" w:fill="auto"/>
            <w:vAlign w:val="center"/>
          </w:tcPr>
          <w:p w14:paraId="09B1689B" w14:textId="7A0107A3" w:rsidR="000C117A" w:rsidRPr="000D192D" w:rsidRDefault="001B03BC" w:rsidP="000D192D">
            <w:pPr>
              <w:ind w:right="179"/>
              <w:jc w:val="right"/>
              <w:rPr>
                <w:rFonts w:ascii="Calibri" w:hAnsi="Calibri" w:cs="Calibri"/>
              </w:rPr>
            </w:pPr>
            <w:r w:rsidRPr="000D192D">
              <w:rPr>
                <w:rFonts w:ascii="Calibri" w:hAnsi="Calibri" w:cs="Calibri"/>
              </w:rPr>
              <w:t>340 924,07</w:t>
            </w:r>
          </w:p>
        </w:tc>
      </w:tr>
      <w:tr w:rsidR="000C117A" w:rsidRPr="000D192D" w14:paraId="44692E62" w14:textId="77777777" w:rsidTr="000D192D">
        <w:trPr>
          <w:trHeight w:val="255"/>
        </w:trPr>
        <w:tc>
          <w:tcPr>
            <w:tcW w:w="1369" w:type="pct"/>
            <w:vMerge/>
            <w:shd w:val="clear" w:color="auto" w:fill="auto"/>
            <w:vAlign w:val="center"/>
            <w:hideMark/>
          </w:tcPr>
          <w:p w14:paraId="792B40B1" w14:textId="77777777" w:rsidR="000C117A" w:rsidRPr="000D192D" w:rsidRDefault="000C117A" w:rsidP="000D192D">
            <w:pPr>
              <w:rPr>
                <w:rFonts w:ascii="Calibri" w:hAnsi="Calibri" w:cs="Calibri"/>
              </w:rPr>
            </w:pPr>
          </w:p>
        </w:tc>
        <w:tc>
          <w:tcPr>
            <w:tcW w:w="676" w:type="pct"/>
            <w:shd w:val="clear" w:color="auto" w:fill="auto"/>
            <w:vAlign w:val="center"/>
            <w:hideMark/>
          </w:tcPr>
          <w:p w14:paraId="0B5DB187" w14:textId="00C26362" w:rsidR="000C117A" w:rsidRPr="000D192D" w:rsidRDefault="000C117A" w:rsidP="004A5469">
            <w:pPr>
              <w:jc w:val="center"/>
              <w:rPr>
                <w:rFonts w:ascii="Calibri" w:hAnsi="Calibri" w:cs="Calibri"/>
              </w:rPr>
            </w:pPr>
            <w:r w:rsidRPr="000D192D">
              <w:rPr>
                <w:rFonts w:ascii="Calibri" w:hAnsi="Calibri" w:cs="Calibri"/>
              </w:rPr>
              <w:t>FNKV</w:t>
            </w:r>
          </w:p>
        </w:tc>
        <w:tc>
          <w:tcPr>
            <w:tcW w:w="985" w:type="pct"/>
            <w:shd w:val="clear" w:color="auto" w:fill="auto"/>
            <w:vAlign w:val="center"/>
          </w:tcPr>
          <w:p w14:paraId="0040B3A6" w14:textId="324B7A75" w:rsidR="000C117A" w:rsidRPr="000D192D" w:rsidRDefault="0041203E" w:rsidP="000D192D">
            <w:pPr>
              <w:ind w:right="179"/>
              <w:jc w:val="right"/>
              <w:rPr>
                <w:rFonts w:ascii="Calibri" w:hAnsi="Calibri" w:cs="Calibri"/>
              </w:rPr>
            </w:pPr>
            <w:r w:rsidRPr="000D192D">
              <w:rPr>
                <w:rFonts w:ascii="Calibri" w:hAnsi="Calibri" w:cs="Calibri"/>
              </w:rPr>
              <w:t>714 083,05</w:t>
            </w:r>
          </w:p>
        </w:tc>
        <w:tc>
          <w:tcPr>
            <w:tcW w:w="985" w:type="pct"/>
            <w:shd w:val="clear" w:color="auto" w:fill="auto"/>
            <w:vAlign w:val="center"/>
          </w:tcPr>
          <w:p w14:paraId="4D38953C" w14:textId="36A5AE23" w:rsidR="000C117A" w:rsidRPr="000D192D" w:rsidRDefault="0041203E" w:rsidP="000D192D">
            <w:pPr>
              <w:ind w:right="179"/>
              <w:jc w:val="right"/>
              <w:rPr>
                <w:rFonts w:ascii="Calibri" w:hAnsi="Calibri" w:cs="Calibri"/>
              </w:rPr>
            </w:pPr>
            <w:r w:rsidRPr="000D192D">
              <w:rPr>
                <w:rFonts w:ascii="Calibri" w:hAnsi="Calibri" w:cs="Calibri"/>
              </w:rPr>
              <w:t>731 756,68</w:t>
            </w:r>
          </w:p>
        </w:tc>
        <w:tc>
          <w:tcPr>
            <w:tcW w:w="985" w:type="pct"/>
            <w:shd w:val="clear" w:color="auto" w:fill="auto"/>
            <w:vAlign w:val="center"/>
          </w:tcPr>
          <w:p w14:paraId="0EC205E7" w14:textId="3D1C8070" w:rsidR="000C117A" w:rsidRPr="000D192D" w:rsidRDefault="0041203E" w:rsidP="000D192D">
            <w:pPr>
              <w:ind w:right="179"/>
              <w:jc w:val="right"/>
              <w:rPr>
                <w:rFonts w:ascii="Calibri" w:hAnsi="Calibri" w:cs="Calibri"/>
              </w:rPr>
            </w:pPr>
            <w:r w:rsidRPr="000D192D">
              <w:rPr>
                <w:rFonts w:ascii="Calibri" w:hAnsi="Calibri" w:cs="Calibri"/>
              </w:rPr>
              <w:t>812 989,97</w:t>
            </w:r>
          </w:p>
        </w:tc>
      </w:tr>
      <w:tr w:rsidR="000C117A" w:rsidRPr="000D192D" w14:paraId="1FBFA848" w14:textId="77777777" w:rsidTr="000D192D">
        <w:trPr>
          <w:trHeight w:val="255"/>
        </w:trPr>
        <w:tc>
          <w:tcPr>
            <w:tcW w:w="1369" w:type="pct"/>
            <w:vMerge/>
            <w:shd w:val="clear" w:color="auto" w:fill="auto"/>
            <w:vAlign w:val="center"/>
            <w:hideMark/>
          </w:tcPr>
          <w:p w14:paraId="122539AD" w14:textId="77777777" w:rsidR="000C117A" w:rsidRPr="000D192D" w:rsidRDefault="000C117A" w:rsidP="000D192D">
            <w:pPr>
              <w:rPr>
                <w:rFonts w:ascii="Calibri" w:hAnsi="Calibri" w:cs="Calibri"/>
              </w:rPr>
            </w:pPr>
          </w:p>
        </w:tc>
        <w:tc>
          <w:tcPr>
            <w:tcW w:w="676" w:type="pct"/>
            <w:shd w:val="clear" w:color="auto" w:fill="auto"/>
            <w:vAlign w:val="center"/>
            <w:hideMark/>
          </w:tcPr>
          <w:p w14:paraId="39224DAE" w14:textId="7F2BEEC3" w:rsidR="000C117A" w:rsidRPr="000D192D" w:rsidRDefault="000C117A" w:rsidP="004A5469">
            <w:pPr>
              <w:jc w:val="center"/>
              <w:rPr>
                <w:rFonts w:ascii="Calibri" w:hAnsi="Calibri" w:cs="Calibri"/>
              </w:rPr>
            </w:pPr>
            <w:r w:rsidRPr="000D192D">
              <w:rPr>
                <w:rFonts w:ascii="Calibri" w:hAnsi="Calibri" w:cs="Calibri"/>
              </w:rPr>
              <w:t>FNUSA</w:t>
            </w:r>
          </w:p>
        </w:tc>
        <w:tc>
          <w:tcPr>
            <w:tcW w:w="985" w:type="pct"/>
            <w:shd w:val="clear" w:color="auto" w:fill="auto"/>
            <w:vAlign w:val="center"/>
          </w:tcPr>
          <w:p w14:paraId="62A6A131" w14:textId="798A6CBB" w:rsidR="000C117A" w:rsidRPr="000D192D" w:rsidRDefault="007A216C" w:rsidP="000D192D">
            <w:pPr>
              <w:ind w:right="179"/>
              <w:jc w:val="right"/>
              <w:rPr>
                <w:rFonts w:ascii="Calibri" w:hAnsi="Calibri" w:cs="Calibri"/>
              </w:rPr>
            </w:pPr>
            <w:r w:rsidRPr="000D192D">
              <w:rPr>
                <w:rFonts w:ascii="Calibri" w:hAnsi="Calibri" w:cs="Calibri"/>
              </w:rPr>
              <w:t>733</w:t>
            </w:r>
            <w:r w:rsidR="002407AC" w:rsidRPr="000D192D">
              <w:rPr>
                <w:rFonts w:ascii="Calibri" w:hAnsi="Calibri" w:cs="Calibri"/>
              </w:rPr>
              <w:t> </w:t>
            </w:r>
            <w:r w:rsidR="003219B5" w:rsidRPr="000D192D">
              <w:rPr>
                <w:rFonts w:ascii="Calibri" w:hAnsi="Calibri" w:cs="Calibri"/>
              </w:rPr>
              <w:t>099</w:t>
            </w:r>
            <w:r w:rsidR="002407AC" w:rsidRPr="000D192D">
              <w:rPr>
                <w:rFonts w:ascii="Calibri" w:hAnsi="Calibri" w:cs="Calibri"/>
              </w:rPr>
              <w:t>,</w:t>
            </w:r>
            <w:r w:rsidR="003219B5" w:rsidRPr="000D192D">
              <w:rPr>
                <w:rFonts w:ascii="Calibri" w:hAnsi="Calibri" w:cs="Calibri"/>
              </w:rPr>
              <w:t>23</w:t>
            </w:r>
          </w:p>
        </w:tc>
        <w:tc>
          <w:tcPr>
            <w:tcW w:w="985" w:type="pct"/>
            <w:shd w:val="clear" w:color="auto" w:fill="auto"/>
            <w:vAlign w:val="center"/>
          </w:tcPr>
          <w:p w14:paraId="2D82C99E" w14:textId="6EA19794" w:rsidR="000C117A" w:rsidRPr="000D192D" w:rsidRDefault="007A216C" w:rsidP="000D192D">
            <w:pPr>
              <w:ind w:right="179"/>
              <w:jc w:val="right"/>
              <w:rPr>
                <w:rFonts w:ascii="Calibri" w:hAnsi="Calibri" w:cs="Calibri"/>
              </w:rPr>
            </w:pPr>
            <w:r w:rsidRPr="000D192D">
              <w:rPr>
                <w:rFonts w:ascii="Calibri" w:hAnsi="Calibri" w:cs="Calibri"/>
              </w:rPr>
              <w:t>710</w:t>
            </w:r>
            <w:r w:rsidR="002407AC" w:rsidRPr="000D192D">
              <w:rPr>
                <w:rFonts w:ascii="Calibri" w:hAnsi="Calibri" w:cs="Calibri"/>
              </w:rPr>
              <w:t> </w:t>
            </w:r>
            <w:r w:rsidRPr="000D192D">
              <w:rPr>
                <w:rFonts w:ascii="Calibri" w:hAnsi="Calibri" w:cs="Calibri"/>
              </w:rPr>
              <w:t>520</w:t>
            </w:r>
            <w:r w:rsidR="002407AC" w:rsidRPr="000D192D">
              <w:rPr>
                <w:rFonts w:ascii="Calibri" w:hAnsi="Calibri" w:cs="Calibri"/>
              </w:rPr>
              <w:t>,</w:t>
            </w:r>
            <w:r w:rsidR="003219B5" w:rsidRPr="000D192D">
              <w:rPr>
                <w:rFonts w:ascii="Calibri" w:hAnsi="Calibri" w:cs="Calibri"/>
              </w:rPr>
              <w:t>41</w:t>
            </w:r>
          </w:p>
        </w:tc>
        <w:tc>
          <w:tcPr>
            <w:tcW w:w="985" w:type="pct"/>
            <w:shd w:val="clear" w:color="auto" w:fill="auto"/>
            <w:vAlign w:val="center"/>
          </w:tcPr>
          <w:p w14:paraId="0D7D6CB2" w14:textId="390D42B7" w:rsidR="000C117A" w:rsidRPr="000D192D" w:rsidRDefault="007A216C" w:rsidP="000D192D">
            <w:pPr>
              <w:ind w:right="179"/>
              <w:jc w:val="right"/>
              <w:rPr>
                <w:rFonts w:ascii="Calibri" w:hAnsi="Calibri" w:cs="Calibri"/>
              </w:rPr>
            </w:pPr>
            <w:r w:rsidRPr="000D192D">
              <w:rPr>
                <w:rFonts w:ascii="Calibri" w:hAnsi="Calibri" w:cs="Calibri"/>
              </w:rPr>
              <w:t>761</w:t>
            </w:r>
            <w:r w:rsidR="002407AC" w:rsidRPr="000D192D">
              <w:rPr>
                <w:rFonts w:ascii="Calibri" w:hAnsi="Calibri" w:cs="Calibri"/>
              </w:rPr>
              <w:t> </w:t>
            </w:r>
            <w:r w:rsidRPr="000D192D">
              <w:rPr>
                <w:rFonts w:ascii="Calibri" w:hAnsi="Calibri" w:cs="Calibri"/>
              </w:rPr>
              <w:t>742</w:t>
            </w:r>
            <w:r w:rsidR="002407AC" w:rsidRPr="000D192D">
              <w:rPr>
                <w:rFonts w:ascii="Calibri" w:hAnsi="Calibri" w:cs="Calibri"/>
              </w:rPr>
              <w:t>,</w:t>
            </w:r>
            <w:r w:rsidR="003219B5" w:rsidRPr="000D192D">
              <w:rPr>
                <w:rFonts w:ascii="Calibri" w:hAnsi="Calibri" w:cs="Calibri"/>
              </w:rPr>
              <w:t>4</w:t>
            </w:r>
            <w:r w:rsidR="002407AC" w:rsidRPr="000D192D">
              <w:rPr>
                <w:rFonts w:ascii="Calibri" w:hAnsi="Calibri" w:cs="Calibri"/>
              </w:rPr>
              <w:t>7</w:t>
            </w:r>
          </w:p>
        </w:tc>
      </w:tr>
      <w:tr w:rsidR="000C117A" w:rsidRPr="000D192D" w14:paraId="6BC285E6" w14:textId="77777777" w:rsidTr="000D192D">
        <w:trPr>
          <w:trHeight w:val="255"/>
        </w:trPr>
        <w:tc>
          <w:tcPr>
            <w:tcW w:w="1369" w:type="pct"/>
            <w:vMerge w:val="restart"/>
            <w:shd w:val="clear" w:color="auto" w:fill="auto"/>
            <w:vAlign w:val="center"/>
            <w:hideMark/>
          </w:tcPr>
          <w:p w14:paraId="16A78DCD" w14:textId="77777777" w:rsidR="000C117A" w:rsidRPr="000D192D" w:rsidRDefault="000C117A" w:rsidP="000D192D">
            <w:pPr>
              <w:rPr>
                <w:rFonts w:ascii="Calibri" w:hAnsi="Calibri" w:cs="Calibri"/>
              </w:rPr>
            </w:pPr>
            <w:r w:rsidRPr="000D192D">
              <w:rPr>
                <w:rFonts w:ascii="Calibri" w:hAnsi="Calibri" w:cs="Calibri"/>
              </w:rPr>
              <w:t>Bonusy</w:t>
            </w:r>
            <w:r w:rsidRPr="000D192D">
              <w:rPr>
                <w:rStyle w:val="Znakapoznpodarou"/>
                <w:rFonts w:ascii="Calibri" w:hAnsi="Calibri" w:cs="Calibri"/>
              </w:rPr>
              <w:footnoteReference w:id="34"/>
            </w:r>
            <w:r w:rsidRPr="000D192D">
              <w:rPr>
                <w:rFonts w:ascii="Calibri" w:hAnsi="Calibri" w:cs="Calibri"/>
              </w:rPr>
              <w:t xml:space="preserve"> za léčivé přípravky a zdravotnické prostředky</w:t>
            </w:r>
          </w:p>
        </w:tc>
        <w:tc>
          <w:tcPr>
            <w:tcW w:w="676" w:type="pct"/>
            <w:shd w:val="clear" w:color="auto" w:fill="auto"/>
            <w:vAlign w:val="center"/>
            <w:hideMark/>
          </w:tcPr>
          <w:p w14:paraId="34F7BB6E" w14:textId="77777777" w:rsidR="000C117A" w:rsidRPr="000D192D" w:rsidRDefault="000C117A" w:rsidP="004A5469">
            <w:pPr>
              <w:jc w:val="center"/>
              <w:rPr>
                <w:rFonts w:ascii="Calibri" w:hAnsi="Calibri" w:cs="Calibri"/>
              </w:rPr>
            </w:pPr>
            <w:r w:rsidRPr="000D192D">
              <w:rPr>
                <w:rFonts w:ascii="Calibri" w:hAnsi="Calibri" w:cs="Calibri"/>
              </w:rPr>
              <w:t>FNB</w:t>
            </w:r>
          </w:p>
        </w:tc>
        <w:tc>
          <w:tcPr>
            <w:tcW w:w="985" w:type="pct"/>
            <w:shd w:val="clear" w:color="auto" w:fill="auto"/>
            <w:vAlign w:val="center"/>
          </w:tcPr>
          <w:p w14:paraId="4BDD8DDE" w14:textId="4FC774B9" w:rsidR="000C117A" w:rsidRPr="000D192D" w:rsidRDefault="001B03BC" w:rsidP="000D192D">
            <w:pPr>
              <w:ind w:right="179"/>
              <w:jc w:val="right"/>
              <w:rPr>
                <w:rFonts w:ascii="Calibri" w:hAnsi="Calibri" w:cs="Calibri"/>
              </w:rPr>
            </w:pPr>
            <w:r w:rsidRPr="000D192D">
              <w:rPr>
                <w:rFonts w:ascii="Calibri" w:hAnsi="Calibri" w:cs="Calibri"/>
              </w:rPr>
              <w:t>26 911,31</w:t>
            </w:r>
          </w:p>
        </w:tc>
        <w:tc>
          <w:tcPr>
            <w:tcW w:w="985" w:type="pct"/>
            <w:shd w:val="clear" w:color="auto" w:fill="auto"/>
            <w:vAlign w:val="center"/>
          </w:tcPr>
          <w:p w14:paraId="0D98492E" w14:textId="40548ABA" w:rsidR="000C117A" w:rsidRPr="000D192D" w:rsidRDefault="001B03BC" w:rsidP="000D192D">
            <w:pPr>
              <w:ind w:right="179"/>
              <w:jc w:val="right"/>
              <w:rPr>
                <w:rFonts w:ascii="Calibri" w:hAnsi="Calibri" w:cs="Calibri"/>
              </w:rPr>
            </w:pPr>
            <w:r w:rsidRPr="000D192D">
              <w:rPr>
                <w:rFonts w:ascii="Calibri" w:hAnsi="Calibri" w:cs="Calibri"/>
              </w:rPr>
              <w:t>53 801,34</w:t>
            </w:r>
          </w:p>
        </w:tc>
        <w:tc>
          <w:tcPr>
            <w:tcW w:w="985" w:type="pct"/>
            <w:shd w:val="clear" w:color="auto" w:fill="auto"/>
            <w:vAlign w:val="center"/>
          </w:tcPr>
          <w:p w14:paraId="263C20C9" w14:textId="71D7731D" w:rsidR="000C117A" w:rsidRPr="000D192D" w:rsidRDefault="001B03BC" w:rsidP="000D192D">
            <w:pPr>
              <w:ind w:right="179"/>
              <w:jc w:val="right"/>
              <w:rPr>
                <w:rFonts w:ascii="Calibri" w:hAnsi="Calibri" w:cs="Calibri"/>
              </w:rPr>
            </w:pPr>
            <w:r w:rsidRPr="000D192D">
              <w:rPr>
                <w:rFonts w:ascii="Calibri" w:hAnsi="Calibri" w:cs="Calibri"/>
              </w:rPr>
              <w:t>42 065,91</w:t>
            </w:r>
          </w:p>
        </w:tc>
      </w:tr>
      <w:tr w:rsidR="000C117A" w:rsidRPr="000D192D" w14:paraId="057050FC" w14:textId="77777777" w:rsidTr="000D192D">
        <w:trPr>
          <w:trHeight w:val="255"/>
        </w:trPr>
        <w:tc>
          <w:tcPr>
            <w:tcW w:w="1369" w:type="pct"/>
            <w:vMerge/>
            <w:shd w:val="clear" w:color="auto" w:fill="auto"/>
            <w:vAlign w:val="center"/>
            <w:hideMark/>
          </w:tcPr>
          <w:p w14:paraId="2097C251" w14:textId="77777777" w:rsidR="000C117A" w:rsidRPr="000D192D" w:rsidRDefault="000C117A" w:rsidP="003E638C">
            <w:pPr>
              <w:jc w:val="both"/>
              <w:rPr>
                <w:rFonts w:ascii="Calibri" w:hAnsi="Calibri" w:cs="Calibri"/>
              </w:rPr>
            </w:pPr>
          </w:p>
        </w:tc>
        <w:tc>
          <w:tcPr>
            <w:tcW w:w="676" w:type="pct"/>
            <w:shd w:val="clear" w:color="auto" w:fill="auto"/>
            <w:vAlign w:val="center"/>
            <w:hideMark/>
          </w:tcPr>
          <w:p w14:paraId="79065758" w14:textId="3D77C879" w:rsidR="000C117A" w:rsidRPr="000D192D" w:rsidRDefault="000C117A" w:rsidP="004A5469">
            <w:pPr>
              <w:jc w:val="center"/>
              <w:rPr>
                <w:rFonts w:ascii="Calibri" w:hAnsi="Calibri" w:cs="Calibri"/>
              </w:rPr>
            </w:pPr>
            <w:r w:rsidRPr="000D192D">
              <w:rPr>
                <w:rFonts w:ascii="Calibri" w:hAnsi="Calibri" w:cs="Calibri"/>
              </w:rPr>
              <w:t>FNKV</w:t>
            </w:r>
          </w:p>
        </w:tc>
        <w:tc>
          <w:tcPr>
            <w:tcW w:w="985" w:type="pct"/>
            <w:shd w:val="clear" w:color="auto" w:fill="auto"/>
            <w:vAlign w:val="center"/>
          </w:tcPr>
          <w:p w14:paraId="70852FD7" w14:textId="40A56F29" w:rsidR="000C117A" w:rsidRPr="000D192D" w:rsidRDefault="0041203E" w:rsidP="000D192D">
            <w:pPr>
              <w:ind w:right="179"/>
              <w:jc w:val="right"/>
              <w:rPr>
                <w:rFonts w:ascii="Calibri" w:hAnsi="Calibri" w:cs="Calibri"/>
              </w:rPr>
            </w:pPr>
            <w:r w:rsidRPr="000D192D">
              <w:rPr>
                <w:rFonts w:ascii="Calibri" w:hAnsi="Calibri" w:cs="Calibri"/>
              </w:rPr>
              <w:t>230 788,62</w:t>
            </w:r>
          </w:p>
        </w:tc>
        <w:tc>
          <w:tcPr>
            <w:tcW w:w="985" w:type="pct"/>
            <w:shd w:val="clear" w:color="auto" w:fill="auto"/>
            <w:vAlign w:val="center"/>
          </w:tcPr>
          <w:p w14:paraId="4089398D" w14:textId="157572AF" w:rsidR="000C117A" w:rsidRPr="000D192D" w:rsidRDefault="0041203E" w:rsidP="000D192D">
            <w:pPr>
              <w:ind w:right="179"/>
              <w:jc w:val="right"/>
              <w:rPr>
                <w:rFonts w:ascii="Calibri" w:hAnsi="Calibri" w:cs="Calibri"/>
              </w:rPr>
            </w:pPr>
            <w:r w:rsidRPr="000D192D">
              <w:rPr>
                <w:rFonts w:ascii="Calibri" w:hAnsi="Calibri" w:cs="Calibri"/>
              </w:rPr>
              <w:t>224 070,46</w:t>
            </w:r>
          </w:p>
        </w:tc>
        <w:tc>
          <w:tcPr>
            <w:tcW w:w="985" w:type="pct"/>
            <w:shd w:val="clear" w:color="auto" w:fill="auto"/>
            <w:vAlign w:val="center"/>
          </w:tcPr>
          <w:p w14:paraId="6B71BD19" w14:textId="0A235305" w:rsidR="000C117A" w:rsidRPr="000D192D" w:rsidRDefault="0041203E" w:rsidP="000D192D">
            <w:pPr>
              <w:ind w:right="179"/>
              <w:jc w:val="right"/>
              <w:rPr>
                <w:rFonts w:ascii="Calibri" w:hAnsi="Calibri" w:cs="Calibri"/>
              </w:rPr>
            </w:pPr>
            <w:r w:rsidRPr="000D192D">
              <w:rPr>
                <w:rFonts w:ascii="Calibri" w:hAnsi="Calibri" w:cs="Calibri"/>
              </w:rPr>
              <w:t>212 425,95</w:t>
            </w:r>
          </w:p>
        </w:tc>
      </w:tr>
      <w:tr w:rsidR="000C117A" w:rsidRPr="000D192D" w14:paraId="21CC2F50" w14:textId="77777777" w:rsidTr="000D192D">
        <w:trPr>
          <w:trHeight w:val="255"/>
        </w:trPr>
        <w:tc>
          <w:tcPr>
            <w:tcW w:w="1369" w:type="pct"/>
            <w:vMerge/>
            <w:shd w:val="clear" w:color="auto" w:fill="auto"/>
            <w:vAlign w:val="center"/>
            <w:hideMark/>
          </w:tcPr>
          <w:p w14:paraId="40DF9269" w14:textId="77777777" w:rsidR="000C117A" w:rsidRPr="000D192D" w:rsidRDefault="000C117A" w:rsidP="003E638C">
            <w:pPr>
              <w:jc w:val="both"/>
              <w:rPr>
                <w:rFonts w:ascii="Calibri" w:hAnsi="Calibri" w:cs="Calibri"/>
              </w:rPr>
            </w:pPr>
          </w:p>
        </w:tc>
        <w:tc>
          <w:tcPr>
            <w:tcW w:w="676" w:type="pct"/>
            <w:shd w:val="clear" w:color="auto" w:fill="auto"/>
            <w:vAlign w:val="center"/>
            <w:hideMark/>
          </w:tcPr>
          <w:p w14:paraId="5C00AF31" w14:textId="7A59A425" w:rsidR="000C117A" w:rsidRPr="000D192D" w:rsidRDefault="000C117A" w:rsidP="004A5469">
            <w:pPr>
              <w:jc w:val="center"/>
              <w:rPr>
                <w:rFonts w:ascii="Calibri" w:hAnsi="Calibri" w:cs="Calibri"/>
              </w:rPr>
            </w:pPr>
            <w:r w:rsidRPr="000D192D">
              <w:rPr>
                <w:rFonts w:ascii="Calibri" w:hAnsi="Calibri" w:cs="Calibri"/>
              </w:rPr>
              <w:t>FNUSA</w:t>
            </w:r>
          </w:p>
        </w:tc>
        <w:tc>
          <w:tcPr>
            <w:tcW w:w="985" w:type="pct"/>
            <w:shd w:val="clear" w:color="auto" w:fill="auto"/>
            <w:vAlign w:val="center"/>
          </w:tcPr>
          <w:p w14:paraId="43492D8A" w14:textId="0233DB2D" w:rsidR="000C117A" w:rsidRPr="000D192D" w:rsidRDefault="007A216C" w:rsidP="000D192D">
            <w:pPr>
              <w:ind w:right="179"/>
              <w:jc w:val="right"/>
              <w:rPr>
                <w:rFonts w:ascii="Calibri" w:hAnsi="Calibri" w:cs="Calibri"/>
              </w:rPr>
            </w:pPr>
            <w:r w:rsidRPr="000D192D">
              <w:rPr>
                <w:rFonts w:ascii="Calibri" w:hAnsi="Calibri" w:cs="Calibri"/>
              </w:rPr>
              <w:t>256</w:t>
            </w:r>
            <w:r w:rsidR="00C3666F" w:rsidRPr="000D192D">
              <w:rPr>
                <w:rFonts w:ascii="Calibri" w:hAnsi="Calibri" w:cs="Calibri"/>
              </w:rPr>
              <w:t> </w:t>
            </w:r>
            <w:r w:rsidRPr="000D192D">
              <w:rPr>
                <w:rFonts w:ascii="Calibri" w:hAnsi="Calibri" w:cs="Calibri"/>
              </w:rPr>
              <w:t>538</w:t>
            </w:r>
            <w:r w:rsidR="00C3666F" w:rsidRPr="000D192D">
              <w:rPr>
                <w:rFonts w:ascii="Calibri" w:hAnsi="Calibri" w:cs="Calibri"/>
              </w:rPr>
              <w:t>,00</w:t>
            </w:r>
          </w:p>
        </w:tc>
        <w:tc>
          <w:tcPr>
            <w:tcW w:w="985" w:type="pct"/>
            <w:shd w:val="clear" w:color="auto" w:fill="auto"/>
            <w:vAlign w:val="center"/>
          </w:tcPr>
          <w:p w14:paraId="6964D4AE" w14:textId="605DCC5A" w:rsidR="000C117A" w:rsidRPr="000D192D" w:rsidRDefault="007A216C" w:rsidP="000D192D">
            <w:pPr>
              <w:ind w:right="179"/>
              <w:jc w:val="right"/>
              <w:rPr>
                <w:rFonts w:ascii="Calibri" w:hAnsi="Calibri" w:cs="Calibri"/>
              </w:rPr>
            </w:pPr>
            <w:r w:rsidRPr="000D192D">
              <w:rPr>
                <w:rFonts w:ascii="Calibri" w:hAnsi="Calibri" w:cs="Calibri"/>
              </w:rPr>
              <w:t>260</w:t>
            </w:r>
            <w:r w:rsidR="00C3666F" w:rsidRPr="000D192D">
              <w:rPr>
                <w:rFonts w:ascii="Calibri" w:hAnsi="Calibri" w:cs="Calibri"/>
              </w:rPr>
              <w:t> </w:t>
            </w:r>
            <w:r w:rsidRPr="000D192D">
              <w:rPr>
                <w:rFonts w:ascii="Calibri" w:hAnsi="Calibri" w:cs="Calibri"/>
              </w:rPr>
              <w:t>625</w:t>
            </w:r>
            <w:r w:rsidR="00C3666F" w:rsidRPr="000D192D">
              <w:rPr>
                <w:rFonts w:ascii="Calibri" w:hAnsi="Calibri" w:cs="Calibri"/>
              </w:rPr>
              <w:t>,00</w:t>
            </w:r>
          </w:p>
        </w:tc>
        <w:tc>
          <w:tcPr>
            <w:tcW w:w="985" w:type="pct"/>
            <w:shd w:val="clear" w:color="auto" w:fill="auto"/>
            <w:vAlign w:val="center"/>
          </w:tcPr>
          <w:p w14:paraId="5C401756" w14:textId="0040A017" w:rsidR="000C117A" w:rsidRPr="000D192D" w:rsidRDefault="007A216C" w:rsidP="000D192D">
            <w:pPr>
              <w:ind w:right="179"/>
              <w:jc w:val="right"/>
              <w:rPr>
                <w:rFonts w:ascii="Calibri" w:hAnsi="Calibri" w:cs="Calibri"/>
              </w:rPr>
            </w:pPr>
            <w:r w:rsidRPr="000D192D">
              <w:rPr>
                <w:rFonts w:ascii="Calibri" w:hAnsi="Calibri" w:cs="Calibri"/>
              </w:rPr>
              <w:t>264</w:t>
            </w:r>
            <w:r w:rsidR="00C3666F" w:rsidRPr="000D192D">
              <w:rPr>
                <w:rFonts w:ascii="Calibri" w:hAnsi="Calibri" w:cs="Calibri"/>
              </w:rPr>
              <w:t> </w:t>
            </w:r>
            <w:r w:rsidRPr="000D192D">
              <w:rPr>
                <w:rFonts w:ascii="Calibri" w:hAnsi="Calibri" w:cs="Calibri"/>
              </w:rPr>
              <w:t>713</w:t>
            </w:r>
            <w:r w:rsidR="00C3666F" w:rsidRPr="000D192D">
              <w:rPr>
                <w:rFonts w:ascii="Calibri" w:hAnsi="Calibri" w:cs="Calibri"/>
              </w:rPr>
              <w:t>,00</w:t>
            </w:r>
          </w:p>
        </w:tc>
      </w:tr>
    </w:tbl>
    <w:p w14:paraId="313FC736" w14:textId="795F22D8" w:rsidR="00E57EAC" w:rsidRPr="0075660A" w:rsidRDefault="00E57EAC" w:rsidP="000D192D">
      <w:pPr>
        <w:pStyle w:val="Zdroj"/>
        <w:widowControl w:val="0"/>
        <w:spacing w:before="40" w:after="120"/>
        <w:ind w:left="567" w:hanging="567"/>
        <w:rPr>
          <w:rFonts w:asciiTheme="minorHAnsi" w:hAnsiTheme="minorHAnsi" w:cstheme="minorHAnsi"/>
          <w:i w:val="0"/>
        </w:rPr>
      </w:pPr>
      <w:r w:rsidRPr="0075660A">
        <w:rPr>
          <w:rFonts w:asciiTheme="minorHAnsi" w:hAnsiTheme="minorHAnsi" w:cstheme="minorHAnsi"/>
          <w:b/>
          <w:i w:val="0"/>
        </w:rPr>
        <w:t>Zdroj:</w:t>
      </w:r>
      <w:r w:rsidRPr="0075660A">
        <w:rPr>
          <w:rFonts w:asciiTheme="minorHAnsi" w:hAnsiTheme="minorHAnsi" w:cstheme="minorHAnsi"/>
          <w:i w:val="0"/>
        </w:rPr>
        <w:t xml:space="preserve"> výkazy zisku a ztráty jednotlivých FN k 31. 12. 201</w:t>
      </w:r>
      <w:r w:rsidR="000C117A" w:rsidRPr="0075660A">
        <w:rPr>
          <w:rFonts w:asciiTheme="minorHAnsi" w:hAnsiTheme="minorHAnsi" w:cstheme="minorHAnsi"/>
          <w:i w:val="0"/>
        </w:rPr>
        <w:t>9</w:t>
      </w:r>
      <w:r w:rsidRPr="0075660A">
        <w:rPr>
          <w:rFonts w:asciiTheme="minorHAnsi" w:hAnsiTheme="minorHAnsi" w:cstheme="minorHAnsi"/>
          <w:i w:val="0"/>
        </w:rPr>
        <w:t>, k 31. 12. 20</w:t>
      </w:r>
      <w:r w:rsidR="000C117A" w:rsidRPr="0075660A">
        <w:rPr>
          <w:rFonts w:asciiTheme="minorHAnsi" w:hAnsiTheme="minorHAnsi" w:cstheme="minorHAnsi"/>
          <w:i w:val="0"/>
        </w:rPr>
        <w:t>20</w:t>
      </w:r>
      <w:r w:rsidRPr="0075660A">
        <w:rPr>
          <w:rFonts w:asciiTheme="minorHAnsi" w:hAnsiTheme="minorHAnsi" w:cstheme="minorHAnsi"/>
          <w:i w:val="0"/>
        </w:rPr>
        <w:t xml:space="preserve"> a k 31. 12. 20</w:t>
      </w:r>
      <w:r w:rsidR="000C117A" w:rsidRPr="0075660A">
        <w:rPr>
          <w:rFonts w:asciiTheme="minorHAnsi" w:hAnsiTheme="minorHAnsi" w:cstheme="minorHAnsi"/>
          <w:i w:val="0"/>
        </w:rPr>
        <w:t>21</w:t>
      </w:r>
      <w:r w:rsidRPr="0075660A">
        <w:rPr>
          <w:rFonts w:asciiTheme="minorHAnsi" w:hAnsiTheme="minorHAnsi" w:cstheme="minorHAnsi"/>
          <w:i w:val="0"/>
        </w:rPr>
        <w:t xml:space="preserve">, hlavní knihy </w:t>
      </w:r>
      <w:r w:rsidR="00C1281C" w:rsidRPr="0075660A">
        <w:rPr>
          <w:rFonts w:asciiTheme="minorHAnsi" w:hAnsiTheme="minorHAnsi" w:cstheme="minorHAnsi"/>
          <w:i w:val="0"/>
        </w:rPr>
        <w:t>FN</w:t>
      </w:r>
      <w:r w:rsidRPr="0075660A">
        <w:rPr>
          <w:rFonts w:asciiTheme="minorHAnsi" w:hAnsiTheme="minorHAnsi" w:cstheme="minorHAnsi"/>
          <w:i w:val="0"/>
        </w:rPr>
        <w:t xml:space="preserve"> k 31. 12. 201</w:t>
      </w:r>
      <w:r w:rsidR="000C117A" w:rsidRPr="0075660A">
        <w:rPr>
          <w:rFonts w:asciiTheme="minorHAnsi" w:hAnsiTheme="minorHAnsi" w:cstheme="minorHAnsi"/>
          <w:i w:val="0"/>
        </w:rPr>
        <w:t>9</w:t>
      </w:r>
      <w:r w:rsidRPr="0075660A">
        <w:rPr>
          <w:rFonts w:asciiTheme="minorHAnsi" w:hAnsiTheme="minorHAnsi" w:cstheme="minorHAnsi"/>
          <w:i w:val="0"/>
        </w:rPr>
        <w:t>, k 31. 12. 20</w:t>
      </w:r>
      <w:r w:rsidR="000C117A" w:rsidRPr="0075660A">
        <w:rPr>
          <w:rFonts w:asciiTheme="minorHAnsi" w:hAnsiTheme="minorHAnsi" w:cstheme="minorHAnsi"/>
          <w:i w:val="0"/>
        </w:rPr>
        <w:t>20</w:t>
      </w:r>
      <w:r w:rsidRPr="0075660A">
        <w:rPr>
          <w:rFonts w:asciiTheme="minorHAnsi" w:hAnsiTheme="minorHAnsi" w:cstheme="minorHAnsi"/>
          <w:i w:val="0"/>
        </w:rPr>
        <w:t xml:space="preserve"> a k 31. 12. 20</w:t>
      </w:r>
      <w:r w:rsidR="000C117A" w:rsidRPr="0075660A">
        <w:rPr>
          <w:rFonts w:asciiTheme="minorHAnsi" w:hAnsiTheme="minorHAnsi" w:cstheme="minorHAnsi"/>
          <w:i w:val="0"/>
        </w:rPr>
        <w:t>21</w:t>
      </w:r>
      <w:r w:rsidRPr="0075660A">
        <w:rPr>
          <w:rFonts w:asciiTheme="minorHAnsi" w:hAnsiTheme="minorHAnsi" w:cstheme="minorHAnsi"/>
          <w:i w:val="0"/>
        </w:rPr>
        <w:t xml:space="preserve">, sestavy předané jednotlivými FN na základě žádostí NKÚ. </w:t>
      </w:r>
    </w:p>
    <w:p w14:paraId="76CA3077" w14:textId="02FAD19F" w:rsidR="00E57EAC" w:rsidRPr="000D192D" w:rsidRDefault="00D416EB" w:rsidP="000D192D">
      <w:pPr>
        <w:widowControl/>
        <w:spacing w:before="120" w:after="120"/>
        <w:jc w:val="both"/>
        <w:rPr>
          <w:rFonts w:asciiTheme="minorHAnsi" w:hAnsiTheme="minorHAnsi" w:cstheme="minorHAnsi"/>
          <w:color w:val="000000" w:themeColor="text1"/>
          <w:sz w:val="24"/>
          <w:szCs w:val="24"/>
        </w:rPr>
      </w:pPr>
      <w:r w:rsidRPr="000D192D">
        <w:rPr>
          <w:rFonts w:asciiTheme="minorHAnsi" w:hAnsiTheme="minorHAnsi" w:cstheme="minorHAnsi"/>
          <w:color w:val="000000" w:themeColor="text1"/>
          <w:sz w:val="24"/>
          <w:szCs w:val="24"/>
        </w:rPr>
        <w:t xml:space="preserve">V roce 2019 vykázaly FNB a FNUSA záporný výsledek hospodaření, FNKV vykázala kladný výsledek hospodaření. </w:t>
      </w:r>
      <w:r w:rsidR="003D6F0B" w:rsidRPr="000D192D">
        <w:rPr>
          <w:rFonts w:asciiTheme="minorHAnsi" w:hAnsiTheme="minorHAnsi" w:cstheme="minorHAnsi"/>
          <w:color w:val="000000" w:themeColor="text1"/>
          <w:sz w:val="24"/>
          <w:szCs w:val="24"/>
        </w:rPr>
        <w:t xml:space="preserve">Výsledkem hospodaření z hlavní činnosti byla za rok 2019 u všech FN ztráta. </w:t>
      </w:r>
      <w:r w:rsidR="00E57EAC" w:rsidRPr="000D192D">
        <w:rPr>
          <w:rFonts w:asciiTheme="minorHAnsi" w:hAnsiTheme="minorHAnsi" w:cstheme="minorHAnsi"/>
          <w:color w:val="000000" w:themeColor="text1"/>
          <w:sz w:val="24"/>
          <w:szCs w:val="24"/>
        </w:rPr>
        <w:t>V let</w:t>
      </w:r>
      <w:r w:rsidR="00C1281C" w:rsidRPr="000D192D">
        <w:rPr>
          <w:rFonts w:asciiTheme="minorHAnsi" w:hAnsiTheme="minorHAnsi" w:cstheme="minorHAnsi"/>
          <w:color w:val="000000" w:themeColor="text1"/>
          <w:sz w:val="24"/>
          <w:szCs w:val="24"/>
        </w:rPr>
        <w:t>ech</w:t>
      </w:r>
      <w:r w:rsidR="00E57EAC" w:rsidRPr="000D192D">
        <w:rPr>
          <w:rFonts w:asciiTheme="minorHAnsi" w:hAnsiTheme="minorHAnsi" w:cstheme="minorHAnsi"/>
          <w:color w:val="000000" w:themeColor="text1"/>
          <w:sz w:val="24"/>
          <w:szCs w:val="24"/>
        </w:rPr>
        <w:t xml:space="preserve"> </w:t>
      </w:r>
      <w:r w:rsidRPr="000D192D">
        <w:rPr>
          <w:rFonts w:asciiTheme="minorHAnsi" w:hAnsiTheme="minorHAnsi" w:cstheme="minorHAnsi"/>
          <w:color w:val="000000" w:themeColor="text1"/>
          <w:sz w:val="24"/>
          <w:szCs w:val="24"/>
        </w:rPr>
        <w:t xml:space="preserve">2020 </w:t>
      </w:r>
      <w:r w:rsidR="00E57EAC" w:rsidRPr="000D192D">
        <w:rPr>
          <w:rFonts w:asciiTheme="minorHAnsi" w:hAnsiTheme="minorHAnsi" w:cstheme="minorHAnsi"/>
          <w:color w:val="000000" w:themeColor="text1"/>
          <w:sz w:val="24"/>
          <w:szCs w:val="24"/>
        </w:rPr>
        <w:t>a 20</w:t>
      </w:r>
      <w:r w:rsidR="00C839AC" w:rsidRPr="000D192D">
        <w:rPr>
          <w:rFonts w:asciiTheme="minorHAnsi" w:hAnsiTheme="minorHAnsi" w:cstheme="minorHAnsi"/>
          <w:color w:val="000000" w:themeColor="text1"/>
          <w:sz w:val="24"/>
          <w:szCs w:val="24"/>
        </w:rPr>
        <w:t>21</w:t>
      </w:r>
      <w:r w:rsidR="00E57EAC" w:rsidRPr="000D192D">
        <w:rPr>
          <w:rFonts w:asciiTheme="minorHAnsi" w:hAnsiTheme="minorHAnsi" w:cstheme="minorHAnsi"/>
          <w:color w:val="000000" w:themeColor="text1"/>
          <w:sz w:val="24"/>
          <w:szCs w:val="24"/>
        </w:rPr>
        <w:t xml:space="preserve"> vykázaly FNB, FN</w:t>
      </w:r>
      <w:r w:rsidRPr="000D192D">
        <w:rPr>
          <w:rFonts w:asciiTheme="minorHAnsi" w:hAnsiTheme="minorHAnsi" w:cstheme="minorHAnsi"/>
          <w:color w:val="000000" w:themeColor="text1"/>
          <w:sz w:val="24"/>
          <w:szCs w:val="24"/>
        </w:rPr>
        <w:t>KV</w:t>
      </w:r>
      <w:r w:rsidR="00E57EAC" w:rsidRPr="000D192D">
        <w:rPr>
          <w:rFonts w:asciiTheme="minorHAnsi" w:hAnsiTheme="minorHAnsi" w:cstheme="minorHAnsi"/>
          <w:color w:val="000000" w:themeColor="text1"/>
          <w:sz w:val="24"/>
          <w:szCs w:val="24"/>
        </w:rPr>
        <w:t xml:space="preserve"> a </w:t>
      </w:r>
      <w:r w:rsidRPr="000D192D">
        <w:rPr>
          <w:rFonts w:asciiTheme="minorHAnsi" w:hAnsiTheme="minorHAnsi" w:cstheme="minorHAnsi"/>
          <w:color w:val="000000" w:themeColor="text1"/>
          <w:sz w:val="24"/>
          <w:szCs w:val="24"/>
        </w:rPr>
        <w:t xml:space="preserve">FNUSA </w:t>
      </w:r>
      <w:r w:rsidR="00CE7DD4" w:rsidRPr="000D192D">
        <w:rPr>
          <w:rFonts w:asciiTheme="minorHAnsi" w:hAnsiTheme="minorHAnsi" w:cstheme="minorHAnsi"/>
          <w:color w:val="000000" w:themeColor="text1"/>
          <w:sz w:val="24"/>
          <w:szCs w:val="24"/>
        </w:rPr>
        <w:t xml:space="preserve">zlepšený hospodářský výsledek. </w:t>
      </w:r>
      <w:r w:rsidR="00D94F30" w:rsidRPr="000D192D">
        <w:rPr>
          <w:rFonts w:asciiTheme="minorHAnsi" w:hAnsiTheme="minorHAnsi" w:cstheme="minorHAnsi"/>
          <w:color w:val="000000" w:themeColor="text1"/>
          <w:sz w:val="24"/>
          <w:szCs w:val="24"/>
        </w:rPr>
        <w:t>Výsledek hospodaření</w:t>
      </w:r>
      <w:r w:rsidR="004106C7" w:rsidRPr="000D192D">
        <w:rPr>
          <w:rFonts w:asciiTheme="minorHAnsi" w:hAnsiTheme="minorHAnsi" w:cstheme="minorHAnsi"/>
          <w:color w:val="000000" w:themeColor="text1"/>
          <w:sz w:val="24"/>
          <w:szCs w:val="24"/>
        </w:rPr>
        <w:t xml:space="preserve"> </w:t>
      </w:r>
      <w:r w:rsidR="00CE7DD4" w:rsidRPr="000D192D">
        <w:rPr>
          <w:rFonts w:asciiTheme="minorHAnsi" w:hAnsiTheme="minorHAnsi" w:cstheme="minorHAnsi"/>
          <w:color w:val="000000" w:themeColor="text1"/>
          <w:sz w:val="24"/>
          <w:szCs w:val="24"/>
        </w:rPr>
        <w:t>příspěvkové organizace je tvořen výsledkem hospodaření z</w:t>
      </w:r>
      <w:r w:rsidR="004106C7" w:rsidRPr="000D192D">
        <w:rPr>
          <w:rFonts w:asciiTheme="minorHAnsi" w:hAnsiTheme="minorHAnsi" w:cstheme="minorHAnsi"/>
          <w:color w:val="000000" w:themeColor="text1"/>
          <w:sz w:val="24"/>
          <w:szCs w:val="24"/>
        </w:rPr>
        <w:t xml:space="preserve"> hlavní </w:t>
      </w:r>
      <w:r w:rsidR="00CE7DD4" w:rsidRPr="000D192D">
        <w:rPr>
          <w:rFonts w:asciiTheme="minorHAnsi" w:hAnsiTheme="minorHAnsi" w:cstheme="minorHAnsi"/>
          <w:color w:val="000000" w:themeColor="text1"/>
          <w:sz w:val="24"/>
          <w:szCs w:val="24"/>
        </w:rPr>
        <w:t xml:space="preserve">činnosti </w:t>
      </w:r>
      <w:r w:rsidR="004106C7" w:rsidRPr="000D192D">
        <w:rPr>
          <w:rFonts w:asciiTheme="minorHAnsi" w:hAnsiTheme="minorHAnsi" w:cstheme="minorHAnsi"/>
          <w:color w:val="000000" w:themeColor="text1"/>
          <w:sz w:val="24"/>
          <w:szCs w:val="24"/>
        </w:rPr>
        <w:t xml:space="preserve">a </w:t>
      </w:r>
      <w:r w:rsidR="00CE7DD4" w:rsidRPr="000D192D">
        <w:rPr>
          <w:rFonts w:asciiTheme="minorHAnsi" w:hAnsiTheme="minorHAnsi" w:cstheme="minorHAnsi"/>
          <w:color w:val="000000" w:themeColor="text1"/>
          <w:sz w:val="24"/>
          <w:szCs w:val="24"/>
        </w:rPr>
        <w:t xml:space="preserve">ziskem vytvořeným </w:t>
      </w:r>
      <w:r w:rsidR="004106C7" w:rsidRPr="000D192D">
        <w:rPr>
          <w:rFonts w:asciiTheme="minorHAnsi" w:hAnsiTheme="minorHAnsi" w:cstheme="minorHAnsi"/>
          <w:color w:val="000000" w:themeColor="text1"/>
          <w:sz w:val="24"/>
          <w:szCs w:val="24"/>
        </w:rPr>
        <w:t>jinou činnost</w:t>
      </w:r>
      <w:r w:rsidR="00CE7DD4" w:rsidRPr="000D192D">
        <w:rPr>
          <w:rFonts w:asciiTheme="minorHAnsi" w:hAnsiTheme="minorHAnsi" w:cstheme="minorHAnsi"/>
          <w:color w:val="000000" w:themeColor="text1"/>
          <w:sz w:val="24"/>
          <w:szCs w:val="24"/>
        </w:rPr>
        <w:t>í po zdanění</w:t>
      </w:r>
      <w:r w:rsidR="004106C7" w:rsidRPr="000D192D">
        <w:rPr>
          <w:rFonts w:asciiTheme="minorHAnsi" w:hAnsiTheme="minorHAnsi" w:cstheme="minorHAnsi"/>
          <w:color w:val="000000" w:themeColor="text1"/>
          <w:sz w:val="24"/>
          <w:szCs w:val="24"/>
        </w:rPr>
        <w:t xml:space="preserve">. </w:t>
      </w:r>
    </w:p>
    <w:p w14:paraId="2E1C0A88" w14:textId="4216AC64" w:rsidR="00D6451E" w:rsidRPr="000D192D" w:rsidRDefault="00E57EAC" w:rsidP="000D192D">
      <w:pPr>
        <w:widowControl/>
        <w:spacing w:before="120" w:after="120"/>
        <w:jc w:val="both"/>
        <w:rPr>
          <w:rFonts w:asciiTheme="minorHAnsi" w:hAnsiTheme="minorHAnsi" w:cstheme="minorHAnsi"/>
          <w:color w:val="000000" w:themeColor="text1"/>
          <w:sz w:val="24"/>
          <w:szCs w:val="24"/>
        </w:rPr>
      </w:pPr>
      <w:r w:rsidRPr="000D192D">
        <w:rPr>
          <w:rFonts w:asciiTheme="minorHAnsi" w:hAnsiTheme="minorHAnsi" w:cstheme="minorHAnsi"/>
          <w:color w:val="000000" w:themeColor="text1"/>
          <w:sz w:val="24"/>
          <w:szCs w:val="24"/>
        </w:rPr>
        <w:t>Výnosy FN v kontrolovaném období rostly. Nárůst v roce 20</w:t>
      </w:r>
      <w:r w:rsidR="00CB3F29" w:rsidRPr="000D192D">
        <w:rPr>
          <w:rFonts w:asciiTheme="minorHAnsi" w:hAnsiTheme="minorHAnsi" w:cstheme="minorHAnsi"/>
          <w:color w:val="000000" w:themeColor="text1"/>
          <w:sz w:val="24"/>
          <w:szCs w:val="24"/>
        </w:rPr>
        <w:t>20</w:t>
      </w:r>
      <w:r w:rsidRPr="000D192D">
        <w:rPr>
          <w:rFonts w:asciiTheme="minorHAnsi" w:hAnsiTheme="minorHAnsi" w:cstheme="minorHAnsi"/>
          <w:color w:val="000000" w:themeColor="text1"/>
          <w:sz w:val="24"/>
          <w:szCs w:val="24"/>
        </w:rPr>
        <w:t xml:space="preserve"> oproti roku 20</w:t>
      </w:r>
      <w:r w:rsidR="00CB3F29" w:rsidRPr="000D192D">
        <w:rPr>
          <w:rFonts w:asciiTheme="minorHAnsi" w:hAnsiTheme="minorHAnsi" w:cstheme="minorHAnsi"/>
          <w:color w:val="000000" w:themeColor="text1"/>
          <w:sz w:val="24"/>
          <w:szCs w:val="24"/>
        </w:rPr>
        <w:t>19</w:t>
      </w:r>
      <w:r w:rsidRPr="000D192D">
        <w:rPr>
          <w:rFonts w:asciiTheme="minorHAnsi" w:hAnsiTheme="minorHAnsi" w:cstheme="minorHAnsi"/>
          <w:color w:val="000000" w:themeColor="text1"/>
          <w:sz w:val="24"/>
          <w:szCs w:val="24"/>
        </w:rPr>
        <w:t xml:space="preserve"> byl ovlivněn </w:t>
      </w:r>
      <w:r w:rsidR="00D6451E" w:rsidRPr="000D192D">
        <w:rPr>
          <w:rFonts w:asciiTheme="minorHAnsi" w:hAnsiTheme="minorHAnsi" w:cstheme="minorHAnsi"/>
          <w:color w:val="000000" w:themeColor="text1"/>
          <w:sz w:val="24"/>
          <w:szCs w:val="24"/>
        </w:rPr>
        <w:t xml:space="preserve">zejména </w:t>
      </w:r>
      <w:r w:rsidR="00291B20" w:rsidRPr="000D192D">
        <w:rPr>
          <w:rFonts w:asciiTheme="minorHAnsi" w:hAnsiTheme="minorHAnsi" w:cstheme="minorHAnsi"/>
          <w:color w:val="000000" w:themeColor="text1"/>
          <w:sz w:val="24"/>
          <w:szCs w:val="24"/>
        </w:rPr>
        <w:t>poskytnutým</w:t>
      </w:r>
      <w:r w:rsidR="00D6451E" w:rsidRPr="000D192D">
        <w:rPr>
          <w:rFonts w:asciiTheme="minorHAnsi" w:hAnsiTheme="minorHAnsi" w:cstheme="minorHAnsi"/>
          <w:color w:val="000000" w:themeColor="text1"/>
          <w:sz w:val="24"/>
          <w:szCs w:val="24"/>
        </w:rPr>
        <w:t xml:space="preserve"> </w:t>
      </w:r>
      <w:r w:rsidR="00322822" w:rsidRPr="000D192D">
        <w:rPr>
          <w:rFonts w:asciiTheme="minorHAnsi" w:hAnsiTheme="minorHAnsi" w:cstheme="minorHAnsi"/>
          <w:color w:val="000000" w:themeColor="text1"/>
          <w:sz w:val="24"/>
          <w:szCs w:val="24"/>
        </w:rPr>
        <w:t xml:space="preserve">jednorázovým </w:t>
      </w:r>
      <w:r w:rsidR="00D6451E" w:rsidRPr="000D192D">
        <w:rPr>
          <w:rFonts w:asciiTheme="minorHAnsi" w:hAnsiTheme="minorHAnsi" w:cstheme="minorHAnsi"/>
          <w:color w:val="000000" w:themeColor="text1"/>
          <w:sz w:val="24"/>
          <w:szCs w:val="24"/>
        </w:rPr>
        <w:t>příspěvk</w:t>
      </w:r>
      <w:r w:rsidR="00291B20" w:rsidRPr="000D192D">
        <w:rPr>
          <w:rFonts w:asciiTheme="minorHAnsi" w:hAnsiTheme="minorHAnsi" w:cstheme="minorHAnsi"/>
          <w:color w:val="000000" w:themeColor="text1"/>
          <w:sz w:val="24"/>
          <w:szCs w:val="24"/>
        </w:rPr>
        <w:t>em</w:t>
      </w:r>
      <w:r w:rsidR="00D6451E" w:rsidRPr="000D192D">
        <w:rPr>
          <w:rFonts w:asciiTheme="minorHAnsi" w:hAnsiTheme="minorHAnsi" w:cstheme="minorHAnsi"/>
          <w:color w:val="000000" w:themeColor="text1"/>
          <w:sz w:val="24"/>
          <w:szCs w:val="24"/>
        </w:rPr>
        <w:t xml:space="preserve"> od zřizovatele na úhradu závazků po splatnosti, které FN obdržely v květnu 2020.</w:t>
      </w:r>
    </w:p>
    <w:p w14:paraId="525FFFCA" w14:textId="5B9ABB43" w:rsidR="00246D13" w:rsidRPr="00527E83" w:rsidRDefault="00246D13" w:rsidP="002F4E48">
      <w:pPr>
        <w:keepNext/>
        <w:shd w:val="clear" w:color="auto" w:fill="FFFFFF"/>
        <w:spacing w:before="720" w:after="240"/>
        <w:jc w:val="center"/>
        <w:rPr>
          <w:rFonts w:asciiTheme="minorHAnsi" w:hAnsiTheme="minorHAnsi" w:cstheme="minorHAnsi"/>
          <w:b/>
          <w:bCs/>
          <w:spacing w:val="-9"/>
          <w:sz w:val="28"/>
          <w:szCs w:val="28"/>
        </w:rPr>
      </w:pPr>
      <w:r w:rsidRPr="00527E83">
        <w:rPr>
          <w:rFonts w:asciiTheme="minorHAnsi" w:hAnsiTheme="minorHAnsi" w:cstheme="minorHAnsi"/>
          <w:b/>
          <w:bCs/>
          <w:spacing w:val="-9"/>
          <w:sz w:val="28"/>
          <w:szCs w:val="28"/>
        </w:rPr>
        <w:t>III. Rozsah kontroly</w:t>
      </w:r>
    </w:p>
    <w:p w14:paraId="48E717DB" w14:textId="39A52BF2" w:rsidR="0031435A" w:rsidRPr="0075660A" w:rsidRDefault="00102777" w:rsidP="000D192D">
      <w:pPr>
        <w:spacing w:before="120" w:after="120"/>
        <w:jc w:val="both"/>
        <w:rPr>
          <w:rFonts w:asciiTheme="minorHAnsi" w:eastAsia="Calibri" w:hAnsiTheme="minorHAnsi" w:cstheme="minorHAnsi"/>
          <w:sz w:val="24"/>
          <w:szCs w:val="24"/>
        </w:rPr>
      </w:pPr>
      <w:r w:rsidRPr="00527E83">
        <w:rPr>
          <w:rFonts w:asciiTheme="minorHAnsi" w:hAnsiTheme="minorHAnsi" w:cstheme="minorHAnsi"/>
          <w:sz w:val="24"/>
          <w:szCs w:val="24"/>
        </w:rPr>
        <w:t xml:space="preserve">Cílem </w:t>
      </w:r>
      <w:r w:rsidRPr="0075660A">
        <w:rPr>
          <w:rFonts w:asciiTheme="minorHAnsi" w:hAnsiTheme="minorHAnsi" w:cstheme="minorHAnsi"/>
          <w:sz w:val="24"/>
          <w:szCs w:val="24"/>
        </w:rPr>
        <w:t xml:space="preserve">kontrolní akce bylo </w:t>
      </w:r>
      <w:r w:rsidR="00D25A50" w:rsidRPr="0075660A">
        <w:rPr>
          <w:rFonts w:asciiTheme="minorHAnsi" w:hAnsiTheme="minorHAnsi" w:cstheme="minorHAnsi"/>
          <w:sz w:val="24"/>
          <w:szCs w:val="24"/>
        </w:rPr>
        <w:t>p</w:t>
      </w:r>
      <w:r w:rsidR="0031435A" w:rsidRPr="0075660A">
        <w:rPr>
          <w:rFonts w:asciiTheme="minorHAnsi" w:eastAsia="Calibri" w:hAnsiTheme="minorHAnsi" w:cstheme="minorHAnsi"/>
          <w:sz w:val="24"/>
          <w:szCs w:val="24"/>
        </w:rPr>
        <w:t>rověřit, zda hospodaření vybraných fakultních nemocnic probíhá v</w:t>
      </w:r>
      <w:r w:rsidR="001C715C" w:rsidRPr="0075660A">
        <w:rPr>
          <w:rFonts w:asciiTheme="minorHAnsi" w:eastAsia="Calibri" w:hAnsiTheme="minorHAnsi" w:cstheme="minorHAnsi"/>
          <w:sz w:val="24"/>
          <w:szCs w:val="24"/>
        </w:rPr>
        <w:t> </w:t>
      </w:r>
      <w:r w:rsidR="0031435A" w:rsidRPr="0075660A">
        <w:rPr>
          <w:rFonts w:asciiTheme="minorHAnsi" w:eastAsia="Calibri" w:hAnsiTheme="minorHAnsi" w:cstheme="minorHAnsi"/>
          <w:sz w:val="24"/>
          <w:szCs w:val="24"/>
        </w:rPr>
        <w:t>souladu s právními předpisy a je účelné a hospodárné a zda Ministerstvo zdravotnictví plní roli jejich zřizovatele a zda poskytovalo prostředky v souladu s právními předpisy.</w:t>
      </w:r>
    </w:p>
    <w:p w14:paraId="0F1C1317" w14:textId="349313A1" w:rsidR="006B778E" w:rsidRDefault="00AB0A65" w:rsidP="000D192D">
      <w:pPr>
        <w:widowControl/>
        <w:jc w:val="both"/>
        <w:rPr>
          <w:rFonts w:asciiTheme="minorHAnsi" w:hAnsiTheme="minorHAnsi" w:cstheme="minorHAnsi"/>
          <w:sz w:val="24"/>
          <w:szCs w:val="24"/>
          <w:lang w:eastAsia="en-US"/>
        </w:rPr>
      </w:pPr>
      <w:r w:rsidRPr="0075660A">
        <w:rPr>
          <w:rFonts w:asciiTheme="minorHAnsi" w:eastAsia="Calibri" w:hAnsiTheme="minorHAnsi" w:cstheme="minorHAnsi"/>
          <w:sz w:val="24"/>
          <w:szCs w:val="24"/>
        </w:rPr>
        <w:t xml:space="preserve">NKÚ </w:t>
      </w:r>
      <w:r w:rsidR="00E75FF2">
        <w:rPr>
          <w:rFonts w:asciiTheme="minorHAnsi" w:eastAsia="Calibri" w:hAnsiTheme="minorHAnsi" w:cstheme="minorHAnsi"/>
          <w:sz w:val="24"/>
          <w:szCs w:val="24"/>
        </w:rPr>
        <w:t>se při</w:t>
      </w:r>
      <w:r w:rsidRPr="0075660A">
        <w:rPr>
          <w:rFonts w:asciiTheme="minorHAnsi" w:eastAsia="Calibri" w:hAnsiTheme="minorHAnsi" w:cstheme="minorHAnsi"/>
          <w:sz w:val="24"/>
          <w:szCs w:val="24"/>
        </w:rPr>
        <w:t xml:space="preserve"> kontrole</w:t>
      </w:r>
      <w:r w:rsidR="008853B2">
        <w:rPr>
          <w:rFonts w:asciiTheme="minorHAnsi" w:eastAsia="Calibri" w:hAnsiTheme="minorHAnsi" w:cstheme="minorHAnsi"/>
          <w:sz w:val="24"/>
          <w:szCs w:val="24"/>
        </w:rPr>
        <w:t xml:space="preserve"> zaměřil na</w:t>
      </w:r>
      <w:r w:rsidRPr="0075660A">
        <w:rPr>
          <w:rFonts w:asciiTheme="minorHAnsi" w:eastAsia="Calibri" w:hAnsiTheme="minorHAnsi" w:cstheme="minorHAnsi"/>
          <w:sz w:val="24"/>
          <w:szCs w:val="24"/>
        </w:rPr>
        <w:t xml:space="preserve"> oblast </w:t>
      </w:r>
      <w:r w:rsidR="00CB7ACD" w:rsidRPr="0075660A">
        <w:rPr>
          <w:rFonts w:asciiTheme="minorHAnsi" w:eastAsia="Calibri" w:hAnsiTheme="minorHAnsi" w:cstheme="minorHAnsi"/>
          <w:sz w:val="24"/>
          <w:szCs w:val="24"/>
        </w:rPr>
        <w:t>peněžní</w:t>
      </w:r>
      <w:r w:rsidR="00AE2C96" w:rsidRPr="0075660A">
        <w:rPr>
          <w:rFonts w:asciiTheme="minorHAnsi" w:eastAsia="Calibri" w:hAnsiTheme="minorHAnsi" w:cstheme="minorHAnsi"/>
          <w:sz w:val="24"/>
          <w:szCs w:val="24"/>
        </w:rPr>
        <w:t>ch</w:t>
      </w:r>
      <w:r w:rsidR="00CB7ACD" w:rsidRPr="0075660A">
        <w:rPr>
          <w:rFonts w:asciiTheme="minorHAnsi" w:eastAsia="Calibri" w:hAnsiTheme="minorHAnsi" w:cstheme="minorHAnsi"/>
          <w:sz w:val="24"/>
          <w:szCs w:val="24"/>
        </w:rPr>
        <w:t xml:space="preserve"> prostředk</w:t>
      </w:r>
      <w:r w:rsidR="00AE2C96" w:rsidRPr="0075660A">
        <w:rPr>
          <w:rFonts w:asciiTheme="minorHAnsi" w:eastAsia="Calibri" w:hAnsiTheme="minorHAnsi" w:cstheme="minorHAnsi"/>
          <w:sz w:val="24"/>
          <w:szCs w:val="24"/>
        </w:rPr>
        <w:t>ů</w:t>
      </w:r>
      <w:r w:rsidR="00CB7ACD" w:rsidRPr="0075660A">
        <w:rPr>
          <w:rFonts w:asciiTheme="minorHAnsi" w:eastAsia="Calibri" w:hAnsiTheme="minorHAnsi" w:cstheme="minorHAnsi"/>
          <w:sz w:val="24"/>
          <w:szCs w:val="24"/>
        </w:rPr>
        <w:t xml:space="preserve"> poskytnut</w:t>
      </w:r>
      <w:r w:rsidR="00AE2C96" w:rsidRPr="0075660A">
        <w:rPr>
          <w:rFonts w:asciiTheme="minorHAnsi" w:eastAsia="Calibri" w:hAnsiTheme="minorHAnsi" w:cstheme="minorHAnsi"/>
          <w:sz w:val="24"/>
          <w:szCs w:val="24"/>
        </w:rPr>
        <w:t>ých</w:t>
      </w:r>
      <w:r w:rsidR="00CB7ACD" w:rsidRPr="0075660A">
        <w:rPr>
          <w:rFonts w:asciiTheme="minorHAnsi" w:eastAsia="Calibri" w:hAnsiTheme="minorHAnsi" w:cstheme="minorHAnsi"/>
          <w:sz w:val="24"/>
          <w:szCs w:val="24"/>
        </w:rPr>
        <w:t xml:space="preserve"> </w:t>
      </w:r>
      <w:r w:rsidRPr="0075660A">
        <w:rPr>
          <w:rFonts w:asciiTheme="minorHAnsi" w:hAnsiTheme="minorHAnsi" w:cstheme="minorHAnsi"/>
          <w:sz w:val="24"/>
          <w:szCs w:val="24"/>
          <w:lang w:eastAsia="en-US"/>
        </w:rPr>
        <w:t xml:space="preserve">zřizovatelem </w:t>
      </w:r>
      <w:r w:rsidR="008853B2">
        <w:rPr>
          <w:rFonts w:asciiTheme="minorHAnsi" w:hAnsiTheme="minorHAnsi" w:cstheme="minorHAnsi"/>
          <w:sz w:val="24"/>
          <w:szCs w:val="24"/>
          <w:lang w:eastAsia="en-US"/>
        </w:rPr>
        <w:t xml:space="preserve">ze SR </w:t>
      </w:r>
      <w:r w:rsidRPr="0075660A">
        <w:rPr>
          <w:rFonts w:asciiTheme="minorHAnsi" w:hAnsiTheme="minorHAnsi" w:cstheme="minorHAnsi"/>
          <w:sz w:val="24"/>
          <w:szCs w:val="24"/>
          <w:lang w:eastAsia="en-US"/>
        </w:rPr>
        <w:t xml:space="preserve">formou příspěvku </w:t>
      </w:r>
      <w:r w:rsidR="008853B2">
        <w:rPr>
          <w:rFonts w:asciiTheme="minorHAnsi" w:hAnsiTheme="minorHAnsi" w:cstheme="minorHAnsi"/>
          <w:sz w:val="24"/>
          <w:szCs w:val="24"/>
          <w:lang w:eastAsia="en-US"/>
        </w:rPr>
        <w:t xml:space="preserve">za </w:t>
      </w:r>
      <w:r w:rsidR="006B778E">
        <w:rPr>
          <w:rFonts w:asciiTheme="minorHAnsi" w:hAnsiTheme="minorHAnsi" w:cstheme="minorHAnsi"/>
          <w:sz w:val="24"/>
          <w:szCs w:val="24"/>
          <w:lang w:eastAsia="en-US"/>
        </w:rPr>
        <w:t>účelem:</w:t>
      </w:r>
    </w:p>
    <w:p w14:paraId="02310689" w14:textId="76A0E174" w:rsidR="006B778E" w:rsidRDefault="00AB0A65" w:rsidP="000D192D">
      <w:pPr>
        <w:pStyle w:val="Odstavecseseznamem"/>
        <w:widowControl/>
        <w:numPr>
          <w:ilvl w:val="0"/>
          <w:numId w:val="35"/>
        </w:numPr>
        <w:ind w:left="284" w:hanging="284"/>
        <w:jc w:val="both"/>
        <w:rPr>
          <w:rFonts w:asciiTheme="minorHAnsi" w:hAnsiTheme="minorHAnsi" w:cstheme="minorHAnsi"/>
          <w:sz w:val="24"/>
          <w:szCs w:val="24"/>
          <w:lang w:eastAsia="en-US"/>
        </w:rPr>
      </w:pPr>
      <w:r w:rsidRPr="006B778E">
        <w:rPr>
          <w:rFonts w:asciiTheme="minorHAnsi" w:hAnsiTheme="minorHAnsi" w:cstheme="minorHAnsi"/>
          <w:sz w:val="24"/>
          <w:szCs w:val="24"/>
          <w:lang w:eastAsia="en-US"/>
        </w:rPr>
        <w:t xml:space="preserve">úhrady závazků po splatnosti nebo závazků nad 60 dnů od data uskutečnění zdanitelného plnění a </w:t>
      </w:r>
      <w:proofErr w:type="spellStart"/>
      <w:r w:rsidRPr="006B778E">
        <w:rPr>
          <w:rFonts w:asciiTheme="minorHAnsi" w:hAnsiTheme="minorHAnsi" w:cstheme="minorHAnsi"/>
          <w:sz w:val="24"/>
          <w:szCs w:val="24"/>
          <w:lang w:eastAsia="en-US"/>
        </w:rPr>
        <w:t>přefinancovaných</w:t>
      </w:r>
      <w:proofErr w:type="spellEnd"/>
      <w:r w:rsidRPr="006B778E">
        <w:rPr>
          <w:rFonts w:asciiTheme="minorHAnsi" w:hAnsiTheme="minorHAnsi" w:cstheme="minorHAnsi"/>
          <w:sz w:val="24"/>
          <w:szCs w:val="24"/>
          <w:lang w:eastAsia="en-US"/>
        </w:rPr>
        <w:t xml:space="preserve"> závazků, </w:t>
      </w:r>
    </w:p>
    <w:p w14:paraId="4A5A761A" w14:textId="75715F44" w:rsidR="006B778E" w:rsidRDefault="00AB0A65" w:rsidP="000D192D">
      <w:pPr>
        <w:pStyle w:val="Odstavecseseznamem"/>
        <w:widowControl/>
        <w:numPr>
          <w:ilvl w:val="0"/>
          <w:numId w:val="35"/>
        </w:numPr>
        <w:ind w:left="284" w:hanging="284"/>
        <w:jc w:val="both"/>
        <w:rPr>
          <w:rFonts w:asciiTheme="minorHAnsi" w:hAnsiTheme="minorHAnsi" w:cstheme="minorHAnsi"/>
          <w:sz w:val="24"/>
          <w:szCs w:val="24"/>
          <w:lang w:eastAsia="en-US"/>
        </w:rPr>
      </w:pPr>
      <w:r w:rsidRPr="006B778E">
        <w:rPr>
          <w:rFonts w:asciiTheme="minorHAnsi" w:hAnsiTheme="minorHAnsi" w:cstheme="minorHAnsi"/>
          <w:sz w:val="24"/>
          <w:szCs w:val="24"/>
          <w:lang w:eastAsia="en-US"/>
        </w:rPr>
        <w:t>vyplacení odměn pracovníkům vystaveným riziku onemocnění covid-19</w:t>
      </w:r>
      <w:r w:rsidR="00412485">
        <w:rPr>
          <w:rFonts w:asciiTheme="minorHAnsi" w:hAnsiTheme="minorHAnsi" w:cstheme="minorHAnsi"/>
          <w:sz w:val="24"/>
          <w:szCs w:val="24"/>
          <w:lang w:eastAsia="en-US"/>
        </w:rPr>
        <w:t>,</w:t>
      </w:r>
    </w:p>
    <w:p w14:paraId="6DB92360" w14:textId="31DDA62A" w:rsidR="006B778E" w:rsidRDefault="00AB0A65" w:rsidP="00ED45A5">
      <w:pPr>
        <w:pStyle w:val="Odstavecseseznamem"/>
        <w:widowControl/>
        <w:numPr>
          <w:ilvl w:val="0"/>
          <w:numId w:val="35"/>
        </w:numPr>
        <w:spacing w:after="120"/>
        <w:ind w:left="284" w:hanging="284"/>
        <w:contextualSpacing w:val="0"/>
        <w:jc w:val="both"/>
        <w:rPr>
          <w:rFonts w:asciiTheme="minorHAnsi" w:hAnsiTheme="minorHAnsi" w:cstheme="minorHAnsi"/>
          <w:sz w:val="24"/>
          <w:szCs w:val="24"/>
          <w:lang w:eastAsia="en-US"/>
        </w:rPr>
      </w:pPr>
      <w:r w:rsidRPr="006B778E">
        <w:rPr>
          <w:rFonts w:asciiTheme="minorHAnsi" w:hAnsiTheme="minorHAnsi" w:cstheme="minorHAnsi"/>
          <w:sz w:val="24"/>
          <w:szCs w:val="24"/>
          <w:lang w:eastAsia="en-US"/>
        </w:rPr>
        <w:t xml:space="preserve">úhrady </w:t>
      </w:r>
      <w:r w:rsidR="006B778E">
        <w:rPr>
          <w:rFonts w:asciiTheme="minorHAnsi" w:hAnsiTheme="minorHAnsi" w:cstheme="minorHAnsi"/>
          <w:sz w:val="24"/>
          <w:szCs w:val="24"/>
          <w:lang w:eastAsia="en-US"/>
        </w:rPr>
        <w:t xml:space="preserve">provozních neinvestičních </w:t>
      </w:r>
      <w:r w:rsidRPr="006B778E">
        <w:rPr>
          <w:rFonts w:asciiTheme="minorHAnsi" w:hAnsiTheme="minorHAnsi" w:cstheme="minorHAnsi"/>
          <w:sz w:val="24"/>
          <w:szCs w:val="24"/>
          <w:lang w:eastAsia="en-US"/>
        </w:rPr>
        <w:t xml:space="preserve">nákladů </w:t>
      </w:r>
      <w:r w:rsidR="000B4339">
        <w:rPr>
          <w:rFonts w:asciiTheme="minorHAnsi" w:hAnsiTheme="minorHAnsi" w:cstheme="minorHAnsi"/>
          <w:sz w:val="24"/>
          <w:szCs w:val="24"/>
          <w:lang w:eastAsia="en-US"/>
        </w:rPr>
        <w:t>na</w:t>
      </w:r>
      <w:r w:rsidRPr="006B778E">
        <w:rPr>
          <w:rFonts w:asciiTheme="minorHAnsi" w:hAnsiTheme="minorHAnsi" w:cstheme="minorHAnsi"/>
          <w:sz w:val="24"/>
          <w:szCs w:val="24"/>
          <w:lang w:eastAsia="en-US"/>
        </w:rPr>
        <w:t xml:space="preserve"> zřízení a provoz záložního zdravotnického zařízení</w:t>
      </w:r>
      <w:r w:rsidR="006B778E" w:rsidRPr="006B778E">
        <w:rPr>
          <w:rFonts w:asciiTheme="minorHAnsi" w:hAnsiTheme="minorHAnsi" w:cstheme="minorHAnsi"/>
          <w:sz w:val="24"/>
          <w:szCs w:val="24"/>
          <w:lang w:eastAsia="en-US"/>
        </w:rPr>
        <w:t xml:space="preserve"> </w:t>
      </w:r>
      <w:r w:rsidR="006B778E">
        <w:rPr>
          <w:rFonts w:asciiTheme="minorHAnsi" w:hAnsiTheme="minorHAnsi" w:cstheme="minorHAnsi"/>
          <w:sz w:val="24"/>
          <w:szCs w:val="24"/>
          <w:lang w:eastAsia="en-US"/>
        </w:rPr>
        <w:t xml:space="preserve">u </w:t>
      </w:r>
      <w:r w:rsidR="006B778E" w:rsidRPr="006B778E">
        <w:rPr>
          <w:rFonts w:asciiTheme="minorHAnsi" w:hAnsiTheme="minorHAnsi" w:cstheme="minorHAnsi"/>
          <w:sz w:val="24"/>
          <w:szCs w:val="24"/>
          <w:lang w:eastAsia="en-US"/>
        </w:rPr>
        <w:t>FNB</w:t>
      </w:r>
      <w:r w:rsidRPr="006B778E">
        <w:rPr>
          <w:rFonts w:asciiTheme="minorHAnsi" w:hAnsiTheme="minorHAnsi" w:cstheme="minorHAnsi"/>
          <w:sz w:val="24"/>
          <w:szCs w:val="24"/>
          <w:lang w:eastAsia="en-US"/>
        </w:rPr>
        <w:t xml:space="preserve">. </w:t>
      </w:r>
    </w:p>
    <w:p w14:paraId="033F7D16" w14:textId="1960ABBE" w:rsidR="00AB0A65" w:rsidRPr="00ED45A5" w:rsidRDefault="007060A5" w:rsidP="00ED45A5">
      <w:pPr>
        <w:widowControl/>
        <w:spacing w:before="120" w:after="120"/>
        <w:jc w:val="both"/>
        <w:rPr>
          <w:rFonts w:ascii="Calibri" w:hAnsi="Calibri" w:cs="Calibri"/>
          <w:color w:val="000000" w:themeColor="text1"/>
          <w:sz w:val="24"/>
          <w:szCs w:val="24"/>
          <w:lang w:eastAsia="en-US"/>
        </w:rPr>
      </w:pPr>
      <w:r w:rsidRPr="00ED45A5">
        <w:rPr>
          <w:rFonts w:ascii="Calibri" w:eastAsia="Calibri" w:hAnsi="Calibri" w:cs="Calibri"/>
          <w:color w:val="000000" w:themeColor="text1"/>
          <w:sz w:val="24"/>
          <w:szCs w:val="24"/>
        </w:rPr>
        <w:t>NKÚ provedl kontrolu</w:t>
      </w:r>
      <w:r w:rsidR="00CB7ACD" w:rsidRPr="00ED45A5">
        <w:rPr>
          <w:rFonts w:ascii="Calibri" w:eastAsia="Calibri" w:hAnsi="Calibri" w:cs="Calibri"/>
          <w:color w:val="000000" w:themeColor="text1"/>
          <w:sz w:val="24"/>
          <w:szCs w:val="24"/>
        </w:rPr>
        <w:t xml:space="preserve"> nákup</w:t>
      </w:r>
      <w:r w:rsidR="00D9438C" w:rsidRPr="00ED45A5">
        <w:rPr>
          <w:rFonts w:ascii="Calibri" w:eastAsia="Calibri" w:hAnsi="Calibri" w:cs="Calibri"/>
          <w:color w:val="000000" w:themeColor="text1"/>
          <w:sz w:val="24"/>
          <w:szCs w:val="24"/>
        </w:rPr>
        <w:t>ů</w:t>
      </w:r>
      <w:r w:rsidR="00CB7ACD" w:rsidRPr="00ED45A5">
        <w:rPr>
          <w:rFonts w:ascii="Calibri" w:eastAsia="Calibri" w:hAnsi="Calibri" w:cs="Calibri"/>
          <w:color w:val="000000" w:themeColor="text1"/>
          <w:sz w:val="24"/>
          <w:szCs w:val="24"/>
        </w:rPr>
        <w:t xml:space="preserve"> léčivých přípravků a</w:t>
      </w:r>
      <w:r w:rsidR="00487D3C" w:rsidRPr="00ED45A5">
        <w:rPr>
          <w:rFonts w:ascii="Calibri" w:eastAsia="Calibri" w:hAnsi="Calibri" w:cs="Calibri"/>
          <w:color w:val="000000" w:themeColor="text1"/>
          <w:sz w:val="24"/>
          <w:szCs w:val="24"/>
        </w:rPr>
        <w:t> </w:t>
      </w:r>
      <w:r w:rsidR="00CB7ACD" w:rsidRPr="00ED45A5">
        <w:rPr>
          <w:rFonts w:ascii="Calibri" w:eastAsia="Calibri" w:hAnsi="Calibri" w:cs="Calibri"/>
          <w:color w:val="000000" w:themeColor="text1"/>
          <w:sz w:val="24"/>
          <w:szCs w:val="24"/>
        </w:rPr>
        <w:t xml:space="preserve">zdravotnických prostředků, </w:t>
      </w:r>
      <w:r w:rsidR="00487D3C" w:rsidRPr="00ED45A5">
        <w:rPr>
          <w:rFonts w:ascii="Calibri" w:eastAsia="Calibri" w:hAnsi="Calibri" w:cs="Calibri"/>
          <w:color w:val="000000" w:themeColor="text1"/>
          <w:sz w:val="24"/>
          <w:szCs w:val="24"/>
        </w:rPr>
        <w:t>neboť</w:t>
      </w:r>
      <w:r w:rsidR="00CB7ACD" w:rsidRPr="00ED45A5">
        <w:rPr>
          <w:rFonts w:ascii="Calibri" w:eastAsia="Calibri" w:hAnsi="Calibri" w:cs="Calibri"/>
          <w:color w:val="000000" w:themeColor="text1"/>
          <w:sz w:val="24"/>
          <w:szCs w:val="24"/>
        </w:rPr>
        <w:t xml:space="preserve"> se jedná o</w:t>
      </w:r>
      <w:r w:rsidR="0068728E" w:rsidRPr="00ED45A5">
        <w:rPr>
          <w:rFonts w:ascii="Calibri" w:eastAsia="Calibri" w:hAnsi="Calibri" w:cs="Calibri"/>
          <w:color w:val="000000" w:themeColor="text1"/>
          <w:sz w:val="24"/>
          <w:szCs w:val="24"/>
        </w:rPr>
        <w:t> </w:t>
      </w:r>
      <w:r w:rsidR="00CB7ACD" w:rsidRPr="00ED45A5">
        <w:rPr>
          <w:rFonts w:ascii="Calibri" w:eastAsia="Calibri" w:hAnsi="Calibri" w:cs="Calibri"/>
          <w:color w:val="000000" w:themeColor="text1"/>
          <w:sz w:val="24"/>
          <w:szCs w:val="24"/>
        </w:rPr>
        <w:t xml:space="preserve">druhou finančně nejvýznamnější položku nákladů FN. </w:t>
      </w:r>
      <w:r w:rsidR="00AB0A65" w:rsidRPr="00ED45A5">
        <w:rPr>
          <w:rFonts w:ascii="Calibri" w:eastAsia="Calibri" w:hAnsi="Calibri" w:cs="Calibri"/>
          <w:color w:val="000000" w:themeColor="text1"/>
          <w:sz w:val="24"/>
          <w:szCs w:val="24"/>
        </w:rPr>
        <w:t>V návaznosti na zjištění z</w:t>
      </w:r>
      <w:r w:rsidR="003415A1" w:rsidRPr="00ED45A5">
        <w:rPr>
          <w:rFonts w:ascii="Calibri" w:eastAsia="Calibri" w:hAnsi="Calibri" w:cs="Calibri"/>
          <w:color w:val="000000" w:themeColor="text1"/>
          <w:sz w:val="24"/>
          <w:szCs w:val="24"/>
        </w:rPr>
        <w:t> KA č.</w:t>
      </w:r>
      <w:r w:rsidR="00AB0A65" w:rsidRPr="00ED45A5">
        <w:rPr>
          <w:rFonts w:ascii="Calibri" w:eastAsia="Calibri" w:hAnsi="Calibri" w:cs="Calibri"/>
          <w:color w:val="000000" w:themeColor="text1"/>
          <w:sz w:val="24"/>
          <w:szCs w:val="24"/>
        </w:rPr>
        <w:t xml:space="preserve"> 17/19 </w:t>
      </w:r>
      <w:r w:rsidR="00D9438C" w:rsidRPr="00ED45A5">
        <w:rPr>
          <w:rFonts w:ascii="Calibri" w:eastAsia="Calibri" w:hAnsi="Calibri" w:cs="Calibri"/>
          <w:color w:val="000000" w:themeColor="text1"/>
          <w:sz w:val="24"/>
          <w:szCs w:val="24"/>
        </w:rPr>
        <w:t xml:space="preserve">NKÚ zkontroloval </w:t>
      </w:r>
      <w:r w:rsidR="00CB7ACD" w:rsidRPr="00ED45A5">
        <w:rPr>
          <w:rFonts w:ascii="Calibri" w:eastAsia="Calibri" w:hAnsi="Calibri" w:cs="Calibri"/>
          <w:color w:val="000000" w:themeColor="text1"/>
          <w:sz w:val="24"/>
          <w:szCs w:val="24"/>
        </w:rPr>
        <w:t xml:space="preserve">přijatá opatření k odstranění zjištěných nedostatků a </w:t>
      </w:r>
      <w:r w:rsidR="00AB0A65" w:rsidRPr="00ED45A5">
        <w:rPr>
          <w:rFonts w:ascii="Calibri" w:eastAsia="Calibri" w:hAnsi="Calibri" w:cs="Calibri"/>
          <w:color w:val="000000" w:themeColor="text1"/>
          <w:sz w:val="24"/>
          <w:szCs w:val="24"/>
        </w:rPr>
        <w:t>z důvodu existence rizika nehospodárného výdeje peněžních prostředků</w:t>
      </w:r>
      <w:r w:rsidR="00F11E29" w:rsidRPr="00ED45A5">
        <w:rPr>
          <w:rFonts w:ascii="Calibri" w:eastAsia="Calibri" w:hAnsi="Calibri" w:cs="Calibri"/>
          <w:color w:val="000000" w:themeColor="text1"/>
          <w:sz w:val="24"/>
          <w:szCs w:val="24"/>
        </w:rPr>
        <w:t xml:space="preserve"> (např. překročení stanovené maximální ceny </w:t>
      </w:r>
      <w:r w:rsidR="009007FA" w:rsidRPr="00ED45A5">
        <w:rPr>
          <w:rFonts w:ascii="Calibri" w:eastAsia="Calibri" w:hAnsi="Calibri" w:cs="Calibri"/>
          <w:color w:val="000000" w:themeColor="text1"/>
          <w:sz w:val="24"/>
          <w:szCs w:val="24"/>
        </w:rPr>
        <w:t>zdravotní pojišťovnou</w:t>
      </w:r>
      <w:r w:rsidR="00F11E29" w:rsidRPr="00ED45A5">
        <w:rPr>
          <w:rFonts w:ascii="Calibri" w:eastAsia="Calibri" w:hAnsi="Calibri" w:cs="Calibri"/>
          <w:color w:val="000000" w:themeColor="text1"/>
          <w:sz w:val="24"/>
          <w:szCs w:val="24"/>
        </w:rPr>
        <w:t>)</w:t>
      </w:r>
      <w:r w:rsidR="00AB0A65" w:rsidRPr="00ED45A5">
        <w:rPr>
          <w:rFonts w:ascii="Calibri" w:eastAsia="Calibri" w:hAnsi="Calibri" w:cs="Calibri"/>
          <w:color w:val="000000" w:themeColor="text1"/>
          <w:sz w:val="24"/>
          <w:szCs w:val="24"/>
        </w:rPr>
        <w:t xml:space="preserve"> </w:t>
      </w:r>
      <w:r w:rsidR="00CB7ACD" w:rsidRPr="00ED45A5">
        <w:rPr>
          <w:rFonts w:ascii="Calibri" w:eastAsia="Calibri" w:hAnsi="Calibri" w:cs="Calibri"/>
          <w:color w:val="000000" w:themeColor="text1"/>
          <w:sz w:val="24"/>
          <w:szCs w:val="24"/>
        </w:rPr>
        <w:t xml:space="preserve">nebo porušení </w:t>
      </w:r>
      <w:r w:rsidR="00AB0A65" w:rsidRPr="00ED45A5">
        <w:rPr>
          <w:rFonts w:ascii="Calibri" w:eastAsia="Calibri" w:hAnsi="Calibri" w:cs="Calibri"/>
          <w:color w:val="000000" w:themeColor="text1"/>
          <w:sz w:val="24"/>
          <w:szCs w:val="24"/>
        </w:rPr>
        <w:t>právní</w:t>
      </w:r>
      <w:r w:rsidR="00CB7ACD" w:rsidRPr="00ED45A5">
        <w:rPr>
          <w:rFonts w:ascii="Calibri" w:eastAsia="Calibri" w:hAnsi="Calibri" w:cs="Calibri"/>
          <w:color w:val="000000" w:themeColor="text1"/>
          <w:sz w:val="24"/>
          <w:szCs w:val="24"/>
        </w:rPr>
        <w:t>ch</w:t>
      </w:r>
      <w:r w:rsidR="00AB0A65" w:rsidRPr="00ED45A5">
        <w:rPr>
          <w:rFonts w:ascii="Calibri" w:eastAsia="Calibri" w:hAnsi="Calibri" w:cs="Calibri"/>
          <w:color w:val="000000" w:themeColor="text1"/>
          <w:sz w:val="24"/>
          <w:szCs w:val="24"/>
        </w:rPr>
        <w:t xml:space="preserve"> předpis</w:t>
      </w:r>
      <w:r w:rsidR="00CB7ACD" w:rsidRPr="00ED45A5">
        <w:rPr>
          <w:rFonts w:ascii="Calibri" w:eastAsia="Calibri" w:hAnsi="Calibri" w:cs="Calibri"/>
          <w:color w:val="000000" w:themeColor="text1"/>
          <w:sz w:val="24"/>
          <w:szCs w:val="24"/>
        </w:rPr>
        <w:t>ů či</w:t>
      </w:r>
      <w:r w:rsidR="00AB0A65" w:rsidRPr="00ED45A5">
        <w:rPr>
          <w:rFonts w:ascii="Calibri" w:eastAsia="Calibri" w:hAnsi="Calibri" w:cs="Calibri"/>
          <w:color w:val="000000" w:themeColor="text1"/>
          <w:sz w:val="24"/>
          <w:szCs w:val="24"/>
        </w:rPr>
        <w:t xml:space="preserve"> stanoven</w:t>
      </w:r>
      <w:r w:rsidR="00CB7ACD" w:rsidRPr="00ED45A5">
        <w:rPr>
          <w:rFonts w:ascii="Calibri" w:eastAsia="Calibri" w:hAnsi="Calibri" w:cs="Calibri"/>
          <w:color w:val="000000" w:themeColor="text1"/>
          <w:sz w:val="24"/>
          <w:szCs w:val="24"/>
        </w:rPr>
        <w:t>ých</w:t>
      </w:r>
      <w:r w:rsidR="00AB0A65" w:rsidRPr="00ED45A5">
        <w:rPr>
          <w:rFonts w:ascii="Calibri" w:eastAsia="Calibri" w:hAnsi="Calibri" w:cs="Calibri"/>
          <w:color w:val="000000" w:themeColor="text1"/>
          <w:sz w:val="24"/>
          <w:szCs w:val="24"/>
        </w:rPr>
        <w:t xml:space="preserve"> podmín</w:t>
      </w:r>
      <w:r w:rsidR="00CB7ACD" w:rsidRPr="00ED45A5">
        <w:rPr>
          <w:rFonts w:ascii="Calibri" w:eastAsia="Calibri" w:hAnsi="Calibri" w:cs="Calibri"/>
          <w:color w:val="000000" w:themeColor="text1"/>
          <w:sz w:val="24"/>
          <w:szCs w:val="24"/>
        </w:rPr>
        <w:t>e</w:t>
      </w:r>
      <w:r w:rsidR="00AB0A65" w:rsidRPr="00ED45A5">
        <w:rPr>
          <w:rFonts w:ascii="Calibri" w:eastAsia="Calibri" w:hAnsi="Calibri" w:cs="Calibri"/>
          <w:color w:val="000000" w:themeColor="text1"/>
          <w:sz w:val="24"/>
          <w:szCs w:val="24"/>
        </w:rPr>
        <w:t xml:space="preserve">k. </w:t>
      </w:r>
    </w:p>
    <w:p w14:paraId="793913E0" w14:textId="7EE4ACCF" w:rsidR="00E307B9" w:rsidRPr="00ED45A5" w:rsidRDefault="00E307B9" w:rsidP="00ED45A5">
      <w:pPr>
        <w:spacing w:before="120" w:after="120"/>
        <w:jc w:val="both"/>
        <w:rPr>
          <w:rFonts w:ascii="Calibri" w:hAnsi="Calibri" w:cs="Calibri"/>
          <w:color w:val="000000" w:themeColor="text1"/>
          <w:sz w:val="24"/>
          <w:szCs w:val="24"/>
        </w:rPr>
      </w:pPr>
      <w:r w:rsidRPr="00ED45A5">
        <w:rPr>
          <w:rFonts w:ascii="Calibri" w:hAnsi="Calibri" w:cs="Calibri"/>
          <w:color w:val="000000" w:themeColor="text1"/>
          <w:sz w:val="24"/>
          <w:szCs w:val="24"/>
        </w:rPr>
        <w:t>NKÚ prověřil dodržování právních předpisů, zejména rozpočtových pravid</w:t>
      </w:r>
      <w:r w:rsidR="00156310">
        <w:rPr>
          <w:rFonts w:ascii="Calibri" w:hAnsi="Calibri" w:cs="Calibri"/>
          <w:color w:val="000000" w:themeColor="text1"/>
          <w:sz w:val="24"/>
          <w:szCs w:val="24"/>
        </w:rPr>
        <w:t>e</w:t>
      </w:r>
      <w:r w:rsidRPr="00ED45A5">
        <w:rPr>
          <w:rFonts w:ascii="Calibri" w:hAnsi="Calibri" w:cs="Calibri"/>
          <w:color w:val="000000" w:themeColor="text1"/>
          <w:sz w:val="24"/>
          <w:szCs w:val="24"/>
        </w:rPr>
        <w:t>l, zákona o majetku</w:t>
      </w:r>
      <w:r w:rsidR="009A53B6" w:rsidRPr="00ED45A5">
        <w:rPr>
          <w:rFonts w:ascii="Calibri" w:hAnsi="Calibri" w:cs="Calibri"/>
          <w:color w:val="000000" w:themeColor="text1"/>
          <w:sz w:val="24"/>
          <w:szCs w:val="24"/>
        </w:rPr>
        <w:t xml:space="preserve"> státu</w:t>
      </w:r>
      <w:r w:rsidRPr="00ED45A5">
        <w:rPr>
          <w:rFonts w:ascii="Calibri" w:hAnsi="Calibri" w:cs="Calibri"/>
          <w:color w:val="000000" w:themeColor="text1"/>
          <w:sz w:val="24"/>
          <w:szCs w:val="24"/>
        </w:rPr>
        <w:t>, zákona o zadávání veřejných zakázek, zákona o finanční kontrole, kompetenčního zákona</w:t>
      </w:r>
      <w:r w:rsidRPr="00ED45A5">
        <w:rPr>
          <w:rFonts w:ascii="Calibri" w:hAnsi="Calibri" w:cs="Calibri"/>
          <w:color w:val="000000" w:themeColor="text1"/>
          <w:sz w:val="24"/>
          <w:szCs w:val="24"/>
          <w:vertAlign w:val="superscript"/>
        </w:rPr>
        <w:footnoteReference w:id="35"/>
      </w:r>
      <w:r w:rsidRPr="00ED45A5">
        <w:rPr>
          <w:rFonts w:ascii="Calibri" w:hAnsi="Calibri" w:cs="Calibri"/>
          <w:color w:val="000000" w:themeColor="text1"/>
          <w:sz w:val="24"/>
          <w:szCs w:val="24"/>
        </w:rPr>
        <w:t xml:space="preserve"> </w:t>
      </w:r>
      <w:r w:rsidR="005F0F3E" w:rsidRPr="00ED45A5">
        <w:rPr>
          <w:rFonts w:ascii="Calibri" w:hAnsi="Calibri" w:cs="Calibri"/>
          <w:color w:val="000000" w:themeColor="text1"/>
          <w:sz w:val="24"/>
          <w:szCs w:val="24"/>
        </w:rPr>
        <w:t>, zákon</w:t>
      </w:r>
      <w:r w:rsidR="00E56D3F" w:rsidRPr="00ED45A5">
        <w:rPr>
          <w:rFonts w:ascii="Calibri" w:hAnsi="Calibri" w:cs="Calibri"/>
          <w:color w:val="000000" w:themeColor="text1"/>
          <w:sz w:val="24"/>
          <w:szCs w:val="24"/>
        </w:rPr>
        <w:t>a</w:t>
      </w:r>
      <w:r w:rsidR="005F0F3E" w:rsidRPr="00ED45A5">
        <w:rPr>
          <w:rFonts w:ascii="Calibri" w:hAnsi="Calibri" w:cs="Calibri"/>
          <w:color w:val="000000" w:themeColor="text1"/>
          <w:sz w:val="24"/>
          <w:szCs w:val="24"/>
        </w:rPr>
        <w:t xml:space="preserve"> o registru smluv</w:t>
      </w:r>
      <w:r w:rsidR="00D22EDD" w:rsidRPr="00ED45A5">
        <w:rPr>
          <w:rFonts w:ascii="Calibri" w:hAnsi="Calibri" w:cs="Calibri"/>
          <w:color w:val="000000" w:themeColor="text1"/>
          <w:sz w:val="24"/>
          <w:szCs w:val="24"/>
        </w:rPr>
        <w:t xml:space="preserve"> a</w:t>
      </w:r>
      <w:r w:rsidR="005F0F3E" w:rsidRPr="00ED45A5">
        <w:rPr>
          <w:rFonts w:ascii="Calibri" w:hAnsi="Calibri" w:cs="Calibri"/>
          <w:color w:val="000000" w:themeColor="text1"/>
          <w:sz w:val="24"/>
          <w:szCs w:val="24"/>
        </w:rPr>
        <w:t xml:space="preserve"> zákon</w:t>
      </w:r>
      <w:r w:rsidR="00E56D3F" w:rsidRPr="00ED45A5">
        <w:rPr>
          <w:rFonts w:ascii="Calibri" w:hAnsi="Calibri" w:cs="Calibri"/>
          <w:color w:val="000000" w:themeColor="text1"/>
          <w:sz w:val="24"/>
          <w:szCs w:val="24"/>
        </w:rPr>
        <w:t>a</w:t>
      </w:r>
      <w:r w:rsidR="005F0F3E" w:rsidRPr="00ED45A5">
        <w:rPr>
          <w:rFonts w:ascii="Calibri" w:hAnsi="Calibri" w:cs="Calibri"/>
          <w:color w:val="000000" w:themeColor="text1"/>
          <w:sz w:val="24"/>
          <w:szCs w:val="24"/>
        </w:rPr>
        <w:t xml:space="preserve"> o účetnictví</w:t>
      </w:r>
      <w:r w:rsidRPr="00ED45A5">
        <w:rPr>
          <w:rFonts w:ascii="Calibri" w:hAnsi="Calibri" w:cs="Calibri"/>
          <w:color w:val="000000" w:themeColor="text1"/>
          <w:sz w:val="24"/>
          <w:szCs w:val="24"/>
        </w:rPr>
        <w:t>.</w:t>
      </w:r>
    </w:p>
    <w:p w14:paraId="74F9D19E" w14:textId="744A64A6" w:rsidR="001B13D5" w:rsidRPr="00ED45A5" w:rsidRDefault="001B13D5" w:rsidP="00156310">
      <w:pPr>
        <w:widowControl/>
        <w:spacing w:before="120" w:after="120"/>
        <w:jc w:val="both"/>
        <w:rPr>
          <w:rFonts w:ascii="Calibri" w:hAnsi="Calibri" w:cs="Calibri"/>
          <w:color w:val="000000" w:themeColor="text1"/>
          <w:sz w:val="24"/>
          <w:szCs w:val="24"/>
        </w:rPr>
      </w:pPr>
      <w:r w:rsidRPr="00ED45A5">
        <w:rPr>
          <w:rFonts w:ascii="Calibri" w:hAnsi="Calibri" w:cs="Calibri"/>
          <w:color w:val="000000" w:themeColor="text1"/>
          <w:sz w:val="24"/>
          <w:szCs w:val="24"/>
        </w:rPr>
        <w:t xml:space="preserve">Hospodárnost </w:t>
      </w:r>
      <w:r w:rsidR="00992365" w:rsidRPr="00ED45A5">
        <w:rPr>
          <w:rFonts w:ascii="Calibri" w:hAnsi="Calibri" w:cs="Calibri"/>
          <w:color w:val="000000" w:themeColor="text1"/>
          <w:sz w:val="24"/>
          <w:szCs w:val="24"/>
        </w:rPr>
        <w:t>NKÚ posuzoval</w:t>
      </w:r>
      <w:r w:rsidRPr="00ED45A5">
        <w:rPr>
          <w:rFonts w:ascii="Calibri" w:hAnsi="Calibri" w:cs="Calibri"/>
          <w:color w:val="000000" w:themeColor="text1"/>
          <w:sz w:val="24"/>
          <w:szCs w:val="24"/>
        </w:rPr>
        <w:t xml:space="preserve"> u FN z hlediska použití peněžních prostředků k zajištění stanovených úkolů s co nejnižším vynaložením těchto prostředků při dodržení odpovídající kvality plněných úkolů </w:t>
      </w:r>
      <w:r w:rsidR="00E06275" w:rsidRPr="00ED45A5">
        <w:rPr>
          <w:rFonts w:ascii="Calibri" w:hAnsi="Calibri" w:cs="Calibri"/>
          <w:color w:val="000000" w:themeColor="text1"/>
          <w:sz w:val="24"/>
          <w:szCs w:val="24"/>
        </w:rPr>
        <w:t xml:space="preserve">a stanovených podmínek </w:t>
      </w:r>
      <w:r w:rsidRPr="00ED45A5">
        <w:rPr>
          <w:rFonts w:ascii="Calibri" w:hAnsi="Calibri" w:cs="Calibri"/>
          <w:color w:val="000000" w:themeColor="text1"/>
          <w:sz w:val="24"/>
          <w:szCs w:val="24"/>
        </w:rPr>
        <w:t xml:space="preserve">v oblastech </w:t>
      </w:r>
      <w:r w:rsidR="005F0F3E" w:rsidRPr="00ED45A5">
        <w:rPr>
          <w:rFonts w:ascii="Calibri" w:hAnsi="Calibri" w:cs="Calibri"/>
          <w:color w:val="000000" w:themeColor="text1"/>
          <w:sz w:val="24"/>
          <w:szCs w:val="24"/>
        </w:rPr>
        <w:t>příspěvku za účelem oddlužení FN</w:t>
      </w:r>
      <w:r w:rsidRPr="00ED45A5">
        <w:rPr>
          <w:rFonts w:ascii="Calibri" w:hAnsi="Calibri" w:cs="Calibri"/>
          <w:color w:val="000000" w:themeColor="text1"/>
          <w:sz w:val="24"/>
          <w:szCs w:val="24"/>
        </w:rPr>
        <w:t>, nákupů souvisejících s</w:t>
      </w:r>
      <w:r w:rsidR="004A189B" w:rsidRPr="00ED45A5">
        <w:rPr>
          <w:rFonts w:ascii="Calibri" w:hAnsi="Calibri" w:cs="Calibri"/>
          <w:color w:val="000000" w:themeColor="text1"/>
          <w:sz w:val="24"/>
          <w:szCs w:val="24"/>
        </w:rPr>
        <w:t xml:space="preserve"> </w:t>
      </w:r>
      <w:r w:rsidRPr="00ED45A5">
        <w:rPr>
          <w:rFonts w:ascii="Calibri" w:hAnsi="Calibri" w:cs="Calibri"/>
          <w:color w:val="000000" w:themeColor="text1"/>
          <w:sz w:val="24"/>
          <w:szCs w:val="24"/>
        </w:rPr>
        <w:t>provozem PNL</w:t>
      </w:r>
      <w:r w:rsidR="00201F01" w:rsidRPr="00ED45A5">
        <w:rPr>
          <w:rFonts w:ascii="Calibri" w:hAnsi="Calibri" w:cs="Calibri"/>
          <w:color w:val="000000" w:themeColor="text1"/>
          <w:sz w:val="24"/>
          <w:szCs w:val="24"/>
        </w:rPr>
        <w:t xml:space="preserve"> </w:t>
      </w:r>
      <w:r w:rsidRPr="00ED45A5">
        <w:rPr>
          <w:rFonts w:ascii="Calibri" w:hAnsi="Calibri" w:cs="Calibri"/>
          <w:color w:val="000000" w:themeColor="text1"/>
          <w:sz w:val="24"/>
          <w:szCs w:val="24"/>
        </w:rPr>
        <w:t>a dále u</w:t>
      </w:r>
      <w:r w:rsidR="00B318E5" w:rsidRPr="00ED45A5">
        <w:rPr>
          <w:rFonts w:ascii="Calibri" w:hAnsi="Calibri" w:cs="Calibri"/>
          <w:color w:val="000000" w:themeColor="text1"/>
          <w:sz w:val="24"/>
          <w:szCs w:val="24"/>
        </w:rPr>
        <w:t> </w:t>
      </w:r>
      <w:r w:rsidRPr="00ED45A5">
        <w:rPr>
          <w:rFonts w:ascii="Calibri" w:hAnsi="Calibri" w:cs="Calibri"/>
          <w:color w:val="000000" w:themeColor="text1"/>
          <w:sz w:val="24"/>
          <w:szCs w:val="24"/>
        </w:rPr>
        <w:t>nákupů léčivých přípravků a zdravotnických prostředků.</w:t>
      </w:r>
    </w:p>
    <w:p w14:paraId="1FC4D5A0" w14:textId="2C012234" w:rsidR="001B13D5" w:rsidRPr="00ED45A5" w:rsidRDefault="001B13D5" w:rsidP="00156310">
      <w:pPr>
        <w:widowControl/>
        <w:spacing w:before="120" w:after="120"/>
        <w:jc w:val="both"/>
        <w:rPr>
          <w:rFonts w:ascii="Calibri" w:hAnsi="Calibri" w:cs="Calibri"/>
          <w:color w:val="000000" w:themeColor="text1"/>
          <w:sz w:val="24"/>
          <w:szCs w:val="24"/>
        </w:rPr>
      </w:pPr>
      <w:r w:rsidRPr="00ED45A5">
        <w:rPr>
          <w:rFonts w:ascii="Calibri" w:hAnsi="Calibri" w:cs="Calibri"/>
          <w:color w:val="000000" w:themeColor="text1"/>
          <w:sz w:val="24"/>
          <w:szCs w:val="24"/>
        </w:rPr>
        <w:t xml:space="preserve">Účelnost </w:t>
      </w:r>
      <w:r w:rsidR="00992365" w:rsidRPr="00ED45A5">
        <w:rPr>
          <w:rFonts w:ascii="Calibri" w:hAnsi="Calibri" w:cs="Calibri"/>
          <w:color w:val="000000" w:themeColor="text1"/>
          <w:sz w:val="24"/>
          <w:szCs w:val="24"/>
        </w:rPr>
        <w:t>NKÚ posuzoval</w:t>
      </w:r>
      <w:r w:rsidRPr="00ED45A5">
        <w:rPr>
          <w:rFonts w:ascii="Calibri" w:hAnsi="Calibri" w:cs="Calibri"/>
          <w:color w:val="000000" w:themeColor="text1"/>
          <w:sz w:val="24"/>
          <w:szCs w:val="24"/>
        </w:rPr>
        <w:t xml:space="preserve"> u FN z hlediska použití peněžních prostředků, které zajistí optimální míru dosažení cílů při plnění stanovených úkolů v oblastech </w:t>
      </w:r>
      <w:r w:rsidR="00322822" w:rsidRPr="00ED45A5">
        <w:rPr>
          <w:rFonts w:ascii="Calibri" w:hAnsi="Calibri" w:cs="Calibri"/>
          <w:color w:val="000000" w:themeColor="text1"/>
          <w:sz w:val="24"/>
          <w:szCs w:val="24"/>
        </w:rPr>
        <w:t>jednorázového příspěvku</w:t>
      </w:r>
      <w:r w:rsidRPr="00ED45A5">
        <w:rPr>
          <w:rFonts w:ascii="Calibri" w:hAnsi="Calibri" w:cs="Calibri"/>
          <w:color w:val="000000" w:themeColor="text1"/>
          <w:sz w:val="24"/>
          <w:szCs w:val="24"/>
        </w:rPr>
        <w:t xml:space="preserve"> </w:t>
      </w:r>
      <w:r w:rsidR="00F82E3C" w:rsidRPr="00ED45A5">
        <w:rPr>
          <w:rFonts w:ascii="Calibri" w:hAnsi="Calibri" w:cs="Calibri"/>
          <w:color w:val="000000" w:themeColor="text1"/>
          <w:sz w:val="24"/>
          <w:szCs w:val="24"/>
        </w:rPr>
        <w:t xml:space="preserve">za účelem </w:t>
      </w:r>
      <w:r w:rsidRPr="00ED45A5">
        <w:rPr>
          <w:rFonts w:ascii="Calibri" w:hAnsi="Calibri" w:cs="Calibri"/>
          <w:color w:val="000000" w:themeColor="text1"/>
          <w:sz w:val="24"/>
          <w:szCs w:val="24"/>
        </w:rPr>
        <w:t xml:space="preserve">oddlužení FN, </w:t>
      </w:r>
      <w:r w:rsidR="00322822" w:rsidRPr="00ED45A5">
        <w:rPr>
          <w:rFonts w:ascii="Calibri" w:hAnsi="Calibri" w:cs="Calibri"/>
          <w:color w:val="000000" w:themeColor="text1"/>
          <w:sz w:val="24"/>
          <w:szCs w:val="24"/>
        </w:rPr>
        <w:t xml:space="preserve">mimořádného </w:t>
      </w:r>
      <w:r w:rsidRPr="00ED45A5">
        <w:rPr>
          <w:rFonts w:ascii="Calibri" w:hAnsi="Calibri" w:cs="Calibri"/>
          <w:color w:val="000000" w:themeColor="text1"/>
          <w:sz w:val="24"/>
          <w:szCs w:val="24"/>
        </w:rPr>
        <w:t xml:space="preserve">příspěvku na odměny covid-19 a </w:t>
      </w:r>
      <w:r w:rsidR="00322822" w:rsidRPr="00ED45A5">
        <w:rPr>
          <w:rFonts w:ascii="Calibri" w:hAnsi="Calibri" w:cs="Calibri"/>
          <w:color w:val="000000" w:themeColor="text1"/>
          <w:sz w:val="24"/>
          <w:szCs w:val="24"/>
        </w:rPr>
        <w:t>provozního neinvestičního příspěvku</w:t>
      </w:r>
      <w:r w:rsidRPr="00ED45A5">
        <w:rPr>
          <w:rFonts w:ascii="Calibri" w:hAnsi="Calibri" w:cs="Calibri"/>
          <w:color w:val="000000" w:themeColor="text1"/>
          <w:sz w:val="24"/>
          <w:szCs w:val="24"/>
        </w:rPr>
        <w:t xml:space="preserve"> </w:t>
      </w:r>
      <w:r w:rsidR="00322822" w:rsidRPr="00ED45A5">
        <w:rPr>
          <w:rFonts w:ascii="Calibri" w:hAnsi="Calibri" w:cs="Calibri"/>
          <w:color w:val="000000" w:themeColor="text1"/>
          <w:sz w:val="24"/>
          <w:szCs w:val="24"/>
        </w:rPr>
        <w:t>určeného na</w:t>
      </w:r>
      <w:r w:rsidRPr="00ED45A5">
        <w:rPr>
          <w:rFonts w:ascii="Calibri" w:hAnsi="Calibri" w:cs="Calibri"/>
          <w:color w:val="000000" w:themeColor="text1"/>
          <w:sz w:val="24"/>
          <w:szCs w:val="24"/>
        </w:rPr>
        <w:t xml:space="preserve"> provoz </w:t>
      </w:r>
      <w:r w:rsidR="004A189B" w:rsidRPr="00ED45A5">
        <w:rPr>
          <w:rFonts w:ascii="Calibri" w:hAnsi="Calibri" w:cs="Calibri"/>
          <w:color w:val="000000" w:themeColor="text1"/>
          <w:sz w:val="24"/>
          <w:szCs w:val="24"/>
        </w:rPr>
        <w:t>PNL.</w:t>
      </w:r>
    </w:p>
    <w:p w14:paraId="14B09D45" w14:textId="77777777" w:rsidR="009C32EE" w:rsidRDefault="009C32EE" w:rsidP="00527E83">
      <w:pPr>
        <w:jc w:val="both"/>
        <w:rPr>
          <w:rFonts w:asciiTheme="minorHAnsi" w:hAnsiTheme="minorHAnsi" w:cstheme="minorHAnsi"/>
          <w:b/>
          <w:bCs/>
          <w:sz w:val="24"/>
          <w:szCs w:val="24"/>
        </w:rPr>
      </w:pPr>
    </w:p>
    <w:p w14:paraId="2581D6CC" w14:textId="77777777" w:rsidR="009C32EE" w:rsidRDefault="009C32EE" w:rsidP="00527E83">
      <w:pPr>
        <w:jc w:val="both"/>
        <w:rPr>
          <w:rFonts w:asciiTheme="minorHAnsi" w:hAnsiTheme="minorHAnsi" w:cstheme="minorHAnsi"/>
          <w:b/>
          <w:bCs/>
          <w:sz w:val="24"/>
          <w:szCs w:val="24"/>
        </w:rPr>
      </w:pPr>
    </w:p>
    <w:p w14:paraId="68D93DFF" w14:textId="568E2081" w:rsidR="00102777" w:rsidRPr="0075660A" w:rsidRDefault="00102777" w:rsidP="00527E83">
      <w:pPr>
        <w:jc w:val="both"/>
        <w:rPr>
          <w:rFonts w:asciiTheme="minorHAnsi" w:hAnsiTheme="minorHAnsi" w:cstheme="minorHAnsi"/>
          <w:sz w:val="24"/>
          <w:szCs w:val="24"/>
        </w:rPr>
      </w:pPr>
      <w:r w:rsidRPr="0075660A">
        <w:rPr>
          <w:rFonts w:asciiTheme="minorHAnsi" w:hAnsiTheme="minorHAnsi" w:cstheme="minorHAnsi"/>
          <w:b/>
          <w:bCs/>
          <w:sz w:val="24"/>
          <w:szCs w:val="24"/>
        </w:rPr>
        <w:t xml:space="preserve">U </w:t>
      </w:r>
      <w:r w:rsidR="00D25A50" w:rsidRPr="0075660A">
        <w:rPr>
          <w:rFonts w:asciiTheme="minorHAnsi" w:hAnsiTheme="minorHAnsi" w:cstheme="minorHAnsi"/>
          <w:b/>
          <w:bCs/>
          <w:sz w:val="24"/>
          <w:szCs w:val="24"/>
        </w:rPr>
        <w:t>M</w:t>
      </w:r>
      <w:r w:rsidRPr="0075660A">
        <w:rPr>
          <w:rFonts w:asciiTheme="minorHAnsi" w:hAnsiTheme="minorHAnsi" w:cstheme="minorHAnsi"/>
          <w:b/>
          <w:bCs/>
          <w:sz w:val="24"/>
          <w:szCs w:val="24"/>
        </w:rPr>
        <w:t>inisterst</w:t>
      </w:r>
      <w:r w:rsidR="00D25A50" w:rsidRPr="0075660A">
        <w:rPr>
          <w:rFonts w:asciiTheme="minorHAnsi" w:hAnsiTheme="minorHAnsi" w:cstheme="minorHAnsi"/>
          <w:b/>
          <w:bCs/>
          <w:sz w:val="24"/>
          <w:szCs w:val="24"/>
        </w:rPr>
        <w:t>va</w:t>
      </w:r>
      <w:r w:rsidRPr="0075660A">
        <w:rPr>
          <w:rFonts w:asciiTheme="minorHAnsi" w:hAnsiTheme="minorHAnsi" w:cstheme="minorHAnsi"/>
          <w:b/>
          <w:bCs/>
          <w:sz w:val="24"/>
          <w:szCs w:val="24"/>
        </w:rPr>
        <w:t xml:space="preserve"> </w:t>
      </w:r>
      <w:r w:rsidR="00D25A50" w:rsidRPr="0075660A">
        <w:rPr>
          <w:rFonts w:asciiTheme="minorHAnsi" w:hAnsiTheme="minorHAnsi" w:cstheme="minorHAnsi"/>
          <w:b/>
          <w:bCs/>
          <w:sz w:val="24"/>
          <w:szCs w:val="24"/>
        </w:rPr>
        <w:t xml:space="preserve">zdravotnictví </w:t>
      </w:r>
      <w:r w:rsidRPr="0075660A">
        <w:rPr>
          <w:rFonts w:asciiTheme="minorHAnsi" w:hAnsiTheme="minorHAnsi" w:cstheme="minorHAnsi"/>
          <w:sz w:val="24"/>
          <w:szCs w:val="24"/>
        </w:rPr>
        <w:t xml:space="preserve">byla kontrola zaměřena </w:t>
      </w:r>
      <w:r w:rsidR="008B2922" w:rsidRPr="0075660A">
        <w:rPr>
          <w:rFonts w:asciiTheme="minorHAnsi" w:hAnsiTheme="minorHAnsi" w:cstheme="minorHAnsi"/>
          <w:sz w:val="24"/>
          <w:szCs w:val="24"/>
        </w:rPr>
        <w:t xml:space="preserve">především </w:t>
      </w:r>
      <w:r w:rsidRPr="0075660A">
        <w:rPr>
          <w:rFonts w:asciiTheme="minorHAnsi" w:hAnsiTheme="minorHAnsi" w:cstheme="minorHAnsi"/>
          <w:sz w:val="24"/>
          <w:szCs w:val="24"/>
        </w:rPr>
        <w:t xml:space="preserve">na </w:t>
      </w:r>
      <w:r w:rsidR="008B2922" w:rsidRPr="0075660A">
        <w:rPr>
          <w:rFonts w:asciiTheme="minorHAnsi" w:hAnsiTheme="minorHAnsi" w:cstheme="minorHAnsi"/>
          <w:sz w:val="24"/>
          <w:szCs w:val="24"/>
        </w:rPr>
        <w:t>to, zda</w:t>
      </w:r>
      <w:r w:rsidR="004A189B">
        <w:rPr>
          <w:rFonts w:asciiTheme="minorHAnsi" w:hAnsiTheme="minorHAnsi" w:cstheme="minorHAnsi"/>
          <w:sz w:val="24"/>
          <w:szCs w:val="24"/>
        </w:rPr>
        <w:t xml:space="preserve"> </w:t>
      </w:r>
      <w:proofErr w:type="spellStart"/>
      <w:r w:rsidR="004A189B">
        <w:rPr>
          <w:rFonts w:asciiTheme="minorHAnsi" w:hAnsiTheme="minorHAnsi" w:cstheme="minorHAnsi"/>
          <w:sz w:val="24"/>
          <w:szCs w:val="24"/>
        </w:rPr>
        <w:t>MZ</w:t>
      </w:r>
      <w:r w:rsidR="00156310">
        <w:rPr>
          <w:rFonts w:asciiTheme="minorHAnsi" w:hAnsiTheme="minorHAnsi" w:cstheme="minorHAnsi"/>
          <w:sz w:val="24"/>
          <w:szCs w:val="24"/>
        </w:rPr>
        <w:t>d</w:t>
      </w:r>
      <w:proofErr w:type="spellEnd"/>
      <w:r w:rsidR="008B2922" w:rsidRPr="0075660A">
        <w:rPr>
          <w:rFonts w:asciiTheme="minorHAnsi" w:hAnsiTheme="minorHAnsi" w:cstheme="minorHAnsi"/>
          <w:sz w:val="24"/>
          <w:szCs w:val="24"/>
        </w:rPr>
        <w:t>:</w:t>
      </w:r>
    </w:p>
    <w:p w14:paraId="6689667C" w14:textId="4289F092" w:rsidR="00D322BE" w:rsidRPr="0075660A" w:rsidRDefault="008B2922" w:rsidP="00ED45A5">
      <w:pPr>
        <w:pStyle w:val="Odstavecseseznamem"/>
        <w:widowControl/>
        <w:numPr>
          <w:ilvl w:val="0"/>
          <w:numId w:val="36"/>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s</w:t>
      </w:r>
      <w:r w:rsidR="00D322BE" w:rsidRPr="0075660A">
        <w:rPr>
          <w:rFonts w:asciiTheme="minorHAnsi" w:hAnsiTheme="minorHAnsi" w:cstheme="minorHAnsi"/>
          <w:sz w:val="24"/>
        </w:rPr>
        <w:t xml:space="preserve">tanovilo </w:t>
      </w:r>
      <w:r w:rsidR="00F82E3C" w:rsidRPr="0075660A">
        <w:rPr>
          <w:rFonts w:asciiTheme="minorHAnsi" w:hAnsiTheme="minorHAnsi" w:cstheme="minorHAnsi"/>
          <w:sz w:val="24"/>
        </w:rPr>
        <w:t>jednorázov</w:t>
      </w:r>
      <w:r w:rsidR="005F0F3E" w:rsidRPr="0075660A">
        <w:rPr>
          <w:rFonts w:asciiTheme="minorHAnsi" w:hAnsiTheme="minorHAnsi" w:cstheme="minorHAnsi"/>
          <w:sz w:val="24"/>
        </w:rPr>
        <w:t>ý</w:t>
      </w:r>
      <w:r w:rsidR="00F82E3C" w:rsidRPr="0075660A">
        <w:rPr>
          <w:rFonts w:asciiTheme="minorHAnsi" w:hAnsiTheme="minorHAnsi" w:cstheme="minorHAnsi"/>
          <w:sz w:val="24"/>
        </w:rPr>
        <w:t xml:space="preserve"> </w:t>
      </w:r>
      <w:r w:rsidR="00D322BE" w:rsidRPr="0075660A">
        <w:rPr>
          <w:rFonts w:asciiTheme="minorHAnsi" w:hAnsiTheme="minorHAnsi" w:cstheme="minorHAnsi"/>
          <w:sz w:val="24"/>
        </w:rPr>
        <w:t xml:space="preserve">příspěvek </w:t>
      </w:r>
      <w:r w:rsidR="00F82E3C" w:rsidRPr="0075660A">
        <w:rPr>
          <w:rFonts w:asciiTheme="minorHAnsi" w:hAnsiTheme="minorHAnsi" w:cstheme="minorHAnsi"/>
          <w:sz w:val="24"/>
        </w:rPr>
        <w:t>za účelem</w:t>
      </w:r>
      <w:r w:rsidR="00D322BE" w:rsidRPr="0075660A">
        <w:rPr>
          <w:rFonts w:asciiTheme="minorHAnsi" w:hAnsiTheme="minorHAnsi" w:cstheme="minorHAnsi"/>
          <w:sz w:val="24"/>
        </w:rPr>
        <w:t xml:space="preserve"> oddlužení dle specifikovaných podmínek</w:t>
      </w:r>
      <w:r w:rsidRPr="0075660A">
        <w:rPr>
          <w:rFonts w:asciiTheme="minorHAnsi" w:hAnsiTheme="minorHAnsi" w:cstheme="minorHAnsi"/>
          <w:sz w:val="24"/>
        </w:rPr>
        <w:t xml:space="preserve"> a</w:t>
      </w:r>
      <w:r w:rsidR="00D41179" w:rsidRPr="0075660A">
        <w:rPr>
          <w:rFonts w:asciiTheme="minorHAnsi" w:hAnsiTheme="minorHAnsi" w:cstheme="minorHAnsi"/>
          <w:sz w:val="24"/>
        </w:rPr>
        <w:t> </w:t>
      </w:r>
      <w:r w:rsidRPr="0075660A">
        <w:rPr>
          <w:rFonts w:asciiTheme="minorHAnsi" w:hAnsiTheme="minorHAnsi" w:cstheme="minorHAnsi"/>
          <w:sz w:val="24"/>
        </w:rPr>
        <w:t>provádělo k</w:t>
      </w:r>
      <w:r w:rsidR="00D322BE" w:rsidRPr="0075660A">
        <w:rPr>
          <w:rFonts w:asciiTheme="minorHAnsi" w:hAnsiTheme="minorHAnsi" w:cstheme="minorHAnsi"/>
          <w:sz w:val="24"/>
        </w:rPr>
        <w:t>ontrol</w:t>
      </w:r>
      <w:r w:rsidRPr="0075660A">
        <w:rPr>
          <w:rFonts w:asciiTheme="minorHAnsi" w:hAnsiTheme="minorHAnsi" w:cstheme="minorHAnsi"/>
          <w:sz w:val="24"/>
        </w:rPr>
        <w:t>u</w:t>
      </w:r>
      <w:r w:rsidR="00D322BE" w:rsidRPr="0075660A">
        <w:rPr>
          <w:rFonts w:asciiTheme="minorHAnsi" w:hAnsiTheme="minorHAnsi" w:cstheme="minorHAnsi"/>
          <w:sz w:val="24"/>
        </w:rPr>
        <w:t xml:space="preserve"> oddlužen</w:t>
      </w:r>
      <w:r w:rsidRPr="0075660A">
        <w:rPr>
          <w:rFonts w:asciiTheme="minorHAnsi" w:hAnsiTheme="minorHAnsi" w:cstheme="minorHAnsi"/>
          <w:sz w:val="24"/>
        </w:rPr>
        <w:t>ých</w:t>
      </w:r>
      <w:r w:rsidR="00D322BE" w:rsidRPr="0075660A">
        <w:rPr>
          <w:rFonts w:asciiTheme="minorHAnsi" w:hAnsiTheme="minorHAnsi" w:cstheme="minorHAnsi"/>
          <w:sz w:val="24"/>
        </w:rPr>
        <w:t xml:space="preserve"> </w:t>
      </w:r>
      <w:r w:rsidR="00B318E5">
        <w:rPr>
          <w:rFonts w:asciiTheme="minorHAnsi" w:hAnsiTheme="minorHAnsi" w:cstheme="minorHAnsi"/>
          <w:sz w:val="24"/>
        </w:rPr>
        <w:t>FN</w:t>
      </w:r>
      <w:r w:rsidRPr="0075660A">
        <w:rPr>
          <w:rFonts w:asciiTheme="minorHAnsi" w:hAnsiTheme="minorHAnsi" w:cstheme="minorHAnsi"/>
          <w:sz w:val="24"/>
        </w:rPr>
        <w:t>;</w:t>
      </w:r>
    </w:p>
    <w:p w14:paraId="402D9131" w14:textId="7AE05310" w:rsidR="00D322BE" w:rsidRPr="0075660A" w:rsidRDefault="008B2922" w:rsidP="00ED45A5">
      <w:pPr>
        <w:pStyle w:val="Odstavecseseznamem"/>
        <w:widowControl/>
        <w:numPr>
          <w:ilvl w:val="0"/>
          <w:numId w:val="36"/>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o</w:t>
      </w:r>
      <w:r w:rsidR="00D322BE" w:rsidRPr="0075660A">
        <w:rPr>
          <w:rFonts w:asciiTheme="minorHAnsi" w:hAnsiTheme="minorHAnsi" w:cstheme="minorHAnsi"/>
          <w:sz w:val="24"/>
        </w:rPr>
        <w:t xml:space="preserve">věřilo podklady pro stanovení a poskytnutí </w:t>
      </w:r>
      <w:r w:rsidR="00A45104" w:rsidRPr="0075660A">
        <w:rPr>
          <w:rFonts w:asciiTheme="minorHAnsi" w:hAnsiTheme="minorHAnsi" w:cstheme="minorHAnsi"/>
          <w:sz w:val="24"/>
        </w:rPr>
        <w:t xml:space="preserve">mimořádného </w:t>
      </w:r>
      <w:r w:rsidR="00D322BE" w:rsidRPr="0075660A">
        <w:rPr>
          <w:rFonts w:asciiTheme="minorHAnsi" w:hAnsiTheme="minorHAnsi" w:cstheme="minorHAnsi"/>
          <w:sz w:val="24"/>
        </w:rPr>
        <w:t xml:space="preserve">příspěvku na odměny </w:t>
      </w:r>
      <w:r w:rsidRPr="0075660A">
        <w:rPr>
          <w:rFonts w:asciiTheme="minorHAnsi" w:hAnsiTheme="minorHAnsi" w:cstheme="minorHAnsi"/>
          <w:sz w:val="24"/>
        </w:rPr>
        <w:t xml:space="preserve">covid-19 </w:t>
      </w:r>
      <w:r w:rsidR="00D322BE" w:rsidRPr="0075660A">
        <w:rPr>
          <w:rFonts w:asciiTheme="minorHAnsi" w:hAnsiTheme="minorHAnsi" w:cstheme="minorHAnsi"/>
          <w:sz w:val="24"/>
        </w:rPr>
        <w:t xml:space="preserve">u vybraných </w:t>
      </w:r>
      <w:r w:rsidR="00B318E5">
        <w:rPr>
          <w:rFonts w:asciiTheme="minorHAnsi" w:hAnsiTheme="minorHAnsi" w:cstheme="minorHAnsi"/>
          <w:sz w:val="24"/>
        </w:rPr>
        <w:t>FN</w:t>
      </w:r>
      <w:r w:rsidRPr="0075660A">
        <w:rPr>
          <w:rFonts w:asciiTheme="minorHAnsi" w:hAnsiTheme="minorHAnsi" w:cstheme="minorHAnsi"/>
          <w:sz w:val="24"/>
        </w:rPr>
        <w:t>;</w:t>
      </w:r>
    </w:p>
    <w:p w14:paraId="50173532" w14:textId="509B81A0" w:rsidR="00E307B9" w:rsidRPr="0075660A" w:rsidRDefault="00F82E3C" w:rsidP="00ED45A5">
      <w:pPr>
        <w:pStyle w:val="Odstavecseseznamem"/>
        <w:widowControl/>
        <w:numPr>
          <w:ilvl w:val="0"/>
          <w:numId w:val="36"/>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uhradilo</w:t>
      </w:r>
      <w:r w:rsidR="00E307B9" w:rsidRPr="0075660A">
        <w:rPr>
          <w:rFonts w:asciiTheme="minorHAnsi" w:hAnsiTheme="minorHAnsi" w:cstheme="minorHAnsi"/>
          <w:sz w:val="24"/>
        </w:rPr>
        <w:t xml:space="preserve"> výdaje na </w:t>
      </w:r>
      <w:r w:rsidR="0036028C" w:rsidRPr="0075660A">
        <w:rPr>
          <w:rFonts w:asciiTheme="minorHAnsi" w:hAnsiTheme="minorHAnsi" w:cstheme="minorHAnsi"/>
          <w:sz w:val="24"/>
        </w:rPr>
        <w:t>provoz</w:t>
      </w:r>
      <w:r w:rsidR="00E307B9" w:rsidRPr="0075660A">
        <w:rPr>
          <w:rFonts w:asciiTheme="minorHAnsi" w:hAnsiTheme="minorHAnsi" w:cstheme="minorHAnsi"/>
          <w:sz w:val="24"/>
        </w:rPr>
        <w:t xml:space="preserve"> PNL za přesně stanovených pravidel a podmínek;</w:t>
      </w:r>
    </w:p>
    <w:p w14:paraId="4C2FAFA4" w14:textId="2EB7E5A2" w:rsidR="00E307B9" w:rsidRPr="0075660A" w:rsidRDefault="008B2922" w:rsidP="00ED45A5">
      <w:pPr>
        <w:pStyle w:val="Odstavecseseznamem"/>
        <w:widowControl/>
        <w:numPr>
          <w:ilvl w:val="0"/>
          <w:numId w:val="36"/>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t</w:t>
      </w:r>
      <w:r w:rsidR="00D322BE" w:rsidRPr="0075660A">
        <w:rPr>
          <w:rFonts w:asciiTheme="minorHAnsi" w:hAnsiTheme="minorHAnsi" w:cstheme="minorHAnsi"/>
          <w:sz w:val="24"/>
        </w:rPr>
        <w:t>vořilo a řídilo aktivní lékovou politiku státu</w:t>
      </w:r>
      <w:r w:rsidR="00E307B9" w:rsidRPr="0075660A">
        <w:rPr>
          <w:rFonts w:asciiTheme="minorHAnsi" w:hAnsiTheme="minorHAnsi" w:cstheme="minorHAnsi"/>
          <w:sz w:val="24"/>
        </w:rPr>
        <w:t xml:space="preserve"> a</w:t>
      </w:r>
      <w:r w:rsidR="00D322BE" w:rsidRPr="0075660A">
        <w:rPr>
          <w:rFonts w:asciiTheme="minorHAnsi" w:hAnsiTheme="minorHAnsi" w:cstheme="minorHAnsi"/>
          <w:sz w:val="24"/>
        </w:rPr>
        <w:t xml:space="preserve"> </w:t>
      </w:r>
      <w:r w:rsidR="00E307B9" w:rsidRPr="0075660A">
        <w:rPr>
          <w:rFonts w:asciiTheme="minorHAnsi" w:hAnsiTheme="minorHAnsi" w:cstheme="minorHAnsi"/>
          <w:sz w:val="24"/>
        </w:rPr>
        <w:t>ř</w:t>
      </w:r>
      <w:r w:rsidR="00D322BE" w:rsidRPr="0075660A">
        <w:rPr>
          <w:rFonts w:asciiTheme="minorHAnsi" w:hAnsiTheme="minorHAnsi" w:cstheme="minorHAnsi"/>
          <w:sz w:val="24"/>
        </w:rPr>
        <w:t xml:space="preserve">ídilo oblast nákupů léčiv a zdravotnických prostředků u </w:t>
      </w:r>
      <w:r w:rsidR="000B7C3A" w:rsidRPr="0075660A">
        <w:rPr>
          <w:rFonts w:asciiTheme="minorHAnsi" w:hAnsiTheme="minorHAnsi" w:cstheme="minorHAnsi"/>
          <w:sz w:val="24"/>
        </w:rPr>
        <w:t>FN</w:t>
      </w:r>
      <w:r w:rsidR="00E307B9" w:rsidRPr="0075660A">
        <w:rPr>
          <w:rFonts w:asciiTheme="minorHAnsi" w:hAnsiTheme="minorHAnsi" w:cstheme="minorHAnsi"/>
          <w:sz w:val="24"/>
        </w:rPr>
        <w:t>;</w:t>
      </w:r>
    </w:p>
    <w:p w14:paraId="2F27DF17" w14:textId="1329839A" w:rsidR="00D322BE" w:rsidRPr="0075660A" w:rsidRDefault="00E307B9" w:rsidP="00ED45A5">
      <w:pPr>
        <w:pStyle w:val="Odstavecseseznamem"/>
        <w:widowControl/>
        <w:numPr>
          <w:ilvl w:val="0"/>
          <w:numId w:val="36"/>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p</w:t>
      </w:r>
      <w:r w:rsidR="00D322BE" w:rsidRPr="0075660A">
        <w:rPr>
          <w:rFonts w:asciiTheme="minorHAnsi" w:hAnsiTheme="minorHAnsi" w:cstheme="minorHAnsi"/>
          <w:sz w:val="24"/>
        </w:rPr>
        <w:t xml:space="preserve">řijalo na základě zjištění </w:t>
      </w:r>
      <w:r w:rsidR="00B318E5">
        <w:rPr>
          <w:rFonts w:asciiTheme="minorHAnsi" w:hAnsiTheme="minorHAnsi" w:cstheme="minorHAnsi"/>
          <w:sz w:val="24"/>
        </w:rPr>
        <w:t xml:space="preserve">NKÚ z </w:t>
      </w:r>
      <w:r w:rsidR="00D322BE" w:rsidRPr="0075660A">
        <w:rPr>
          <w:rFonts w:asciiTheme="minorHAnsi" w:hAnsiTheme="minorHAnsi" w:cstheme="minorHAnsi"/>
          <w:sz w:val="24"/>
        </w:rPr>
        <w:t>KA č. 17/19 opatření</w:t>
      </w:r>
      <w:r w:rsidR="00BE34BB" w:rsidRPr="0075660A">
        <w:rPr>
          <w:rFonts w:asciiTheme="minorHAnsi" w:hAnsiTheme="minorHAnsi" w:cstheme="minorHAnsi"/>
          <w:sz w:val="24"/>
        </w:rPr>
        <w:t xml:space="preserve"> k odstranění zjištěných nedostatků</w:t>
      </w:r>
      <w:r w:rsidRPr="0075660A">
        <w:rPr>
          <w:rFonts w:asciiTheme="minorHAnsi" w:hAnsiTheme="minorHAnsi" w:cstheme="minorHAnsi"/>
          <w:sz w:val="24"/>
        </w:rPr>
        <w:t>;</w:t>
      </w:r>
    </w:p>
    <w:p w14:paraId="616AF700" w14:textId="649BBB56" w:rsidR="00E307B9" w:rsidRPr="0075660A" w:rsidRDefault="00E307B9" w:rsidP="00ED45A5">
      <w:pPr>
        <w:pStyle w:val="Odstavecseseznamem"/>
        <w:widowControl/>
        <w:numPr>
          <w:ilvl w:val="0"/>
          <w:numId w:val="36"/>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postupovalo v souladu s právními předpisy v oblasti plnění funkcí zřizovatele a</w:t>
      </w:r>
      <w:r w:rsidR="001B13D5" w:rsidRPr="0075660A">
        <w:rPr>
          <w:rFonts w:asciiTheme="minorHAnsi" w:hAnsiTheme="minorHAnsi" w:cstheme="minorHAnsi"/>
          <w:sz w:val="24"/>
        </w:rPr>
        <w:t> </w:t>
      </w:r>
      <w:r w:rsidRPr="0075660A">
        <w:rPr>
          <w:rFonts w:asciiTheme="minorHAnsi" w:hAnsiTheme="minorHAnsi" w:cstheme="minorHAnsi"/>
          <w:sz w:val="24"/>
        </w:rPr>
        <w:t>poskytování peněžních prostředků.</w:t>
      </w:r>
    </w:p>
    <w:p w14:paraId="7CBA10CB" w14:textId="1252A1D3" w:rsidR="0031662F" w:rsidRPr="0075660A" w:rsidRDefault="0031662F" w:rsidP="00ED45A5">
      <w:pPr>
        <w:spacing w:before="120"/>
        <w:jc w:val="both"/>
        <w:rPr>
          <w:rFonts w:asciiTheme="minorHAnsi" w:hAnsiTheme="minorHAnsi" w:cstheme="minorHAnsi"/>
          <w:sz w:val="24"/>
          <w:szCs w:val="24"/>
        </w:rPr>
      </w:pPr>
      <w:r w:rsidRPr="0075660A">
        <w:rPr>
          <w:rFonts w:asciiTheme="minorHAnsi" w:eastAsia="Calibri" w:hAnsiTheme="minorHAnsi" w:cstheme="minorHAnsi"/>
          <w:b/>
          <w:sz w:val="24"/>
          <w:szCs w:val="24"/>
        </w:rPr>
        <w:t>U kontrolovaných FN</w:t>
      </w:r>
      <w:r w:rsidRPr="0075660A">
        <w:rPr>
          <w:rFonts w:asciiTheme="minorHAnsi" w:eastAsia="Calibri" w:hAnsiTheme="minorHAnsi" w:cstheme="minorHAnsi"/>
          <w:sz w:val="24"/>
          <w:szCs w:val="24"/>
        </w:rPr>
        <w:t xml:space="preserve"> byla kontrola zaměřena především na to, zda:</w:t>
      </w:r>
    </w:p>
    <w:p w14:paraId="09232F10" w14:textId="78D74E13" w:rsidR="0031662F" w:rsidRPr="0075660A" w:rsidRDefault="004A189B" w:rsidP="00ED45A5">
      <w:pPr>
        <w:pStyle w:val="Odstavecseseznamem"/>
        <w:widowControl/>
        <w:numPr>
          <w:ilvl w:val="0"/>
          <w:numId w:val="37"/>
        </w:numPr>
        <w:autoSpaceDE/>
        <w:autoSpaceDN/>
        <w:adjustRightInd/>
        <w:ind w:left="284" w:hanging="284"/>
        <w:jc w:val="both"/>
        <w:rPr>
          <w:rFonts w:asciiTheme="minorHAnsi" w:hAnsiTheme="minorHAnsi" w:cstheme="minorHAnsi"/>
          <w:sz w:val="24"/>
        </w:rPr>
      </w:pPr>
      <w:bookmarkStart w:id="6" w:name="_Hlk106106589"/>
      <w:r>
        <w:rPr>
          <w:rFonts w:asciiTheme="minorHAnsi" w:hAnsiTheme="minorHAnsi" w:cstheme="minorHAnsi"/>
          <w:sz w:val="24"/>
        </w:rPr>
        <w:t xml:space="preserve">FN </w:t>
      </w:r>
      <w:r w:rsidR="0031662F" w:rsidRPr="0075660A">
        <w:rPr>
          <w:rFonts w:asciiTheme="minorHAnsi" w:hAnsiTheme="minorHAnsi" w:cstheme="minorHAnsi"/>
          <w:sz w:val="24"/>
        </w:rPr>
        <w:t xml:space="preserve">použily jednorázový příspěvek určený na oddlužení na snížení specifikovaných závazků </w:t>
      </w:r>
      <w:r w:rsidR="00CE3A24">
        <w:rPr>
          <w:rFonts w:asciiTheme="minorHAnsi" w:hAnsiTheme="minorHAnsi" w:cstheme="minorHAnsi"/>
          <w:sz w:val="24"/>
        </w:rPr>
        <w:t xml:space="preserve">hospodárně </w:t>
      </w:r>
      <w:r w:rsidR="0031662F" w:rsidRPr="0075660A">
        <w:rPr>
          <w:rFonts w:asciiTheme="minorHAnsi" w:hAnsiTheme="minorHAnsi" w:cstheme="minorHAnsi"/>
          <w:sz w:val="24"/>
        </w:rPr>
        <w:t>a</w:t>
      </w:r>
      <w:r w:rsidR="00BB2F26">
        <w:rPr>
          <w:rFonts w:asciiTheme="minorHAnsi" w:hAnsiTheme="minorHAnsi" w:cstheme="minorHAnsi"/>
          <w:sz w:val="24"/>
        </w:rPr>
        <w:t xml:space="preserve"> v souladu se stanovenými podmínkami</w:t>
      </w:r>
      <w:r w:rsidR="0031662F" w:rsidRPr="0075660A">
        <w:rPr>
          <w:rFonts w:asciiTheme="minorHAnsi" w:hAnsiTheme="minorHAnsi" w:cstheme="minorHAnsi"/>
          <w:sz w:val="24"/>
        </w:rPr>
        <w:t>;</w:t>
      </w:r>
    </w:p>
    <w:bookmarkEnd w:id="6"/>
    <w:p w14:paraId="25D14145" w14:textId="6C15F378" w:rsidR="0031662F" w:rsidRPr="0075660A" w:rsidRDefault="004A189B" w:rsidP="00ED45A5">
      <w:pPr>
        <w:pStyle w:val="Odstavecseseznamem"/>
        <w:widowControl/>
        <w:numPr>
          <w:ilvl w:val="0"/>
          <w:numId w:val="37"/>
        </w:numPr>
        <w:autoSpaceDE/>
        <w:autoSpaceDN/>
        <w:adjustRightInd/>
        <w:ind w:left="284" w:hanging="284"/>
        <w:jc w:val="both"/>
        <w:rPr>
          <w:rFonts w:asciiTheme="minorHAnsi" w:hAnsiTheme="minorHAnsi" w:cstheme="minorHAnsi"/>
          <w:sz w:val="24"/>
        </w:rPr>
      </w:pPr>
      <w:r>
        <w:rPr>
          <w:rFonts w:asciiTheme="minorHAnsi" w:hAnsiTheme="minorHAnsi" w:cstheme="minorHAnsi"/>
          <w:sz w:val="24"/>
        </w:rPr>
        <w:t xml:space="preserve">FN </w:t>
      </w:r>
      <w:r w:rsidR="0031662F" w:rsidRPr="0075660A">
        <w:rPr>
          <w:rFonts w:asciiTheme="minorHAnsi" w:hAnsiTheme="minorHAnsi" w:cstheme="minorHAnsi"/>
          <w:sz w:val="24"/>
        </w:rPr>
        <w:t>použily mimořádný příspěvek na úhradu odměn covid-19 účelně a v souladu se stanovenými podmínkami;</w:t>
      </w:r>
    </w:p>
    <w:p w14:paraId="67C1C057" w14:textId="183E9F6E" w:rsidR="0031662F" w:rsidRPr="0075660A" w:rsidRDefault="004A189B" w:rsidP="00ED45A5">
      <w:pPr>
        <w:pStyle w:val="Odstavecseseznamem"/>
        <w:widowControl/>
        <w:numPr>
          <w:ilvl w:val="0"/>
          <w:numId w:val="37"/>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 xml:space="preserve">FNB </w:t>
      </w:r>
      <w:r w:rsidR="0031662F" w:rsidRPr="0075660A">
        <w:rPr>
          <w:rFonts w:asciiTheme="minorHAnsi" w:hAnsiTheme="minorHAnsi" w:cstheme="minorHAnsi"/>
          <w:sz w:val="24"/>
        </w:rPr>
        <w:t xml:space="preserve">použila </w:t>
      </w:r>
      <w:r w:rsidR="001B224D" w:rsidRPr="0075660A">
        <w:rPr>
          <w:rFonts w:asciiTheme="minorHAnsi" w:hAnsiTheme="minorHAnsi" w:cstheme="minorHAnsi"/>
          <w:sz w:val="24"/>
        </w:rPr>
        <w:t xml:space="preserve">provozní </w:t>
      </w:r>
      <w:r w:rsidR="0031662F" w:rsidRPr="0075660A">
        <w:rPr>
          <w:rFonts w:asciiTheme="minorHAnsi" w:hAnsiTheme="minorHAnsi" w:cstheme="minorHAnsi"/>
          <w:sz w:val="24"/>
        </w:rPr>
        <w:t>neinvestiční příspěvek na provoz PNL účelně</w:t>
      </w:r>
      <w:r w:rsidR="00681510">
        <w:rPr>
          <w:rFonts w:asciiTheme="minorHAnsi" w:hAnsiTheme="minorHAnsi" w:cstheme="minorHAnsi"/>
          <w:sz w:val="24"/>
        </w:rPr>
        <w:t>,</w:t>
      </w:r>
      <w:r w:rsidR="0031662F" w:rsidRPr="0075660A">
        <w:rPr>
          <w:rFonts w:asciiTheme="minorHAnsi" w:hAnsiTheme="minorHAnsi" w:cstheme="minorHAnsi"/>
          <w:sz w:val="24"/>
        </w:rPr>
        <w:t xml:space="preserve"> hospodárně</w:t>
      </w:r>
      <w:r w:rsidR="00681510">
        <w:rPr>
          <w:rFonts w:asciiTheme="minorHAnsi" w:hAnsiTheme="minorHAnsi" w:cstheme="minorHAnsi"/>
          <w:sz w:val="24"/>
        </w:rPr>
        <w:t xml:space="preserve"> a</w:t>
      </w:r>
      <w:r>
        <w:rPr>
          <w:rFonts w:asciiTheme="minorHAnsi" w:hAnsiTheme="minorHAnsi" w:cstheme="minorHAnsi"/>
          <w:sz w:val="24"/>
        </w:rPr>
        <w:t> </w:t>
      </w:r>
      <w:r w:rsidR="00681510">
        <w:rPr>
          <w:rFonts w:asciiTheme="minorHAnsi" w:hAnsiTheme="minorHAnsi" w:cstheme="minorHAnsi"/>
          <w:sz w:val="24"/>
        </w:rPr>
        <w:t>v souladu s právními předpisy</w:t>
      </w:r>
      <w:r w:rsidR="0031662F" w:rsidRPr="0075660A">
        <w:rPr>
          <w:rFonts w:asciiTheme="minorHAnsi" w:hAnsiTheme="minorHAnsi" w:cstheme="minorHAnsi"/>
          <w:sz w:val="24"/>
        </w:rPr>
        <w:t>;</w:t>
      </w:r>
    </w:p>
    <w:p w14:paraId="0EFCC65D" w14:textId="6EB4BD79" w:rsidR="0031662F" w:rsidRPr="0075660A" w:rsidRDefault="004A189B" w:rsidP="00ED45A5">
      <w:pPr>
        <w:pStyle w:val="Odstavecseseznamem"/>
        <w:widowControl/>
        <w:numPr>
          <w:ilvl w:val="0"/>
          <w:numId w:val="37"/>
        </w:numPr>
        <w:autoSpaceDE/>
        <w:autoSpaceDN/>
        <w:adjustRightInd/>
        <w:ind w:left="284" w:hanging="284"/>
        <w:jc w:val="both"/>
        <w:rPr>
          <w:rFonts w:asciiTheme="minorHAnsi" w:hAnsiTheme="minorHAnsi" w:cstheme="minorHAnsi"/>
          <w:sz w:val="24"/>
        </w:rPr>
      </w:pPr>
      <w:r w:rsidRPr="0075660A">
        <w:rPr>
          <w:rFonts w:asciiTheme="minorHAnsi" w:hAnsiTheme="minorHAnsi" w:cstheme="minorHAnsi"/>
          <w:sz w:val="24"/>
        </w:rPr>
        <w:t xml:space="preserve">FN </w:t>
      </w:r>
      <w:r w:rsidR="0031662F" w:rsidRPr="0075660A">
        <w:rPr>
          <w:rFonts w:asciiTheme="minorHAnsi" w:hAnsiTheme="minorHAnsi" w:cstheme="minorHAnsi"/>
          <w:sz w:val="24"/>
        </w:rPr>
        <w:t>postupovaly při nákupech identických léčiv a zdravotnických prostředků hospodárně a</w:t>
      </w:r>
      <w:r w:rsidR="00A22D79">
        <w:rPr>
          <w:rFonts w:asciiTheme="minorHAnsi" w:hAnsiTheme="minorHAnsi" w:cstheme="minorHAnsi"/>
          <w:sz w:val="24"/>
        </w:rPr>
        <w:t> </w:t>
      </w:r>
      <w:r w:rsidR="0031662F" w:rsidRPr="0075660A">
        <w:rPr>
          <w:rFonts w:asciiTheme="minorHAnsi" w:hAnsiTheme="minorHAnsi" w:cstheme="minorHAnsi"/>
          <w:sz w:val="24"/>
        </w:rPr>
        <w:t>v</w:t>
      </w:r>
      <w:r w:rsidR="00A22D79">
        <w:rPr>
          <w:rFonts w:asciiTheme="minorHAnsi" w:hAnsiTheme="minorHAnsi" w:cstheme="minorHAnsi"/>
          <w:sz w:val="24"/>
        </w:rPr>
        <w:t> </w:t>
      </w:r>
      <w:r w:rsidR="0031662F" w:rsidRPr="0075660A">
        <w:rPr>
          <w:rFonts w:asciiTheme="minorHAnsi" w:hAnsiTheme="minorHAnsi" w:cstheme="minorHAnsi"/>
          <w:sz w:val="24"/>
        </w:rPr>
        <w:t>souladu s právními předpisy.</w:t>
      </w:r>
    </w:p>
    <w:p w14:paraId="712C550C" w14:textId="43AB66AB" w:rsidR="00102777" w:rsidRPr="00527E83" w:rsidRDefault="00102777" w:rsidP="00ED45A5">
      <w:pPr>
        <w:spacing w:before="120" w:after="120"/>
        <w:jc w:val="both"/>
        <w:rPr>
          <w:rFonts w:asciiTheme="minorHAnsi" w:hAnsiTheme="minorHAnsi" w:cstheme="minorHAnsi"/>
          <w:bCs/>
          <w:spacing w:val="-4"/>
          <w:sz w:val="24"/>
          <w:szCs w:val="24"/>
        </w:rPr>
      </w:pPr>
      <w:r w:rsidRPr="00527E83">
        <w:rPr>
          <w:rFonts w:asciiTheme="minorHAnsi" w:hAnsiTheme="minorHAnsi" w:cstheme="minorHAnsi"/>
          <w:bCs/>
          <w:spacing w:val="-4"/>
          <w:sz w:val="24"/>
          <w:szCs w:val="24"/>
        </w:rPr>
        <w:t>Kontrolovaným obdobím byly roky 201</w:t>
      </w:r>
      <w:r w:rsidR="00D25A50" w:rsidRPr="00527E83">
        <w:rPr>
          <w:rFonts w:asciiTheme="minorHAnsi" w:hAnsiTheme="minorHAnsi" w:cstheme="minorHAnsi"/>
          <w:bCs/>
          <w:spacing w:val="-4"/>
          <w:sz w:val="24"/>
          <w:szCs w:val="24"/>
        </w:rPr>
        <w:t>9</w:t>
      </w:r>
      <w:r w:rsidRPr="00527E83">
        <w:rPr>
          <w:rFonts w:asciiTheme="minorHAnsi" w:hAnsiTheme="minorHAnsi" w:cstheme="minorHAnsi"/>
          <w:bCs/>
          <w:spacing w:val="-4"/>
          <w:sz w:val="24"/>
          <w:szCs w:val="24"/>
        </w:rPr>
        <w:t xml:space="preserve"> až 20</w:t>
      </w:r>
      <w:r w:rsidR="00D25A50" w:rsidRPr="00527E83">
        <w:rPr>
          <w:rFonts w:asciiTheme="minorHAnsi" w:hAnsiTheme="minorHAnsi" w:cstheme="minorHAnsi"/>
          <w:bCs/>
          <w:spacing w:val="-4"/>
          <w:sz w:val="24"/>
          <w:szCs w:val="24"/>
        </w:rPr>
        <w:t>21</w:t>
      </w:r>
      <w:r w:rsidRPr="00527E83">
        <w:rPr>
          <w:rFonts w:asciiTheme="minorHAnsi" w:hAnsiTheme="minorHAnsi" w:cstheme="minorHAnsi"/>
          <w:bCs/>
          <w:spacing w:val="-4"/>
          <w:sz w:val="24"/>
          <w:szCs w:val="24"/>
        </w:rPr>
        <w:t>.</w:t>
      </w:r>
    </w:p>
    <w:p w14:paraId="55E1420F" w14:textId="50945198" w:rsidR="00A14D39" w:rsidRPr="00E14E2A" w:rsidRDefault="00A14D39" w:rsidP="00ED45A5">
      <w:pPr>
        <w:spacing w:before="120" w:after="120"/>
        <w:jc w:val="both"/>
        <w:rPr>
          <w:rFonts w:asciiTheme="minorHAnsi" w:hAnsiTheme="minorHAnsi" w:cstheme="minorHAnsi"/>
          <w:sz w:val="24"/>
          <w:szCs w:val="24"/>
        </w:rPr>
      </w:pPr>
      <w:r w:rsidRPr="00527E83">
        <w:rPr>
          <w:rFonts w:asciiTheme="minorHAnsi" w:hAnsiTheme="minorHAnsi" w:cstheme="minorHAnsi"/>
          <w:sz w:val="24"/>
          <w:szCs w:val="24"/>
        </w:rPr>
        <w:t>Kontrolovaný objem činil 7 196 332 872 Kč</w:t>
      </w:r>
      <w:r w:rsidR="00521308">
        <w:rPr>
          <w:rFonts w:asciiTheme="minorHAnsi" w:hAnsiTheme="minorHAnsi" w:cstheme="minorHAnsi"/>
          <w:sz w:val="24"/>
          <w:szCs w:val="24"/>
        </w:rPr>
        <w:t>.</w:t>
      </w:r>
    </w:p>
    <w:p w14:paraId="28CF4BFA" w14:textId="24807B9B" w:rsidR="008E76EA" w:rsidRPr="0075660A" w:rsidRDefault="008E76EA" w:rsidP="0013289D">
      <w:pPr>
        <w:widowControl/>
        <w:spacing w:before="360"/>
        <w:ind w:left="567" w:hanging="567"/>
        <w:jc w:val="both"/>
        <w:rPr>
          <w:rFonts w:asciiTheme="minorHAnsi" w:hAnsiTheme="minorHAnsi" w:cstheme="minorHAnsi"/>
        </w:rPr>
      </w:pPr>
      <w:r w:rsidRPr="0075660A">
        <w:rPr>
          <w:rFonts w:asciiTheme="minorHAnsi" w:hAnsiTheme="minorHAnsi" w:cstheme="minorHAnsi"/>
          <w:b/>
        </w:rPr>
        <w:t>Pozn.:</w:t>
      </w:r>
      <w:r w:rsidRPr="0075660A">
        <w:rPr>
          <w:rFonts w:asciiTheme="minorHAnsi" w:hAnsiTheme="minorHAnsi" w:cstheme="minorHAnsi"/>
        </w:rPr>
        <w:t xml:space="preserve"> </w:t>
      </w:r>
      <w:r w:rsidRPr="0075660A">
        <w:rPr>
          <w:rFonts w:asciiTheme="minorHAnsi" w:hAnsiTheme="minorHAnsi" w:cstheme="minorHAnsi"/>
        </w:rPr>
        <w:tab/>
        <w:t>Právní předpisy uvedené v tomto kontrolním závěru jsou aplikovány ve znění účinném pro kontrolované období.</w:t>
      </w:r>
    </w:p>
    <w:p w14:paraId="596E778F" w14:textId="1A35EBC1" w:rsidR="00C87E80" w:rsidRPr="0075660A" w:rsidRDefault="00246D13" w:rsidP="002F4E48">
      <w:pPr>
        <w:widowControl/>
        <w:autoSpaceDE/>
        <w:autoSpaceDN/>
        <w:adjustRightInd/>
        <w:spacing w:before="720" w:after="240"/>
        <w:jc w:val="center"/>
        <w:rPr>
          <w:rFonts w:asciiTheme="minorHAnsi" w:eastAsia="Times New Roman" w:hAnsiTheme="minorHAnsi" w:cstheme="minorHAnsi"/>
          <w:b/>
          <w:bCs/>
          <w:sz w:val="28"/>
          <w:szCs w:val="28"/>
        </w:rPr>
      </w:pPr>
      <w:r w:rsidRPr="0075660A">
        <w:rPr>
          <w:rFonts w:asciiTheme="minorHAnsi" w:hAnsiTheme="minorHAnsi" w:cstheme="minorHAnsi"/>
          <w:b/>
          <w:bCs/>
          <w:sz w:val="28"/>
          <w:szCs w:val="28"/>
        </w:rPr>
        <w:t>IV. Podrobn</w:t>
      </w:r>
      <w:r w:rsidRPr="0075660A">
        <w:rPr>
          <w:rFonts w:asciiTheme="minorHAnsi" w:eastAsia="Times New Roman" w:hAnsiTheme="minorHAnsi" w:cstheme="minorHAnsi"/>
          <w:b/>
          <w:bCs/>
          <w:sz w:val="28"/>
          <w:szCs w:val="28"/>
        </w:rPr>
        <w:t>é skute</w:t>
      </w:r>
      <w:r w:rsidRPr="0075660A">
        <w:rPr>
          <w:rFonts w:asciiTheme="minorHAnsi" w:hAnsiTheme="minorHAnsi" w:cstheme="minorHAnsi"/>
          <w:b/>
          <w:bCs/>
          <w:sz w:val="28"/>
          <w:szCs w:val="28"/>
        </w:rPr>
        <w:t>č</w:t>
      </w:r>
      <w:r w:rsidRPr="0075660A">
        <w:rPr>
          <w:rFonts w:asciiTheme="minorHAnsi" w:eastAsia="Times New Roman" w:hAnsiTheme="minorHAnsi" w:cstheme="minorHAnsi"/>
          <w:b/>
          <w:bCs/>
          <w:sz w:val="28"/>
          <w:szCs w:val="28"/>
        </w:rPr>
        <w:t>nosti zjišt</w:t>
      </w:r>
      <w:r w:rsidRPr="0075660A">
        <w:rPr>
          <w:rFonts w:asciiTheme="minorHAnsi" w:hAnsiTheme="minorHAnsi" w:cstheme="minorHAnsi"/>
          <w:b/>
          <w:bCs/>
          <w:sz w:val="28"/>
          <w:szCs w:val="28"/>
        </w:rPr>
        <w:t>ě</w:t>
      </w:r>
      <w:r w:rsidRPr="0075660A">
        <w:rPr>
          <w:rFonts w:asciiTheme="minorHAnsi" w:eastAsia="Times New Roman" w:hAnsiTheme="minorHAnsi" w:cstheme="minorHAnsi"/>
          <w:b/>
          <w:bCs/>
          <w:sz w:val="28"/>
          <w:szCs w:val="28"/>
        </w:rPr>
        <w:t>né kontrolou</w:t>
      </w:r>
    </w:p>
    <w:p w14:paraId="6543771C" w14:textId="25C6745E" w:rsidR="00C87E80" w:rsidRPr="0075660A" w:rsidRDefault="00C87E80" w:rsidP="0013289D">
      <w:pPr>
        <w:keepNext/>
        <w:widowControl/>
        <w:spacing w:after="120"/>
        <w:jc w:val="both"/>
        <w:rPr>
          <w:rFonts w:asciiTheme="minorHAnsi" w:hAnsiTheme="minorHAnsi" w:cstheme="minorHAnsi"/>
          <w:b/>
          <w:sz w:val="24"/>
          <w:szCs w:val="24"/>
        </w:rPr>
      </w:pPr>
      <w:r w:rsidRPr="0075660A">
        <w:rPr>
          <w:rFonts w:asciiTheme="minorHAnsi" w:hAnsiTheme="minorHAnsi" w:cstheme="minorHAnsi"/>
          <w:b/>
          <w:sz w:val="24"/>
          <w:szCs w:val="24"/>
        </w:rPr>
        <w:t>1</w:t>
      </w:r>
      <w:r w:rsidR="00A22D79">
        <w:rPr>
          <w:rFonts w:asciiTheme="minorHAnsi" w:hAnsiTheme="minorHAnsi" w:cstheme="minorHAnsi"/>
          <w:b/>
          <w:sz w:val="24"/>
          <w:szCs w:val="24"/>
        </w:rPr>
        <w:t>.</w:t>
      </w:r>
      <w:r w:rsidRPr="0075660A">
        <w:rPr>
          <w:rFonts w:asciiTheme="minorHAnsi" w:hAnsiTheme="minorHAnsi" w:cstheme="minorHAnsi"/>
          <w:b/>
          <w:sz w:val="24"/>
          <w:szCs w:val="24"/>
        </w:rPr>
        <w:t xml:space="preserve"> </w:t>
      </w:r>
      <w:r w:rsidR="001414F4" w:rsidRPr="0075660A">
        <w:rPr>
          <w:rFonts w:asciiTheme="minorHAnsi" w:hAnsiTheme="minorHAnsi" w:cstheme="minorHAnsi"/>
          <w:b/>
          <w:sz w:val="24"/>
          <w:szCs w:val="24"/>
        </w:rPr>
        <w:t>Oddlužení fakultních nemocnic</w:t>
      </w:r>
    </w:p>
    <w:p w14:paraId="67E581ED" w14:textId="0884DEAB" w:rsidR="00C87E80" w:rsidRPr="0075660A" w:rsidRDefault="00C87E80" w:rsidP="0013289D">
      <w:pPr>
        <w:pStyle w:val="Odstavecseseznamem"/>
        <w:widowControl/>
        <w:numPr>
          <w:ilvl w:val="0"/>
          <w:numId w:val="2"/>
        </w:numPr>
        <w:spacing w:after="120"/>
        <w:ind w:left="284" w:hanging="284"/>
        <w:contextualSpacing w:val="0"/>
        <w:jc w:val="both"/>
        <w:rPr>
          <w:rFonts w:asciiTheme="minorHAnsi" w:hAnsiTheme="minorHAnsi" w:cstheme="minorHAnsi"/>
          <w:sz w:val="24"/>
          <w:szCs w:val="24"/>
        </w:rPr>
      </w:pPr>
      <w:proofErr w:type="spellStart"/>
      <w:r w:rsidRPr="0075660A">
        <w:rPr>
          <w:rFonts w:asciiTheme="minorHAnsi" w:hAnsiTheme="minorHAnsi" w:cstheme="minorHAnsi"/>
          <w:sz w:val="24"/>
          <w:szCs w:val="24"/>
        </w:rPr>
        <w:t>MZ</w:t>
      </w:r>
      <w:r w:rsidR="00156310">
        <w:rPr>
          <w:rFonts w:asciiTheme="minorHAnsi" w:hAnsiTheme="minorHAnsi" w:cstheme="minorHAnsi"/>
          <w:sz w:val="24"/>
          <w:szCs w:val="24"/>
        </w:rPr>
        <w:t>d</w:t>
      </w:r>
      <w:proofErr w:type="spellEnd"/>
    </w:p>
    <w:p w14:paraId="6AB64A72" w14:textId="77777777" w:rsidR="00C87E80" w:rsidRPr="0013289D" w:rsidRDefault="00C87E80" w:rsidP="0013289D">
      <w:pPr>
        <w:keepNext/>
        <w:widowControl/>
        <w:spacing w:before="120" w:after="120"/>
        <w:jc w:val="both"/>
        <w:rPr>
          <w:rFonts w:asciiTheme="minorHAnsi" w:eastAsia="Calibri" w:hAnsiTheme="minorHAnsi" w:cstheme="minorHAnsi"/>
          <w:b/>
          <w:sz w:val="24"/>
        </w:rPr>
      </w:pPr>
      <w:bookmarkStart w:id="7" w:name="_Toc125368945"/>
      <w:r w:rsidRPr="0013289D">
        <w:rPr>
          <w:rFonts w:asciiTheme="minorHAnsi" w:eastAsia="Calibri" w:hAnsiTheme="minorHAnsi" w:cstheme="minorHAnsi"/>
          <w:b/>
          <w:sz w:val="24"/>
        </w:rPr>
        <w:t>Oddlužení v roce 2014</w:t>
      </w:r>
      <w:bookmarkEnd w:id="7"/>
    </w:p>
    <w:p w14:paraId="6E52E016" w14:textId="273918A4" w:rsidR="00C87E80" w:rsidRPr="0075660A" w:rsidRDefault="008E09F4" w:rsidP="00527E83">
      <w:pPr>
        <w:widowControl/>
        <w:jc w:val="both"/>
        <w:rPr>
          <w:rFonts w:asciiTheme="minorHAnsi" w:hAnsiTheme="minorHAnsi" w:cstheme="minorHAnsi"/>
          <w:sz w:val="24"/>
          <w:szCs w:val="24"/>
        </w:rPr>
      </w:pPr>
      <w:r w:rsidRPr="0075660A">
        <w:rPr>
          <w:rFonts w:asciiTheme="minorHAnsi" w:hAnsiTheme="minorHAnsi" w:cstheme="minorHAnsi"/>
          <w:sz w:val="24"/>
          <w:szCs w:val="24"/>
        </w:rPr>
        <w:t xml:space="preserve">Před oddlužením v roce 2014 </w:t>
      </w:r>
      <w:r w:rsidR="00D634AB" w:rsidRPr="0075660A">
        <w:rPr>
          <w:rFonts w:asciiTheme="minorHAnsi" w:hAnsiTheme="minorHAnsi" w:cstheme="minorHAnsi"/>
          <w:sz w:val="24"/>
          <w:szCs w:val="24"/>
        </w:rPr>
        <w:t xml:space="preserve">FNB a </w:t>
      </w:r>
      <w:r w:rsidR="00C87E80" w:rsidRPr="0075660A">
        <w:rPr>
          <w:rFonts w:asciiTheme="minorHAnsi" w:hAnsiTheme="minorHAnsi" w:cstheme="minorHAnsi"/>
          <w:sz w:val="24"/>
          <w:szCs w:val="24"/>
        </w:rPr>
        <w:t>FNUSA</w:t>
      </w:r>
      <w:r w:rsidR="00B76D3E" w:rsidRPr="0075660A">
        <w:rPr>
          <w:rFonts w:asciiTheme="minorHAnsi" w:hAnsiTheme="minorHAnsi" w:cstheme="minorHAnsi"/>
          <w:sz w:val="24"/>
          <w:szCs w:val="24"/>
        </w:rPr>
        <w:t xml:space="preserve"> nehradily </w:t>
      </w:r>
      <w:r w:rsidR="00133414">
        <w:rPr>
          <w:rFonts w:asciiTheme="minorHAnsi" w:hAnsiTheme="minorHAnsi" w:cstheme="minorHAnsi"/>
          <w:sz w:val="24"/>
          <w:szCs w:val="24"/>
        </w:rPr>
        <w:t xml:space="preserve">všechny </w:t>
      </w:r>
      <w:r w:rsidR="00B76D3E" w:rsidRPr="0075660A">
        <w:rPr>
          <w:rFonts w:asciiTheme="minorHAnsi" w:hAnsiTheme="minorHAnsi" w:cstheme="minorHAnsi"/>
          <w:sz w:val="24"/>
          <w:szCs w:val="24"/>
        </w:rPr>
        <w:t>své závazky ve lhůtě splatnosti</w:t>
      </w:r>
      <w:r w:rsidRPr="0075660A">
        <w:rPr>
          <w:rFonts w:asciiTheme="minorHAnsi" w:hAnsiTheme="minorHAnsi" w:cstheme="minorHAnsi"/>
          <w:sz w:val="24"/>
          <w:szCs w:val="24"/>
        </w:rPr>
        <w:t xml:space="preserve"> a </w:t>
      </w:r>
      <w:r w:rsidR="006C449D" w:rsidRPr="0075660A">
        <w:rPr>
          <w:rFonts w:asciiTheme="minorHAnsi" w:hAnsiTheme="minorHAnsi" w:cstheme="minorHAnsi"/>
          <w:sz w:val="24"/>
          <w:szCs w:val="24"/>
        </w:rPr>
        <w:t>opakovaně vykazova</w:t>
      </w:r>
      <w:r w:rsidR="00156310">
        <w:rPr>
          <w:rFonts w:asciiTheme="minorHAnsi" w:hAnsiTheme="minorHAnsi" w:cstheme="minorHAnsi"/>
          <w:sz w:val="24"/>
          <w:szCs w:val="24"/>
        </w:rPr>
        <w:t>ly</w:t>
      </w:r>
      <w:r w:rsidRPr="0075660A">
        <w:rPr>
          <w:rFonts w:asciiTheme="minorHAnsi" w:hAnsiTheme="minorHAnsi" w:cstheme="minorHAnsi"/>
          <w:sz w:val="24"/>
          <w:szCs w:val="24"/>
        </w:rPr>
        <w:t xml:space="preserve"> kumulovan</w:t>
      </w:r>
      <w:r w:rsidR="006C449D" w:rsidRPr="0075660A">
        <w:rPr>
          <w:rFonts w:asciiTheme="minorHAnsi" w:hAnsiTheme="minorHAnsi" w:cstheme="minorHAnsi"/>
          <w:sz w:val="24"/>
          <w:szCs w:val="24"/>
        </w:rPr>
        <w:t>é ztráty</w:t>
      </w:r>
      <w:r w:rsidRPr="0075660A">
        <w:rPr>
          <w:rFonts w:asciiTheme="minorHAnsi" w:hAnsiTheme="minorHAnsi" w:cstheme="minorHAnsi"/>
          <w:sz w:val="24"/>
          <w:szCs w:val="24"/>
        </w:rPr>
        <w:t>.</w:t>
      </w:r>
      <w:r w:rsidR="00C87E80" w:rsidRPr="0075660A">
        <w:rPr>
          <w:rFonts w:asciiTheme="minorHAnsi" w:hAnsiTheme="minorHAnsi" w:cstheme="minorHAnsi"/>
          <w:sz w:val="24"/>
          <w:szCs w:val="24"/>
        </w:rPr>
        <w:t xml:space="preserve"> Vláda České republiky svým usnesením ze dne 30.</w:t>
      </w:r>
      <w:r w:rsidR="007C0133" w:rsidRPr="0075660A">
        <w:rPr>
          <w:rFonts w:asciiTheme="minorHAnsi" w:hAnsiTheme="minorHAnsi" w:cstheme="minorHAnsi"/>
          <w:sz w:val="24"/>
          <w:szCs w:val="24"/>
        </w:rPr>
        <w:t> </w:t>
      </w:r>
      <w:r w:rsidR="00C87E80" w:rsidRPr="0075660A">
        <w:rPr>
          <w:rFonts w:asciiTheme="minorHAnsi" w:hAnsiTheme="minorHAnsi" w:cstheme="minorHAnsi"/>
          <w:sz w:val="24"/>
          <w:szCs w:val="24"/>
        </w:rPr>
        <w:t>července 2014 č. 627</w:t>
      </w:r>
      <w:r w:rsidR="00C87E80" w:rsidRPr="0075660A">
        <w:rPr>
          <w:rStyle w:val="Znakapoznpodarou"/>
          <w:rFonts w:asciiTheme="minorHAnsi" w:hAnsiTheme="minorHAnsi" w:cstheme="minorHAnsi"/>
          <w:sz w:val="24"/>
          <w:szCs w:val="24"/>
        </w:rPr>
        <w:footnoteReference w:id="36"/>
      </w:r>
      <w:r w:rsidR="00C87E80" w:rsidRPr="0075660A">
        <w:rPr>
          <w:rFonts w:asciiTheme="minorHAnsi" w:hAnsiTheme="minorHAnsi" w:cstheme="minorHAnsi"/>
          <w:sz w:val="24"/>
          <w:szCs w:val="24"/>
        </w:rPr>
        <w:t xml:space="preserve"> schválila poskytnutí příspěvku na provoz FNUSA ve výši 500 mil.</w:t>
      </w:r>
      <w:r w:rsidR="00A626BE" w:rsidRPr="0075660A">
        <w:rPr>
          <w:rFonts w:asciiTheme="minorHAnsi" w:hAnsiTheme="minorHAnsi" w:cstheme="minorHAnsi"/>
          <w:sz w:val="24"/>
          <w:szCs w:val="24"/>
        </w:rPr>
        <w:t> </w:t>
      </w:r>
      <w:r w:rsidR="00C87E80" w:rsidRPr="0075660A">
        <w:rPr>
          <w:rFonts w:asciiTheme="minorHAnsi" w:hAnsiTheme="minorHAnsi" w:cstheme="minorHAnsi"/>
          <w:sz w:val="24"/>
          <w:szCs w:val="24"/>
        </w:rPr>
        <w:t xml:space="preserve">Kč a FNB ve výši 200 mil. Kč. </w:t>
      </w:r>
      <w:r w:rsidR="009A53B6">
        <w:rPr>
          <w:rFonts w:asciiTheme="minorHAnsi" w:hAnsiTheme="minorHAnsi" w:cstheme="minorHAnsi"/>
          <w:sz w:val="24"/>
          <w:szCs w:val="24"/>
        </w:rPr>
        <w:t>Přehled vývoje výsledku hospodaření obou FN je uveden v následující tabulce</w:t>
      </w:r>
      <w:r w:rsidR="00D21DF8">
        <w:rPr>
          <w:rFonts w:asciiTheme="minorHAnsi" w:hAnsiTheme="minorHAnsi" w:cstheme="minorHAnsi"/>
          <w:sz w:val="24"/>
          <w:szCs w:val="24"/>
        </w:rPr>
        <w:t>.</w:t>
      </w:r>
    </w:p>
    <w:p w14:paraId="2A730C4C" w14:textId="60314E63" w:rsidR="006D6821" w:rsidRPr="000172EE" w:rsidRDefault="006D6821" w:rsidP="003705E3">
      <w:pPr>
        <w:keepNext/>
        <w:shd w:val="clear" w:color="auto" w:fill="FFFFFF"/>
        <w:tabs>
          <w:tab w:val="right" w:pos="9070"/>
        </w:tabs>
        <w:spacing w:before="120" w:after="40"/>
        <w:jc w:val="both"/>
        <w:rPr>
          <w:rFonts w:asciiTheme="minorHAnsi" w:hAnsiTheme="minorHAnsi" w:cstheme="minorHAnsi"/>
          <w:b/>
          <w:sz w:val="24"/>
          <w:szCs w:val="24"/>
        </w:rPr>
      </w:pPr>
      <w:r w:rsidRPr="0075660A">
        <w:rPr>
          <w:rFonts w:asciiTheme="minorHAnsi" w:hAnsiTheme="minorHAnsi" w:cstheme="minorHAnsi"/>
          <w:b/>
          <w:sz w:val="24"/>
          <w:szCs w:val="24"/>
        </w:rPr>
        <w:t xml:space="preserve">Tabulka č. </w:t>
      </w:r>
      <w:r w:rsidR="00895A10">
        <w:rPr>
          <w:rFonts w:asciiTheme="minorHAnsi" w:hAnsiTheme="minorHAnsi" w:cstheme="minorHAnsi"/>
          <w:b/>
          <w:sz w:val="24"/>
          <w:szCs w:val="24"/>
        </w:rPr>
        <w:t>4</w:t>
      </w:r>
      <w:r w:rsidRPr="0075660A">
        <w:rPr>
          <w:rFonts w:asciiTheme="minorHAnsi" w:hAnsiTheme="minorHAnsi" w:cstheme="minorHAnsi"/>
          <w:b/>
          <w:sz w:val="24"/>
          <w:szCs w:val="24"/>
        </w:rPr>
        <w:t xml:space="preserve">: Výsledek hospodaření FNB a FNUSA v letech 2014 </w:t>
      </w:r>
      <w:r w:rsidR="009A53B6">
        <w:rPr>
          <w:rFonts w:asciiTheme="minorHAnsi" w:hAnsiTheme="minorHAnsi" w:cstheme="minorHAnsi"/>
          <w:b/>
          <w:sz w:val="24"/>
          <w:szCs w:val="24"/>
        </w:rPr>
        <w:t>až</w:t>
      </w:r>
      <w:r w:rsidRPr="0075660A">
        <w:rPr>
          <w:rFonts w:asciiTheme="minorHAnsi" w:hAnsiTheme="minorHAnsi" w:cstheme="minorHAnsi"/>
          <w:b/>
          <w:sz w:val="24"/>
          <w:szCs w:val="24"/>
        </w:rPr>
        <w:t xml:space="preserve"> 2019</w:t>
      </w:r>
      <w:r w:rsidRPr="0075660A">
        <w:rPr>
          <w:rFonts w:asciiTheme="minorHAnsi" w:hAnsiTheme="minorHAnsi" w:cstheme="minorHAnsi"/>
          <w:b/>
          <w:bCs/>
          <w:iCs/>
        </w:rPr>
        <w:tab/>
      </w:r>
      <w:r w:rsidRPr="0075660A">
        <w:rPr>
          <w:rFonts w:asciiTheme="minorHAnsi" w:hAnsiTheme="minorHAnsi" w:cstheme="minorHAnsi"/>
          <w:b/>
          <w:sz w:val="24"/>
          <w:szCs w:val="24"/>
        </w:rPr>
        <w:t>(v tis. Kč)</w:t>
      </w:r>
    </w:p>
    <w:tbl>
      <w:tblPr>
        <w:tblW w:w="9119" w:type="dxa"/>
        <w:jc w:val="center"/>
        <w:tblLayout w:type="fixed"/>
        <w:tblCellMar>
          <w:left w:w="70" w:type="dxa"/>
          <w:right w:w="70" w:type="dxa"/>
        </w:tblCellMar>
        <w:tblLook w:val="04A0" w:firstRow="1" w:lastRow="0" w:firstColumn="1" w:lastColumn="0" w:noHBand="0" w:noVBand="1"/>
      </w:tblPr>
      <w:tblGrid>
        <w:gridCol w:w="614"/>
        <w:gridCol w:w="2665"/>
        <w:gridCol w:w="964"/>
        <w:gridCol w:w="964"/>
        <w:gridCol w:w="964"/>
        <w:gridCol w:w="964"/>
        <w:gridCol w:w="992"/>
        <w:gridCol w:w="992"/>
      </w:tblGrid>
      <w:tr w:rsidR="00162872" w14:paraId="3FEBF7BA" w14:textId="77777777" w:rsidTr="003705E3">
        <w:trPr>
          <w:trHeight w:val="255"/>
          <w:jc w:val="center"/>
        </w:trPr>
        <w:tc>
          <w:tcPr>
            <w:tcW w:w="614" w:type="dxa"/>
            <w:tcBorders>
              <w:top w:val="single" w:sz="4" w:space="0" w:color="auto"/>
              <w:left w:val="single" w:sz="4" w:space="0" w:color="auto"/>
              <w:bottom w:val="single" w:sz="4" w:space="0" w:color="auto"/>
              <w:right w:val="single" w:sz="4" w:space="0" w:color="auto"/>
            </w:tcBorders>
            <w:shd w:val="clear" w:color="auto" w:fill="E5F1FF"/>
          </w:tcPr>
          <w:p w14:paraId="40FEC090" w14:textId="77777777" w:rsidR="006D6821" w:rsidRPr="000172EE" w:rsidRDefault="006D6821" w:rsidP="0065757C">
            <w:pPr>
              <w:keepNext/>
              <w:rPr>
                <w:rFonts w:asciiTheme="minorHAnsi" w:hAnsiTheme="minorHAnsi" w:cstheme="minorHAnsi"/>
                <w:color w:val="000000"/>
                <w:sz w:val="17"/>
                <w:szCs w:val="17"/>
              </w:rPr>
            </w:pPr>
          </w:p>
        </w:tc>
        <w:tc>
          <w:tcPr>
            <w:tcW w:w="2665"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AAB9794" w14:textId="2FB15460" w:rsidR="006D6821" w:rsidRPr="000172EE" w:rsidRDefault="006D6821" w:rsidP="003705E3">
            <w:pPr>
              <w:keepNext/>
              <w:rPr>
                <w:rFonts w:asciiTheme="minorHAnsi" w:hAnsiTheme="minorHAnsi" w:cstheme="minorHAnsi"/>
                <w:color w:val="000000"/>
                <w:sz w:val="17"/>
                <w:szCs w:val="17"/>
              </w:rPr>
            </w:pPr>
          </w:p>
        </w:tc>
        <w:tc>
          <w:tcPr>
            <w:tcW w:w="964" w:type="dxa"/>
            <w:tcBorders>
              <w:top w:val="single" w:sz="4" w:space="0" w:color="auto"/>
              <w:left w:val="nil"/>
              <w:bottom w:val="single" w:sz="4" w:space="0" w:color="auto"/>
              <w:right w:val="single" w:sz="4" w:space="0" w:color="auto"/>
            </w:tcBorders>
            <w:shd w:val="clear" w:color="auto" w:fill="E5F1FF"/>
            <w:noWrap/>
            <w:vAlign w:val="center"/>
            <w:hideMark/>
          </w:tcPr>
          <w:p w14:paraId="43E2C5AF" w14:textId="77777777" w:rsidR="006D6821" w:rsidRPr="000172EE" w:rsidRDefault="006D6821" w:rsidP="0065757C">
            <w:pPr>
              <w:keepNext/>
              <w:jc w:val="center"/>
              <w:rPr>
                <w:rFonts w:asciiTheme="minorHAnsi" w:hAnsiTheme="minorHAnsi" w:cstheme="minorHAnsi"/>
                <w:b/>
                <w:bCs/>
                <w:color w:val="000000"/>
                <w:sz w:val="17"/>
                <w:szCs w:val="17"/>
              </w:rPr>
            </w:pPr>
            <w:r w:rsidRPr="000172EE">
              <w:rPr>
                <w:rFonts w:asciiTheme="minorHAnsi" w:hAnsiTheme="minorHAnsi" w:cstheme="minorHAnsi"/>
                <w:b/>
                <w:bCs/>
                <w:color w:val="000000"/>
                <w:sz w:val="17"/>
                <w:szCs w:val="17"/>
              </w:rPr>
              <w:t>2014</w:t>
            </w:r>
          </w:p>
        </w:tc>
        <w:tc>
          <w:tcPr>
            <w:tcW w:w="964" w:type="dxa"/>
            <w:tcBorders>
              <w:top w:val="single" w:sz="4" w:space="0" w:color="auto"/>
              <w:left w:val="nil"/>
              <w:bottom w:val="single" w:sz="4" w:space="0" w:color="auto"/>
              <w:right w:val="single" w:sz="4" w:space="0" w:color="auto"/>
            </w:tcBorders>
            <w:shd w:val="clear" w:color="auto" w:fill="E5F1FF"/>
            <w:noWrap/>
            <w:vAlign w:val="center"/>
            <w:hideMark/>
          </w:tcPr>
          <w:p w14:paraId="6DC697E6" w14:textId="77777777" w:rsidR="006D6821" w:rsidRPr="000172EE" w:rsidRDefault="006D6821" w:rsidP="0065757C">
            <w:pPr>
              <w:keepNext/>
              <w:jc w:val="center"/>
              <w:rPr>
                <w:rFonts w:asciiTheme="minorHAnsi" w:hAnsiTheme="minorHAnsi" w:cstheme="minorHAnsi"/>
                <w:b/>
                <w:bCs/>
                <w:color w:val="000000"/>
                <w:sz w:val="17"/>
                <w:szCs w:val="17"/>
              </w:rPr>
            </w:pPr>
            <w:r w:rsidRPr="000172EE">
              <w:rPr>
                <w:rFonts w:asciiTheme="minorHAnsi" w:hAnsiTheme="minorHAnsi" w:cstheme="minorHAnsi"/>
                <w:b/>
                <w:bCs/>
                <w:color w:val="000000"/>
                <w:sz w:val="17"/>
                <w:szCs w:val="17"/>
              </w:rPr>
              <w:t>2015</w:t>
            </w:r>
          </w:p>
        </w:tc>
        <w:tc>
          <w:tcPr>
            <w:tcW w:w="964" w:type="dxa"/>
            <w:tcBorders>
              <w:top w:val="single" w:sz="4" w:space="0" w:color="auto"/>
              <w:left w:val="nil"/>
              <w:bottom w:val="single" w:sz="4" w:space="0" w:color="auto"/>
              <w:right w:val="single" w:sz="4" w:space="0" w:color="auto"/>
            </w:tcBorders>
            <w:shd w:val="clear" w:color="auto" w:fill="E5F1FF"/>
            <w:noWrap/>
            <w:vAlign w:val="center"/>
            <w:hideMark/>
          </w:tcPr>
          <w:p w14:paraId="76BE3DC6" w14:textId="77777777" w:rsidR="006D6821" w:rsidRPr="000172EE" w:rsidRDefault="006D6821" w:rsidP="0065757C">
            <w:pPr>
              <w:keepNext/>
              <w:jc w:val="center"/>
              <w:rPr>
                <w:rFonts w:asciiTheme="minorHAnsi" w:hAnsiTheme="minorHAnsi" w:cstheme="minorHAnsi"/>
                <w:b/>
                <w:bCs/>
                <w:color w:val="000000"/>
                <w:sz w:val="17"/>
                <w:szCs w:val="17"/>
              </w:rPr>
            </w:pPr>
            <w:r w:rsidRPr="000172EE">
              <w:rPr>
                <w:rFonts w:asciiTheme="minorHAnsi" w:hAnsiTheme="minorHAnsi" w:cstheme="minorHAnsi"/>
                <w:b/>
                <w:bCs/>
                <w:color w:val="000000"/>
                <w:sz w:val="17"/>
                <w:szCs w:val="17"/>
              </w:rPr>
              <w:t>2016</w:t>
            </w:r>
          </w:p>
        </w:tc>
        <w:tc>
          <w:tcPr>
            <w:tcW w:w="964" w:type="dxa"/>
            <w:tcBorders>
              <w:top w:val="single" w:sz="4" w:space="0" w:color="auto"/>
              <w:left w:val="nil"/>
              <w:bottom w:val="single" w:sz="4" w:space="0" w:color="auto"/>
              <w:right w:val="single" w:sz="4" w:space="0" w:color="auto"/>
            </w:tcBorders>
            <w:shd w:val="clear" w:color="auto" w:fill="E5F1FF"/>
            <w:noWrap/>
            <w:vAlign w:val="center"/>
            <w:hideMark/>
          </w:tcPr>
          <w:p w14:paraId="7B54D26E" w14:textId="77777777" w:rsidR="006D6821" w:rsidRPr="000172EE" w:rsidRDefault="006D6821" w:rsidP="0065757C">
            <w:pPr>
              <w:keepNext/>
              <w:jc w:val="center"/>
              <w:rPr>
                <w:rFonts w:asciiTheme="minorHAnsi" w:hAnsiTheme="minorHAnsi" w:cstheme="minorHAnsi"/>
                <w:b/>
                <w:bCs/>
                <w:color w:val="000000"/>
                <w:sz w:val="17"/>
                <w:szCs w:val="17"/>
              </w:rPr>
            </w:pPr>
            <w:r w:rsidRPr="000172EE">
              <w:rPr>
                <w:rFonts w:asciiTheme="minorHAnsi" w:hAnsiTheme="minorHAnsi" w:cstheme="minorHAnsi"/>
                <w:b/>
                <w:bCs/>
                <w:color w:val="000000"/>
                <w:sz w:val="17"/>
                <w:szCs w:val="17"/>
              </w:rPr>
              <w:t>2017</w:t>
            </w:r>
          </w:p>
        </w:tc>
        <w:tc>
          <w:tcPr>
            <w:tcW w:w="992" w:type="dxa"/>
            <w:tcBorders>
              <w:top w:val="single" w:sz="4" w:space="0" w:color="auto"/>
              <w:left w:val="nil"/>
              <w:bottom w:val="single" w:sz="4" w:space="0" w:color="auto"/>
              <w:right w:val="single" w:sz="4" w:space="0" w:color="auto"/>
            </w:tcBorders>
            <w:shd w:val="clear" w:color="auto" w:fill="E5F1FF"/>
            <w:noWrap/>
            <w:vAlign w:val="center"/>
            <w:hideMark/>
          </w:tcPr>
          <w:p w14:paraId="0019CFC2" w14:textId="77777777" w:rsidR="006D6821" w:rsidRPr="000172EE" w:rsidRDefault="006D6821" w:rsidP="0065757C">
            <w:pPr>
              <w:keepNext/>
              <w:jc w:val="center"/>
              <w:rPr>
                <w:rFonts w:asciiTheme="minorHAnsi" w:hAnsiTheme="minorHAnsi" w:cstheme="minorHAnsi"/>
                <w:b/>
                <w:bCs/>
                <w:color w:val="000000"/>
                <w:sz w:val="17"/>
                <w:szCs w:val="17"/>
              </w:rPr>
            </w:pPr>
            <w:r w:rsidRPr="000172EE">
              <w:rPr>
                <w:rFonts w:asciiTheme="minorHAnsi" w:hAnsiTheme="minorHAnsi" w:cstheme="minorHAnsi"/>
                <w:b/>
                <w:bCs/>
                <w:color w:val="000000"/>
                <w:sz w:val="17"/>
                <w:szCs w:val="17"/>
              </w:rPr>
              <w:t>2018</w:t>
            </w:r>
          </w:p>
        </w:tc>
        <w:tc>
          <w:tcPr>
            <w:tcW w:w="992" w:type="dxa"/>
            <w:tcBorders>
              <w:top w:val="single" w:sz="4" w:space="0" w:color="auto"/>
              <w:left w:val="nil"/>
              <w:bottom w:val="single" w:sz="4" w:space="0" w:color="auto"/>
              <w:right w:val="single" w:sz="4" w:space="0" w:color="auto"/>
            </w:tcBorders>
            <w:shd w:val="clear" w:color="auto" w:fill="E5F1FF"/>
            <w:noWrap/>
            <w:vAlign w:val="center"/>
            <w:hideMark/>
          </w:tcPr>
          <w:p w14:paraId="7943FA73" w14:textId="77777777" w:rsidR="006D6821" w:rsidRPr="000172EE" w:rsidRDefault="006D6821" w:rsidP="0065757C">
            <w:pPr>
              <w:keepNext/>
              <w:jc w:val="center"/>
              <w:rPr>
                <w:rFonts w:asciiTheme="minorHAnsi" w:hAnsiTheme="minorHAnsi" w:cstheme="minorHAnsi"/>
                <w:b/>
                <w:bCs/>
                <w:color w:val="000000"/>
                <w:sz w:val="17"/>
                <w:szCs w:val="17"/>
              </w:rPr>
            </w:pPr>
            <w:r w:rsidRPr="000172EE">
              <w:rPr>
                <w:rFonts w:asciiTheme="minorHAnsi" w:hAnsiTheme="minorHAnsi" w:cstheme="minorHAnsi"/>
                <w:b/>
                <w:bCs/>
                <w:color w:val="000000"/>
                <w:sz w:val="17"/>
                <w:szCs w:val="17"/>
              </w:rPr>
              <w:t>2019</w:t>
            </w:r>
          </w:p>
        </w:tc>
      </w:tr>
      <w:tr w:rsidR="00162872" w14:paraId="3E0C072D" w14:textId="77777777" w:rsidTr="003705E3">
        <w:trPr>
          <w:trHeight w:val="255"/>
          <w:jc w:val="center"/>
        </w:trPr>
        <w:tc>
          <w:tcPr>
            <w:tcW w:w="614" w:type="dxa"/>
            <w:vMerge w:val="restart"/>
            <w:tcBorders>
              <w:top w:val="nil"/>
              <w:left w:val="single" w:sz="4" w:space="0" w:color="auto"/>
              <w:right w:val="single" w:sz="4" w:space="0" w:color="auto"/>
            </w:tcBorders>
            <w:vAlign w:val="center"/>
          </w:tcPr>
          <w:p w14:paraId="711D23C6" w14:textId="5A82CAE3" w:rsidR="006D6821" w:rsidRPr="000172EE" w:rsidRDefault="006D6821" w:rsidP="0032362C">
            <w:pPr>
              <w:keepNext/>
              <w:rPr>
                <w:rFonts w:asciiTheme="minorHAnsi" w:hAnsiTheme="minorHAnsi" w:cstheme="minorHAnsi"/>
                <w:bCs/>
                <w:color w:val="000000"/>
                <w:sz w:val="17"/>
                <w:szCs w:val="17"/>
              </w:rPr>
            </w:pPr>
            <w:r w:rsidRPr="000172EE">
              <w:rPr>
                <w:rFonts w:asciiTheme="minorHAnsi" w:hAnsiTheme="minorHAnsi" w:cstheme="minorHAnsi"/>
                <w:bCs/>
                <w:color w:val="000000"/>
                <w:sz w:val="17"/>
                <w:szCs w:val="17"/>
              </w:rPr>
              <w:t>FNB</w:t>
            </w:r>
          </w:p>
        </w:tc>
        <w:tc>
          <w:tcPr>
            <w:tcW w:w="2665" w:type="dxa"/>
            <w:tcBorders>
              <w:top w:val="nil"/>
              <w:left w:val="single" w:sz="4" w:space="0" w:color="auto"/>
              <w:bottom w:val="single" w:sz="4" w:space="0" w:color="auto"/>
              <w:right w:val="single" w:sz="4" w:space="0" w:color="auto"/>
            </w:tcBorders>
            <w:shd w:val="clear" w:color="auto" w:fill="auto"/>
            <w:noWrap/>
            <w:vAlign w:val="center"/>
          </w:tcPr>
          <w:p w14:paraId="5A8B7C0D" w14:textId="66AE591A" w:rsidR="006D6821" w:rsidRPr="000172EE" w:rsidRDefault="006D6821" w:rsidP="003705E3">
            <w:pPr>
              <w:keepNext/>
              <w:rPr>
                <w:rFonts w:asciiTheme="minorHAnsi" w:hAnsiTheme="minorHAnsi" w:cstheme="minorHAnsi"/>
                <w:bCs/>
                <w:color w:val="000000"/>
                <w:sz w:val="17"/>
                <w:szCs w:val="17"/>
              </w:rPr>
            </w:pPr>
            <w:r w:rsidRPr="000172EE">
              <w:rPr>
                <w:rFonts w:asciiTheme="minorHAnsi" w:hAnsiTheme="minorHAnsi" w:cstheme="minorHAnsi"/>
                <w:bCs/>
                <w:color w:val="000000"/>
                <w:sz w:val="17"/>
                <w:szCs w:val="17"/>
              </w:rPr>
              <w:t>Výsledek hospodaření běžného účetního období</w:t>
            </w:r>
          </w:p>
        </w:tc>
        <w:tc>
          <w:tcPr>
            <w:tcW w:w="964" w:type="dxa"/>
            <w:tcBorders>
              <w:top w:val="nil"/>
              <w:left w:val="nil"/>
              <w:bottom w:val="single" w:sz="4" w:space="0" w:color="auto"/>
              <w:right w:val="single" w:sz="4" w:space="0" w:color="auto"/>
            </w:tcBorders>
            <w:shd w:val="clear" w:color="auto" w:fill="auto"/>
            <w:noWrap/>
            <w:vAlign w:val="center"/>
          </w:tcPr>
          <w:p w14:paraId="3422E4A0" w14:textId="499D3733"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214 513</w:t>
            </w:r>
          </w:p>
        </w:tc>
        <w:tc>
          <w:tcPr>
            <w:tcW w:w="964" w:type="dxa"/>
            <w:tcBorders>
              <w:top w:val="nil"/>
              <w:left w:val="nil"/>
              <w:bottom w:val="single" w:sz="4" w:space="0" w:color="auto"/>
              <w:right w:val="single" w:sz="4" w:space="0" w:color="auto"/>
            </w:tcBorders>
            <w:shd w:val="clear" w:color="auto" w:fill="auto"/>
            <w:noWrap/>
            <w:vAlign w:val="center"/>
          </w:tcPr>
          <w:p w14:paraId="39A9A92A" w14:textId="2F5B89ED"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31 598</w:t>
            </w:r>
          </w:p>
        </w:tc>
        <w:tc>
          <w:tcPr>
            <w:tcW w:w="964" w:type="dxa"/>
            <w:tcBorders>
              <w:top w:val="nil"/>
              <w:left w:val="nil"/>
              <w:bottom w:val="single" w:sz="4" w:space="0" w:color="auto"/>
              <w:right w:val="single" w:sz="4" w:space="0" w:color="auto"/>
            </w:tcBorders>
            <w:shd w:val="clear" w:color="auto" w:fill="auto"/>
            <w:noWrap/>
            <w:vAlign w:val="center"/>
          </w:tcPr>
          <w:p w14:paraId="3CCB7E55" w14:textId="65C7203D"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2 439</w:t>
            </w:r>
          </w:p>
        </w:tc>
        <w:tc>
          <w:tcPr>
            <w:tcW w:w="964" w:type="dxa"/>
            <w:tcBorders>
              <w:top w:val="nil"/>
              <w:left w:val="nil"/>
              <w:bottom w:val="single" w:sz="4" w:space="0" w:color="auto"/>
              <w:right w:val="single" w:sz="4" w:space="0" w:color="auto"/>
            </w:tcBorders>
            <w:shd w:val="clear" w:color="auto" w:fill="auto"/>
            <w:noWrap/>
            <w:vAlign w:val="center"/>
          </w:tcPr>
          <w:p w14:paraId="65BA670E" w14:textId="232CA784"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384</w:t>
            </w:r>
          </w:p>
        </w:tc>
        <w:tc>
          <w:tcPr>
            <w:tcW w:w="992" w:type="dxa"/>
            <w:tcBorders>
              <w:top w:val="nil"/>
              <w:left w:val="nil"/>
              <w:bottom w:val="single" w:sz="4" w:space="0" w:color="auto"/>
              <w:right w:val="single" w:sz="4" w:space="0" w:color="auto"/>
            </w:tcBorders>
            <w:shd w:val="clear" w:color="auto" w:fill="auto"/>
            <w:noWrap/>
            <w:vAlign w:val="center"/>
          </w:tcPr>
          <w:p w14:paraId="3B107EAB" w14:textId="54732138"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259 954</w:t>
            </w:r>
          </w:p>
        </w:tc>
        <w:tc>
          <w:tcPr>
            <w:tcW w:w="992" w:type="dxa"/>
            <w:tcBorders>
              <w:top w:val="nil"/>
              <w:left w:val="nil"/>
              <w:bottom w:val="single" w:sz="4" w:space="0" w:color="auto"/>
              <w:right w:val="single" w:sz="4" w:space="0" w:color="auto"/>
            </w:tcBorders>
            <w:shd w:val="clear" w:color="auto" w:fill="auto"/>
            <w:noWrap/>
            <w:vAlign w:val="center"/>
          </w:tcPr>
          <w:p w14:paraId="02D84642" w14:textId="5FCE52C9"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253 174</w:t>
            </w:r>
          </w:p>
        </w:tc>
      </w:tr>
      <w:tr w:rsidR="00162872" w14:paraId="1C296A0E" w14:textId="77777777" w:rsidTr="003705E3">
        <w:trPr>
          <w:trHeight w:val="255"/>
          <w:jc w:val="center"/>
        </w:trPr>
        <w:tc>
          <w:tcPr>
            <w:tcW w:w="614" w:type="dxa"/>
            <w:vMerge/>
            <w:tcBorders>
              <w:left w:val="single" w:sz="4" w:space="0" w:color="auto"/>
              <w:bottom w:val="single" w:sz="4" w:space="0" w:color="auto"/>
              <w:right w:val="single" w:sz="4" w:space="0" w:color="auto"/>
            </w:tcBorders>
            <w:vAlign w:val="center"/>
          </w:tcPr>
          <w:p w14:paraId="3CF79683" w14:textId="77777777" w:rsidR="006D6821" w:rsidRPr="000172EE" w:rsidRDefault="006D6821" w:rsidP="0032362C">
            <w:pPr>
              <w:keepNext/>
              <w:rPr>
                <w:rFonts w:asciiTheme="minorHAnsi" w:hAnsiTheme="minorHAnsi" w:cstheme="minorHAnsi"/>
                <w:bCs/>
                <w:color w:val="000000"/>
                <w:sz w:val="17"/>
                <w:szCs w:val="17"/>
              </w:rPr>
            </w:pPr>
          </w:p>
        </w:tc>
        <w:tc>
          <w:tcPr>
            <w:tcW w:w="2665" w:type="dxa"/>
            <w:tcBorders>
              <w:top w:val="nil"/>
              <w:left w:val="single" w:sz="4" w:space="0" w:color="auto"/>
              <w:bottom w:val="single" w:sz="4" w:space="0" w:color="auto"/>
              <w:right w:val="single" w:sz="4" w:space="0" w:color="auto"/>
            </w:tcBorders>
            <w:shd w:val="clear" w:color="auto" w:fill="auto"/>
            <w:noWrap/>
            <w:vAlign w:val="center"/>
          </w:tcPr>
          <w:p w14:paraId="6E7C21D6" w14:textId="3E581B5B" w:rsidR="006D6821" w:rsidRPr="000172EE" w:rsidRDefault="006D6821" w:rsidP="003705E3">
            <w:pPr>
              <w:keepNext/>
              <w:rPr>
                <w:rFonts w:asciiTheme="minorHAnsi" w:hAnsiTheme="minorHAnsi" w:cstheme="minorHAnsi"/>
                <w:bCs/>
                <w:color w:val="000000"/>
                <w:sz w:val="17"/>
                <w:szCs w:val="17"/>
              </w:rPr>
            </w:pPr>
            <w:r w:rsidRPr="000172EE">
              <w:rPr>
                <w:rFonts w:asciiTheme="minorHAnsi" w:hAnsiTheme="minorHAnsi" w:cstheme="minorHAnsi"/>
                <w:bCs/>
                <w:color w:val="000000"/>
                <w:sz w:val="17"/>
                <w:szCs w:val="17"/>
              </w:rPr>
              <w:t>Výsledek hospodaření (kumulovaný)</w:t>
            </w:r>
          </w:p>
        </w:tc>
        <w:tc>
          <w:tcPr>
            <w:tcW w:w="964" w:type="dxa"/>
            <w:tcBorders>
              <w:top w:val="nil"/>
              <w:left w:val="nil"/>
              <w:bottom w:val="single" w:sz="4" w:space="0" w:color="auto"/>
              <w:right w:val="single" w:sz="4" w:space="0" w:color="auto"/>
            </w:tcBorders>
            <w:shd w:val="clear" w:color="auto" w:fill="auto"/>
            <w:noWrap/>
            <w:vAlign w:val="center"/>
          </w:tcPr>
          <w:p w14:paraId="2B2B1371" w14:textId="094AC303" w:rsidR="006D6821" w:rsidRPr="000172EE" w:rsidRDefault="00156310"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520 196</w:t>
            </w:r>
          </w:p>
        </w:tc>
        <w:tc>
          <w:tcPr>
            <w:tcW w:w="964" w:type="dxa"/>
            <w:tcBorders>
              <w:top w:val="nil"/>
              <w:left w:val="nil"/>
              <w:bottom w:val="single" w:sz="4" w:space="0" w:color="auto"/>
              <w:right w:val="single" w:sz="4" w:space="0" w:color="auto"/>
            </w:tcBorders>
            <w:shd w:val="clear" w:color="auto" w:fill="auto"/>
            <w:noWrap/>
            <w:vAlign w:val="center"/>
          </w:tcPr>
          <w:p w14:paraId="2E95A3E7" w14:textId="14280357"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488 598</w:t>
            </w:r>
          </w:p>
        </w:tc>
        <w:tc>
          <w:tcPr>
            <w:tcW w:w="964" w:type="dxa"/>
            <w:tcBorders>
              <w:top w:val="nil"/>
              <w:left w:val="nil"/>
              <w:bottom w:val="single" w:sz="4" w:space="0" w:color="auto"/>
              <w:right w:val="single" w:sz="4" w:space="0" w:color="auto"/>
            </w:tcBorders>
            <w:shd w:val="clear" w:color="auto" w:fill="auto"/>
            <w:noWrap/>
            <w:vAlign w:val="center"/>
          </w:tcPr>
          <w:p w14:paraId="3DBDA431" w14:textId="5E14CB63"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486 159</w:t>
            </w:r>
          </w:p>
        </w:tc>
        <w:tc>
          <w:tcPr>
            <w:tcW w:w="964" w:type="dxa"/>
            <w:tcBorders>
              <w:top w:val="nil"/>
              <w:left w:val="nil"/>
              <w:bottom w:val="single" w:sz="4" w:space="0" w:color="auto"/>
              <w:right w:val="single" w:sz="4" w:space="0" w:color="auto"/>
            </w:tcBorders>
            <w:shd w:val="clear" w:color="auto" w:fill="auto"/>
            <w:noWrap/>
            <w:vAlign w:val="center"/>
          </w:tcPr>
          <w:p w14:paraId="2F50CC62" w14:textId="32A61AE4"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-485 775</w:t>
            </w:r>
          </w:p>
        </w:tc>
        <w:tc>
          <w:tcPr>
            <w:tcW w:w="992" w:type="dxa"/>
            <w:tcBorders>
              <w:top w:val="nil"/>
              <w:left w:val="nil"/>
              <w:bottom w:val="single" w:sz="4" w:space="0" w:color="auto"/>
              <w:right w:val="single" w:sz="4" w:space="0" w:color="auto"/>
            </w:tcBorders>
            <w:shd w:val="clear" w:color="auto" w:fill="auto"/>
            <w:noWrap/>
            <w:vAlign w:val="center"/>
          </w:tcPr>
          <w:p w14:paraId="49BDAA9C" w14:textId="5ECB8A4D"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745 729</w:t>
            </w:r>
          </w:p>
        </w:tc>
        <w:tc>
          <w:tcPr>
            <w:tcW w:w="992" w:type="dxa"/>
            <w:tcBorders>
              <w:top w:val="nil"/>
              <w:left w:val="nil"/>
              <w:bottom w:val="single" w:sz="4" w:space="0" w:color="auto"/>
              <w:right w:val="single" w:sz="4" w:space="0" w:color="auto"/>
            </w:tcBorders>
            <w:shd w:val="clear" w:color="auto" w:fill="auto"/>
            <w:noWrap/>
            <w:vAlign w:val="center"/>
          </w:tcPr>
          <w:p w14:paraId="0C4708CD" w14:textId="4185970C"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998 903</w:t>
            </w:r>
          </w:p>
        </w:tc>
      </w:tr>
      <w:tr w:rsidR="00162872" w14:paraId="3265669C" w14:textId="77777777" w:rsidTr="003705E3">
        <w:trPr>
          <w:trHeight w:val="255"/>
          <w:jc w:val="center"/>
        </w:trPr>
        <w:tc>
          <w:tcPr>
            <w:tcW w:w="614" w:type="dxa"/>
            <w:vMerge w:val="restart"/>
            <w:tcBorders>
              <w:top w:val="nil"/>
              <w:left w:val="single" w:sz="4" w:space="0" w:color="auto"/>
              <w:right w:val="single" w:sz="4" w:space="0" w:color="auto"/>
            </w:tcBorders>
            <w:vAlign w:val="center"/>
          </w:tcPr>
          <w:p w14:paraId="5ABEDD96" w14:textId="33374CC6" w:rsidR="006D6821" w:rsidRPr="000172EE" w:rsidRDefault="006D6821" w:rsidP="0032362C">
            <w:pPr>
              <w:keepNext/>
              <w:rPr>
                <w:rFonts w:asciiTheme="minorHAnsi" w:hAnsiTheme="minorHAnsi" w:cstheme="minorHAnsi"/>
                <w:bCs/>
                <w:color w:val="000000"/>
                <w:sz w:val="17"/>
                <w:szCs w:val="17"/>
              </w:rPr>
            </w:pPr>
            <w:r w:rsidRPr="000172EE">
              <w:rPr>
                <w:rFonts w:asciiTheme="minorHAnsi" w:hAnsiTheme="minorHAnsi" w:cstheme="minorHAnsi"/>
                <w:bCs/>
                <w:color w:val="000000"/>
                <w:sz w:val="17"/>
                <w:szCs w:val="17"/>
              </w:rPr>
              <w:t>FNUSA</w:t>
            </w:r>
          </w:p>
        </w:tc>
        <w:tc>
          <w:tcPr>
            <w:tcW w:w="2665" w:type="dxa"/>
            <w:tcBorders>
              <w:top w:val="nil"/>
              <w:left w:val="single" w:sz="4" w:space="0" w:color="auto"/>
              <w:bottom w:val="single" w:sz="4" w:space="0" w:color="auto"/>
              <w:right w:val="single" w:sz="4" w:space="0" w:color="auto"/>
            </w:tcBorders>
            <w:shd w:val="clear" w:color="auto" w:fill="auto"/>
            <w:noWrap/>
            <w:vAlign w:val="center"/>
          </w:tcPr>
          <w:p w14:paraId="7BD65CCB" w14:textId="6C8E63EA" w:rsidR="006D6821" w:rsidRPr="000172EE" w:rsidRDefault="006D6821" w:rsidP="003705E3">
            <w:pPr>
              <w:keepNext/>
              <w:rPr>
                <w:rFonts w:asciiTheme="minorHAnsi" w:hAnsiTheme="minorHAnsi" w:cstheme="minorHAnsi"/>
                <w:bCs/>
                <w:color w:val="000000"/>
                <w:sz w:val="17"/>
                <w:szCs w:val="17"/>
              </w:rPr>
            </w:pPr>
            <w:r w:rsidRPr="000172EE">
              <w:rPr>
                <w:rFonts w:asciiTheme="minorHAnsi" w:hAnsiTheme="minorHAnsi" w:cstheme="minorHAnsi"/>
                <w:bCs/>
                <w:color w:val="000000"/>
                <w:sz w:val="17"/>
                <w:szCs w:val="17"/>
              </w:rPr>
              <w:t>Výsledek hospodaření běžného účetního období</w:t>
            </w:r>
          </w:p>
        </w:tc>
        <w:tc>
          <w:tcPr>
            <w:tcW w:w="964" w:type="dxa"/>
            <w:tcBorders>
              <w:top w:val="nil"/>
              <w:left w:val="nil"/>
              <w:bottom w:val="single" w:sz="4" w:space="0" w:color="auto"/>
              <w:right w:val="single" w:sz="4" w:space="0" w:color="auto"/>
            </w:tcBorders>
            <w:shd w:val="clear" w:color="auto" w:fill="auto"/>
            <w:noWrap/>
            <w:vAlign w:val="center"/>
          </w:tcPr>
          <w:p w14:paraId="69B2E369" w14:textId="2D9BF4E1"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5 101</w:t>
            </w:r>
          </w:p>
        </w:tc>
        <w:tc>
          <w:tcPr>
            <w:tcW w:w="964" w:type="dxa"/>
            <w:tcBorders>
              <w:top w:val="nil"/>
              <w:left w:val="nil"/>
              <w:bottom w:val="single" w:sz="4" w:space="0" w:color="auto"/>
              <w:right w:val="single" w:sz="4" w:space="0" w:color="auto"/>
            </w:tcBorders>
            <w:shd w:val="clear" w:color="auto" w:fill="auto"/>
            <w:noWrap/>
            <w:vAlign w:val="center"/>
          </w:tcPr>
          <w:p w14:paraId="0ECB232A" w14:textId="3D00707D"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96 088</w:t>
            </w:r>
          </w:p>
        </w:tc>
        <w:tc>
          <w:tcPr>
            <w:tcW w:w="964" w:type="dxa"/>
            <w:tcBorders>
              <w:top w:val="nil"/>
              <w:left w:val="nil"/>
              <w:bottom w:val="single" w:sz="4" w:space="0" w:color="auto"/>
              <w:right w:val="single" w:sz="4" w:space="0" w:color="auto"/>
            </w:tcBorders>
            <w:shd w:val="clear" w:color="auto" w:fill="auto"/>
            <w:noWrap/>
            <w:vAlign w:val="center"/>
          </w:tcPr>
          <w:p w14:paraId="2210CAF1" w14:textId="54E8500A"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231 395</w:t>
            </w:r>
          </w:p>
        </w:tc>
        <w:tc>
          <w:tcPr>
            <w:tcW w:w="964" w:type="dxa"/>
            <w:tcBorders>
              <w:top w:val="nil"/>
              <w:left w:val="nil"/>
              <w:bottom w:val="single" w:sz="4" w:space="0" w:color="auto"/>
              <w:right w:val="single" w:sz="4" w:space="0" w:color="auto"/>
            </w:tcBorders>
            <w:shd w:val="clear" w:color="auto" w:fill="auto"/>
            <w:noWrap/>
            <w:vAlign w:val="center"/>
          </w:tcPr>
          <w:p w14:paraId="79463A5E" w14:textId="08832A3C"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-333 047</w:t>
            </w:r>
          </w:p>
        </w:tc>
        <w:tc>
          <w:tcPr>
            <w:tcW w:w="992" w:type="dxa"/>
            <w:tcBorders>
              <w:top w:val="nil"/>
              <w:left w:val="nil"/>
              <w:bottom w:val="single" w:sz="4" w:space="0" w:color="auto"/>
              <w:right w:val="single" w:sz="4" w:space="0" w:color="auto"/>
            </w:tcBorders>
            <w:shd w:val="clear" w:color="auto" w:fill="auto"/>
            <w:noWrap/>
            <w:vAlign w:val="center"/>
          </w:tcPr>
          <w:p w14:paraId="163A188B" w14:textId="6F53674C"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187 126</w:t>
            </w:r>
          </w:p>
        </w:tc>
        <w:tc>
          <w:tcPr>
            <w:tcW w:w="992" w:type="dxa"/>
            <w:tcBorders>
              <w:top w:val="nil"/>
              <w:left w:val="nil"/>
              <w:bottom w:val="single" w:sz="4" w:space="0" w:color="auto"/>
              <w:right w:val="single" w:sz="4" w:space="0" w:color="auto"/>
            </w:tcBorders>
            <w:shd w:val="clear" w:color="auto" w:fill="auto"/>
            <w:noWrap/>
            <w:vAlign w:val="center"/>
          </w:tcPr>
          <w:p w14:paraId="4DCC51A8" w14:textId="6DAEBC60"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178 058</w:t>
            </w:r>
          </w:p>
        </w:tc>
      </w:tr>
      <w:tr w:rsidR="00162872" w14:paraId="2AE8E975" w14:textId="77777777" w:rsidTr="003705E3">
        <w:trPr>
          <w:trHeight w:val="255"/>
          <w:jc w:val="center"/>
        </w:trPr>
        <w:tc>
          <w:tcPr>
            <w:tcW w:w="614" w:type="dxa"/>
            <w:vMerge/>
            <w:tcBorders>
              <w:left w:val="single" w:sz="4" w:space="0" w:color="auto"/>
              <w:bottom w:val="single" w:sz="4" w:space="0" w:color="auto"/>
              <w:right w:val="single" w:sz="4" w:space="0" w:color="auto"/>
            </w:tcBorders>
          </w:tcPr>
          <w:p w14:paraId="46034E1F" w14:textId="77777777" w:rsidR="006D6821" w:rsidRPr="000172EE" w:rsidRDefault="006D6821" w:rsidP="006D6821">
            <w:pPr>
              <w:keepNext/>
              <w:rPr>
                <w:rFonts w:asciiTheme="minorHAnsi" w:hAnsiTheme="minorHAnsi" w:cstheme="minorHAnsi"/>
                <w:bCs/>
                <w:color w:val="000000"/>
                <w:sz w:val="17"/>
                <w:szCs w:val="17"/>
              </w:rPr>
            </w:pPr>
          </w:p>
        </w:tc>
        <w:tc>
          <w:tcPr>
            <w:tcW w:w="2665" w:type="dxa"/>
            <w:tcBorders>
              <w:top w:val="nil"/>
              <w:left w:val="single" w:sz="4" w:space="0" w:color="auto"/>
              <w:bottom w:val="single" w:sz="4" w:space="0" w:color="auto"/>
              <w:right w:val="single" w:sz="4" w:space="0" w:color="auto"/>
            </w:tcBorders>
            <w:shd w:val="clear" w:color="auto" w:fill="auto"/>
            <w:noWrap/>
            <w:vAlign w:val="center"/>
          </w:tcPr>
          <w:p w14:paraId="771E3A92" w14:textId="70465093" w:rsidR="006D6821" w:rsidRPr="000172EE" w:rsidRDefault="006D6821" w:rsidP="003705E3">
            <w:pPr>
              <w:keepNext/>
              <w:rPr>
                <w:rFonts w:asciiTheme="minorHAnsi" w:hAnsiTheme="minorHAnsi" w:cstheme="minorHAnsi"/>
                <w:bCs/>
                <w:color w:val="000000"/>
                <w:sz w:val="17"/>
                <w:szCs w:val="17"/>
              </w:rPr>
            </w:pPr>
            <w:r w:rsidRPr="000172EE">
              <w:rPr>
                <w:rFonts w:asciiTheme="minorHAnsi" w:hAnsiTheme="minorHAnsi" w:cstheme="minorHAnsi"/>
                <w:bCs/>
                <w:color w:val="000000"/>
                <w:sz w:val="17"/>
                <w:szCs w:val="17"/>
              </w:rPr>
              <w:t>Výsledek hospodaření (kumulovaný)</w:t>
            </w:r>
          </w:p>
        </w:tc>
        <w:tc>
          <w:tcPr>
            <w:tcW w:w="964" w:type="dxa"/>
            <w:tcBorders>
              <w:top w:val="nil"/>
              <w:left w:val="nil"/>
              <w:bottom w:val="single" w:sz="4" w:space="0" w:color="auto"/>
              <w:right w:val="single" w:sz="4" w:space="0" w:color="auto"/>
            </w:tcBorders>
            <w:shd w:val="clear" w:color="auto" w:fill="auto"/>
            <w:noWrap/>
            <w:vAlign w:val="center"/>
          </w:tcPr>
          <w:p w14:paraId="5DB9F351" w14:textId="637DB31F"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287 704</w:t>
            </w:r>
          </w:p>
        </w:tc>
        <w:tc>
          <w:tcPr>
            <w:tcW w:w="964" w:type="dxa"/>
            <w:tcBorders>
              <w:top w:val="nil"/>
              <w:left w:val="nil"/>
              <w:bottom w:val="single" w:sz="4" w:space="0" w:color="auto"/>
              <w:right w:val="single" w:sz="4" w:space="0" w:color="auto"/>
            </w:tcBorders>
            <w:shd w:val="clear" w:color="auto" w:fill="auto"/>
            <w:noWrap/>
            <w:vAlign w:val="center"/>
          </w:tcPr>
          <w:p w14:paraId="41B84311" w14:textId="684D9D07"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383 791</w:t>
            </w:r>
          </w:p>
        </w:tc>
        <w:tc>
          <w:tcPr>
            <w:tcW w:w="964" w:type="dxa"/>
            <w:tcBorders>
              <w:top w:val="nil"/>
              <w:left w:val="nil"/>
              <w:bottom w:val="single" w:sz="4" w:space="0" w:color="auto"/>
              <w:right w:val="single" w:sz="4" w:space="0" w:color="auto"/>
            </w:tcBorders>
            <w:shd w:val="clear" w:color="auto" w:fill="auto"/>
            <w:noWrap/>
            <w:vAlign w:val="center"/>
          </w:tcPr>
          <w:p w14:paraId="54F1B871" w14:textId="048DFD8C"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615 186</w:t>
            </w:r>
          </w:p>
        </w:tc>
        <w:tc>
          <w:tcPr>
            <w:tcW w:w="964" w:type="dxa"/>
            <w:tcBorders>
              <w:top w:val="nil"/>
              <w:left w:val="nil"/>
              <w:bottom w:val="single" w:sz="4" w:space="0" w:color="auto"/>
              <w:right w:val="single" w:sz="4" w:space="0" w:color="auto"/>
            </w:tcBorders>
            <w:shd w:val="clear" w:color="auto" w:fill="auto"/>
            <w:noWrap/>
            <w:vAlign w:val="center"/>
          </w:tcPr>
          <w:p w14:paraId="583DBC03" w14:textId="37E06DC4" w:rsidR="006D6821" w:rsidRPr="000172EE" w:rsidRDefault="006D6821" w:rsidP="0013289D">
            <w:pPr>
              <w:keepNext/>
              <w:ind w:right="28"/>
              <w:jc w:val="right"/>
              <w:rPr>
                <w:rFonts w:asciiTheme="minorHAnsi" w:hAnsiTheme="minorHAnsi" w:cstheme="minorHAnsi"/>
                <w:color w:val="000000"/>
                <w:sz w:val="17"/>
                <w:szCs w:val="17"/>
              </w:rPr>
            </w:pPr>
            <w:r w:rsidRPr="000172EE">
              <w:rPr>
                <w:rFonts w:asciiTheme="minorHAnsi" w:hAnsiTheme="minorHAnsi" w:cstheme="minorHAnsi"/>
                <w:color w:val="000000"/>
                <w:sz w:val="17"/>
                <w:szCs w:val="17"/>
              </w:rPr>
              <w:t>-948 233</w:t>
            </w:r>
          </w:p>
        </w:tc>
        <w:tc>
          <w:tcPr>
            <w:tcW w:w="992" w:type="dxa"/>
            <w:tcBorders>
              <w:top w:val="nil"/>
              <w:left w:val="nil"/>
              <w:bottom w:val="single" w:sz="4" w:space="0" w:color="auto"/>
              <w:right w:val="single" w:sz="4" w:space="0" w:color="auto"/>
            </w:tcBorders>
            <w:shd w:val="clear" w:color="auto" w:fill="auto"/>
            <w:noWrap/>
            <w:vAlign w:val="center"/>
          </w:tcPr>
          <w:p w14:paraId="5362ADAF" w14:textId="56449BD4"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1 135 360</w:t>
            </w:r>
          </w:p>
        </w:tc>
        <w:tc>
          <w:tcPr>
            <w:tcW w:w="992" w:type="dxa"/>
            <w:tcBorders>
              <w:top w:val="nil"/>
              <w:left w:val="nil"/>
              <w:bottom w:val="single" w:sz="4" w:space="0" w:color="auto"/>
              <w:right w:val="single" w:sz="4" w:space="0" w:color="auto"/>
            </w:tcBorders>
            <w:shd w:val="clear" w:color="auto" w:fill="auto"/>
            <w:noWrap/>
            <w:vAlign w:val="center"/>
          </w:tcPr>
          <w:p w14:paraId="0BADF050" w14:textId="211B0828" w:rsidR="006D6821" w:rsidRPr="000172EE" w:rsidRDefault="003705E3" w:rsidP="0013289D">
            <w:pPr>
              <w:keepNext/>
              <w:ind w:right="28"/>
              <w:jc w:val="right"/>
              <w:rPr>
                <w:rFonts w:asciiTheme="minorHAnsi" w:hAnsiTheme="minorHAnsi" w:cstheme="minorHAnsi"/>
                <w:color w:val="000000"/>
                <w:sz w:val="17"/>
                <w:szCs w:val="17"/>
              </w:rPr>
            </w:pPr>
            <w:r>
              <w:rPr>
                <w:rFonts w:asciiTheme="minorHAnsi" w:hAnsiTheme="minorHAnsi" w:cstheme="minorHAnsi"/>
                <w:color w:val="000000"/>
                <w:sz w:val="17"/>
                <w:szCs w:val="17"/>
              </w:rPr>
              <w:t>−</w:t>
            </w:r>
            <w:r w:rsidR="006D6821" w:rsidRPr="000172EE">
              <w:rPr>
                <w:rFonts w:asciiTheme="minorHAnsi" w:hAnsiTheme="minorHAnsi" w:cstheme="minorHAnsi"/>
                <w:color w:val="000000"/>
                <w:sz w:val="17"/>
                <w:szCs w:val="17"/>
              </w:rPr>
              <w:t>1 313 417</w:t>
            </w:r>
          </w:p>
        </w:tc>
      </w:tr>
    </w:tbl>
    <w:p w14:paraId="254B240A" w14:textId="2514AED7" w:rsidR="008252C0" w:rsidRPr="003705E3" w:rsidRDefault="006D6821" w:rsidP="00162872">
      <w:pPr>
        <w:keepNext/>
        <w:spacing w:before="40"/>
        <w:rPr>
          <w:rStyle w:val="Hypertextovodkaz"/>
          <w:rFonts w:asciiTheme="minorHAnsi" w:hAnsiTheme="minorHAnsi" w:cstheme="minorHAnsi"/>
          <w:bCs/>
          <w:iCs/>
          <w:color w:val="000000" w:themeColor="text1"/>
          <w:u w:val="none"/>
        </w:rPr>
      </w:pPr>
      <w:r w:rsidRPr="008252C0">
        <w:rPr>
          <w:rFonts w:asciiTheme="minorHAnsi" w:hAnsiTheme="minorHAnsi" w:cstheme="minorHAnsi"/>
          <w:b/>
          <w:bCs/>
          <w:iCs/>
        </w:rPr>
        <w:t>Zdroj:</w:t>
      </w:r>
      <w:r w:rsidRPr="008252C0">
        <w:rPr>
          <w:rFonts w:asciiTheme="minorHAnsi" w:hAnsiTheme="minorHAnsi" w:cstheme="minorHAnsi"/>
          <w:bCs/>
          <w:iCs/>
        </w:rPr>
        <w:t xml:space="preserve"> rozvaha FNB, FNUSA 2014–2019, </w:t>
      </w:r>
      <w:hyperlink r:id="rId12" w:history="1">
        <w:r w:rsidRPr="008252C0">
          <w:rPr>
            <w:rStyle w:val="Hypertextovodkaz"/>
            <w:rFonts w:asciiTheme="minorHAnsi" w:hAnsiTheme="minorHAnsi" w:cstheme="minorHAnsi"/>
            <w:bCs/>
            <w:iCs/>
          </w:rPr>
          <w:t>https://monitor.statnipokladna.cz/</w:t>
        </w:r>
      </w:hyperlink>
      <w:r w:rsidRPr="003705E3">
        <w:rPr>
          <w:rStyle w:val="Hypertextovodkaz"/>
          <w:rFonts w:asciiTheme="minorHAnsi" w:hAnsiTheme="minorHAnsi" w:cstheme="minorHAnsi"/>
          <w:bCs/>
          <w:iCs/>
          <w:color w:val="000000" w:themeColor="text1"/>
          <w:u w:val="none"/>
        </w:rPr>
        <w:t>.</w:t>
      </w:r>
    </w:p>
    <w:p w14:paraId="10DC827A" w14:textId="25842C73" w:rsidR="006D6821" w:rsidRPr="0075660A" w:rsidRDefault="008252C0" w:rsidP="00162872">
      <w:pPr>
        <w:spacing w:after="120"/>
        <w:rPr>
          <w:rFonts w:asciiTheme="minorHAnsi" w:hAnsiTheme="minorHAnsi" w:cstheme="minorHAnsi"/>
          <w:bCs/>
          <w:iCs/>
        </w:rPr>
      </w:pPr>
      <w:r w:rsidRPr="0075660A">
        <w:rPr>
          <w:rFonts w:asciiTheme="minorHAnsi" w:hAnsiTheme="minorHAnsi" w:cstheme="minorHAnsi"/>
          <w:b/>
          <w:bCs/>
          <w:iCs/>
        </w:rPr>
        <w:t>Pozn</w:t>
      </w:r>
      <w:r w:rsidR="00A22D79">
        <w:rPr>
          <w:rFonts w:asciiTheme="minorHAnsi" w:hAnsiTheme="minorHAnsi" w:cstheme="minorHAnsi"/>
          <w:b/>
          <w:bCs/>
          <w:iCs/>
        </w:rPr>
        <w:t>.</w:t>
      </w:r>
      <w:r w:rsidRPr="0075660A">
        <w:rPr>
          <w:rFonts w:asciiTheme="minorHAnsi" w:hAnsiTheme="minorHAnsi" w:cstheme="minorHAnsi"/>
          <w:b/>
          <w:bCs/>
          <w:iCs/>
        </w:rPr>
        <w:t>:</w:t>
      </w:r>
      <w:r w:rsidRPr="0075660A">
        <w:rPr>
          <w:rFonts w:asciiTheme="minorHAnsi" w:hAnsiTheme="minorHAnsi" w:cstheme="minorHAnsi"/>
          <w:bCs/>
          <w:iCs/>
        </w:rPr>
        <w:t xml:space="preserve"> FNKV nebyla zahrnuta do oddlužení v roce 2014.</w:t>
      </w:r>
    </w:p>
    <w:p w14:paraId="7C6BA2AD" w14:textId="4EB24EE7" w:rsidR="00C87E80" w:rsidRPr="0075660A" w:rsidRDefault="00C87E80" w:rsidP="00162872">
      <w:pPr>
        <w:widowControl/>
        <w:spacing w:before="120" w:after="120"/>
        <w:jc w:val="both"/>
        <w:rPr>
          <w:rFonts w:asciiTheme="minorHAnsi" w:hAnsiTheme="minorHAnsi" w:cstheme="minorHAnsi"/>
          <w:bCs/>
          <w:iCs/>
          <w:sz w:val="24"/>
          <w:szCs w:val="24"/>
        </w:rPr>
      </w:pPr>
      <w:r w:rsidRPr="0075660A">
        <w:rPr>
          <w:rFonts w:asciiTheme="minorHAnsi" w:hAnsiTheme="minorHAnsi" w:cstheme="minorHAnsi"/>
          <w:bCs/>
          <w:iCs/>
          <w:sz w:val="24"/>
          <w:szCs w:val="24"/>
        </w:rPr>
        <w:t>FNUSA dosáhla v roce 2014 za pomoci částečného oddlužení kladného výsledku hospodaření, avšak od roku 2015 bylo hospodaření FNUSA opět ztrátové a kumulovaná účetní ztráta postupně narůstala až do výše 1,3 mld. Kč k 31. 12. 2019.</w:t>
      </w:r>
    </w:p>
    <w:p w14:paraId="484CBC43" w14:textId="344B84C4" w:rsidR="00C87E80" w:rsidRPr="0075660A" w:rsidRDefault="00C87E80" w:rsidP="00162872">
      <w:pPr>
        <w:widowControl/>
        <w:spacing w:before="120" w:after="120"/>
        <w:jc w:val="both"/>
        <w:rPr>
          <w:rFonts w:asciiTheme="minorHAnsi" w:hAnsiTheme="minorHAnsi" w:cstheme="minorHAnsi"/>
          <w:bCs/>
          <w:iCs/>
          <w:sz w:val="24"/>
          <w:szCs w:val="24"/>
        </w:rPr>
      </w:pPr>
      <w:r w:rsidRPr="0075660A">
        <w:rPr>
          <w:rFonts w:asciiTheme="minorHAnsi" w:hAnsiTheme="minorHAnsi" w:cstheme="minorHAnsi"/>
          <w:bCs/>
          <w:iCs/>
          <w:sz w:val="24"/>
          <w:szCs w:val="24"/>
        </w:rPr>
        <w:t>FNB hospodařila v letech 2015 až 2017 vyrovnaně, avšak kumulovaná účetní ztráta zůstávala přibližně ve výši 500 mil. Kč. Ekonomická situace FNB se opět zhoršila v letech 2018 a 2019, kdy účetní ztráta narostla o více než 500 mil. Kč a</w:t>
      </w:r>
      <w:r w:rsidR="00037B9A" w:rsidRPr="0075660A">
        <w:rPr>
          <w:rFonts w:asciiTheme="minorHAnsi" w:hAnsiTheme="minorHAnsi" w:cstheme="minorHAnsi"/>
          <w:bCs/>
          <w:iCs/>
          <w:sz w:val="24"/>
          <w:szCs w:val="24"/>
        </w:rPr>
        <w:t> </w:t>
      </w:r>
      <w:r w:rsidRPr="0075660A">
        <w:rPr>
          <w:rFonts w:asciiTheme="minorHAnsi" w:hAnsiTheme="minorHAnsi" w:cstheme="minorHAnsi"/>
          <w:bCs/>
          <w:iCs/>
          <w:sz w:val="24"/>
          <w:szCs w:val="24"/>
        </w:rPr>
        <w:t>kumulovaná účetní ztráta k 31. 12. 2019 dosahovala téměř 1 mld. Kč.</w:t>
      </w:r>
    </w:p>
    <w:p w14:paraId="69A26BAE" w14:textId="2141C98C" w:rsidR="00EF7B3E" w:rsidRPr="0075660A" w:rsidRDefault="00EF7B3E" w:rsidP="00162872">
      <w:pPr>
        <w:widowControl/>
        <w:spacing w:before="120" w:after="120"/>
        <w:jc w:val="both"/>
        <w:rPr>
          <w:rFonts w:asciiTheme="minorHAnsi" w:hAnsiTheme="minorHAnsi" w:cstheme="minorHAnsi"/>
          <w:bCs/>
          <w:iCs/>
          <w:sz w:val="24"/>
          <w:szCs w:val="24"/>
        </w:rPr>
      </w:pPr>
      <w:r w:rsidRPr="0075660A">
        <w:rPr>
          <w:rFonts w:asciiTheme="minorHAnsi" w:hAnsiTheme="minorHAnsi" w:cstheme="minorHAnsi"/>
          <w:bCs/>
          <w:iCs/>
          <w:sz w:val="24"/>
          <w:szCs w:val="24"/>
        </w:rPr>
        <w:t>Z účetních závěrek FNUSA a FNB je patrné, že částečné oddlužení v roce 2014 přineslo pouze krátkodobý efekt, protože se nemocnicím postupně zhoršovaly vybrané finanční ukazatele.</w:t>
      </w:r>
      <w:r w:rsidR="00983EBA">
        <w:rPr>
          <w:rFonts w:asciiTheme="minorHAnsi" w:hAnsiTheme="minorHAnsi" w:cstheme="minorHAnsi"/>
          <w:bCs/>
          <w:iCs/>
          <w:sz w:val="24"/>
          <w:szCs w:val="24"/>
        </w:rPr>
        <w:t xml:space="preserve"> </w:t>
      </w:r>
      <w:proofErr w:type="spellStart"/>
      <w:r w:rsidR="00983EBA" w:rsidRPr="003B6C3E">
        <w:rPr>
          <w:rFonts w:asciiTheme="minorHAnsi" w:hAnsiTheme="minorHAnsi" w:cstheme="minorHAnsi"/>
          <w:bCs/>
          <w:iCs/>
          <w:sz w:val="24"/>
          <w:szCs w:val="24"/>
        </w:rPr>
        <w:t>MZ</w:t>
      </w:r>
      <w:r w:rsidR="00DC2971">
        <w:rPr>
          <w:rFonts w:asciiTheme="minorHAnsi" w:hAnsiTheme="minorHAnsi" w:cstheme="minorHAnsi"/>
          <w:bCs/>
          <w:iCs/>
          <w:sz w:val="24"/>
          <w:szCs w:val="24"/>
        </w:rPr>
        <w:t>d</w:t>
      </w:r>
      <w:proofErr w:type="spellEnd"/>
      <w:r w:rsidR="00983EBA" w:rsidRPr="003B6C3E">
        <w:rPr>
          <w:rFonts w:asciiTheme="minorHAnsi" w:hAnsiTheme="minorHAnsi" w:cstheme="minorHAnsi"/>
          <w:bCs/>
          <w:iCs/>
          <w:sz w:val="24"/>
          <w:szCs w:val="24"/>
        </w:rPr>
        <w:t xml:space="preserve"> označilo za objektivní příčinu vzniku závazků po splatnosti u</w:t>
      </w:r>
      <w:r w:rsidR="003B6C3E" w:rsidRPr="003B6C3E">
        <w:rPr>
          <w:rFonts w:asciiTheme="minorHAnsi" w:hAnsiTheme="minorHAnsi" w:cstheme="minorHAnsi"/>
          <w:bCs/>
          <w:iCs/>
          <w:sz w:val="24"/>
          <w:szCs w:val="24"/>
        </w:rPr>
        <w:t> </w:t>
      </w:r>
      <w:r w:rsidR="00983EBA" w:rsidRPr="003B6C3E">
        <w:rPr>
          <w:rFonts w:asciiTheme="minorHAnsi" w:hAnsiTheme="minorHAnsi" w:cstheme="minorHAnsi"/>
          <w:bCs/>
          <w:iCs/>
          <w:sz w:val="24"/>
          <w:szCs w:val="24"/>
        </w:rPr>
        <w:t xml:space="preserve">kontrolovaných </w:t>
      </w:r>
      <w:r w:rsidR="003B6C3E" w:rsidRPr="003B6C3E">
        <w:rPr>
          <w:rFonts w:asciiTheme="minorHAnsi" w:hAnsiTheme="minorHAnsi" w:cstheme="minorHAnsi"/>
          <w:bCs/>
          <w:iCs/>
          <w:sz w:val="24"/>
          <w:szCs w:val="24"/>
        </w:rPr>
        <w:t>FN</w:t>
      </w:r>
      <w:r w:rsidR="00983EBA" w:rsidRPr="003B6C3E">
        <w:rPr>
          <w:rFonts w:asciiTheme="minorHAnsi" w:hAnsiTheme="minorHAnsi" w:cstheme="minorHAnsi"/>
          <w:bCs/>
          <w:iCs/>
          <w:sz w:val="24"/>
          <w:szCs w:val="24"/>
        </w:rPr>
        <w:t xml:space="preserve"> </w:t>
      </w:r>
      <w:r w:rsidR="008E1B58" w:rsidRPr="003B6C3E">
        <w:rPr>
          <w:rFonts w:asciiTheme="minorHAnsi" w:hAnsiTheme="minorHAnsi" w:cstheme="minorHAnsi"/>
          <w:bCs/>
          <w:iCs/>
          <w:sz w:val="24"/>
          <w:szCs w:val="24"/>
        </w:rPr>
        <w:t xml:space="preserve">mj. </w:t>
      </w:r>
      <w:r w:rsidR="00983EBA" w:rsidRPr="003B6C3E">
        <w:rPr>
          <w:rFonts w:asciiTheme="minorHAnsi" w:hAnsiTheme="minorHAnsi" w:cstheme="minorHAnsi"/>
          <w:bCs/>
          <w:iCs/>
          <w:sz w:val="24"/>
          <w:szCs w:val="24"/>
        </w:rPr>
        <w:t>jejich neschopnost generovat dostatečné příjmy ze systému veřejného zdravotního pojištění k</w:t>
      </w:r>
      <w:r w:rsidR="00674844">
        <w:rPr>
          <w:rFonts w:asciiTheme="minorHAnsi" w:hAnsiTheme="minorHAnsi" w:cstheme="minorHAnsi"/>
          <w:bCs/>
          <w:iCs/>
          <w:sz w:val="24"/>
          <w:szCs w:val="24"/>
        </w:rPr>
        <w:t> </w:t>
      </w:r>
      <w:r w:rsidR="00983EBA" w:rsidRPr="003B6C3E">
        <w:rPr>
          <w:rFonts w:asciiTheme="minorHAnsi" w:hAnsiTheme="minorHAnsi" w:cstheme="minorHAnsi"/>
          <w:bCs/>
          <w:iCs/>
          <w:sz w:val="24"/>
          <w:szCs w:val="24"/>
        </w:rPr>
        <w:t>pokrytí vynaložených výdajů na poskytování zdravotní péče</w:t>
      </w:r>
      <w:r w:rsidR="0090032B">
        <w:rPr>
          <w:rFonts w:asciiTheme="minorHAnsi" w:hAnsiTheme="minorHAnsi" w:cstheme="minorHAnsi"/>
          <w:bCs/>
          <w:iCs/>
          <w:sz w:val="24"/>
          <w:szCs w:val="24"/>
        </w:rPr>
        <w:t>.</w:t>
      </w:r>
    </w:p>
    <w:p w14:paraId="58B17C1C" w14:textId="51D5C153" w:rsidR="003A0059" w:rsidRPr="001A3017" w:rsidRDefault="003A0059" w:rsidP="00162872">
      <w:pPr>
        <w:widowControl/>
        <w:spacing w:before="120" w:after="120"/>
        <w:jc w:val="both"/>
        <w:rPr>
          <w:rFonts w:asciiTheme="minorHAnsi" w:eastAsia="Calibri" w:hAnsiTheme="minorHAnsi" w:cstheme="minorHAnsi"/>
          <w:sz w:val="24"/>
        </w:rPr>
      </w:pPr>
      <w:bookmarkStart w:id="8" w:name="_Toc125368948"/>
      <w:r w:rsidRPr="001A3017">
        <w:rPr>
          <w:rFonts w:asciiTheme="minorHAnsi" w:eastAsia="Calibri" w:hAnsiTheme="minorHAnsi" w:cstheme="minorHAnsi"/>
          <w:sz w:val="24"/>
        </w:rPr>
        <w:t xml:space="preserve">Oddlužení v roce 2014 FN bylo nesystémovým opatřením, </w:t>
      </w:r>
      <w:r w:rsidR="0020417A" w:rsidRPr="001A3017">
        <w:rPr>
          <w:rFonts w:asciiTheme="minorHAnsi" w:eastAsia="Calibri" w:hAnsiTheme="minorHAnsi" w:cstheme="minorHAnsi"/>
          <w:sz w:val="24"/>
        </w:rPr>
        <w:t xml:space="preserve">protože neřešilo příčinu zadlužování, ale pouze následky. </w:t>
      </w:r>
    </w:p>
    <w:p w14:paraId="49381D41" w14:textId="1FFE44D3" w:rsidR="005E4A27" w:rsidRDefault="005E4A27" w:rsidP="00162872">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FN v letech 2018 až 2021 zasílaly </w:t>
      </w:r>
      <w:proofErr w:type="spellStart"/>
      <w:r w:rsidRPr="0075660A">
        <w:rPr>
          <w:rFonts w:asciiTheme="minorHAnsi" w:hAnsiTheme="minorHAnsi" w:cstheme="minorHAnsi"/>
          <w:sz w:val="24"/>
          <w:szCs w:val="24"/>
        </w:rPr>
        <w:t>MZ</w:t>
      </w:r>
      <w:r w:rsidR="00DC2971">
        <w:rPr>
          <w:rFonts w:asciiTheme="minorHAnsi" w:hAnsiTheme="minorHAnsi" w:cstheme="minorHAnsi"/>
          <w:sz w:val="24"/>
          <w:szCs w:val="24"/>
        </w:rPr>
        <w:t>d</w:t>
      </w:r>
      <w:proofErr w:type="spellEnd"/>
      <w:r w:rsidRPr="0075660A">
        <w:rPr>
          <w:rFonts w:asciiTheme="minorHAnsi" w:hAnsiTheme="minorHAnsi" w:cstheme="minorHAnsi"/>
          <w:sz w:val="24"/>
          <w:szCs w:val="24"/>
        </w:rPr>
        <w:t xml:space="preserve"> měsíčně zprávy o hospodaření, z nichž vyplývala jejich ekonomická situace. </w:t>
      </w:r>
      <w:proofErr w:type="spellStart"/>
      <w:r w:rsidRPr="00562993">
        <w:rPr>
          <w:rFonts w:asciiTheme="minorHAnsi" w:hAnsiTheme="minorHAnsi" w:cstheme="minorHAnsi"/>
          <w:sz w:val="24"/>
          <w:szCs w:val="24"/>
        </w:rPr>
        <w:t>MZ</w:t>
      </w:r>
      <w:r w:rsidR="00DC2971">
        <w:rPr>
          <w:rFonts w:asciiTheme="minorHAnsi" w:hAnsiTheme="minorHAnsi" w:cstheme="minorHAnsi"/>
          <w:sz w:val="24"/>
          <w:szCs w:val="24"/>
        </w:rPr>
        <w:t>d</w:t>
      </w:r>
      <w:proofErr w:type="spellEnd"/>
      <w:r w:rsidRPr="00562993">
        <w:rPr>
          <w:rFonts w:asciiTheme="minorHAnsi" w:hAnsiTheme="minorHAnsi" w:cstheme="minorHAnsi"/>
          <w:sz w:val="24"/>
          <w:szCs w:val="24"/>
        </w:rPr>
        <w:t xml:space="preserve"> oddlužilo FN na základě usnesení vlády č. 480 po několika</w:t>
      </w:r>
      <w:r w:rsidRPr="0075660A">
        <w:rPr>
          <w:rFonts w:asciiTheme="minorHAnsi" w:hAnsiTheme="minorHAnsi" w:cstheme="minorHAnsi"/>
          <w:sz w:val="24"/>
          <w:szCs w:val="24"/>
        </w:rPr>
        <w:t xml:space="preserve"> letech, kdy přímo</w:t>
      </w:r>
      <w:r w:rsidRPr="00527E83">
        <w:rPr>
          <w:rFonts w:asciiTheme="minorHAnsi" w:hAnsiTheme="minorHAnsi" w:cstheme="minorHAnsi"/>
          <w:sz w:val="24"/>
          <w:szCs w:val="24"/>
        </w:rPr>
        <w:t xml:space="preserve"> řízené nemocnice nebyly schopny uhradit vzniklou ztrátu zlepšeným hospodářským výsledkem v</w:t>
      </w:r>
      <w:r>
        <w:rPr>
          <w:rFonts w:asciiTheme="minorHAnsi" w:hAnsiTheme="minorHAnsi" w:cstheme="minorHAnsi"/>
          <w:sz w:val="24"/>
          <w:szCs w:val="24"/>
        </w:rPr>
        <w:t> </w:t>
      </w:r>
      <w:r w:rsidRPr="00527E83">
        <w:rPr>
          <w:rFonts w:asciiTheme="minorHAnsi" w:hAnsiTheme="minorHAnsi" w:cstheme="minorHAnsi"/>
          <w:sz w:val="24"/>
          <w:szCs w:val="24"/>
        </w:rPr>
        <w:t xml:space="preserve">dalších letech. </w:t>
      </w:r>
    </w:p>
    <w:p w14:paraId="2BF319A9" w14:textId="2B11EE05" w:rsidR="003A0059" w:rsidRPr="001A3017" w:rsidRDefault="00971EFA" w:rsidP="00162872">
      <w:pPr>
        <w:widowControl/>
        <w:spacing w:before="120" w:after="120"/>
        <w:jc w:val="both"/>
        <w:rPr>
          <w:rFonts w:asciiTheme="minorHAnsi" w:eastAsia="Calibri" w:hAnsiTheme="minorHAnsi" w:cstheme="minorHAnsi"/>
          <w:sz w:val="24"/>
        </w:rPr>
      </w:pPr>
      <w:r w:rsidRPr="001A3017">
        <w:rPr>
          <w:rFonts w:asciiTheme="minorHAnsi" w:eastAsia="Calibri" w:hAnsiTheme="minorHAnsi" w:cstheme="minorHAnsi"/>
          <w:sz w:val="24"/>
        </w:rPr>
        <w:t>Současně</w:t>
      </w:r>
      <w:r w:rsidR="003A0059" w:rsidRPr="001A3017">
        <w:rPr>
          <w:rFonts w:asciiTheme="minorHAnsi" w:eastAsia="Calibri" w:hAnsiTheme="minorHAnsi" w:cstheme="minorHAnsi"/>
          <w:sz w:val="24"/>
        </w:rPr>
        <w:t xml:space="preserve"> FN mají povinnost</w:t>
      </w:r>
      <w:r w:rsidR="003A0059" w:rsidRPr="001A3017">
        <w:rPr>
          <w:rStyle w:val="Znakapoznpodarou"/>
          <w:rFonts w:asciiTheme="minorHAnsi" w:eastAsia="Calibri" w:hAnsiTheme="minorHAnsi"/>
          <w:sz w:val="24"/>
        </w:rPr>
        <w:footnoteReference w:id="37"/>
      </w:r>
      <w:r w:rsidR="003A0059" w:rsidRPr="001A3017">
        <w:rPr>
          <w:rFonts w:asciiTheme="minorHAnsi" w:eastAsia="Calibri" w:hAnsiTheme="minorHAnsi" w:cstheme="minorHAnsi"/>
          <w:sz w:val="24"/>
        </w:rPr>
        <w:t xml:space="preserve"> učinit opatření, která zajistí vyrovnání jejich rozdílu mezi náklady a výnosy v případě, že skutečná výše nákladů a výnosů v průběhu jejich rozpočtového roku neodpovídá jejich rozpočtované výši a je předpoklad, že může být zhoršen její rozpočtovaný hospodářský výsledek.</w:t>
      </w:r>
    </w:p>
    <w:p w14:paraId="740C3660" w14:textId="53B6F01E" w:rsidR="00C87E80" w:rsidRPr="00162872" w:rsidRDefault="00C87E80" w:rsidP="00162872">
      <w:pPr>
        <w:keepNext/>
        <w:widowControl/>
        <w:spacing w:before="120" w:after="120"/>
        <w:jc w:val="both"/>
        <w:rPr>
          <w:rFonts w:asciiTheme="minorHAnsi" w:hAnsiTheme="minorHAnsi" w:cstheme="minorHAnsi"/>
          <w:b/>
          <w:bCs/>
          <w:iCs/>
          <w:sz w:val="24"/>
          <w:szCs w:val="24"/>
        </w:rPr>
      </w:pPr>
      <w:r w:rsidRPr="00162872">
        <w:rPr>
          <w:rFonts w:asciiTheme="minorHAnsi" w:eastAsia="Calibri" w:hAnsiTheme="minorHAnsi" w:cstheme="minorHAnsi"/>
          <w:b/>
          <w:sz w:val="24"/>
        </w:rPr>
        <w:t>Oddlužení v roce 2020</w:t>
      </w:r>
      <w:bookmarkEnd w:id="8"/>
    </w:p>
    <w:p w14:paraId="1F341133" w14:textId="5F025EAF" w:rsidR="00E20550" w:rsidRPr="0075660A" w:rsidRDefault="00C87E80" w:rsidP="00162872">
      <w:pPr>
        <w:widowControl/>
        <w:spacing w:before="120" w:after="120"/>
        <w:jc w:val="both"/>
        <w:rPr>
          <w:rFonts w:asciiTheme="minorHAnsi" w:hAnsiTheme="minorHAnsi" w:cstheme="minorHAnsi"/>
          <w:bCs/>
          <w:iCs/>
          <w:sz w:val="24"/>
          <w:szCs w:val="24"/>
        </w:rPr>
      </w:pPr>
      <w:r w:rsidRPr="00527E83">
        <w:rPr>
          <w:rFonts w:asciiTheme="minorHAnsi" w:hAnsiTheme="minorHAnsi" w:cstheme="minorHAnsi"/>
          <w:bCs/>
          <w:iCs/>
          <w:sz w:val="24"/>
          <w:szCs w:val="24"/>
        </w:rPr>
        <w:t xml:space="preserve">Vláda České republiky schválila usnesením vlády č. 480 jednorázový příspěvek zřizovatele vybraným šesti </w:t>
      </w:r>
      <w:r w:rsidRPr="0075660A">
        <w:rPr>
          <w:rFonts w:asciiTheme="minorHAnsi" w:hAnsiTheme="minorHAnsi" w:cstheme="minorHAnsi"/>
          <w:bCs/>
          <w:iCs/>
          <w:sz w:val="24"/>
          <w:szCs w:val="24"/>
        </w:rPr>
        <w:t>nemocnicím (vč. FNB</w:t>
      </w:r>
      <w:r w:rsidR="003D749F" w:rsidRPr="0075660A">
        <w:rPr>
          <w:rFonts w:asciiTheme="minorHAnsi" w:hAnsiTheme="minorHAnsi" w:cstheme="minorHAnsi"/>
          <w:bCs/>
          <w:iCs/>
          <w:sz w:val="24"/>
          <w:szCs w:val="24"/>
        </w:rPr>
        <w:t>, FNKV</w:t>
      </w:r>
      <w:r w:rsidRPr="0075660A">
        <w:rPr>
          <w:rFonts w:asciiTheme="minorHAnsi" w:hAnsiTheme="minorHAnsi" w:cstheme="minorHAnsi"/>
          <w:bCs/>
          <w:iCs/>
          <w:sz w:val="24"/>
          <w:szCs w:val="24"/>
        </w:rPr>
        <w:t xml:space="preserve"> a FNUSA) na úhradu </w:t>
      </w:r>
      <w:r w:rsidR="00DC2971">
        <w:rPr>
          <w:rFonts w:asciiTheme="minorHAnsi" w:hAnsiTheme="minorHAnsi" w:cstheme="minorHAnsi"/>
          <w:bCs/>
          <w:iCs/>
          <w:sz w:val="24"/>
          <w:szCs w:val="24"/>
        </w:rPr>
        <w:t>jejich</w:t>
      </w:r>
      <w:r w:rsidRPr="0075660A">
        <w:rPr>
          <w:rFonts w:asciiTheme="minorHAnsi" w:hAnsiTheme="minorHAnsi" w:cstheme="minorHAnsi"/>
          <w:bCs/>
          <w:iCs/>
          <w:sz w:val="24"/>
          <w:szCs w:val="24"/>
        </w:rPr>
        <w:t xml:space="preserve"> závazků v celkové výši 6 595 755 274 Kč. Součástí podkladů pro jednání vlády byl také dokument </w:t>
      </w:r>
      <w:r w:rsidRPr="0075660A">
        <w:rPr>
          <w:rFonts w:asciiTheme="minorHAnsi" w:hAnsiTheme="minorHAnsi" w:cstheme="minorHAnsi"/>
          <w:i/>
          <w:sz w:val="24"/>
          <w:szCs w:val="24"/>
        </w:rPr>
        <w:t>Jednorázový příspěvek zřizovatele vybraným nemocnicím na úhradu závazků po splatnosti nebo závazků nad 60 dnů od data uskutečnění zdanitelného plnění a </w:t>
      </w:r>
      <w:proofErr w:type="spellStart"/>
      <w:r w:rsidRPr="0075660A">
        <w:rPr>
          <w:rFonts w:asciiTheme="minorHAnsi" w:hAnsiTheme="minorHAnsi" w:cstheme="minorHAnsi"/>
          <w:i/>
          <w:sz w:val="24"/>
          <w:szCs w:val="24"/>
        </w:rPr>
        <w:t>přefinancovaných</w:t>
      </w:r>
      <w:proofErr w:type="spellEnd"/>
      <w:r w:rsidRPr="0075660A">
        <w:rPr>
          <w:rFonts w:asciiTheme="minorHAnsi" w:hAnsiTheme="minorHAnsi" w:cstheme="minorHAnsi"/>
          <w:i/>
          <w:sz w:val="24"/>
          <w:szCs w:val="24"/>
        </w:rPr>
        <w:t xml:space="preserve"> závazků</w:t>
      </w:r>
      <w:r w:rsidRPr="0075660A">
        <w:rPr>
          <w:rFonts w:asciiTheme="minorHAnsi" w:hAnsiTheme="minorHAnsi" w:cstheme="minorHAnsi"/>
          <w:sz w:val="24"/>
          <w:szCs w:val="24"/>
        </w:rPr>
        <w:t xml:space="preserve">, který </w:t>
      </w:r>
      <w:r w:rsidRPr="0075660A">
        <w:rPr>
          <w:rFonts w:asciiTheme="minorHAnsi" w:hAnsiTheme="minorHAnsi" w:cstheme="minorHAnsi"/>
          <w:bCs/>
          <w:iCs/>
          <w:sz w:val="24"/>
          <w:szCs w:val="24"/>
        </w:rPr>
        <w:t>obsahuje následující tabulku pro rozdělení peněžních prostředků vybraným nemocnicím.</w:t>
      </w:r>
    </w:p>
    <w:p w14:paraId="576FDF92" w14:textId="03E109E3" w:rsidR="00C87E80" w:rsidRPr="0075660A" w:rsidRDefault="00C87E80" w:rsidP="003B700F">
      <w:pPr>
        <w:keepNext/>
        <w:tabs>
          <w:tab w:val="right" w:pos="9070"/>
        </w:tabs>
        <w:jc w:val="both"/>
        <w:rPr>
          <w:rFonts w:asciiTheme="minorHAnsi" w:hAnsiTheme="minorHAnsi" w:cstheme="minorHAnsi"/>
          <w:b/>
          <w:bCs/>
          <w:iCs/>
          <w:sz w:val="24"/>
          <w:szCs w:val="24"/>
        </w:rPr>
      </w:pPr>
      <w:r w:rsidRPr="0075660A">
        <w:rPr>
          <w:rFonts w:asciiTheme="minorHAnsi" w:hAnsiTheme="minorHAnsi" w:cstheme="minorHAnsi"/>
          <w:b/>
          <w:bCs/>
          <w:iCs/>
          <w:sz w:val="24"/>
          <w:szCs w:val="24"/>
        </w:rPr>
        <w:t xml:space="preserve">Tabulka č. </w:t>
      </w:r>
      <w:r w:rsidR="00895A10">
        <w:rPr>
          <w:rFonts w:asciiTheme="minorHAnsi" w:hAnsiTheme="minorHAnsi" w:cstheme="minorHAnsi"/>
          <w:b/>
          <w:bCs/>
          <w:iCs/>
          <w:sz w:val="24"/>
          <w:szCs w:val="24"/>
        </w:rPr>
        <w:t>5</w:t>
      </w:r>
      <w:r w:rsidRPr="0075660A">
        <w:rPr>
          <w:rFonts w:asciiTheme="minorHAnsi" w:hAnsiTheme="minorHAnsi" w:cstheme="minorHAnsi"/>
          <w:b/>
          <w:bCs/>
          <w:iCs/>
          <w:sz w:val="24"/>
          <w:szCs w:val="24"/>
        </w:rPr>
        <w:t xml:space="preserve">: Výše poskytnutého příspěvku </w:t>
      </w:r>
      <w:proofErr w:type="spellStart"/>
      <w:r w:rsidRPr="0075660A">
        <w:rPr>
          <w:rFonts w:asciiTheme="minorHAnsi" w:hAnsiTheme="minorHAnsi" w:cstheme="minorHAnsi"/>
          <w:b/>
          <w:bCs/>
          <w:iCs/>
          <w:sz w:val="24"/>
          <w:szCs w:val="24"/>
        </w:rPr>
        <w:t>MZ</w:t>
      </w:r>
      <w:r w:rsidR="00DC2971">
        <w:rPr>
          <w:rFonts w:asciiTheme="minorHAnsi" w:hAnsiTheme="minorHAnsi" w:cstheme="minorHAnsi"/>
          <w:b/>
          <w:bCs/>
          <w:iCs/>
          <w:sz w:val="24"/>
          <w:szCs w:val="24"/>
        </w:rPr>
        <w:t>d</w:t>
      </w:r>
      <w:proofErr w:type="spellEnd"/>
      <w:r w:rsidRPr="0075660A">
        <w:rPr>
          <w:rFonts w:asciiTheme="minorHAnsi" w:hAnsiTheme="minorHAnsi" w:cstheme="minorHAnsi"/>
          <w:b/>
          <w:bCs/>
          <w:iCs/>
          <w:sz w:val="24"/>
          <w:szCs w:val="24"/>
        </w:rPr>
        <w:t xml:space="preserve"> na oddlužení FN</w:t>
      </w:r>
      <w:r w:rsidR="00E55C7E" w:rsidRPr="0075660A">
        <w:rPr>
          <w:rFonts w:asciiTheme="minorHAnsi" w:hAnsiTheme="minorHAnsi" w:cstheme="minorHAnsi"/>
          <w:b/>
          <w:bCs/>
          <w:iCs/>
          <w:sz w:val="24"/>
          <w:szCs w:val="24"/>
        </w:rPr>
        <w:tab/>
      </w:r>
      <w:r w:rsidRPr="0075660A">
        <w:rPr>
          <w:rFonts w:asciiTheme="minorHAnsi" w:hAnsiTheme="minorHAnsi" w:cstheme="minorHAnsi"/>
          <w:b/>
          <w:bCs/>
          <w:iCs/>
          <w:sz w:val="24"/>
          <w:szCs w:val="24"/>
        </w:rPr>
        <w:t>(v Kč)</w:t>
      </w:r>
    </w:p>
    <w:tbl>
      <w:tblPr>
        <w:tblW w:w="90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1814"/>
        <w:gridCol w:w="3288"/>
        <w:gridCol w:w="2381"/>
        <w:gridCol w:w="1531"/>
      </w:tblGrid>
      <w:tr w:rsidR="00C87E80" w:rsidRPr="003B700F" w14:paraId="4D75DF07" w14:textId="77777777" w:rsidTr="00DC2971">
        <w:trPr>
          <w:trHeight w:val="255"/>
          <w:jc w:val="center"/>
        </w:trPr>
        <w:tc>
          <w:tcPr>
            <w:tcW w:w="1814" w:type="dxa"/>
            <w:shd w:val="clear" w:color="auto" w:fill="E5F1FF"/>
            <w:vAlign w:val="center"/>
            <w:hideMark/>
          </w:tcPr>
          <w:p w14:paraId="79E0BFAC" w14:textId="77777777" w:rsidR="00C87E80" w:rsidRPr="003B700F" w:rsidRDefault="00C87E80" w:rsidP="003B700F">
            <w:pPr>
              <w:keepNext/>
              <w:jc w:val="center"/>
              <w:rPr>
                <w:rFonts w:ascii="Calibri" w:hAnsi="Calibri" w:cs="Calibri"/>
                <w:b/>
                <w:color w:val="000000"/>
                <w:lang w:eastAsia="en-US"/>
              </w:rPr>
            </w:pPr>
            <w:r w:rsidRPr="003B700F">
              <w:rPr>
                <w:rFonts w:ascii="Calibri" w:hAnsi="Calibri" w:cs="Calibri"/>
                <w:b/>
                <w:color w:val="000000"/>
                <w:lang w:eastAsia="en-US"/>
              </w:rPr>
              <w:t>Kontrolované FN</w:t>
            </w:r>
          </w:p>
        </w:tc>
        <w:tc>
          <w:tcPr>
            <w:tcW w:w="3288" w:type="dxa"/>
            <w:shd w:val="clear" w:color="auto" w:fill="E5F1FF"/>
            <w:vAlign w:val="center"/>
            <w:hideMark/>
          </w:tcPr>
          <w:p w14:paraId="3E262F4F" w14:textId="194FFC50" w:rsidR="00C87E80" w:rsidRPr="003B700F" w:rsidRDefault="00C87E80" w:rsidP="003B700F">
            <w:pPr>
              <w:keepNext/>
              <w:jc w:val="center"/>
              <w:rPr>
                <w:rFonts w:ascii="Calibri" w:hAnsi="Calibri" w:cs="Calibri"/>
                <w:b/>
                <w:color w:val="000000"/>
                <w:lang w:eastAsia="en-US"/>
              </w:rPr>
            </w:pPr>
            <w:r w:rsidRPr="003B700F">
              <w:rPr>
                <w:rFonts w:ascii="Calibri" w:hAnsi="Calibri" w:cs="Calibri"/>
                <w:b/>
                <w:color w:val="000000"/>
                <w:lang w:eastAsia="en-US"/>
              </w:rPr>
              <w:t>Krátkodobé závazky</w:t>
            </w:r>
            <w:r w:rsidR="003B700F">
              <w:rPr>
                <w:rFonts w:ascii="Calibri" w:hAnsi="Calibri" w:cs="Calibri"/>
                <w:b/>
                <w:color w:val="000000"/>
                <w:lang w:eastAsia="en-US"/>
              </w:rPr>
              <w:t xml:space="preserve"> </w:t>
            </w:r>
            <w:r w:rsidRPr="003B700F">
              <w:rPr>
                <w:rFonts w:ascii="Calibri" w:hAnsi="Calibri" w:cs="Calibri"/>
                <w:b/>
                <w:color w:val="000000"/>
                <w:lang w:eastAsia="en-US"/>
              </w:rPr>
              <w:br/>
              <w:t>(po splatnosti nebo nad 60 dnů od DUZP)</w:t>
            </w:r>
            <w:r w:rsidR="008C5426" w:rsidRPr="003B700F">
              <w:rPr>
                <w:rFonts w:ascii="Calibri" w:hAnsi="Calibri" w:cs="Calibri"/>
                <w:b/>
                <w:color w:val="000000"/>
                <w:lang w:eastAsia="en-US"/>
              </w:rPr>
              <w:t xml:space="preserve"> </w:t>
            </w:r>
            <w:r w:rsidRPr="003B700F">
              <w:rPr>
                <w:rFonts w:ascii="Calibri" w:hAnsi="Calibri" w:cs="Calibri"/>
                <w:b/>
                <w:color w:val="000000"/>
                <w:lang w:eastAsia="en-US"/>
              </w:rPr>
              <w:t>2/20</w:t>
            </w:r>
            <w:r w:rsidR="00D47A58" w:rsidRPr="003B700F">
              <w:rPr>
                <w:rFonts w:ascii="Calibri" w:hAnsi="Calibri" w:cs="Calibri"/>
                <w:b/>
                <w:color w:val="000000"/>
                <w:lang w:eastAsia="en-US"/>
              </w:rPr>
              <w:t>20</w:t>
            </w:r>
            <w:r w:rsidRPr="003B700F">
              <w:rPr>
                <w:rFonts w:ascii="Calibri" w:hAnsi="Calibri" w:cs="Calibri"/>
                <w:b/>
                <w:color w:val="000000"/>
                <w:lang w:eastAsia="en-US"/>
              </w:rPr>
              <w:t xml:space="preserve"> k oddlužení</w:t>
            </w:r>
          </w:p>
        </w:tc>
        <w:tc>
          <w:tcPr>
            <w:tcW w:w="2381" w:type="dxa"/>
            <w:shd w:val="clear" w:color="auto" w:fill="E5F1FF"/>
            <w:vAlign w:val="center"/>
            <w:hideMark/>
          </w:tcPr>
          <w:p w14:paraId="59F1AD0F" w14:textId="77777777" w:rsidR="00C87E80" w:rsidRPr="003B700F" w:rsidRDefault="00C87E80" w:rsidP="003B700F">
            <w:pPr>
              <w:keepNext/>
              <w:jc w:val="center"/>
              <w:rPr>
                <w:rFonts w:ascii="Calibri" w:hAnsi="Calibri" w:cs="Calibri"/>
                <w:b/>
                <w:color w:val="000000"/>
                <w:lang w:eastAsia="en-US"/>
              </w:rPr>
            </w:pPr>
            <w:r w:rsidRPr="003B700F">
              <w:rPr>
                <w:rFonts w:ascii="Calibri" w:hAnsi="Calibri" w:cs="Calibri"/>
                <w:b/>
                <w:color w:val="000000"/>
                <w:lang w:eastAsia="en-US"/>
              </w:rPr>
              <w:t>Částečné krytí refinancovaných závazků</w:t>
            </w:r>
          </w:p>
        </w:tc>
        <w:tc>
          <w:tcPr>
            <w:tcW w:w="1531" w:type="dxa"/>
            <w:shd w:val="clear" w:color="auto" w:fill="E5F1FF"/>
            <w:vAlign w:val="center"/>
            <w:hideMark/>
          </w:tcPr>
          <w:p w14:paraId="2788FD9B" w14:textId="77777777" w:rsidR="00C87E80" w:rsidRPr="003B700F" w:rsidRDefault="00C87E80" w:rsidP="003B700F">
            <w:pPr>
              <w:keepNext/>
              <w:jc w:val="center"/>
              <w:rPr>
                <w:rFonts w:ascii="Calibri" w:hAnsi="Calibri" w:cs="Calibri"/>
                <w:b/>
                <w:color w:val="000000"/>
                <w:lang w:eastAsia="en-US"/>
              </w:rPr>
            </w:pPr>
            <w:r w:rsidRPr="003B700F">
              <w:rPr>
                <w:rFonts w:ascii="Calibri" w:hAnsi="Calibri" w:cs="Calibri"/>
                <w:b/>
                <w:color w:val="000000"/>
                <w:lang w:eastAsia="en-US"/>
              </w:rPr>
              <w:t>Celkem</w:t>
            </w:r>
          </w:p>
        </w:tc>
      </w:tr>
      <w:tr w:rsidR="00C87E80" w:rsidRPr="003B700F" w14:paraId="3EBE28CC" w14:textId="77777777" w:rsidTr="00DC2971">
        <w:trPr>
          <w:trHeight w:val="255"/>
          <w:jc w:val="center"/>
        </w:trPr>
        <w:tc>
          <w:tcPr>
            <w:tcW w:w="1814" w:type="dxa"/>
            <w:noWrap/>
            <w:vAlign w:val="center"/>
            <w:hideMark/>
          </w:tcPr>
          <w:p w14:paraId="3DF9E077" w14:textId="77777777" w:rsidR="00C87E80" w:rsidRPr="003B700F" w:rsidRDefault="00C87E80" w:rsidP="003B700F">
            <w:pPr>
              <w:keepNext/>
              <w:jc w:val="center"/>
              <w:rPr>
                <w:rFonts w:ascii="Calibri" w:hAnsi="Calibri" w:cs="Calibri"/>
                <w:color w:val="000000"/>
                <w:lang w:eastAsia="en-US"/>
              </w:rPr>
            </w:pPr>
            <w:r w:rsidRPr="003B700F">
              <w:rPr>
                <w:rFonts w:ascii="Calibri" w:hAnsi="Calibri" w:cs="Calibri"/>
                <w:color w:val="000000"/>
                <w:lang w:eastAsia="en-US"/>
              </w:rPr>
              <w:t>FNKV</w:t>
            </w:r>
          </w:p>
        </w:tc>
        <w:tc>
          <w:tcPr>
            <w:tcW w:w="3288" w:type="dxa"/>
            <w:noWrap/>
            <w:vAlign w:val="center"/>
            <w:hideMark/>
          </w:tcPr>
          <w:p w14:paraId="362515AA" w14:textId="77777777" w:rsidR="00C87E80" w:rsidRPr="003B700F" w:rsidRDefault="00C87E80" w:rsidP="003B700F">
            <w:pPr>
              <w:keepNext/>
              <w:ind w:right="787"/>
              <w:jc w:val="right"/>
              <w:rPr>
                <w:rFonts w:ascii="Calibri" w:hAnsi="Calibri" w:cs="Calibri"/>
                <w:color w:val="000000"/>
                <w:lang w:eastAsia="en-US"/>
              </w:rPr>
            </w:pPr>
            <w:r w:rsidRPr="003B700F">
              <w:rPr>
                <w:rFonts w:ascii="Calibri" w:hAnsi="Calibri" w:cs="Calibri"/>
                <w:color w:val="000000"/>
                <w:lang w:eastAsia="en-US"/>
              </w:rPr>
              <w:t>433 344 555</w:t>
            </w:r>
          </w:p>
        </w:tc>
        <w:tc>
          <w:tcPr>
            <w:tcW w:w="2381" w:type="dxa"/>
            <w:noWrap/>
            <w:vAlign w:val="center"/>
            <w:hideMark/>
          </w:tcPr>
          <w:p w14:paraId="47BCEBD5" w14:textId="77777777" w:rsidR="00C87E80" w:rsidRPr="003B700F" w:rsidRDefault="00C87E80" w:rsidP="003B700F">
            <w:pPr>
              <w:keepNext/>
              <w:ind w:right="57"/>
              <w:jc w:val="right"/>
              <w:rPr>
                <w:rFonts w:ascii="Calibri" w:hAnsi="Calibri" w:cs="Calibri"/>
                <w:color w:val="000000"/>
                <w:lang w:eastAsia="en-US"/>
              </w:rPr>
            </w:pPr>
            <w:r w:rsidRPr="003B700F">
              <w:rPr>
                <w:rFonts w:ascii="Calibri" w:hAnsi="Calibri" w:cs="Calibri"/>
                <w:color w:val="000000"/>
                <w:lang w:eastAsia="en-US"/>
              </w:rPr>
              <w:t>- </w:t>
            </w:r>
          </w:p>
        </w:tc>
        <w:tc>
          <w:tcPr>
            <w:tcW w:w="1531" w:type="dxa"/>
            <w:noWrap/>
            <w:vAlign w:val="center"/>
            <w:hideMark/>
          </w:tcPr>
          <w:p w14:paraId="35B01263" w14:textId="77777777" w:rsidR="00C87E80" w:rsidRPr="003B700F" w:rsidRDefault="00C87E80" w:rsidP="003B700F">
            <w:pPr>
              <w:keepNext/>
              <w:ind w:right="57"/>
              <w:jc w:val="right"/>
              <w:rPr>
                <w:rFonts w:ascii="Calibri" w:hAnsi="Calibri" w:cs="Calibri"/>
                <w:color w:val="000000"/>
                <w:lang w:eastAsia="en-US"/>
              </w:rPr>
            </w:pPr>
            <w:r w:rsidRPr="003B700F">
              <w:rPr>
                <w:rFonts w:ascii="Calibri" w:hAnsi="Calibri" w:cs="Calibri"/>
                <w:color w:val="000000"/>
                <w:lang w:eastAsia="en-US"/>
              </w:rPr>
              <w:t>433 344 555</w:t>
            </w:r>
          </w:p>
        </w:tc>
      </w:tr>
      <w:tr w:rsidR="00C87E80" w:rsidRPr="003B700F" w14:paraId="0B416CF5" w14:textId="77777777" w:rsidTr="00DC2971">
        <w:trPr>
          <w:trHeight w:val="255"/>
          <w:jc w:val="center"/>
        </w:trPr>
        <w:tc>
          <w:tcPr>
            <w:tcW w:w="1814" w:type="dxa"/>
            <w:noWrap/>
            <w:vAlign w:val="center"/>
            <w:hideMark/>
          </w:tcPr>
          <w:p w14:paraId="202FE2DE" w14:textId="77777777" w:rsidR="00C87E80" w:rsidRPr="003B700F" w:rsidRDefault="00C87E80" w:rsidP="003B700F">
            <w:pPr>
              <w:keepNext/>
              <w:jc w:val="center"/>
              <w:rPr>
                <w:rFonts w:ascii="Calibri" w:hAnsi="Calibri" w:cs="Calibri"/>
                <w:color w:val="000000"/>
                <w:lang w:eastAsia="en-US"/>
              </w:rPr>
            </w:pPr>
            <w:r w:rsidRPr="003B700F">
              <w:rPr>
                <w:rFonts w:ascii="Calibri" w:hAnsi="Calibri" w:cs="Calibri"/>
                <w:color w:val="000000"/>
                <w:lang w:eastAsia="en-US"/>
              </w:rPr>
              <w:t>FNB</w:t>
            </w:r>
          </w:p>
        </w:tc>
        <w:tc>
          <w:tcPr>
            <w:tcW w:w="3288" w:type="dxa"/>
            <w:noWrap/>
            <w:vAlign w:val="center"/>
            <w:hideMark/>
          </w:tcPr>
          <w:p w14:paraId="681F206F" w14:textId="77777777" w:rsidR="00C87E80" w:rsidRPr="003B700F" w:rsidRDefault="00C87E80" w:rsidP="003B700F">
            <w:pPr>
              <w:keepNext/>
              <w:ind w:right="787"/>
              <w:jc w:val="right"/>
              <w:rPr>
                <w:rFonts w:ascii="Calibri" w:hAnsi="Calibri" w:cs="Calibri"/>
                <w:color w:val="000000"/>
                <w:lang w:eastAsia="en-US"/>
              </w:rPr>
            </w:pPr>
            <w:r w:rsidRPr="003B700F">
              <w:rPr>
                <w:rFonts w:ascii="Calibri" w:hAnsi="Calibri" w:cs="Calibri"/>
                <w:color w:val="000000"/>
                <w:lang w:eastAsia="en-US"/>
              </w:rPr>
              <w:t>785 478 548</w:t>
            </w:r>
          </w:p>
        </w:tc>
        <w:tc>
          <w:tcPr>
            <w:tcW w:w="2381" w:type="dxa"/>
            <w:noWrap/>
            <w:vAlign w:val="center"/>
            <w:hideMark/>
          </w:tcPr>
          <w:p w14:paraId="0D2C2E99" w14:textId="77777777" w:rsidR="00C87E80" w:rsidRPr="003B700F" w:rsidRDefault="00C87E80" w:rsidP="003B700F">
            <w:pPr>
              <w:keepNext/>
              <w:ind w:right="57"/>
              <w:jc w:val="right"/>
              <w:rPr>
                <w:rFonts w:ascii="Calibri" w:hAnsi="Calibri" w:cs="Calibri"/>
                <w:color w:val="000000"/>
                <w:lang w:eastAsia="en-US"/>
              </w:rPr>
            </w:pPr>
            <w:r w:rsidRPr="003B700F">
              <w:rPr>
                <w:rFonts w:ascii="Calibri" w:hAnsi="Calibri" w:cs="Calibri"/>
                <w:color w:val="000000"/>
                <w:lang w:eastAsia="en-US"/>
              </w:rPr>
              <w:t>500 000 000</w:t>
            </w:r>
          </w:p>
        </w:tc>
        <w:tc>
          <w:tcPr>
            <w:tcW w:w="1531" w:type="dxa"/>
            <w:noWrap/>
            <w:vAlign w:val="center"/>
            <w:hideMark/>
          </w:tcPr>
          <w:p w14:paraId="7304691D" w14:textId="77777777" w:rsidR="00C87E80" w:rsidRPr="003B700F" w:rsidRDefault="00C87E80" w:rsidP="003B700F">
            <w:pPr>
              <w:keepNext/>
              <w:ind w:right="57"/>
              <w:jc w:val="right"/>
              <w:rPr>
                <w:rFonts w:ascii="Calibri" w:hAnsi="Calibri" w:cs="Calibri"/>
                <w:color w:val="000000"/>
                <w:lang w:eastAsia="en-US"/>
              </w:rPr>
            </w:pPr>
            <w:r w:rsidRPr="003B700F">
              <w:rPr>
                <w:rFonts w:ascii="Calibri" w:hAnsi="Calibri" w:cs="Calibri"/>
                <w:color w:val="000000"/>
                <w:lang w:eastAsia="en-US"/>
              </w:rPr>
              <w:t>1 285 478 548</w:t>
            </w:r>
          </w:p>
        </w:tc>
      </w:tr>
      <w:tr w:rsidR="00C87E80" w:rsidRPr="003B700F" w14:paraId="01F0754F" w14:textId="77777777" w:rsidTr="00DC2971">
        <w:trPr>
          <w:trHeight w:val="255"/>
          <w:jc w:val="center"/>
        </w:trPr>
        <w:tc>
          <w:tcPr>
            <w:tcW w:w="1814" w:type="dxa"/>
            <w:noWrap/>
            <w:vAlign w:val="center"/>
            <w:hideMark/>
          </w:tcPr>
          <w:p w14:paraId="67FDAA60" w14:textId="77777777" w:rsidR="00C87E80" w:rsidRPr="003B700F" w:rsidRDefault="00C87E80" w:rsidP="003B700F">
            <w:pPr>
              <w:keepNext/>
              <w:jc w:val="center"/>
              <w:rPr>
                <w:rFonts w:ascii="Calibri" w:hAnsi="Calibri" w:cs="Calibri"/>
                <w:color w:val="000000"/>
                <w:lang w:eastAsia="en-US"/>
              </w:rPr>
            </w:pPr>
            <w:r w:rsidRPr="003B700F">
              <w:rPr>
                <w:rFonts w:ascii="Calibri" w:hAnsi="Calibri" w:cs="Calibri"/>
                <w:color w:val="000000"/>
                <w:lang w:eastAsia="en-US"/>
              </w:rPr>
              <w:t>FNUSA</w:t>
            </w:r>
          </w:p>
        </w:tc>
        <w:tc>
          <w:tcPr>
            <w:tcW w:w="3288" w:type="dxa"/>
            <w:noWrap/>
            <w:vAlign w:val="center"/>
            <w:hideMark/>
          </w:tcPr>
          <w:p w14:paraId="097E07A2" w14:textId="77777777" w:rsidR="00C87E80" w:rsidRPr="003B700F" w:rsidRDefault="00C87E80" w:rsidP="003B700F">
            <w:pPr>
              <w:keepNext/>
              <w:ind w:right="787"/>
              <w:jc w:val="right"/>
              <w:rPr>
                <w:rFonts w:ascii="Calibri" w:hAnsi="Calibri" w:cs="Calibri"/>
                <w:color w:val="000000"/>
                <w:lang w:eastAsia="en-US"/>
              </w:rPr>
            </w:pPr>
            <w:r w:rsidRPr="003B700F">
              <w:rPr>
                <w:rFonts w:ascii="Calibri" w:hAnsi="Calibri" w:cs="Calibri"/>
                <w:color w:val="000000"/>
                <w:lang w:eastAsia="en-US"/>
              </w:rPr>
              <w:t>1 664 143 028</w:t>
            </w:r>
          </w:p>
        </w:tc>
        <w:tc>
          <w:tcPr>
            <w:tcW w:w="2381" w:type="dxa"/>
            <w:noWrap/>
            <w:vAlign w:val="center"/>
            <w:hideMark/>
          </w:tcPr>
          <w:p w14:paraId="42F794C3" w14:textId="77777777" w:rsidR="00C87E80" w:rsidRPr="003B700F" w:rsidRDefault="00C87E80" w:rsidP="003B700F">
            <w:pPr>
              <w:keepNext/>
              <w:ind w:right="57"/>
              <w:jc w:val="right"/>
              <w:rPr>
                <w:rFonts w:ascii="Calibri" w:hAnsi="Calibri" w:cs="Calibri"/>
                <w:color w:val="000000"/>
                <w:lang w:eastAsia="en-US"/>
              </w:rPr>
            </w:pPr>
            <w:r w:rsidRPr="003B700F">
              <w:rPr>
                <w:rFonts w:ascii="Calibri" w:hAnsi="Calibri" w:cs="Calibri"/>
                <w:color w:val="000000"/>
                <w:lang w:eastAsia="en-US"/>
              </w:rPr>
              <w:t>- </w:t>
            </w:r>
          </w:p>
        </w:tc>
        <w:tc>
          <w:tcPr>
            <w:tcW w:w="1531" w:type="dxa"/>
            <w:noWrap/>
            <w:vAlign w:val="center"/>
            <w:hideMark/>
          </w:tcPr>
          <w:p w14:paraId="2F12DE8C" w14:textId="77777777" w:rsidR="00C87E80" w:rsidRPr="003B700F" w:rsidRDefault="00C87E80" w:rsidP="003B700F">
            <w:pPr>
              <w:keepNext/>
              <w:ind w:right="57"/>
              <w:jc w:val="right"/>
              <w:rPr>
                <w:rFonts w:ascii="Calibri" w:hAnsi="Calibri" w:cs="Calibri"/>
                <w:color w:val="000000"/>
                <w:lang w:eastAsia="en-US"/>
              </w:rPr>
            </w:pPr>
            <w:r w:rsidRPr="003B700F">
              <w:rPr>
                <w:rFonts w:ascii="Calibri" w:hAnsi="Calibri" w:cs="Calibri"/>
                <w:color w:val="000000"/>
                <w:lang w:eastAsia="en-US"/>
              </w:rPr>
              <w:t>1 664 143 028</w:t>
            </w:r>
          </w:p>
        </w:tc>
      </w:tr>
    </w:tbl>
    <w:p w14:paraId="00D10004" w14:textId="78F74553" w:rsidR="00C87E80" w:rsidRPr="0075660A" w:rsidRDefault="00C87E80" w:rsidP="003B700F">
      <w:pPr>
        <w:spacing w:before="40" w:after="120"/>
        <w:jc w:val="both"/>
        <w:rPr>
          <w:rFonts w:asciiTheme="minorHAnsi" w:hAnsiTheme="minorHAnsi" w:cstheme="minorHAnsi"/>
          <w:bCs/>
          <w:iCs/>
        </w:rPr>
      </w:pPr>
      <w:r w:rsidRPr="0075660A">
        <w:rPr>
          <w:rFonts w:asciiTheme="minorHAnsi" w:hAnsiTheme="minorHAnsi" w:cstheme="minorHAnsi"/>
          <w:b/>
          <w:bCs/>
          <w:iCs/>
        </w:rPr>
        <w:t>Zdroj:</w:t>
      </w:r>
      <w:r w:rsidRPr="0075660A">
        <w:rPr>
          <w:rFonts w:asciiTheme="minorHAnsi" w:hAnsiTheme="minorHAnsi" w:cstheme="minorHAnsi"/>
          <w:bCs/>
          <w:iCs/>
        </w:rPr>
        <w:t xml:space="preserve"> </w:t>
      </w:r>
      <w:r w:rsidR="004F454F">
        <w:rPr>
          <w:rFonts w:asciiTheme="minorHAnsi" w:hAnsiTheme="minorHAnsi" w:cstheme="minorHAnsi"/>
          <w:bCs/>
          <w:iCs/>
        </w:rPr>
        <w:t xml:space="preserve">dokument </w:t>
      </w:r>
      <w:proofErr w:type="spellStart"/>
      <w:r w:rsidR="004F454F">
        <w:rPr>
          <w:rFonts w:asciiTheme="minorHAnsi" w:hAnsiTheme="minorHAnsi" w:cstheme="minorHAnsi"/>
          <w:bCs/>
          <w:iCs/>
        </w:rPr>
        <w:t>MZ</w:t>
      </w:r>
      <w:r w:rsidR="00DC2971">
        <w:rPr>
          <w:rFonts w:asciiTheme="minorHAnsi" w:hAnsiTheme="minorHAnsi" w:cstheme="minorHAnsi"/>
          <w:bCs/>
          <w:iCs/>
        </w:rPr>
        <w:t>d</w:t>
      </w:r>
      <w:proofErr w:type="spellEnd"/>
      <w:r w:rsidR="004F454F">
        <w:rPr>
          <w:rFonts w:asciiTheme="minorHAnsi" w:hAnsiTheme="minorHAnsi" w:cstheme="minorHAnsi"/>
          <w:bCs/>
          <w:iCs/>
        </w:rPr>
        <w:t xml:space="preserve"> </w:t>
      </w:r>
      <w:r w:rsidR="00DC2971">
        <w:rPr>
          <w:rFonts w:asciiTheme="minorHAnsi" w:hAnsiTheme="minorHAnsi" w:cstheme="minorHAnsi"/>
          <w:bCs/>
          <w:iCs/>
        </w:rPr>
        <w:t>–</w:t>
      </w:r>
      <w:r w:rsidR="004F454F">
        <w:rPr>
          <w:rFonts w:asciiTheme="minorHAnsi" w:hAnsiTheme="minorHAnsi" w:cstheme="minorHAnsi"/>
          <w:bCs/>
          <w:iCs/>
        </w:rPr>
        <w:t xml:space="preserve"> materiál čj. 412/20 k usnesení vlády č. 480.</w:t>
      </w:r>
    </w:p>
    <w:p w14:paraId="19A2004E" w14:textId="6F896D34" w:rsidR="002310D9" w:rsidRPr="00527E83" w:rsidRDefault="00C87E80" w:rsidP="003B700F">
      <w:pPr>
        <w:spacing w:before="120"/>
        <w:jc w:val="both"/>
        <w:rPr>
          <w:rFonts w:asciiTheme="minorHAnsi" w:hAnsiTheme="minorHAnsi" w:cstheme="minorHAnsi"/>
          <w:bCs/>
          <w:iCs/>
          <w:sz w:val="24"/>
          <w:szCs w:val="24"/>
        </w:rPr>
      </w:pPr>
      <w:r w:rsidRPr="0075660A">
        <w:rPr>
          <w:rFonts w:asciiTheme="minorHAnsi" w:hAnsiTheme="minorHAnsi" w:cstheme="minorHAnsi"/>
          <w:bCs/>
          <w:iCs/>
          <w:sz w:val="24"/>
          <w:szCs w:val="24"/>
        </w:rPr>
        <w:t xml:space="preserve">Na základě usnesení vlády č. 480 rozeslalo </w:t>
      </w:r>
      <w:proofErr w:type="spellStart"/>
      <w:r w:rsidRPr="0075660A">
        <w:rPr>
          <w:rFonts w:asciiTheme="minorHAnsi" w:hAnsiTheme="minorHAnsi" w:cstheme="minorHAnsi"/>
          <w:bCs/>
          <w:iCs/>
          <w:sz w:val="24"/>
          <w:szCs w:val="24"/>
        </w:rPr>
        <w:t>MZ</w:t>
      </w:r>
      <w:r w:rsidR="00DC2971">
        <w:rPr>
          <w:rFonts w:asciiTheme="minorHAnsi" w:hAnsiTheme="minorHAnsi" w:cstheme="minorHAnsi"/>
          <w:bCs/>
          <w:iCs/>
          <w:sz w:val="24"/>
          <w:szCs w:val="24"/>
        </w:rPr>
        <w:t>d</w:t>
      </w:r>
      <w:proofErr w:type="spellEnd"/>
      <w:r w:rsidRPr="0075660A">
        <w:rPr>
          <w:rFonts w:asciiTheme="minorHAnsi" w:hAnsiTheme="minorHAnsi" w:cstheme="minorHAnsi"/>
          <w:bCs/>
          <w:iCs/>
          <w:sz w:val="24"/>
          <w:szCs w:val="24"/>
        </w:rPr>
        <w:t xml:space="preserve"> dne 19. 5. 2020 kontrolovaným nemocnicím dopis o jednorázovém příspěvku zřizovatele vybraným nemocnicím na úhradu závazků po lhůtě splatnosti nebo závazků nad 60 dnů od DUZP a </w:t>
      </w:r>
      <w:proofErr w:type="spellStart"/>
      <w:r w:rsidRPr="0075660A">
        <w:rPr>
          <w:rFonts w:asciiTheme="minorHAnsi" w:hAnsiTheme="minorHAnsi" w:cstheme="minorHAnsi"/>
          <w:bCs/>
          <w:iCs/>
          <w:sz w:val="24"/>
          <w:szCs w:val="24"/>
        </w:rPr>
        <w:t>přefinancovaných</w:t>
      </w:r>
      <w:proofErr w:type="spellEnd"/>
      <w:r w:rsidRPr="0075660A">
        <w:rPr>
          <w:rFonts w:asciiTheme="minorHAnsi" w:hAnsiTheme="minorHAnsi" w:cstheme="minorHAnsi"/>
          <w:bCs/>
          <w:iCs/>
          <w:sz w:val="24"/>
          <w:szCs w:val="24"/>
        </w:rPr>
        <w:t xml:space="preserve"> závazků.</w:t>
      </w:r>
      <w:r w:rsidR="00F8475B" w:rsidRPr="0075660A">
        <w:rPr>
          <w:rFonts w:asciiTheme="minorHAnsi" w:hAnsiTheme="minorHAnsi" w:cstheme="minorHAnsi"/>
          <w:bCs/>
          <w:iCs/>
          <w:sz w:val="24"/>
          <w:szCs w:val="24"/>
        </w:rPr>
        <w:t xml:space="preserve"> V </w:t>
      </w:r>
      <w:r w:rsidRPr="0075660A">
        <w:rPr>
          <w:rFonts w:asciiTheme="minorHAnsi" w:hAnsiTheme="minorHAnsi" w:cstheme="minorHAnsi"/>
          <w:bCs/>
          <w:iCs/>
          <w:sz w:val="24"/>
          <w:szCs w:val="24"/>
        </w:rPr>
        <w:t>usnesení vlády č. 480</w:t>
      </w:r>
      <w:r w:rsidR="00F8475B" w:rsidRPr="0075660A">
        <w:rPr>
          <w:rFonts w:asciiTheme="minorHAnsi" w:hAnsiTheme="minorHAnsi" w:cstheme="minorHAnsi"/>
          <w:bCs/>
          <w:iCs/>
          <w:sz w:val="24"/>
          <w:szCs w:val="24"/>
        </w:rPr>
        <w:t xml:space="preserve"> bylo stanoveno</w:t>
      </w:r>
      <w:r w:rsidRPr="0075660A">
        <w:rPr>
          <w:rFonts w:asciiTheme="minorHAnsi" w:hAnsiTheme="minorHAnsi" w:cstheme="minorHAnsi"/>
          <w:bCs/>
          <w:iCs/>
          <w:sz w:val="24"/>
          <w:szCs w:val="24"/>
        </w:rPr>
        <w:t>, že</w:t>
      </w:r>
      <w:r w:rsidR="002310D9" w:rsidRPr="0075660A">
        <w:rPr>
          <w:rFonts w:asciiTheme="minorHAnsi" w:hAnsiTheme="minorHAnsi" w:cstheme="minorHAnsi"/>
          <w:bCs/>
          <w:iCs/>
          <w:sz w:val="24"/>
          <w:szCs w:val="24"/>
        </w:rPr>
        <w:t>:</w:t>
      </w:r>
    </w:p>
    <w:p w14:paraId="7FA92DAE" w14:textId="7F27B246" w:rsidR="00C87E80" w:rsidRPr="00527E83" w:rsidRDefault="002310D9" w:rsidP="003B700F">
      <w:pPr>
        <w:pStyle w:val="Odstavecseseznamem"/>
        <w:numPr>
          <w:ilvl w:val="0"/>
          <w:numId w:val="38"/>
        </w:numPr>
        <w:ind w:left="284" w:hanging="284"/>
        <w:jc w:val="both"/>
        <w:rPr>
          <w:rFonts w:asciiTheme="minorHAnsi" w:hAnsiTheme="minorHAnsi" w:cstheme="minorHAnsi"/>
          <w:bCs/>
          <w:iCs/>
          <w:sz w:val="24"/>
          <w:szCs w:val="24"/>
        </w:rPr>
      </w:pPr>
      <w:r w:rsidRPr="00527E83">
        <w:rPr>
          <w:rFonts w:asciiTheme="minorHAnsi" w:hAnsiTheme="minorHAnsi" w:cstheme="minorHAnsi"/>
          <w:bCs/>
          <w:iCs/>
          <w:sz w:val="24"/>
          <w:szCs w:val="24"/>
        </w:rPr>
        <w:t xml:space="preserve">u </w:t>
      </w:r>
      <w:r w:rsidR="00C87E80" w:rsidRPr="00527E83">
        <w:rPr>
          <w:rFonts w:asciiTheme="minorHAnsi" w:hAnsiTheme="minorHAnsi" w:cstheme="minorHAnsi"/>
          <w:bCs/>
          <w:iCs/>
          <w:sz w:val="24"/>
          <w:szCs w:val="24"/>
        </w:rPr>
        <w:t xml:space="preserve">FNB byly peněžní prostředky na oddlužení rozděleny na dvě části – na úhradu závazků po splatnosti nebo závazků nad 60 dnů od DUZP v celkové výši 785 478 548 Kč a na krytí </w:t>
      </w:r>
      <w:proofErr w:type="spellStart"/>
      <w:r w:rsidR="00C87E80" w:rsidRPr="00527E83">
        <w:rPr>
          <w:rFonts w:asciiTheme="minorHAnsi" w:hAnsiTheme="minorHAnsi" w:cstheme="minorHAnsi"/>
          <w:bCs/>
          <w:iCs/>
          <w:sz w:val="24"/>
          <w:szCs w:val="24"/>
        </w:rPr>
        <w:t>přefinancovaných</w:t>
      </w:r>
      <w:proofErr w:type="spellEnd"/>
      <w:r w:rsidR="00C87E80" w:rsidRPr="00527E83">
        <w:rPr>
          <w:rFonts w:asciiTheme="minorHAnsi" w:hAnsiTheme="minorHAnsi" w:cstheme="minorHAnsi"/>
          <w:bCs/>
          <w:iCs/>
          <w:sz w:val="24"/>
          <w:szCs w:val="24"/>
        </w:rPr>
        <w:t xml:space="preserve"> závazků v celkové výši 500 000 000 Kč. </w:t>
      </w:r>
      <w:proofErr w:type="spellStart"/>
      <w:r w:rsidR="00C87E80" w:rsidRPr="00527E83">
        <w:rPr>
          <w:rFonts w:asciiTheme="minorHAnsi" w:hAnsiTheme="minorHAnsi" w:cstheme="minorHAnsi"/>
          <w:bCs/>
          <w:iCs/>
          <w:sz w:val="24"/>
          <w:szCs w:val="24"/>
        </w:rPr>
        <w:t>MZ</w:t>
      </w:r>
      <w:r w:rsidR="00DC2971">
        <w:rPr>
          <w:rFonts w:asciiTheme="minorHAnsi" w:hAnsiTheme="minorHAnsi" w:cstheme="minorHAnsi"/>
          <w:bCs/>
          <w:iCs/>
          <w:sz w:val="24"/>
          <w:szCs w:val="24"/>
        </w:rPr>
        <w:t>d</w:t>
      </w:r>
      <w:proofErr w:type="spellEnd"/>
      <w:r w:rsidR="00DC2971">
        <w:rPr>
          <w:rFonts w:asciiTheme="minorHAnsi" w:hAnsiTheme="minorHAnsi" w:cstheme="minorHAnsi"/>
          <w:bCs/>
          <w:iCs/>
          <w:sz w:val="24"/>
          <w:szCs w:val="24"/>
        </w:rPr>
        <w:t xml:space="preserve"> </w:t>
      </w:r>
      <w:r w:rsidR="00C87E80" w:rsidRPr="00527E83">
        <w:rPr>
          <w:rFonts w:asciiTheme="minorHAnsi" w:hAnsiTheme="minorHAnsi" w:cstheme="minorHAnsi"/>
          <w:bCs/>
          <w:iCs/>
          <w:sz w:val="24"/>
          <w:szCs w:val="24"/>
        </w:rPr>
        <w:t>v dopise nerozdělilo peněžní prostředky dle usnesení vlády č. 480, ale umožnilo FNB jejich využití bez finančního omezení pro jednotlivé druhy závazků.</w:t>
      </w:r>
    </w:p>
    <w:p w14:paraId="4C06E77E" w14:textId="30EF1C65" w:rsidR="007C621E" w:rsidRPr="00E34A6E" w:rsidRDefault="007C621E" w:rsidP="003B700F">
      <w:pPr>
        <w:pStyle w:val="Odstavecseseznamem"/>
        <w:numPr>
          <w:ilvl w:val="0"/>
          <w:numId w:val="38"/>
        </w:numPr>
        <w:ind w:left="284" w:hanging="284"/>
        <w:jc w:val="both"/>
        <w:rPr>
          <w:rFonts w:asciiTheme="minorHAnsi" w:hAnsiTheme="minorHAnsi" w:cstheme="minorHAnsi"/>
          <w:bCs/>
          <w:iCs/>
          <w:sz w:val="24"/>
          <w:szCs w:val="24"/>
        </w:rPr>
      </w:pPr>
      <w:r w:rsidRPr="00527E83">
        <w:rPr>
          <w:rFonts w:asciiTheme="minorHAnsi" w:hAnsiTheme="minorHAnsi" w:cstheme="minorHAnsi"/>
          <w:bCs/>
          <w:iCs/>
          <w:sz w:val="24"/>
          <w:szCs w:val="24"/>
        </w:rPr>
        <w:t xml:space="preserve">u FNKV a FNUSA byly peněžní prostředky na oddlužení určeny pouze na úhradu závazků po splatnosti nebo závazků nad 60 dnů od DUZP. </w:t>
      </w:r>
      <w:proofErr w:type="spellStart"/>
      <w:r w:rsidRPr="00527E83">
        <w:rPr>
          <w:rFonts w:asciiTheme="minorHAnsi" w:hAnsiTheme="minorHAnsi" w:cstheme="minorHAnsi"/>
          <w:bCs/>
          <w:iCs/>
          <w:sz w:val="24"/>
          <w:szCs w:val="24"/>
        </w:rPr>
        <w:t>MZ</w:t>
      </w:r>
      <w:r w:rsidR="00DC2971">
        <w:rPr>
          <w:rFonts w:asciiTheme="minorHAnsi" w:hAnsiTheme="minorHAnsi" w:cstheme="minorHAnsi"/>
          <w:bCs/>
          <w:iCs/>
          <w:sz w:val="24"/>
          <w:szCs w:val="24"/>
        </w:rPr>
        <w:t>d</w:t>
      </w:r>
      <w:proofErr w:type="spellEnd"/>
      <w:r w:rsidRPr="00527E83">
        <w:rPr>
          <w:rFonts w:asciiTheme="minorHAnsi" w:hAnsiTheme="minorHAnsi" w:cstheme="minorHAnsi"/>
          <w:bCs/>
          <w:iCs/>
          <w:sz w:val="24"/>
          <w:szCs w:val="24"/>
        </w:rPr>
        <w:t xml:space="preserve"> svými dopisy umožnilo FNKV a FNUSA využít určené peněžní prostředky navíc také na úhradu </w:t>
      </w:r>
      <w:proofErr w:type="spellStart"/>
      <w:r w:rsidRPr="00527E83">
        <w:rPr>
          <w:rFonts w:asciiTheme="minorHAnsi" w:hAnsiTheme="minorHAnsi" w:cstheme="minorHAnsi"/>
          <w:bCs/>
          <w:iCs/>
          <w:sz w:val="24"/>
          <w:szCs w:val="24"/>
        </w:rPr>
        <w:t>přefinancovaných</w:t>
      </w:r>
      <w:proofErr w:type="spellEnd"/>
      <w:r w:rsidRPr="00527E83">
        <w:rPr>
          <w:rFonts w:asciiTheme="minorHAnsi" w:hAnsiTheme="minorHAnsi" w:cstheme="minorHAnsi"/>
          <w:bCs/>
          <w:iCs/>
          <w:sz w:val="24"/>
          <w:szCs w:val="24"/>
        </w:rPr>
        <w:t xml:space="preserve"> závazků, tzn. na jiný druh závazků, </w:t>
      </w:r>
      <w:r w:rsidRPr="00E34A6E">
        <w:rPr>
          <w:rFonts w:asciiTheme="minorHAnsi" w:hAnsiTheme="minorHAnsi" w:cstheme="minorHAnsi"/>
          <w:bCs/>
          <w:iCs/>
          <w:sz w:val="24"/>
          <w:szCs w:val="24"/>
        </w:rPr>
        <w:t xml:space="preserve">než stanovilo usnesení vlády č. 480. </w:t>
      </w:r>
    </w:p>
    <w:p w14:paraId="79817803" w14:textId="62D3F6E2" w:rsidR="00C87E80" w:rsidRPr="00476369" w:rsidRDefault="00C87E80" w:rsidP="00476369">
      <w:pPr>
        <w:widowControl/>
        <w:spacing w:before="120" w:after="120"/>
        <w:jc w:val="both"/>
        <w:rPr>
          <w:rFonts w:ascii="Calibri" w:hAnsi="Calibri" w:cs="Calibri"/>
          <w:bCs/>
          <w:i/>
          <w:iCs/>
          <w:color w:val="000000" w:themeColor="text1"/>
          <w:sz w:val="24"/>
          <w:szCs w:val="24"/>
        </w:rPr>
      </w:pPr>
      <w:proofErr w:type="spellStart"/>
      <w:r w:rsidRPr="00476369">
        <w:rPr>
          <w:rFonts w:ascii="Calibri" w:hAnsi="Calibri" w:cs="Calibri"/>
          <w:b/>
          <w:bCs/>
          <w:iCs/>
          <w:color w:val="000000" w:themeColor="text1"/>
          <w:sz w:val="24"/>
          <w:szCs w:val="24"/>
        </w:rPr>
        <w:t>MZ</w:t>
      </w:r>
      <w:r w:rsidR="00DC2971">
        <w:rPr>
          <w:rFonts w:ascii="Calibri" w:hAnsi="Calibri" w:cs="Calibri"/>
          <w:b/>
          <w:bCs/>
          <w:iCs/>
          <w:color w:val="000000" w:themeColor="text1"/>
          <w:sz w:val="24"/>
          <w:szCs w:val="24"/>
        </w:rPr>
        <w:t>d</w:t>
      </w:r>
      <w:proofErr w:type="spellEnd"/>
      <w:r w:rsidRPr="00476369">
        <w:rPr>
          <w:rFonts w:ascii="Calibri" w:hAnsi="Calibri" w:cs="Calibri"/>
          <w:b/>
          <w:bCs/>
          <w:iCs/>
          <w:color w:val="000000" w:themeColor="text1"/>
          <w:sz w:val="24"/>
          <w:szCs w:val="24"/>
        </w:rPr>
        <w:t xml:space="preserve"> </w:t>
      </w:r>
      <w:r w:rsidR="008258FE" w:rsidRPr="00476369">
        <w:rPr>
          <w:rFonts w:ascii="Calibri" w:hAnsi="Calibri" w:cs="Calibri"/>
          <w:b/>
          <w:bCs/>
          <w:iCs/>
          <w:color w:val="000000" w:themeColor="text1"/>
          <w:sz w:val="24"/>
          <w:szCs w:val="24"/>
        </w:rPr>
        <w:t>postupovalo v rozporu</w:t>
      </w:r>
      <w:r w:rsidRPr="00476369">
        <w:rPr>
          <w:rFonts w:ascii="Calibri" w:hAnsi="Calibri" w:cs="Calibri"/>
          <w:b/>
          <w:bCs/>
          <w:iCs/>
          <w:color w:val="000000" w:themeColor="text1"/>
          <w:sz w:val="24"/>
          <w:szCs w:val="24"/>
        </w:rPr>
        <w:t xml:space="preserve"> </w:t>
      </w:r>
      <w:r w:rsidR="004F454F" w:rsidRPr="00476369">
        <w:rPr>
          <w:rFonts w:ascii="Calibri" w:hAnsi="Calibri" w:cs="Calibri"/>
          <w:b/>
          <w:bCs/>
          <w:iCs/>
          <w:color w:val="000000" w:themeColor="text1"/>
          <w:sz w:val="24"/>
          <w:szCs w:val="24"/>
        </w:rPr>
        <w:t>s kompetenčním zákonem</w:t>
      </w:r>
      <w:r w:rsidR="004F454F" w:rsidRPr="00476369">
        <w:rPr>
          <w:rStyle w:val="Znakapoznpodarou"/>
          <w:rFonts w:ascii="Calibri" w:hAnsi="Calibri" w:cs="Calibri"/>
          <w:b/>
          <w:bCs/>
          <w:iCs/>
          <w:color w:val="000000" w:themeColor="text1"/>
          <w:sz w:val="24"/>
          <w:szCs w:val="24"/>
        </w:rPr>
        <w:footnoteReference w:id="38"/>
      </w:r>
      <w:r w:rsidR="00CA44CC" w:rsidRPr="00476369">
        <w:rPr>
          <w:rFonts w:ascii="Calibri" w:hAnsi="Calibri" w:cs="Calibri"/>
          <w:b/>
          <w:bCs/>
          <w:iCs/>
          <w:color w:val="000000" w:themeColor="text1"/>
          <w:sz w:val="24"/>
          <w:szCs w:val="24"/>
        </w:rPr>
        <w:t xml:space="preserve">, když se neřídilo </w:t>
      </w:r>
      <w:r w:rsidRPr="00476369">
        <w:rPr>
          <w:rFonts w:ascii="Calibri" w:hAnsi="Calibri" w:cs="Calibri"/>
          <w:b/>
          <w:bCs/>
          <w:iCs/>
          <w:color w:val="000000" w:themeColor="text1"/>
          <w:sz w:val="24"/>
          <w:szCs w:val="24"/>
        </w:rPr>
        <w:t>usnesením vlády č.</w:t>
      </w:r>
      <w:r w:rsidR="00CA44CC" w:rsidRPr="00476369">
        <w:rPr>
          <w:rFonts w:ascii="Calibri" w:hAnsi="Calibri" w:cs="Calibri"/>
          <w:b/>
          <w:bCs/>
          <w:iCs/>
          <w:color w:val="000000" w:themeColor="text1"/>
          <w:sz w:val="24"/>
          <w:szCs w:val="24"/>
        </w:rPr>
        <w:t> </w:t>
      </w:r>
      <w:r w:rsidRPr="00476369">
        <w:rPr>
          <w:rFonts w:ascii="Calibri" w:hAnsi="Calibri" w:cs="Calibri"/>
          <w:b/>
          <w:bCs/>
          <w:iCs/>
          <w:color w:val="000000" w:themeColor="text1"/>
          <w:sz w:val="24"/>
          <w:szCs w:val="24"/>
        </w:rPr>
        <w:t>480</w:t>
      </w:r>
      <w:r w:rsidR="002C2537" w:rsidRPr="00476369">
        <w:rPr>
          <w:rFonts w:ascii="Calibri" w:hAnsi="Calibri" w:cs="Calibri"/>
          <w:b/>
          <w:bCs/>
          <w:iCs/>
          <w:color w:val="000000" w:themeColor="text1"/>
          <w:sz w:val="24"/>
          <w:szCs w:val="24"/>
        </w:rPr>
        <w:t>.</w:t>
      </w:r>
      <w:r w:rsidRPr="00476369">
        <w:rPr>
          <w:rFonts w:ascii="Calibri" w:hAnsi="Calibri" w:cs="Calibri"/>
          <w:b/>
          <w:bCs/>
          <w:iCs/>
          <w:color w:val="000000" w:themeColor="text1"/>
          <w:sz w:val="24"/>
          <w:szCs w:val="24"/>
        </w:rPr>
        <w:t xml:space="preserve"> </w:t>
      </w:r>
      <w:proofErr w:type="spellStart"/>
      <w:r w:rsidRPr="00476369">
        <w:rPr>
          <w:rFonts w:ascii="Calibri" w:hAnsi="Calibri" w:cs="Calibri"/>
          <w:bCs/>
          <w:iCs/>
          <w:color w:val="000000" w:themeColor="text1"/>
          <w:sz w:val="24"/>
          <w:szCs w:val="24"/>
        </w:rPr>
        <w:t>MZ</w:t>
      </w:r>
      <w:r w:rsidR="00DC2971">
        <w:rPr>
          <w:rFonts w:ascii="Calibri" w:hAnsi="Calibri" w:cs="Calibri"/>
          <w:bCs/>
          <w:iCs/>
          <w:color w:val="000000" w:themeColor="text1"/>
          <w:sz w:val="24"/>
          <w:szCs w:val="24"/>
        </w:rPr>
        <w:t>d</w:t>
      </w:r>
      <w:proofErr w:type="spellEnd"/>
      <w:r w:rsidRPr="00476369">
        <w:rPr>
          <w:rFonts w:ascii="Calibri" w:hAnsi="Calibri" w:cs="Calibri"/>
          <w:bCs/>
          <w:iCs/>
          <w:color w:val="000000" w:themeColor="text1"/>
          <w:sz w:val="24"/>
          <w:szCs w:val="24"/>
        </w:rPr>
        <w:t xml:space="preserve"> v rozporu s usnesením vlády č. 480 u všech kontrolovaných FN rozhodlo o určení peněžních prostředků k jednorázovému příspěvku </w:t>
      </w:r>
      <w:r w:rsidR="00BB2F26" w:rsidRPr="00476369">
        <w:rPr>
          <w:rFonts w:ascii="Calibri" w:hAnsi="Calibri" w:cs="Calibri"/>
          <w:bCs/>
          <w:iCs/>
          <w:color w:val="000000" w:themeColor="text1"/>
          <w:sz w:val="24"/>
          <w:szCs w:val="24"/>
        </w:rPr>
        <w:t xml:space="preserve">zřizovatele </w:t>
      </w:r>
      <w:r w:rsidR="00566240" w:rsidRPr="00476369">
        <w:rPr>
          <w:rFonts w:ascii="Calibri" w:hAnsi="Calibri" w:cs="Calibri"/>
          <w:bCs/>
          <w:iCs/>
          <w:color w:val="000000" w:themeColor="text1"/>
          <w:sz w:val="24"/>
          <w:szCs w:val="24"/>
        </w:rPr>
        <w:t>za účelem</w:t>
      </w:r>
      <w:r w:rsidR="00DC2971">
        <w:rPr>
          <w:rFonts w:ascii="Calibri" w:hAnsi="Calibri" w:cs="Calibri"/>
          <w:bCs/>
          <w:iCs/>
          <w:color w:val="000000" w:themeColor="text1"/>
          <w:sz w:val="24"/>
          <w:szCs w:val="24"/>
        </w:rPr>
        <w:t xml:space="preserve"> </w:t>
      </w:r>
      <w:r w:rsidRPr="00476369">
        <w:rPr>
          <w:rFonts w:ascii="Calibri" w:hAnsi="Calibri" w:cs="Calibri"/>
          <w:bCs/>
          <w:iCs/>
          <w:color w:val="000000" w:themeColor="text1"/>
          <w:sz w:val="24"/>
          <w:szCs w:val="24"/>
        </w:rPr>
        <w:t>oddlužení na jiný druh závazků, resp. bez stanovení finančního limitu pro jednotlivé druhy závazků.</w:t>
      </w:r>
    </w:p>
    <w:p w14:paraId="072507DA" w14:textId="0B0F9CB3" w:rsidR="00C87E80" w:rsidRPr="00476369" w:rsidRDefault="00C87E80" w:rsidP="00476369">
      <w:pPr>
        <w:widowControl/>
        <w:spacing w:before="120" w:after="120"/>
        <w:jc w:val="both"/>
        <w:rPr>
          <w:rFonts w:ascii="Calibri" w:eastAsia="Calibri" w:hAnsi="Calibri" w:cs="Calibri"/>
          <w:iCs/>
          <w:color w:val="000000" w:themeColor="text1"/>
          <w:sz w:val="24"/>
          <w:szCs w:val="24"/>
        </w:rPr>
      </w:pPr>
      <w:proofErr w:type="spellStart"/>
      <w:r w:rsidRPr="00476369">
        <w:rPr>
          <w:rFonts w:ascii="Calibri" w:eastAsia="Calibri" w:hAnsi="Calibri" w:cs="Calibri"/>
          <w:b/>
          <w:color w:val="000000" w:themeColor="text1"/>
          <w:sz w:val="24"/>
          <w:szCs w:val="24"/>
        </w:rPr>
        <w:t>MZ</w:t>
      </w:r>
      <w:r w:rsidR="00DC2971">
        <w:rPr>
          <w:rFonts w:ascii="Calibri" w:eastAsia="Calibri" w:hAnsi="Calibri" w:cs="Calibri"/>
          <w:b/>
          <w:color w:val="000000" w:themeColor="text1"/>
          <w:sz w:val="24"/>
          <w:szCs w:val="24"/>
        </w:rPr>
        <w:t>d</w:t>
      </w:r>
      <w:proofErr w:type="spellEnd"/>
      <w:r w:rsidRPr="00476369">
        <w:rPr>
          <w:rFonts w:ascii="Calibri" w:eastAsia="Calibri" w:hAnsi="Calibri" w:cs="Calibri"/>
          <w:b/>
          <w:color w:val="000000" w:themeColor="text1"/>
          <w:sz w:val="24"/>
          <w:szCs w:val="24"/>
        </w:rPr>
        <w:t xml:space="preserve"> porušilo zákon </w:t>
      </w:r>
      <w:r w:rsidR="00F520BE" w:rsidRPr="00476369">
        <w:rPr>
          <w:rFonts w:ascii="Calibri" w:eastAsia="Calibri" w:hAnsi="Calibri" w:cs="Calibri"/>
          <w:b/>
          <w:color w:val="000000" w:themeColor="text1"/>
          <w:sz w:val="24"/>
          <w:szCs w:val="24"/>
        </w:rPr>
        <w:t>o finanční kontrole</w:t>
      </w:r>
      <w:r w:rsidR="000A1142" w:rsidRPr="00476369">
        <w:rPr>
          <w:rFonts w:ascii="Calibri" w:eastAsia="Calibri" w:hAnsi="Calibri" w:cs="Calibri"/>
          <w:b/>
          <w:color w:val="000000" w:themeColor="text1"/>
          <w:sz w:val="24"/>
          <w:szCs w:val="24"/>
          <w:vertAlign w:val="superscript"/>
        </w:rPr>
        <w:t>4</w:t>
      </w:r>
      <w:r w:rsidRPr="00476369">
        <w:rPr>
          <w:rFonts w:ascii="Calibri" w:eastAsia="Calibri" w:hAnsi="Calibri" w:cs="Calibri"/>
          <w:b/>
          <w:color w:val="000000" w:themeColor="text1"/>
          <w:sz w:val="24"/>
          <w:szCs w:val="24"/>
        </w:rPr>
        <w:t xml:space="preserve"> tím</w:t>
      </w:r>
      <w:r w:rsidRPr="00476369">
        <w:rPr>
          <w:rFonts w:ascii="Calibri" w:eastAsia="Calibri" w:hAnsi="Calibri" w:cs="Calibri"/>
          <w:b/>
          <w:iCs/>
          <w:color w:val="000000" w:themeColor="text1"/>
          <w:sz w:val="24"/>
          <w:szCs w:val="24"/>
        </w:rPr>
        <w:t>,</w:t>
      </w:r>
      <w:r w:rsidRPr="00476369">
        <w:rPr>
          <w:rFonts w:ascii="Calibri" w:eastAsia="Calibri" w:hAnsi="Calibri" w:cs="Calibri"/>
          <w:b/>
          <w:i/>
          <w:iCs/>
          <w:color w:val="000000" w:themeColor="text1"/>
          <w:sz w:val="24"/>
          <w:szCs w:val="24"/>
        </w:rPr>
        <w:t xml:space="preserve"> </w:t>
      </w:r>
      <w:r w:rsidRPr="00476369">
        <w:rPr>
          <w:rFonts w:ascii="Calibri" w:eastAsia="Calibri" w:hAnsi="Calibri" w:cs="Calibri"/>
          <w:b/>
          <w:iCs/>
          <w:color w:val="000000" w:themeColor="text1"/>
          <w:sz w:val="24"/>
          <w:szCs w:val="24"/>
        </w:rPr>
        <w:t>že neprovádělo řádně a důsledně předběžnou řídicí kontrolu</w:t>
      </w:r>
      <w:r w:rsidR="00EB198F" w:rsidRPr="00476369">
        <w:rPr>
          <w:rFonts w:ascii="Calibri" w:eastAsia="Calibri" w:hAnsi="Calibri" w:cs="Calibri"/>
          <w:b/>
          <w:iCs/>
          <w:color w:val="000000" w:themeColor="text1"/>
          <w:sz w:val="24"/>
          <w:szCs w:val="24"/>
        </w:rPr>
        <w:t xml:space="preserve"> v oblasti jednorázového příspěvku za účelem oddlužení</w:t>
      </w:r>
      <w:r w:rsidRPr="00476369">
        <w:rPr>
          <w:rFonts w:ascii="Calibri" w:eastAsia="Calibri" w:hAnsi="Calibri" w:cs="Calibri"/>
          <w:b/>
          <w:iCs/>
          <w:color w:val="000000" w:themeColor="text1"/>
          <w:sz w:val="24"/>
          <w:szCs w:val="24"/>
        </w:rPr>
        <w:t>.</w:t>
      </w:r>
      <w:r w:rsidRPr="00476369">
        <w:rPr>
          <w:rFonts w:ascii="Calibri" w:eastAsia="Calibri" w:hAnsi="Calibri" w:cs="Calibri"/>
          <w:iCs/>
          <w:color w:val="000000" w:themeColor="text1"/>
          <w:sz w:val="24"/>
          <w:szCs w:val="24"/>
        </w:rPr>
        <w:t xml:space="preserve"> </w:t>
      </w:r>
      <w:proofErr w:type="spellStart"/>
      <w:r w:rsidRPr="00476369">
        <w:rPr>
          <w:rFonts w:ascii="Calibri" w:eastAsia="Calibri" w:hAnsi="Calibri" w:cs="Calibri"/>
          <w:iCs/>
          <w:color w:val="000000" w:themeColor="text1"/>
          <w:sz w:val="24"/>
          <w:szCs w:val="24"/>
        </w:rPr>
        <w:t>MZ</w:t>
      </w:r>
      <w:r w:rsidR="00DC2971">
        <w:rPr>
          <w:rFonts w:ascii="Calibri" w:eastAsia="Calibri" w:hAnsi="Calibri" w:cs="Calibri"/>
          <w:iCs/>
          <w:color w:val="000000" w:themeColor="text1"/>
          <w:sz w:val="24"/>
          <w:szCs w:val="24"/>
        </w:rPr>
        <w:t>d</w:t>
      </w:r>
      <w:proofErr w:type="spellEnd"/>
      <w:r w:rsidRPr="00476369">
        <w:rPr>
          <w:rFonts w:ascii="Calibri" w:eastAsia="Calibri" w:hAnsi="Calibri" w:cs="Calibri"/>
          <w:iCs/>
          <w:color w:val="000000" w:themeColor="text1"/>
          <w:sz w:val="24"/>
          <w:szCs w:val="24"/>
        </w:rPr>
        <w:t xml:space="preserve"> neprovádělo záznamy</w:t>
      </w:r>
      <w:r w:rsidR="00C00A1D" w:rsidRPr="00476369">
        <w:rPr>
          <w:rFonts w:ascii="Calibri" w:eastAsia="Calibri" w:hAnsi="Calibri" w:cs="Calibri"/>
          <w:iCs/>
          <w:color w:val="000000" w:themeColor="text1"/>
          <w:sz w:val="24"/>
          <w:szCs w:val="24"/>
        </w:rPr>
        <w:t xml:space="preserve"> </w:t>
      </w:r>
      <w:r w:rsidR="003D749F" w:rsidRPr="00476369">
        <w:rPr>
          <w:rFonts w:ascii="Calibri" w:eastAsia="Calibri" w:hAnsi="Calibri" w:cs="Calibri"/>
          <w:iCs/>
          <w:color w:val="000000" w:themeColor="text1"/>
          <w:sz w:val="24"/>
          <w:szCs w:val="24"/>
        </w:rPr>
        <w:t>o</w:t>
      </w:r>
      <w:r w:rsidR="00C00A1D" w:rsidRPr="00476369">
        <w:rPr>
          <w:rFonts w:ascii="Calibri" w:eastAsia="Calibri" w:hAnsi="Calibri" w:cs="Calibri"/>
          <w:iCs/>
          <w:color w:val="000000" w:themeColor="text1"/>
          <w:sz w:val="24"/>
          <w:szCs w:val="24"/>
        </w:rPr>
        <w:t xml:space="preserve"> provedené předběžné řídicí kontrole, a to jak před vznikem závazku, tak i po jeho vzniku.</w:t>
      </w:r>
    </w:p>
    <w:p w14:paraId="60BC69B3" w14:textId="2EA2DAC8" w:rsidR="00C87E80" w:rsidRPr="00476369" w:rsidRDefault="00F07C96" w:rsidP="00476369">
      <w:pPr>
        <w:widowControl/>
        <w:spacing w:before="120" w:after="120"/>
        <w:jc w:val="both"/>
        <w:rPr>
          <w:rFonts w:ascii="Calibri" w:hAnsi="Calibri" w:cs="Calibri"/>
          <w:bCs/>
          <w:iCs/>
          <w:strike/>
          <w:color w:val="000000" w:themeColor="text1"/>
          <w:sz w:val="24"/>
          <w:szCs w:val="24"/>
        </w:rPr>
      </w:pPr>
      <w:proofErr w:type="spellStart"/>
      <w:r w:rsidRPr="00476369">
        <w:rPr>
          <w:rFonts w:ascii="Calibri" w:hAnsi="Calibri" w:cs="Calibri"/>
          <w:bCs/>
          <w:iCs/>
          <w:color w:val="000000" w:themeColor="text1"/>
          <w:sz w:val="24"/>
          <w:szCs w:val="24"/>
        </w:rPr>
        <w:t>MZ</w:t>
      </w:r>
      <w:r w:rsidR="00DC2971">
        <w:rPr>
          <w:rFonts w:ascii="Calibri" w:hAnsi="Calibri" w:cs="Calibri"/>
          <w:bCs/>
          <w:iCs/>
          <w:color w:val="000000" w:themeColor="text1"/>
          <w:sz w:val="24"/>
          <w:szCs w:val="24"/>
        </w:rPr>
        <w:t>d</w:t>
      </w:r>
      <w:proofErr w:type="spellEnd"/>
      <w:r w:rsidRPr="00476369">
        <w:rPr>
          <w:rFonts w:ascii="Calibri" w:hAnsi="Calibri" w:cs="Calibri"/>
          <w:bCs/>
          <w:iCs/>
          <w:color w:val="000000" w:themeColor="text1"/>
          <w:sz w:val="24"/>
          <w:szCs w:val="24"/>
        </w:rPr>
        <w:t xml:space="preserve"> samo </w:t>
      </w:r>
      <w:r w:rsidR="007B2E83" w:rsidRPr="00476369">
        <w:rPr>
          <w:rFonts w:ascii="Calibri" w:hAnsi="Calibri" w:cs="Calibri"/>
          <w:bCs/>
          <w:iCs/>
          <w:color w:val="000000" w:themeColor="text1"/>
          <w:sz w:val="24"/>
          <w:szCs w:val="24"/>
        </w:rPr>
        <w:t>v podmínkách</w:t>
      </w:r>
      <w:r w:rsidRPr="00476369">
        <w:rPr>
          <w:rFonts w:ascii="Calibri" w:hAnsi="Calibri" w:cs="Calibri"/>
          <w:bCs/>
          <w:iCs/>
          <w:color w:val="000000" w:themeColor="text1"/>
          <w:sz w:val="24"/>
          <w:szCs w:val="24"/>
        </w:rPr>
        <w:t xml:space="preserve"> stanovilo</w:t>
      </w:r>
      <w:r w:rsidR="007B2E83" w:rsidRPr="00476369">
        <w:rPr>
          <w:rFonts w:ascii="Calibri" w:hAnsi="Calibri" w:cs="Calibri"/>
          <w:bCs/>
          <w:iCs/>
          <w:color w:val="000000" w:themeColor="text1"/>
          <w:sz w:val="24"/>
          <w:szCs w:val="24"/>
        </w:rPr>
        <w:t xml:space="preserve"> FN</w:t>
      </w:r>
      <w:r w:rsidRPr="00476369">
        <w:rPr>
          <w:rFonts w:ascii="Calibri" w:hAnsi="Calibri" w:cs="Calibri"/>
          <w:bCs/>
          <w:iCs/>
          <w:color w:val="000000" w:themeColor="text1"/>
          <w:sz w:val="24"/>
          <w:szCs w:val="24"/>
        </w:rPr>
        <w:t xml:space="preserve">, že mají zaslat zprávy o využití peněžních prostředků do 30. 6. 2020. </w:t>
      </w:r>
      <w:proofErr w:type="spellStart"/>
      <w:r w:rsidR="00C87E80" w:rsidRPr="00476369">
        <w:rPr>
          <w:rFonts w:ascii="Calibri" w:hAnsi="Calibri" w:cs="Calibri"/>
          <w:bCs/>
          <w:iCs/>
          <w:color w:val="000000" w:themeColor="text1"/>
          <w:sz w:val="24"/>
          <w:szCs w:val="24"/>
        </w:rPr>
        <w:t>MZ</w:t>
      </w:r>
      <w:r w:rsidR="00DC2971">
        <w:rPr>
          <w:rFonts w:ascii="Calibri" w:hAnsi="Calibri" w:cs="Calibri"/>
          <w:bCs/>
          <w:iCs/>
          <w:color w:val="000000" w:themeColor="text1"/>
          <w:sz w:val="24"/>
          <w:szCs w:val="24"/>
        </w:rPr>
        <w:t>d</w:t>
      </w:r>
      <w:proofErr w:type="spellEnd"/>
      <w:r w:rsidR="00C87E80" w:rsidRPr="00476369">
        <w:rPr>
          <w:rFonts w:ascii="Calibri" w:hAnsi="Calibri" w:cs="Calibri"/>
          <w:bCs/>
          <w:iCs/>
          <w:color w:val="000000" w:themeColor="text1"/>
          <w:sz w:val="24"/>
          <w:szCs w:val="24"/>
        </w:rPr>
        <w:t xml:space="preserve"> od FNB nevyžadovalo další zprávy o</w:t>
      </w:r>
      <w:r w:rsidR="005B711C" w:rsidRPr="00476369">
        <w:rPr>
          <w:rFonts w:ascii="Calibri" w:hAnsi="Calibri" w:cs="Calibri"/>
          <w:bCs/>
          <w:iCs/>
          <w:color w:val="000000" w:themeColor="text1"/>
          <w:sz w:val="24"/>
          <w:szCs w:val="24"/>
        </w:rPr>
        <w:t xml:space="preserve"> použití</w:t>
      </w:r>
      <w:r w:rsidR="00C87E80" w:rsidRPr="00476369">
        <w:rPr>
          <w:rFonts w:ascii="Calibri" w:hAnsi="Calibri" w:cs="Calibri"/>
          <w:bCs/>
          <w:iCs/>
          <w:color w:val="000000" w:themeColor="text1"/>
          <w:sz w:val="24"/>
          <w:szCs w:val="24"/>
        </w:rPr>
        <w:t xml:space="preserve"> zbývajících peněžních prostředků v celkové výši 408 219 386,20 Kč, které </w:t>
      </w:r>
      <w:r w:rsidR="00992365" w:rsidRPr="00476369">
        <w:rPr>
          <w:rFonts w:ascii="Calibri" w:hAnsi="Calibri" w:cs="Calibri"/>
          <w:bCs/>
          <w:iCs/>
          <w:color w:val="000000" w:themeColor="text1"/>
          <w:sz w:val="24"/>
          <w:szCs w:val="24"/>
        </w:rPr>
        <w:t xml:space="preserve">FNB </w:t>
      </w:r>
      <w:r w:rsidR="00C87E80" w:rsidRPr="00476369">
        <w:rPr>
          <w:rFonts w:ascii="Calibri" w:hAnsi="Calibri" w:cs="Calibri"/>
          <w:bCs/>
          <w:iCs/>
          <w:color w:val="000000" w:themeColor="text1"/>
          <w:sz w:val="24"/>
          <w:szCs w:val="24"/>
        </w:rPr>
        <w:t xml:space="preserve">do 30. 6. 2020 </w:t>
      </w:r>
      <w:r w:rsidR="00992365" w:rsidRPr="00476369">
        <w:rPr>
          <w:rFonts w:ascii="Calibri" w:hAnsi="Calibri" w:cs="Calibri"/>
          <w:bCs/>
          <w:iCs/>
          <w:color w:val="000000" w:themeColor="text1"/>
          <w:sz w:val="24"/>
          <w:szCs w:val="24"/>
        </w:rPr>
        <w:t>ne</w:t>
      </w:r>
      <w:r w:rsidR="00C87E80" w:rsidRPr="00476369">
        <w:rPr>
          <w:rFonts w:ascii="Calibri" w:hAnsi="Calibri" w:cs="Calibri"/>
          <w:bCs/>
          <w:iCs/>
          <w:color w:val="000000" w:themeColor="text1"/>
          <w:sz w:val="24"/>
          <w:szCs w:val="24"/>
        </w:rPr>
        <w:t>použi</w:t>
      </w:r>
      <w:r w:rsidR="00992365" w:rsidRPr="00476369">
        <w:rPr>
          <w:rFonts w:ascii="Calibri" w:hAnsi="Calibri" w:cs="Calibri"/>
          <w:bCs/>
          <w:iCs/>
          <w:color w:val="000000" w:themeColor="text1"/>
          <w:sz w:val="24"/>
          <w:szCs w:val="24"/>
        </w:rPr>
        <w:t>la</w:t>
      </w:r>
      <w:r w:rsidR="00C87E80" w:rsidRPr="00476369">
        <w:rPr>
          <w:rFonts w:ascii="Calibri" w:hAnsi="Calibri" w:cs="Calibri"/>
          <w:bCs/>
          <w:iCs/>
          <w:color w:val="000000" w:themeColor="text1"/>
          <w:sz w:val="24"/>
          <w:szCs w:val="24"/>
        </w:rPr>
        <w:t xml:space="preserve"> na stanovený účel, tj. </w:t>
      </w:r>
      <w:r w:rsidR="00DC2971">
        <w:rPr>
          <w:rFonts w:ascii="Calibri" w:hAnsi="Calibri" w:cs="Calibri"/>
          <w:bCs/>
          <w:iCs/>
          <w:color w:val="000000" w:themeColor="text1"/>
          <w:sz w:val="24"/>
          <w:szCs w:val="24"/>
        </w:rPr>
        <w:t xml:space="preserve">na </w:t>
      </w:r>
      <w:r w:rsidR="00C87E80" w:rsidRPr="00476369">
        <w:rPr>
          <w:rFonts w:ascii="Calibri" w:hAnsi="Calibri" w:cs="Calibri"/>
          <w:bCs/>
          <w:iCs/>
          <w:color w:val="000000" w:themeColor="text1"/>
          <w:sz w:val="24"/>
          <w:szCs w:val="24"/>
        </w:rPr>
        <w:t>úhradu závazků po splatnosti nebo závazků nad 60 dnů od DUZP a</w:t>
      </w:r>
      <w:r w:rsidR="00A8479B" w:rsidRPr="00476369">
        <w:rPr>
          <w:rFonts w:ascii="Calibri" w:hAnsi="Calibri" w:cs="Calibri"/>
          <w:bCs/>
          <w:iCs/>
          <w:color w:val="000000" w:themeColor="text1"/>
          <w:sz w:val="24"/>
          <w:szCs w:val="24"/>
        </w:rPr>
        <w:t> </w:t>
      </w:r>
      <w:proofErr w:type="spellStart"/>
      <w:r w:rsidR="00C87E80" w:rsidRPr="00476369">
        <w:rPr>
          <w:rFonts w:ascii="Calibri" w:hAnsi="Calibri" w:cs="Calibri"/>
          <w:bCs/>
          <w:iCs/>
          <w:color w:val="000000" w:themeColor="text1"/>
          <w:sz w:val="24"/>
          <w:szCs w:val="24"/>
        </w:rPr>
        <w:t>přefinancovaných</w:t>
      </w:r>
      <w:proofErr w:type="spellEnd"/>
      <w:r w:rsidR="00C87E80" w:rsidRPr="00476369">
        <w:rPr>
          <w:rFonts w:ascii="Calibri" w:hAnsi="Calibri" w:cs="Calibri"/>
          <w:bCs/>
          <w:iCs/>
          <w:color w:val="000000" w:themeColor="text1"/>
          <w:sz w:val="24"/>
          <w:szCs w:val="24"/>
        </w:rPr>
        <w:t xml:space="preserve"> závazků. </w:t>
      </w:r>
      <w:proofErr w:type="spellStart"/>
      <w:r w:rsidR="00F30E22" w:rsidRPr="00476369">
        <w:rPr>
          <w:rFonts w:ascii="Calibri" w:hAnsi="Calibri" w:cs="Calibri"/>
          <w:b/>
          <w:bCs/>
          <w:iCs/>
          <w:color w:val="000000" w:themeColor="text1"/>
          <w:sz w:val="24"/>
          <w:szCs w:val="24"/>
        </w:rPr>
        <w:t>MZ</w:t>
      </w:r>
      <w:r w:rsidR="00812EA4">
        <w:rPr>
          <w:rFonts w:ascii="Calibri" w:hAnsi="Calibri" w:cs="Calibri"/>
          <w:b/>
          <w:bCs/>
          <w:iCs/>
          <w:color w:val="000000" w:themeColor="text1"/>
          <w:sz w:val="24"/>
          <w:szCs w:val="24"/>
        </w:rPr>
        <w:t>d</w:t>
      </w:r>
      <w:proofErr w:type="spellEnd"/>
      <w:r w:rsidR="00F30E22" w:rsidRPr="00476369">
        <w:rPr>
          <w:rFonts w:ascii="Calibri" w:hAnsi="Calibri" w:cs="Calibri"/>
          <w:b/>
          <w:bCs/>
          <w:iCs/>
          <w:color w:val="000000" w:themeColor="text1"/>
          <w:sz w:val="24"/>
          <w:szCs w:val="24"/>
        </w:rPr>
        <w:t xml:space="preserve"> nepůsobilo ve funkci zřizovatele FN v souladu </w:t>
      </w:r>
      <w:r w:rsidR="00812EA4">
        <w:rPr>
          <w:rFonts w:ascii="Calibri" w:hAnsi="Calibri" w:cs="Calibri"/>
          <w:b/>
          <w:bCs/>
          <w:iCs/>
          <w:color w:val="000000" w:themeColor="text1"/>
          <w:sz w:val="24"/>
          <w:szCs w:val="24"/>
        </w:rPr>
        <w:t>s</w:t>
      </w:r>
      <w:r w:rsidR="00A8479B" w:rsidRPr="00476369">
        <w:rPr>
          <w:rFonts w:ascii="Calibri" w:hAnsi="Calibri" w:cs="Calibri"/>
          <w:b/>
          <w:bCs/>
          <w:iCs/>
          <w:color w:val="000000" w:themeColor="text1"/>
          <w:sz w:val="24"/>
          <w:szCs w:val="24"/>
        </w:rPr>
        <w:t> </w:t>
      </w:r>
      <w:r w:rsidR="00F30E22" w:rsidRPr="00476369">
        <w:rPr>
          <w:rFonts w:ascii="Calibri" w:hAnsi="Calibri" w:cs="Calibri"/>
          <w:b/>
          <w:bCs/>
          <w:iCs/>
          <w:color w:val="000000" w:themeColor="text1"/>
          <w:sz w:val="24"/>
          <w:szCs w:val="24"/>
        </w:rPr>
        <w:t>rozpočtový</w:t>
      </w:r>
      <w:r w:rsidR="00812EA4">
        <w:rPr>
          <w:rFonts w:ascii="Calibri" w:hAnsi="Calibri" w:cs="Calibri"/>
          <w:b/>
          <w:bCs/>
          <w:iCs/>
          <w:color w:val="000000" w:themeColor="text1"/>
          <w:sz w:val="24"/>
          <w:szCs w:val="24"/>
        </w:rPr>
        <w:t>mi</w:t>
      </w:r>
      <w:r w:rsidR="00F30E22" w:rsidRPr="00476369">
        <w:rPr>
          <w:rFonts w:ascii="Calibri" w:hAnsi="Calibri" w:cs="Calibri"/>
          <w:b/>
          <w:bCs/>
          <w:iCs/>
          <w:color w:val="000000" w:themeColor="text1"/>
          <w:sz w:val="24"/>
          <w:szCs w:val="24"/>
        </w:rPr>
        <w:t xml:space="preserve"> pravidl</w:t>
      </w:r>
      <w:r w:rsidR="00812EA4">
        <w:rPr>
          <w:rFonts w:ascii="Calibri" w:hAnsi="Calibri" w:cs="Calibri"/>
          <w:b/>
          <w:bCs/>
          <w:iCs/>
          <w:color w:val="000000" w:themeColor="text1"/>
          <w:sz w:val="24"/>
          <w:szCs w:val="24"/>
        </w:rPr>
        <w:t>y</w:t>
      </w:r>
      <w:r w:rsidR="001A3017" w:rsidRPr="00476369">
        <w:rPr>
          <w:rFonts w:ascii="Calibri" w:hAnsi="Calibri" w:cs="Calibri"/>
          <w:b/>
          <w:bCs/>
          <w:iCs/>
          <w:color w:val="000000" w:themeColor="text1"/>
          <w:sz w:val="24"/>
          <w:szCs w:val="24"/>
          <w:vertAlign w:val="superscript"/>
        </w:rPr>
        <w:t>14</w:t>
      </w:r>
      <w:r w:rsidR="00C861C0" w:rsidRPr="00476369">
        <w:rPr>
          <w:rFonts w:ascii="Calibri" w:hAnsi="Calibri" w:cs="Calibri"/>
          <w:b/>
          <w:bCs/>
          <w:iCs/>
          <w:color w:val="000000" w:themeColor="text1"/>
          <w:sz w:val="24"/>
          <w:szCs w:val="24"/>
        </w:rPr>
        <w:t>.</w:t>
      </w:r>
    </w:p>
    <w:p w14:paraId="42EBC84B" w14:textId="14261724" w:rsidR="00C87E80" w:rsidRPr="00476369" w:rsidRDefault="00C87E80" w:rsidP="00476369">
      <w:pPr>
        <w:widowControl/>
        <w:spacing w:before="120" w:after="120"/>
        <w:jc w:val="both"/>
        <w:rPr>
          <w:rFonts w:ascii="Calibri" w:hAnsi="Calibri" w:cs="Calibri"/>
          <w:bCs/>
          <w:iCs/>
          <w:color w:val="000000" w:themeColor="text1"/>
          <w:sz w:val="24"/>
          <w:szCs w:val="24"/>
        </w:rPr>
      </w:pPr>
      <w:proofErr w:type="spellStart"/>
      <w:r w:rsidRPr="00476369">
        <w:rPr>
          <w:rFonts w:ascii="Calibri" w:hAnsi="Calibri" w:cs="Calibri"/>
          <w:bCs/>
          <w:iCs/>
          <w:color w:val="000000" w:themeColor="text1"/>
          <w:sz w:val="24"/>
          <w:szCs w:val="24"/>
        </w:rPr>
        <w:t>MZ</w:t>
      </w:r>
      <w:r w:rsidR="00812EA4">
        <w:rPr>
          <w:rFonts w:ascii="Calibri" w:hAnsi="Calibri" w:cs="Calibri"/>
          <w:bCs/>
          <w:iCs/>
          <w:color w:val="000000" w:themeColor="text1"/>
          <w:sz w:val="24"/>
          <w:szCs w:val="24"/>
        </w:rPr>
        <w:t>d</w:t>
      </w:r>
      <w:proofErr w:type="spellEnd"/>
      <w:r w:rsidRPr="00476369">
        <w:rPr>
          <w:rFonts w:ascii="Calibri" w:hAnsi="Calibri" w:cs="Calibri"/>
          <w:bCs/>
          <w:iCs/>
          <w:color w:val="000000" w:themeColor="text1"/>
          <w:sz w:val="24"/>
          <w:szCs w:val="24"/>
        </w:rPr>
        <w:t xml:space="preserve"> v podkladech pro jednání vlády </w:t>
      </w:r>
      <w:r w:rsidR="008258FE" w:rsidRPr="00476369">
        <w:rPr>
          <w:rFonts w:ascii="Calibri" w:hAnsi="Calibri" w:cs="Calibri"/>
          <w:bCs/>
          <w:iCs/>
          <w:color w:val="000000" w:themeColor="text1"/>
          <w:sz w:val="24"/>
          <w:szCs w:val="24"/>
        </w:rPr>
        <w:t>ČR</w:t>
      </w:r>
      <w:r w:rsidRPr="00476369">
        <w:rPr>
          <w:rFonts w:ascii="Calibri" w:hAnsi="Calibri" w:cs="Calibri"/>
          <w:bCs/>
          <w:iCs/>
          <w:color w:val="000000" w:themeColor="text1"/>
          <w:sz w:val="24"/>
          <w:szCs w:val="24"/>
        </w:rPr>
        <w:t xml:space="preserve"> související</w:t>
      </w:r>
      <w:r w:rsidR="00FF0061" w:rsidRPr="00476369">
        <w:rPr>
          <w:rFonts w:ascii="Calibri" w:hAnsi="Calibri" w:cs="Calibri"/>
          <w:bCs/>
          <w:iCs/>
          <w:color w:val="000000" w:themeColor="text1"/>
          <w:sz w:val="24"/>
          <w:szCs w:val="24"/>
        </w:rPr>
        <w:t>ch</w:t>
      </w:r>
      <w:r w:rsidRPr="00476369">
        <w:rPr>
          <w:rFonts w:ascii="Calibri" w:hAnsi="Calibri" w:cs="Calibri"/>
          <w:bCs/>
          <w:iCs/>
          <w:color w:val="000000" w:themeColor="text1"/>
          <w:sz w:val="24"/>
          <w:szCs w:val="24"/>
        </w:rPr>
        <w:t xml:space="preserve"> s oddlužením </w:t>
      </w:r>
      <w:r w:rsidR="00A72296" w:rsidRPr="00476369">
        <w:rPr>
          <w:rFonts w:ascii="Calibri" w:hAnsi="Calibri" w:cs="Calibri"/>
          <w:bCs/>
          <w:iCs/>
          <w:color w:val="000000" w:themeColor="text1"/>
          <w:sz w:val="24"/>
          <w:szCs w:val="24"/>
        </w:rPr>
        <w:t xml:space="preserve">FN v roce 2020 </w:t>
      </w:r>
      <w:r w:rsidRPr="00476369">
        <w:rPr>
          <w:rFonts w:ascii="Calibri" w:hAnsi="Calibri" w:cs="Calibri"/>
          <w:bCs/>
          <w:iCs/>
          <w:color w:val="000000" w:themeColor="text1"/>
          <w:sz w:val="24"/>
          <w:szCs w:val="24"/>
        </w:rPr>
        <w:t xml:space="preserve">deklarovalo zvýšený dohled a </w:t>
      </w:r>
      <w:r w:rsidR="00A5406C" w:rsidRPr="00476369">
        <w:rPr>
          <w:rFonts w:ascii="Calibri" w:hAnsi="Calibri" w:cs="Calibri"/>
          <w:bCs/>
          <w:iCs/>
          <w:color w:val="000000" w:themeColor="text1"/>
          <w:sz w:val="24"/>
          <w:szCs w:val="24"/>
        </w:rPr>
        <w:t xml:space="preserve">předkládání </w:t>
      </w:r>
      <w:r w:rsidR="00223533" w:rsidRPr="00476369">
        <w:rPr>
          <w:rFonts w:ascii="Calibri" w:hAnsi="Calibri" w:cs="Calibri"/>
          <w:bCs/>
          <w:iCs/>
          <w:color w:val="000000" w:themeColor="text1"/>
          <w:sz w:val="24"/>
          <w:szCs w:val="24"/>
        </w:rPr>
        <w:t>podrobnějších a častějších informací</w:t>
      </w:r>
      <w:r w:rsidRPr="00476369">
        <w:rPr>
          <w:rFonts w:ascii="Calibri" w:hAnsi="Calibri" w:cs="Calibri"/>
          <w:bCs/>
          <w:iCs/>
          <w:color w:val="000000" w:themeColor="text1"/>
          <w:sz w:val="24"/>
          <w:szCs w:val="24"/>
        </w:rPr>
        <w:t xml:space="preserve"> </w:t>
      </w:r>
      <w:r w:rsidR="00223533" w:rsidRPr="00476369">
        <w:rPr>
          <w:rFonts w:ascii="Calibri" w:hAnsi="Calibri" w:cs="Calibri"/>
          <w:bCs/>
          <w:iCs/>
          <w:color w:val="000000" w:themeColor="text1"/>
          <w:sz w:val="24"/>
          <w:szCs w:val="24"/>
        </w:rPr>
        <w:t>o </w:t>
      </w:r>
      <w:r w:rsidRPr="00476369">
        <w:rPr>
          <w:rFonts w:ascii="Calibri" w:hAnsi="Calibri" w:cs="Calibri"/>
          <w:bCs/>
          <w:iCs/>
          <w:color w:val="000000" w:themeColor="text1"/>
          <w:sz w:val="24"/>
          <w:szCs w:val="24"/>
        </w:rPr>
        <w:t>přijatých opatření</w:t>
      </w:r>
      <w:r w:rsidR="001B224D" w:rsidRPr="00476369">
        <w:rPr>
          <w:rFonts w:ascii="Calibri" w:hAnsi="Calibri" w:cs="Calibri"/>
          <w:bCs/>
          <w:iCs/>
          <w:color w:val="000000" w:themeColor="text1"/>
          <w:sz w:val="24"/>
          <w:szCs w:val="24"/>
        </w:rPr>
        <w:t>ch</w:t>
      </w:r>
      <w:r w:rsidRPr="00476369">
        <w:rPr>
          <w:rFonts w:ascii="Calibri" w:hAnsi="Calibri" w:cs="Calibri"/>
          <w:bCs/>
          <w:iCs/>
          <w:color w:val="000000" w:themeColor="text1"/>
          <w:sz w:val="24"/>
          <w:szCs w:val="24"/>
        </w:rPr>
        <w:t xml:space="preserve"> ke stabilizaci hospodaření, </w:t>
      </w:r>
      <w:r w:rsidR="009471F8" w:rsidRPr="00476369">
        <w:rPr>
          <w:rFonts w:ascii="Calibri" w:hAnsi="Calibri" w:cs="Calibri"/>
          <w:bCs/>
          <w:iCs/>
          <w:color w:val="000000" w:themeColor="text1"/>
          <w:sz w:val="24"/>
          <w:szCs w:val="24"/>
        </w:rPr>
        <w:t xml:space="preserve">ale </w:t>
      </w:r>
      <w:r w:rsidR="004963E0" w:rsidRPr="00476369">
        <w:rPr>
          <w:rFonts w:ascii="Calibri" w:hAnsi="Calibri" w:cs="Calibri"/>
          <w:bCs/>
          <w:iCs/>
          <w:color w:val="000000" w:themeColor="text1"/>
          <w:sz w:val="24"/>
          <w:szCs w:val="24"/>
        </w:rPr>
        <w:t xml:space="preserve">v činnosti </w:t>
      </w:r>
      <w:proofErr w:type="spellStart"/>
      <w:r w:rsidR="004963E0" w:rsidRPr="00476369">
        <w:rPr>
          <w:rFonts w:ascii="Calibri" w:hAnsi="Calibri" w:cs="Calibri"/>
          <w:bCs/>
          <w:iCs/>
          <w:color w:val="000000" w:themeColor="text1"/>
          <w:sz w:val="24"/>
          <w:szCs w:val="24"/>
        </w:rPr>
        <w:t>MZ</w:t>
      </w:r>
      <w:r w:rsidR="00812EA4">
        <w:rPr>
          <w:rFonts w:ascii="Calibri" w:hAnsi="Calibri" w:cs="Calibri"/>
          <w:bCs/>
          <w:iCs/>
          <w:color w:val="000000" w:themeColor="text1"/>
          <w:sz w:val="24"/>
          <w:szCs w:val="24"/>
        </w:rPr>
        <w:t>d</w:t>
      </w:r>
      <w:proofErr w:type="spellEnd"/>
      <w:r w:rsidR="004963E0" w:rsidRPr="00476369">
        <w:rPr>
          <w:rFonts w:ascii="Calibri" w:hAnsi="Calibri" w:cs="Calibri"/>
          <w:bCs/>
          <w:iCs/>
          <w:color w:val="000000" w:themeColor="text1"/>
          <w:sz w:val="24"/>
          <w:szCs w:val="24"/>
        </w:rPr>
        <w:t xml:space="preserve"> </w:t>
      </w:r>
      <w:r w:rsidRPr="00476369">
        <w:rPr>
          <w:rFonts w:ascii="Calibri" w:hAnsi="Calibri" w:cs="Calibri"/>
          <w:bCs/>
          <w:iCs/>
          <w:color w:val="000000" w:themeColor="text1"/>
          <w:sz w:val="24"/>
          <w:szCs w:val="24"/>
        </w:rPr>
        <w:t>fakticky nedošlo k žádné změně.</w:t>
      </w:r>
    </w:p>
    <w:p w14:paraId="1C0ECFA5" w14:textId="3A335FBE" w:rsidR="000D5800" w:rsidRPr="00476369" w:rsidRDefault="009471F8" w:rsidP="00476369">
      <w:pPr>
        <w:widowControl/>
        <w:spacing w:before="120" w:after="120"/>
        <w:jc w:val="both"/>
        <w:rPr>
          <w:rFonts w:ascii="Calibri" w:hAnsi="Calibri" w:cs="Calibri"/>
          <w:color w:val="000000" w:themeColor="text1"/>
          <w:sz w:val="24"/>
          <w:szCs w:val="24"/>
        </w:rPr>
      </w:pPr>
      <w:proofErr w:type="spellStart"/>
      <w:r w:rsidRPr="00476369">
        <w:rPr>
          <w:rFonts w:ascii="Calibri" w:hAnsi="Calibri" w:cs="Calibri"/>
          <w:color w:val="000000" w:themeColor="text1"/>
          <w:sz w:val="24"/>
          <w:szCs w:val="24"/>
        </w:rPr>
        <w:t>MZ</w:t>
      </w:r>
      <w:r w:rsidR="00812EA4">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vynaložilo </w:t>
      </w:r>
      <w:r w:rsidR="009B79C2" w:rsidRPr="00476369">
        <w:rPr>
          <w:rFonts w:ascii="Calibri" w:hAnsi="Calibri" w:cs="Calibri"/>
          <w:color w:val="000000" w:themeColor="text1"/>
          <w:sz w:val="24"/>
          <w:szCs w:val="24"/>
        </w:rPr>
        <w:t xml:space="preserve">téměř 6,6 mld. Kč </w:t>
      </w:r>
      <w:r w:rsidRPr="00476369">
        <w:rPr>
          <w:rFonts w:ascii="Calibri" w:hAnsi="Calibri" w:cs="Calibri"/>
          <w:color w:val="000000" w:themeColor="text1"/>
          <w:sz w:val="24"/>
          <w:szCs w:val="24"/>
        </w:rPr>
        <w:t xml:space="preserve">na příspěvek za účelem oddlužení </w:t>
      </w:r>
      <w:r w:rsidR="003D749F" w:rsidRPr="00476369">
        <w:rPr>
          <w:rFonts w:ascii="Calibri" w:hAnsi="Calibri" w:cs="Calibri"/>
          <w:color w:val="000000" w:themeColor="text1"/>
          <w:sz w:val="24"/>
          <w:szCs w:val="24"/>
        </w:rPr>
        <w:t>šesti FN</w:t>
      </w:r>
      <w:r w:rsidRPr="00476369">
        <w:rPr>
          <w:rFonts w:ascii="Calibri" w:hAnsi="Calibri" w:cs="Calibri"/>
          <w:color w:val="000000" w:themeColor="text1"/>
          <w:sz w:val="24"/>
          <w:szCs w:val="24"/>
        </w:rPr>
        <w:t xml:space="preserve">. Následně </w:t>
      </w:r>
      <w:proofErr w:type="spellStart"/>
      <w:r w:rsidRPr="00476369">
        <w:rPr>
          <w:rFonts w:ascii="Calibri" w:hAnsi="Calibri" w:cs="Calibri"/>
          <w:color w:val="000000" w:themeColor="text1"/>
          <w:sz w:val="24"/>
          <w:szCs w:val="24"/>
        </w:rPr>
        <w:t>MZ</w:t>
      </w:r>
      <w:r w:rsidR="00812EA4">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poskytlo FN v souvislosti s oddlužením formou příspěvku peněžní prostředky ze</w:t>
      </w:r>
      <w:r w:rsidR="004D4BD3" w:rsidRPr="00476369">
        <w:rPr>
          <w:rFonts w:ascii="Calibri" w:hAnsi="Calibri" w:cs="Calibri"/>
          <w:color w:val="000000" w:themeColor="text1"/>
          <w:sz w:val="24"/>
          <w:szCs w:val="24"/>
        </w:rPr>
        <w:t xml:space="preserve"> </w:t>
      </w:r>
      <w:r w:rsidR="009B79C2" w:rsidRPr="00476369">
        <w:rPr>
          <w:rFonts w:ascii="Calibri" w:hAnsi="Calibri" w:cs="Calibri"/>
          <w:color w:val="000000" w:themeColor="text1"/>
          <w:sz w:val="24"/>
          <w:szCs w:val="24"/>
        </w:rPr>
        <w:t>SR</w:t>
      </w:r>
      <w:r w:rsidR="004D4BD3" w:rsidRPr="00476369">
        <w:rPr>
          <w:rFonts w:ascii="Calibri" w:hAnsi="Calibri" w:cs="Calibri"/>
          <w:color w:val="000000" w:themeColor="text1"/>
          <w:sz w:val="24"/>
          <w:szCs w:val="24"/>
        </w:rPr>
        <w:t xml:space="preserve"> na uhrazení </w:t>
      </w:r>
      <w:r w:rsidR="00333FC7" w:rsidRPr="00476369">
        <w:rPr>
          <w:rFonts w:ascii="Calibri" w:hAnsi="Calibri" w:cs="Calibri"/>
          <w:color w:val="000000" w:themeColor="text1"/>
          <w:sz w:val="24"/>
          <w:szCs w:val="24"/>
        </w:rPr>
        <w:t>daňové povinnosti šesti oddlužených nemocnic v</w:t>
      </w:r>
      <w:r w:rsidR="003D749F" w:rsidRPr="00476369">
        <w:rPr>
          <w:rFonts w:ascii="Calibri" w:hAnsi="Calibri" w:cs="Calibri"/>
          <w:color w:val="000000" w:themeColor="text1"/>
          <w:sz w:val="24"/>
          <w:szCs w:val="24"/>
        </w:rPr>
        <w:t> </w:t>
      </w:r>
      <w:r w:rsidR="00333FC7" w:rsidRPr="00476369">
        <w:rPr>
          <w:rFonts w:ascii="Calibri" w:hAnsi="Calibri" w:cs="Calibri"/>
          <w:color w:val="000000" w:themeColor="text1"/>
          <w:sz w:val="24"/>
          <w:szCs w:val="24"/>
        </w:rPr>
        <w:t>celkové výši 473,4</w:t>
      </w:r>
      <w:r w:rsidR="005D7A8A" w:rsidRPr="00476369">
        <w:rPr>
          <w:rFonts w:ascii="Calibri" w:hAnsi="Calibri" w:cs="Calibri"/>
          <w:color w:val="000000" w:themeColor="text1"/>
          <w:sz w:val="24"/>
          <w:szCs w:val="24"/>
        </w:rPr>
        <w:t> </w:t>
      </w:r>
      <w:r w:rsidR="00333FC7" w:rsidRPr="00476369">
        <w:rPr>
          <w:rFonts w:ascii="Calibri" w:hAnsi="Calibri" w:cs="Calibri"/>
          <w:color w:val="000000" w:themeColor="text1"/>
          <w:sz w:val="24"/>
          <w:szCs w:val="24"/>
        </w:rPr>
        <w:t>mil.</w:t>
      </w:r>
      <w:r w:rsidR="00A72296" w:rsidRPr="00476369">
        <w:rPr>
          <w:rFonts w:ascii="Calibri" w:hAnsi="Calibri" w:cs="Calibri"/>
          <w:color w:val="000000" w:themeColor="text1"/>
          <w:sz w:val="24"/>
          <w:szCs w:val="24"/>
        </w:rPr>
        <w:t> </w:t>
      </w:r>
      <w:r w:rsidR="00333FC7" w:rsidRPr="00476369">
        <w:rPr>
          <w:rFonts w:ascii="Calibri" w:hAnsi="Calibri" w:cs="Calibri"/>
          <w:color w:val="000000" w:themeColor="text1"/>
          <w:sz w:val="24"/>
          <w:szCs w:val="24"/>
        </w:rPr>
        <w:t>Kč</w:t>
      </w:r>
      <w:r w:rsidR="003D749F" w:rsidRPr="00476369">
        <w:rPr>
          <w:rFonts w:ascii="Calibri" w:hAnsi="Calibri" w:cs="Calibri"/>
          <w:color w:val="000000" w:themeColor="text1"/>
          <w:sz w:val="24"/>
          <w:szCs w:val="24"/>
        </w:rPr>
        <w:t>, z toho</w:t>
      </w:r>
      <w:r w:rsidRPr="00476369">
        <w:rPr>
          <w:rFonts w:ascii="Calibri" w:hAnsi="Calibri" w:cs="Calibri"/>
          <w:color w:val="000000" w:themeColor="text1"/>
          <w:sz w:val="24"/>
          <w:szCs w:val="24"/>
        </w:rPr>
        <w:t xml:space="preserve"> </w:t>
      </w:r>
      <w:r w:rsidR="000D5800" w:rsidRPr="00476369">
        <w:rPr>
          <w:rFonts w:ascii="Calibri" w:hAnsi="Calibri" w:cs="Calibri"/>
          <w:color w:val="000000" w:themeColor="text1"/>
          <w:sz w:val="24"/>
          <w:szCs w:val="24"/>
        </w:rPr>
        <w:t xml:space="preserve">FNB </w:t>
      </w:r>
      <w:r w:rsidR="00A72296" w:rsidRPr="00476369">
        <w:rPr>
          <w:rFonts w:ascii="Calibri" w:hAnsi="Calibri" w:cs="Calibri"/>
          <w:color w:val="000000" w:themeColor="text1"/>
          <w:sz w:val="24"/>
          <w:szCs w:val="24"/>
        </w:rPr>
        <w:t xml:space="preserve">obdržela </w:t>
      </w:r>
      <w:r w:rsidR="000D5800" w:rsidRPr="00476369">
        <w:rPr>
          <w:rFonts w:ascii="Calibri" w:hAnsi="Calibri" w:cs="Calibri"/>
          <w:color w:val="000000" w:themeColor="text1"/>
          <w:sz w:val="24"/>
          <w:szCs w:val="24"/>
        </w:rPr>
        <w:t>42,0 mil. Kč, FNKV obdržela 13,9 mil. Kč a FNUSA obdržela 263,9 mil. Kč.</w:t>
      </w:r>
    </w:p>
    <w:p w14:paraId="6922EEF5" w14:textId="010E9C0D" w:rsidR="003A0059" w:rsidRPr="00476369" w:rsidRDefault="003A0059" w:rsidP="00476369">
      <w:pPr>
        <w:widowControl/>
        <w:spacing w:before="120" w:after="120"/>
        <w:jc w:val="both"/>
        <w:rPr>
          <w:rFonts w:ascii="Calibri" w:eastAsia="Calibri" w:hAnsi="Calibri" w:cs="Calibri"/>
          <w:b/>
          <w:color w:val="000000" w:themeColor="text1"/>
          <w:sz w:val="24"/>
          <w:szCs w:val="24"/>
        </w:rPr>
      </w:pPr>
      <w:r w:rsidRPr="00476369">
        <w:rPr>
          <w:rFonts w:ascii="Calibri" w:eastAsia="Calibri" w:hAnsi="Calibri" w:cs="Calibri"/>
          <w:b/>
          <w:color w:val="000000" w:themeColor="text1"/>
          <w:sz w:val="24"/>
          <w:szCs w:val="24"/>
        </w:rPr>
        <w:t xml:space="preserve">Oddlužení FN </w:t>
      </w:r>
      <w:r w:rsidR="00971EFA" w:rsidRPr="00476369">
        <w:rPr>
          <w:rFonts w:ascii="Calibri" w:eastAsia="Calibri" w:hAnsi="Calibri" w:cs="Calibri"/>
          <w:b/>
          <w:color w:val="000000" w:themeColor="text1"/>
          <w:sz w:val="24"/>
          <w:szCs w:val="24"/>
        </w:rPr>
        <w:t xml:space="preserve">v roce 2020 </w:t>
      </w:r>
      <w:r w:rsidRPr="00476369">
        <w:rPr>
          <w:rFonts w:ascii="Calibri" w:eastAsia="Calibri" w:hAnsi="Calibri" w:cs="Calibri"/>
          <w:b/>
          <w:color w:val="000000" w:themeColor="text1"/>
          <w:sz w:val="24"/>
          <w:szCs w:val="24"/>
        </w:rPr>
        <w:t xml:space="preserve">bylo nesystémovým opatřením, </w:t>
      </w:r>
      <w:r w:rsidR="00971EFA" w:rsidRPr="00476369">
        <w:rPr>
          <w:rFonts w:ascii="Calibri" w:eastAsia="Calibri" w:hAnsi="Calibri" w:cs="Calibri"/>
          <w:b/>
          <w:color w:val="000000" w:themeColor="text1"/>
          <w:sz w:val="24"/>
          <w:szCs w:val="24"/>
        </w:rPr>
        <w:t xml:space="preserve">protože </w:t>
      </w:r>
      <w:r w:rsidRPr="00476369">
        <w:rPr>
          <w:rFonts w:ascii="Calibri" w:eastAsia="Calibri" w:hAnsi="Calibri" w:cs="Calibri"/>
          <w:b/>
          <w:color w:val="000000" w:themeColor="text1"/>
          <w:sz w:val="24"/>
          <w:szCs w:val="24"/>
        </w:rPr>
        <w:t>pouze řešilo následky, nikoliv příčinu</w:t>
      </w:r>
      <w:r w:rsidR="006F192B" w:rsidRPr="00476369">
        <w:rPr>
          <w:rFonts w:ascii="Calibri" w:eastAsia="Calibri" w:hAnsi="Calibri" w:cs="Calibri"/>
          <w:b/>
          <w:color w:val="000000" w:themeColor="text1"/>
          <w:sz w:val="24"/>
          <w:szCs w:val="24"/>
        </w:rPr>
        <w:t xml:space="preserve"> zadlužování</w:t>
      </w:r>
      <w:r w:rsidRPr="00476369">
        <w:rPr>
          <w:rFonts w:ascii="Calibri" w:eastAsia="Calibri" w:hAnsi="Calibri" w:cs="Calibri"/>
          <w:b/>
          <w:color w:val="000000" w:themeColor="text1"/>
          <w:sz w:val="24"/>
          <w:szCs w:val="24"/>
        </w:rPr>
        <w:t>.</w:t>
      </w:r>
      <w:r w:rsidR="00EA4A2B" w:rsidRPr="00476369">
        <w:rPr>
          <w:rFonts w:ascii="Calibri" w:eastAsia="Calibri" w:hAnsi="Calibri" w:cs="Calibri"/>
          <w:b/>
          <w:color w:val="000000" w:themeColor="text1"/>
          <w:sz w:val="24"/>
          <w:szCs w:val="24"/>
        </w:rPr>
        <w:t xml:space="preserve"> </w:t>
      </w:r>
    </w:p>
    <w:p w14:paraId="683D4F2D" w14:textId="77777777" w:rsidR="00C87E80" w:rsidRPr="00476369" w:rsidRDefault="00C87E80" w:rsidP="00CF1B3F">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FNB</w:t>
      </w:r>
    </w:p>
    <w:p w14:paraId="131361AB" w14:textId="5A0F8298" w:rsidR="00C87E80" w:rsidRPr="00476369" w:rsidRDefault="00C87E80" w:rsidP="00476369">
      <w:pPr>
        <w:widowControl/>
        <w:spacing w:before="120" w:after="120"/>
        <w:jc w:val="both"/>
        <w:rPr>
          <w:rFonts w:ascii="Calibri" w:hAnsi="Calibri" w:cs="Calibri"/>
          <w:color w:val="000000" w:themeColor="text1"/>
          <w:sz w:val="24"/>
          <w:szCs w:val="24"/>
        </w:rPr>
      </w:pPr>
      <w:r w:rsidRPr="00476369">
        <w:rPr>
          <w:rFonts w:ascii="Calibri" w:hAnsi="Calibri" w:cs="Calibri"/>
          <w:b/>
          <w:color w:val="000000" w:themeColor="text1"/>
          <w:sz w:val="24"/>
          <w:szCs w:val="24"/>
        </w:rPr>
        <w:t xml:space="preserve">FNB nehradila závazky vůči dodavatelům </w:t>
      </w:r>
      <w:r w:rsidR="008258FE" w:rsidRPr="00476369">
        <w:rPr>
          <w:rFonts w:ascii="Calibri" w:hAnsi="Calibri" w:cs="Calibri"/>
          <w:b/>
          <w:color w:val="000000" w:themeColor="text1"/>
          <w:sz w:val="24"/>
          <w:szCs w:val="24"/>
        </w:rPr>
        <w:t xml:space="preserve">řádně a </w:t>
      </w:r>
      <w:r w:rsidRPr="00476369">
        <w:rPr>
          <w:rFonts w:ascii="Calibri" w:hAnsi="Calibri" w:cs="Calibri"/>
          <w:b/>
          <w:color w:val="000000" w:themeColor="text1"/>
          <w:sz w:val="24"/>
          <w:szCs w:val="24"/>
        </w:rPr>
        <w:t xml:space="preserve">včas a následně </w:t>
      </w:r>
      <w:r w:rsidR="00E45333" w:rsidRPr="00476369">
        <w:rPr>
          <w:rFonts w:ascii="Calibri" w:hAnsi="Calibri" w:cs="Calibri"/>
          <w:b/>
          <w:color w:val="000000" w:themeColor="text1"/>
          <w:sz w:val="24"/>
          <w:szCs w:val="24"/>
        </w:rPr>
        <w:t>uzavřela</w:t>
      </w:r>
      <w:r w:rsidRPr="00476369">
        <w:rPr>
          <w:rFonts w:ascii="Calibri" w:hAnsi="Calibri" w:cs="Calibri"/>
          <w:b/>
          <w:color w:val="000000" w:themeColor="text1"/>
          <w:sz w:val="24"/>
          <w:szCs w:val="24"/>
        </w:rPr>
        <w:t xml:space="preserve"> </w:t>
      </w:r>
      <w:r w:rsidR="007C621E" w:rsidRPr="00476369">
        <w:rPr>
          <w:rFonts w:ascii="Calibri" w:hAnsi="Calibri" w:cs="Calibri"/>
          <w:b/>
          <w:color w:val="000000" w:themeColor="text1"/>
          <w:sz w:val="24"/>
          <w:szCs w:val="24"/>
        </w:rPr>
        <w:t xml:space="preserve">dohody o </w:t>
      </w:r>
      <w:r w:rsidRPr="00476369">
        <w:rPr>
          <w:rFonts w:ascii="Calibri" w:hAnsi="Calibri" w:cs="Calibri"/>
          <w:b/>
          <w:color w:val="000000" w:themeColor="text1"/>
          <w:sz w:val="24"/>
          <w:szCs w:val="24"/>
        </w:rPr>
        <w:t xml:space="preserve">uznání dluhu </w:t>
      </w:r>
      <w:r w:rsidR="007C621E" w:rsidRPr="00476369">
        <w:rPr>
          <w:rFonts w:ascii="Calibri" w:hAnsi="Calibri" w:cs="Calibri"/>
          <w:b/>
          <w:color w:val="000000" w:themeColor="text1"/>
          <w:sz w:val="24"/>
          <w:szCs w:val="24"/>
        </w:rPr>
        <w:t xml:space="preserve">a závazky začala hradit formou </w:t>
      </w:r>
      <w:r w:rsidR="00EC6971" w:rsidRPr="00476369">
        <w:rPr>
          <w:rFonts w:ascii="Calibri" w:hAnsi="Calibri" w:cs="Calibri"/>
          <w:b/>
          <w:color w:val="000000" w:themeColor="text1"/>
          <w:sz w:val="24"/>
          <w:szCs w:val="24"/>
        </w:rPr>
        <w:t>splátek</w:t>
      </w:r>
      <w:r w:rsidR="00A72296" w:rsidRPr="00476369">
        <w:rPr>
          <w:rFonts w:ascii="Calibri" w:hAnsi="Calibri" w:cs="Calibri"/>
          <w:b/>
          <w:color w:val="000000" w:themeColor="text1"/>
          <w:sz w:val="24"/>
          <w:szCs w:val="24"/>
        </w:rPr>
        <w:t>.</w:t>
      </w:r>
      <w:r w:rsidRPr="00476369">
        <w:rPr>
          <w:rFonts w:ascii="Calibri" w:hAnsi="Calibri" w:cs="Calibri"/>
          <w:b/>
          <w:color w:val="000000" w:themeColor="text1"/>
          <w:sz w:val="24"/>
          <w:szCs w:val="24"/>
        </w:rPr>
        <w:t xml:space="preserve"> </w:t>
      </w:r>
      <w:r w:rsidR="00285C2D" w:rsidRPr="00476369">
        <w:rPr>
          <w:rFonts w:ascii="Calibri" w:hAnsi="Calibri" w:cs="Calibri"/>
          <w:b/>
          <w:color w:val="000000" w:themeColor="text1"/>
          <w:sz w:val="24"/>
          <w:szCs w:val="24"/>
        </w:rPr>
        <w:t>V letech 2016 až 2022 s</w:t>
      </w:r>
      <w:r w:rsidR="00A72296" w:rsidRPr="00476369">
        <w:rPr>
          <w:rFonts w:ascii="Calibri" w:hAnsi="Calibri" w:cs="Calibri"/>
          <w:b/>
          <w:color w:val="000000" w:themeColor="text1"/>
          <w:sz w:val="24"/>
          <w:szCs w:val="24"/>
        </w:rPr>
        <w:t>ouvisející úroky</w:t>
      </w:r>
      <w:r w:rsidRPr="00476369">
        <w:rPr>
          <w:rFonts w:ascii="Calibri" w:hAnsi="Calibri" w:cs="Calibri"/>
          <w:b/>
          <w:color w:val="000000" w:themeColor="text1"/>
          <w:sz w:val="24"/>
          <w:szCs w:val="24"/>
        </w:rPr>
        <w:t xml:space="preserve"> </w:t>
      </w:r>
      <w:r w:rsidR="00BC4A00" w:rsidRPr="00476369">
        <w:rPr>
          <w:rFonts w:ascii="Calibri" w:hAnsi="Calibri" w:cs="Calibri"/>
          <w:b/>
          <w:color w:val="000000" w:themeColor="text1"/>
          <w:sz w:val="24"/>
          <w:szCs w:val="24"/>
        </w:rPr>
        <w:t xml:space="preserve">ze splátkových kalendářů </w:t>
      </w:r>
      <w:r w:rsidRPr="00476369">
        <w:rPr>
          <w:rFonts w:ascii="Calibri" w:hAnsi="Calibri" w:cs="Calibri"/>
          <w:b/>
          <w:color w:val="000000" w:themeColor="text1"/>
          <w:sz w:val="24"/>
          <w:szCs w:val="24"/>
        </w:rPr>
        <w:t>fakticky navýšily hodnotu závazků</w:t>
      </w:r>
      <w:r w:rsidR="00A72296" w:rsidRPr="00476369">
        <w:rPr>
          <w:rFonts w:ascii="Calibri" w:hAnsi="Calibri" w:cs="Calibri"/>
          <w:b/>
          <w:color w:val="000000" w:themeColor="text1"/>
          <w:sz w:val="24"/>
          <w:szCs w:val="24"/>
        </w:rPr>
        <w:t xml:space="preserve"> o 67 110 740 Kč</w:t>
      </w:r>
      <w:r w:rsidR="004B4A27" w:rsidRPr="00476369">
        <w:rPr>
          <w:rFonts w:ascii="Calibri" w:hAnsi="Calibri" w:cs="Calibri"/>
          <w:b/>
          <w:color w:val="000000" w:themeColor="text1"/>
          <w:sz w:val="24"/>
          <w:szCs w:val="24"/>
        </w:rPr>
        <w:t xml:space="preserve"> </w:t>
      </w:r>
      <w:r w:rsidR="00812EA4">
        <w:rPr>
          <w:rFonts w:ascii="Calibri" w:hAnsi="Calibri" w:cs="Calibri"/>
          <w:b/>
          <w:color w:val="000000" w:themeColor="text1"/>
          <w:sz w:val="24"/>
          <w:szCs w:val="24"/>
        </w:rPr>
        <w:t>ve srovnání s </w:t>
      </w:r>
      <w:r w:rsidR="004B4A27" w:rsidRPr="00476369">
        <w:rPr>
          <w:rFonts w:ascii="Calibri" w:hAnsi="Calibri" w:cs="Calibri"/>
          <w:b/>
          <w:color w:val="000000" w:themeColor="text1"/>
          <w:sz w:val="24"/>
          <w:szCs w:val="24"/>
        </w:rPr>
        <w:t>jejich původní hodnot</w:t>
      </w:r>
      <w:r w:rsidR="00812EA4">
        <w:rPr>
          <w:rFonts w:ascii="Calibri" w:hAnsi="Calibri" w:cs="Calibri"/>
          <w:b/>
          <w:color w:val="000000" w:themeColor="text1"/>
          <w:sz w:val="24"/>
          <w:szCs w:val="24"/>
        </w:rPr>
        <w:t>ou</w:t>
      </w:r>
      <w:r w:rsidR="00586C1C" w:rsidRPr="00476369">
        <w:rPr>
          <w:rFonts w:ascii="Calibri" w:hAnsi="Calibri" w:cs="Calibri"/>
          <w:b/>
          <w:color w:val="000000" w:themeColor="text1"/>
          <w:sz w:val="24"/>
          <w:szCs w:val="24"/>
        </w:rPr>
        <w:t>. FNB</w:t>
      </w:r>
      <w:r w:rsidRPr="00476369">
        <w:rPr>
          <w:rFonts w:ascii="Calibri" w:hAnsi="Calibri" w:cs="Calibri"/>
          <w:b/>
          <w:color w:val="000000" w:themeColor="text1"/>
          <w:sz w:val="24"/>
          <w:szCs w:val="24"/>
        </w:rPr>
        <w:t xml:space="preserve"> tím nedbala, aby plnila určené úkoly nejhospodárnějším způsobem a</w:t>
      </w:r>
      <w:r w:rsidR="00135A1D" w:rsidRPr="00476369">
        <w:rPr>
          <w:rFonts w:ascii="Calibri" w:hAnsi="Calibri" w:cs="Calibri"/>
          <w:b/>
          <w:color w:val="000000" w:themeColor="text1"/>
          <w:sz w:val="24"/>
          <w:szCs w:val="24"/>
        </w:rPr>
        <w:t> </w:t>
      </w:r>
      <w:r w:rsidRPr="00476369">
        <w:rPr>
          <w:rFonts w:ascii="Calibri" w:hAnsi="Calibri" w:cs="Calibri"/>
          <w:b/>
          <w:color w:val="000000" w:themeColor="text1"/>
          <w:sz w:val="24"/>
          <w:szCs w:val="24"/>
        </w:rPr>
        <w:t xml:space="preserve">porušila </w:t>
      </w:r>
      <w:r w:rsidR="004E08C8" w:rsidRPr="00476369">
        <w:rPr>
          <w:rFonts w:ascii="Calibri" w:hAnsi="Calibri" w:cs="Calibri"/>
          <w:b/>
          <w:color w:val="000000" w:themeColor="text1"/>
          <w:sz w:val="24"/>
          <w:szCs w:val="24"/>
        </w:rPr>
        <w:t>rozpočtov</w:t>
      </w:r>
      <w:r w:rsidR="00812EA4">
        <w:rPr>
          <w:rFonts w:ascii="Calibri" w:hAnsi="Calibri" w:cs="Calibri"/>
          <w:b/>
          <w:color w:val="000000" w:themeColor="text1"/>
          <w:sz w:val="24"/>
          <w:szCs w:val="24"/>
        </w:rPr>
        <w:t>á</w:t>
      </w:r>
      <w:r w:rsidR="004E08C8" w:rsidRPr="00476369">
        <w:rPr>
          <w:rFonts w:ascii="Calibri" w:hAnsi="Calibri" w:cs="Calibri"/>
          <w:b/>
          <w:color w:val="000000" w:themeColor="text1"/>
          <w:sz w:val="24"/>
          <w:szCs w:val="24"/>
        </w:rPr>
        <w:t xml:space="preserve"> pravidl</w:t>
      </w:r>
      <w:r w:rsidR="00812EA4">
        <w:rPr>
          <w:rFonts w:ascii="Calibri" w:hAnsi="Calibri" w:cs="Calibri"/>
          <w:b/>
          <w:color w:val="000000" w:themeColor="text1"/>
          <w:sz w:val="24"/>
          <w:szCs w:val="24"/>
        </w:rPr>
        <w:t>a</w:t>
      </w:r>
      <w:r w:rsidR="00266299">
        <w:rPr>
          <w:rFonts w:ascii="Calibri" w:hAnsi="Calibri" w:cs="Calibri"/>
          <w:b/>
          <w:color w:val="000000" w:themeColor="text1"/>
          <w:sz w:val="24"/>
          <w:szCs w:val="24"/>
          <w:vertAlign w:val="superscript"/>
        </w:rPr>
        <w:t>8</w:t>
      </w:r>
      <w:r w:rsidR="002C2537" w:rsidRPr="00476369">
        <w:rPr>
          <w:rFonts w:ascii="Calibri" w:hAnsi="Calibri" w:cs="Calibri"/>
          <w:b/>
          <w:color w:val="000000" w:themeColor="text1"/>
          <w:sz w:val="24"/>
          <w:szCs w:val="24"/>
        </w:rPr>
        <w:t>.</w:t>
      </w:r>
      <w:r w:rsidRPr="00476369">
        <w:rPr>
          <w:rFonts w:ascii="Calibri" w:hAnsi="Calibri" w:cs="Calibri"/>
          <w:color w:val="000000" w:themeColor="text1"/>
          <w:sz w:val="24"/>
          <w:szCs w:val="24"/>
        </w:rPr>
        <w:t xml:space="preserve"> V případě použití peněžních prostředků na úhradu úroků od roku 2022 </w:t>
      </w:r>
      <w:r w:rsidR="00EC6971" w:rsidRPr="00476369">
        <w:rPr>
          <w:rFonts w:ascii="Calibri" w:hAnsi="Calibri" w:cs="Calibri"/>
          <w:color w:val="000000" w:themeColor="text1"/>
          <w:sz w:val="24"/>
          <w:szCs w:val="24"/>
        </w:rPr>
        <w:t xml:space="preserve">do uhrazení </w:t>
      </w:r>
      <w:r w:rsidR="006D7989" w:rsidRPr="00476369">
        <w:rPr>
          <w:rFonts w:ascii="Calibri" w:hAnsi="Calibri" w:cs="Calibri"/>
          <w:color w:val="000000" w:themeColor="text1"/>
          <w:sz w:val="24"/>
          <w:szCs w:val="24"/>
        </w:rPr>
        <w:t xml:space="preserve">poslední splátky dle </w:t>
      </w:r>
      <w:r w:rsidR="00EC6971" w:rsidRPr="00476369">
        <w:rPr>
          <w:rFonts w:ascii="Calibri" w:hAnsi="Calibri" w:cs="Calibri"/>
          <w:color w:val="000000" w:themeColor="text1"/>
          <w:sz w:val="24"/>
          <w:szCs w:val="24"/>
        </w:rPr>
        <w:t>sjednaných</w:t>
      </w:r>
      <w:r w:rsidR="006D7989" w:rsidRPr="00476369">
        <w:rPr>
          <w:rFonts w:ascii="Calibri" w:hAnsi="Calibri" w:cs="Calibri"/>
          <w:color w:val="000000" w:themeColor="text1"/>
          <w:sz w:val="24"/>
          <w:szCs w:val="24"/>
        </w:rPr>
        <w:t xml:space="preserve"> splátkových kalendářů </w:t>
      </w:r>
      <w:r w:rsidRPr="00476369">
        <w:rPr>
          <w:rFonts w:ascii="Calibri" w:hAnsi="Calibri" w:cs="Calibri"/>
          <w:color w:val="000000" w:themeColor="text1"/>
          <w:sz w:val="24"/>
          <w:szCs w:val="24"/>
        </w:rPr>
        <w:t>FNB vynaloží dalších 61</w:t>
      </w:r>
      <w:r w:rsidR="00651E40" w:rsidRPr="00476369">
        <w:rPr>
          <w:rFonts w:ascii="Calibri" w:hAnsi="Calibri" w:cs="Calibri"/>
          <w:color w:val="000000" w:themeColor="text1"/>
          <w:sz w:val="24"/>
          <w:szCs w:val="24"/>
        </w:rPr>
        <w:t> </w:t>
      </w:r>
      <w:r w:rsidRPr="00476369">
        <w:rPr>
          <w:rFonts w:ascii="Calibri" w:hAnsi="Calibri" w:cs="Calibri"/>
          <w:color w:val="000000" w:themeColor="text1"/>
          <w:sz w:val="24"/>
          <w:szCs w:val="24"/>
        </w:rPr>
        <w:t>757</w:t>
      </w:r>
      <w:r w:rsidR="00651E40" w:rsidRPr="00476369">
        <w:rPr>
          <w:rFonts w:ascii="Calibri" w:hAnsi="Calibri" w:cs="Calibri"/>
          <w:color w:val="000000" w:themeColor="text1"/>
          <w:sz w:val="24"/>
          <w:szCs w:val="24"/>
        </w:rPr>
        <w:t> </w:t>
      </w:r>
      <w:r w:rsidRPr="00476369">
        <w:rPr>
          <w:rFonts w:ascii="Calibri" w:hAnsi="Calibri" w:cs="Calibri"/>
          <w:color w:val="000000" w:themeColor="text1"/>
          <w:sz w:val="24"/>
          <w:szCs w:val="24"/>
        </w:rPr>
        <w:t>740 Kč</w:t>
      </w:r>
      <w:r w:rsidR="00285C2D" w:rsidRPr="00476369">
        <w:rPr>
          <w:rFonts w:ascii="Calibri" w:hAnsi="Calibri" w:cs="Calibri"/>
          <w:color w:val="000000" w:themeColor="text1"/>
          <w:sz w:val="24"/>
          <w:szCs w:val="24"/>
        </w:rPr>
        <w:t>.</w:t>
      </w:r>
    </w:p>
    <w:p w14:paraId="51D11CC2" w14:textId="31B0ED14" w:rsidR="00C87E80" w:rsidRPr="00476369" w:rsidRDefault="00594472"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Na kontrolovan</w:t>
      </w:r>
      <w:r w:rsidR="00FA06E2" w:rsidRPr="00476369">
        <w:rPr>
          <w:rFonts w:ascii="Calibri" w:hAnsi="Calibri" w:cs="Calibri"/>
          <w:color w:val="000000" w:themeColor="text1"/>
          <w:sz w:val="24"/>
          <w:szCs w:val="24"/>
        </w:rPr>
        <w:t xml:space="preserve">ém vzorku </w:t>
      </w:r>
      <w:r w:rsidR="004B4A27" w:rsidRPr="00476369">
        <w:rPr>
          <w:rFonts w:ascii="Calibri" w:hAnsi="Calibri" w:cs="Calibri"/>
          <w:color w:val="000000" w:themeColor="text1"/>
          <w:sz w:val="24"/>
          <w:szCs w:val="24"/>
        </w:rPr>
        <w:t xml:space="preserve">účetních dokladů </w:t>
      </w:r>
      <w:r w:rsidR="00BF0536" w:rsidRPr="00476369">
        <w:rPr>
          <w:rFonts w:ascii="Calibri" w:hAnsi="Calibri" w:cs="Calibri"/>
          <w:color w:val="000000" w:themeColor="text1"/>
          <w:sz w:val="24"/>
          <w:szCs w:val="24"/>
        </w:rPr>
        <w:t>NKÚ zjistil</w:t>
      </w:r>
      <w:r w:rsidR="00FA06E2" w:rsidRPr="00476369">
        <w:rPr>
          <w:rFonts w:ascii="Calibri" w:hAnsi="Calibri" w:cs="Calibri"/>
          <w:color w:val="000000" w:themeColor="text1"/>
          <w:sz w:val="24"/>
          <w:szCs w:val="24"/>
        </w:rPr>
        <w:t xml:space="preserve">, že </w:t>
      </w:r>
      <w:r w:rsidR="00C87E80" w:rsidRPr="00476369">
        <w:rPr>
          <w:rFonts w:ascii="Calibri" w:hAnsi="Calibri" w:cs="Calibri"/>
          <w:color w:val="000000" w:themeColor="text1"/>
          <w:sz w:val="24"/>
          <w:szCs w:val="24"/>
        </w:rPr>
        <w:t>FNB použila jednorázový příspěvek</w:t>
      </w:r>
      <w:r w:rsidR="000439DE" w:rsidRPr="00476369">
        <w:rPr>
          <w:rFonts w:ascii="Calibri" w:hAnsi="Calibri" w:cs="Calibri"/>
          <w:color w:val="000000" w:themeColor="text1"/>
          <w:sz w:val="24"/>
          <w:szCs w:val="24"/>
        </w:rPr>
        <w:t xml:space="preserve"> za účelem oddlužení</w:t>
      </w:r>
      <w:r w:rsidR="00C87E80" w:rsidRPr="00476369">
        <w:rPr>
          <w:rFonts w:ascii="Calibri" w:hAnsi="Calibri" w:cs="Calibri"/>
          <w:color w:val="000000" w:themeColor="text1"/>
          <w:sz w:val="24"/>
          <w:szCs w:val="24"/>
        </w:rPr>
        <w:t xml:space="preserve"> na úhradu závazků po splatnosti nebo závazků nad 60 dnů od DUZP a </w:t>
      </w:r>
      <w:proofErr w:type="spellStart"/>
      <w:r w:rsidR="00C87E80" w:rsidRPr="00476369">
        <w:rPr>
          <w:rFonts w:ascii="Calibri" w:hAnsi="Calibri" w:cs="Calibri"/>
          <w:color w:val="000000" w:themeColor="text1"/>
          <w:sz w:val="24"/>
          <w:szCs w:val="24"/>
        </w:rPr>
        <w:t>přefinancovaných</w:t>
      </w:r>
      <w:proofErr w:type="spellEnd"/>
      <w:r w:rsidR="00C87E80" w:rsidRPr="00476369">
        <w:rPr>
          <w:rFonts w:ascii="Calibri" w:hAnsi="Calibri" w:cs="Calibri"/>
          <w:color w:val="000000" w:themeColor="text1"/>
          <w:sz w:val="24"/>
          <w:szCs w:val="24"/>
        </w:rPr>
        <w:t xml:space="preserve"> závazků v celkové výši 9</w:t>
      </w:r>
      <w:r w:rsidR="009A4EEB" w:rsidRPr="00476369">
        <w:rPr>
          <w:rFonts w:ascii="Calibri" w:hAnsi="Calibri" w:cs="Calibri"/>
          <w:color w:val="000000" w:themeColor="text1"/>
          <w:sz w:val="24"/>
          <w:szCs w:val="24"/>
        </w:rPr>
        <w:t> </w:t>
      </w:r>
      <w:r w:rsidR="00C87E80" w:rsidRPr="00476369">
        <w:rPr>
          <w:rFonts w:ascii="Calibri" w:hAnsi="Calibri" w:cs="Calibri"/>
          <w:color w:val="000000" w:themeColor="text1"/>
          <w:sz w:val="24"/>
          <w:szCs w:val="24"/>
        </w:rPr>
        <w:t>340</w:t>
      </w:r>
      <w:r w:rsidR="009A4EEB" w:rsidRPr="00476369">
        <w:rPr>
          <w:rFonts w:ascii="Calibri" w:hAnsi="Calibri" w:cs="Calibri"/>
          <w:color w:val="000000" w:themeColor="text1"/>
          <w:sz w:val="24"/>
          <w:szCs w:val="24"/>
        </w:rPr>
        <w:t> </w:t>
      </w:r>
      <w:r w:rsidR="00C87E80" w:rsidRPr="00476369">
        <w:rPr>
          <w:rFonts w:ascii="Calibri" w:hAnsi="Calibri" w:cs="Calibri"/>
          <w:color w:val="000000" w:themeColor="text1"/>
          <w:sz w:val="24"/>
          <w:szCs w:val="24"/>
        </w:rPr>
        <w:t xml:space="preserve">564 Kč v </w:t>
      </w:r>
      <w:r w:rsidR="00DE19A7" w:rsidRPr="00476369">
        <w:rPr>
          <w:rFonts w:ascii="Calibri" w:hAnsi="Calibri" w:cs="Calibri"/>
          <w:color w:val="000000" w:themeColor="text1"/>
          <w:sz w:val="24"/>
          <w:szCs w:val="24"/>
        </w:rPr>
        <w:t>rozporu</w:t>
      </w:r>
      <w:r w:rsidR="00C87E80" w:rsidRPr="00476369">
        <w:rPr>
          <w:rFonts w:ascii="Calibri" w:hAnsi="Calibri" w:cs="Calibri"/>
          <w:color w:val="000000" w:themeColor="text1"/>
          <w:sz w:val="24"/>
          <w:szCs w:val="24"/>
        </w:rPr>
        <w:t xml:space="preserve"> s podmínkami stanovenými </w:t>
      </w:r>
      <w:r w:rsidR="004B4A27" w:rsidRPr="00476369">
        <w:rPr>
          <w:rFonts w:ascii="Calibri" w:hAnsi="Calibri" w:cs="Calibri"/>
          <w:color w:val="000000" w:themeColor="text1"/>
          <w:sz w:val="24"/>
          <w:szCs w:val="24"/>
        </w:rPr>
        <w:t xml:space="preserve">dopisem </w:t>
      </w:r>
      <w:r w:rsidR="007B2E83" w:rsidRPr="00476369">
        <w:rPr>
          <w:rFonts w:ascii="Calibri" w:hAnsi="Calibri" w:cs="Calibri"/>
          <w:color w:val="000000" w:themeColor="text1"/>
          <w:sz w:val="24"/>
          <w:szCs w:val="24"/>
        </w:rPr>
        <w:t>zřizovatele</w:t>
      </w:r>
      <w:r w:rsidR="00C87E80" w:rsidRPr="00476369">
        <w:rPr>
          <w:rFonts w:ascii="Calibri" w:hAnsi="Calibri" w:cs="Calibri"/>
          <w:color w:val="000000" w:themeColor="text1"/>
          <w:sz w:val="24"/>
          <w:szCs w:val="24"/>
        </w:rPr>
        <w:t>.</w:t>
      </w:r>
    </w:p>
    <w:p w14:paraId="38D16396" w14:textId="437BE269" w:rsidR="00C87E80" w:rsidRPr="00476369" w:rsidRDefault="00AE438B"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FNB při oddlužení hradila dlouhodobé závazky před splatností i se souvisejícími</w:t>
      </w:r>
      <w:r w:rsidR="00812EA4">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úroky v plné výši</w:t>
      </w:r>
      <w:r w:rsidR="00940FAD" w:rsidRPr="00476369">
        <w:rPr>
          <w:rFonts w:ascii="Calibri" w:hAnsi="Calibri" w:cs="Calibri"/>
          <w:color w:val="000000" w:themeColor="text1"/>
          <w:sz w:val="24"/>
          <w:szCs w:val="24"/>
        </w:rPr>
        <w:t>,</w:t>
      </w:r>
      <w:r w:rsidRPr="00476369">
        <w:rPr>
          <w:rFonts w:ascii="Calibri" w:hAnsi="Calibri" w:cs="Calibri"/>
          <w:color w:val="000000" w:themeColor="text1"/>
          <w:sz w:val="24"/>
          <w:szCs w:val="24"/>
        </w:rPr>
        <w:t xml:space="preserve"> případně kumulovala peněžní prostředky na bankovních účtech, </w:t>
      </w:r>
      <w:r w:rsidR="00940FAD" w:rsidRPr="00476369">
        <w:rPr>
          <w:rFonts w:ascii="Calibri" w:hAnsi="Calibri" w:cs="Calibri"/>
          <w:color w:val="000000" w:themeColor="text1"/>
          <w:sz w:val="24"/>
          <w:szCs w:val="24"/>
        </w:rPr>
        <w:t>než</w:t>
      </w:r>
      <w:r w:rsidRPr="00476369">
        <w:rPr>
          <w:rFonts w:ascii="Calibri" w:hAnsi="Calibri" w:cs="Calibri"/>
          <w:color w:val="000000" w:themeColor="text1"/>
          <w:sz w:val="24"/>
          <w:szCs w:val="24"/>
        </w:rPr>
        <w:t xml:space="preserve"> aby přednostně hradila své dlouhodobé závazky, jejichž okamžitou úhradou by tak došlo k úspoře nákladů o 21 317 249 Kč. </w:t>
      </w:r>
      <w:r w:rsidR="00C87E80" w:rsidRPr="00476369">
        <w:rPr>
          <w:rFonts w:ascii="Calibri" w:hAnsi="Calibri" w:cs="Calibri"/>
          <w:b/>
          <w:color w:val="000000" w:themeColor="text1"/>
          <w:sz w:val="24"/>
          <w:szCs w:val="24"/>
        </w:rPr>
        <w:t xml:space="preserve">FNB </w:t>
      </w:r>
      <w:r w:rsidR="008258FE" w:rsidRPr="00476369">
        <w:rPr>
          <w:rFonts w:ascii="Calibri" w:hAnsi="Calibri" w:cs="Calibri"/>
          <w:b/>
          <w:color w:val="000000" w:themeColor="text1"/>
          <w:sz w:val="24"/>
          <w:szCs w:val="24"/>
        </w:rPr>
        <w:t xml:space="preserve">tak </w:t>
      </w:r>
      <w:r w:rsidR="00C87E80" w:rsidRPr="00476369">
        <w:rPr>
          <w:rFonts w:ascii="Calibri" w:hAnsi="Calibri" w:cs="Calibri"/>
          <w:b/>
          <w:color w:val="000000" w:themeColor="text1"/>
          <w:sz w:val="24"/>
          <w:szCs w:val="24"/>
        </w:rPr>
        <w:t xml:space="preserve">nedbala, aby plnila určené úkoly nejhospodárnějším způsobem a porušila </w:t>
      </w:r>
      <w:r w:rsidR="004E08C8" w:rsidRPr="00476369">
        <w:rPr>
          <w:rFonts w:ascii="Calibri" w:hAnsi="Calibri" w:cs="Calibri"/>
          <w:b/>
          <w:color w:val="000000" w:themeColor="text1"/>
          <w:sz w:val="24"/>
          <w:szCs w:val="24"/>
        </w:rPr>
        <w:t>rozpočtov</w:t>
      </w:r>
      <w:r w:rsidR="00812EA4">
        <w:rPr>
          <w:rFonts w:ascii="Calibri" w:hAnsi="Calibri" w:cs="Calibri"/>
          <w:b/>
          <w:color w:val="000000" w:themeColor="text1"/>
          <w:sz w:val="24"/>
          <w:szCs w:val="24"/>
        </w:rPr>
        <w:t>á</w:t>
      </w:r>
      <w:r w:rsidR="004E08C8" w:rsidRPr="00476369">
        <w:rPr>
          <w:rFonts w:ascii="Calibri" w:hAnsi="Calibri" w:cs="Calibri"/>
          <w:b/>
          <w:color w:val="000000" w:themeColor="text1"/>
          <w:sz w:val="24"/>
          <w:szCs w:val="24"/>
        </w:rPr>
        <w:t xml:space="preserve"> pravidl</w:t>
      </w:r>
      <w:r w:rsidR="00812EA4">
        <w:rPr>
          <w:rFonts w:ascii="Calibri" w:hAnsi="Calibri" w:cs="Calibri"/>
          <w:b/>
          <w:color w:val="000000" w:themeColor="text1"/>
          <w:sz w:val="24"/>
          <w:szCs w:val="24"/>
        </w:rPr>
        <w:t>a</w:t>
      </w:r>
      <w:r w:rsidR="00266299">
        <w:rPr>
          <w:rFonts w:ascii="Calibri" w:hAnsi="Calibri" w:cs="Calibri"/>
          <w:b/>
          <w:color w:val="000000" w:themeColor="text1"/>
          <w:sz w:val="24"/>
          <w:szCs w:val="24"/>
          <w:vertAlign w:val="superscript"/>
        </w:rPr>
        <w:t>8</w:t>
      </w:r>
      <w:r w:rsidR="00B744FC" w:rsidRPr="00476369">
        <w:rPr>
          <w:rFonts w:ascii="Calibri" w:hAnsi="Calibri" w:cs="Calibri"/>
          <w:b/>
          <w:color w:val="000000" w:themeColor="text1"/>
          <w:sz w:val="24"/>
          <w:szCs w:val="24"/>
        </w:rPr>
        <w:t xml:space="preserve"> v celkové výši 21</w:t>
      </w:r>
      <w:r w:rsidR="004B4A27" w:rsidRPr="00476369">
        <w:rPr>
          <w:rFonts w:ascii="Calibri" w:hAnsi="Calibri" w:cs="Calibri"/>
          <w:b/>
          <w:color w:val="000000" w:themeColor="text1"/>
          <w:sz w:val="24"/>
          <w:szCs w:val="24"/>
        </w:rPr>
        <w:t> </w:t>
      </w:r>
      <w:r w:rsidR="00B744FC" w:rsidRPr="00476369">
        <w:rPr>
          <w:rFonts w:ascii="Calibri" w:hAnsi="Calibri" w:cs="Calibri"/>
          <w:b/>
          <w:color w:val="000000" w:themeColor="text1"/>
          <w:sz w:val="24"/>
          <w:szCs w:val="24"/>
        </w:rPr>
        <w:t>317 249 Kč.</w:t>
      </w:r>
    </w:p>
    <w:p w14:paraId="78912B2A" w14:textId="1F00FA2A" w:rsidR="00935DEF" w:rsidRPr="00476369" w:rsidRDefault="006E79CD"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N</w:t>
      </w:r>
      <w:r w:rsidR="00B20960" w:rsidRPr="00476369">
        <w:rPr>
          <w:rFonts w:ascii="Calibri" w:hAnsi="Calibri" w:cs="Calibri"/>
          <w:color w:val="000000" w:themeColor="text1"/>
          <w:sz w:val="24"/>
          <w:szCs w:val="24"/>
        </w:rPr>
        <w:t>epříznivá</w:t>
      </w:r>
      <w:r w:rsidR="00935DEF" w:rsidRPr="00476369">
        <w:rPr>
          <w:rFonts w:ascii="Calibri" w:hAnsi="Calibri" w:cs="Calibri"/>
          <w:color w:val="000000" w:themeColor="text1"/>
          <w:sz w:val="24"/>
          <w:szCs w:val="24"/>
        </w:rPr>
        <w:t xml:space="preserve"> ekonomická situace</w:t>
      </w:r>
      <w:r w:rsidRPr="00476369">
        <w:rPr>
          <w:rFonts w:ascii="Calibri" w:hAnsi="Calibri" w:cs="Calibri"/>
          <w:color w:val="000000" w:themeColor="text1"/>
          <w:sz w:val="24"/>
          <w:szCs w:val="24"/>
        </w:rPr>
        <w:t xml:space="preserve"> FNB </w:t>
      </w:r>
      <w:r w:rsidR="00935DEF" w:rsidRPr="00476369">
        <w:rPr>
          <w:rFonts w:ascii="Calibri" w:hAnsi="Calibri" w:cs="Calibri"/>
          <w:color w:val="000000" w:themeColor="text1"/>
          <w:sz w:val="24"/>
          <w:szCs w:val="24"/>
        </w:rPr>
        <w:t xml:space="preserve">byla způsobena </w:t>
      </w:r>
      <w:r w:rsidR="002D3EB9" w:rsidRPr="00476369">
        <w:rPr>
          <w:rFonts w:ascii="Calibri" w:hAnsi="Calibri" w:cs="Calibri"/>
          <w:color w:val="000000" w:themeColor="text1"/>
          <w:sz w:val="24"/>
          <w:szCs w:val="24"/>
        </w:rPr>
        <w:t xml:space="preserve">také </w:t>
      </w:r>
      <w:r w:rsidR="00935DEF" w:rsidRPr="00476369">
        <w:rPr>
          <w:rFonts w:ascii="Calibri" w:hAnsi="Calibri" w:cs="Calibri"/>
          <w:color w:val="000000" w:themeColor="text1"/>
          <w:sz w:val="24"/>
          <w:szCs w:val="24"/>
        </w:rPr>
        <w:t xml:space="preserve">nastavením </w:t>
      </w:r>
      <w:r w:rsidR="00F5255D" w:rsidRPr="00476369">
        <w:rPr>
          <w:rFonts w:ascii="Calibri" w:hAnsi="Calibri" w:cs="Calibri"/>
          <w:color w:val="000000" w:themeColor="text1"/>
          <w:sz w:val="24"/>
          <w:szCs w:val="24"/>
        </w:rPr>
        <w:t xml:space="preserve">dlouhodobě </w:t>
      </w:r>
      <w:r w:rsidR="00935DEF" w:rsidRPr="00476369">
        <w:rPr>
          <w:rFonts w:ascii="Calibri" w:hAnsi="Calibri" w:cs="Calibri"/>
          <w:color w:val="000000" w:themeColor="text1"/>
          <w:sz w:val="24"/>
          <w:szCs w:val="24"/>
        </w:rPr>
        <w:t>podhodnocených úhrad od zdravotních pojišťoven za poskytnuté zdravotní služby</w:t>
      </w:r>
      <w:r w:rsidR="00284311" w:rsidRPr="00476369">
        <w:rPr>
          <w:rFonts w:ascii="Calibri" w:hAnsi="Calibri" w:cs="Calibri"/>
          <w:color w:val="000000" w:themeColor="text1"/>
          <w:sz w:val="24"/>
          <w:szCs w:val="24"/>
        </w:rPr>
        <w:t xml:space="preserve"> oproti </w:t>
      </w:r>
      <w:r w:rsidR="00BF0536" w:rsidRPr="00476369">
        <w:rPr>
          <w:rFonts w:ascii="Calibri" w:hAnsi="Calibri" w:cs="Calibri"/>
          <w:color w:val="000000" w:themeColor="text1"/>
          <w:sz w:val="24"/>
          <w:szCs w:val="24"/>
        </w:rPr>
        <w:t>ostatním</w:t>
      </w:r>
      <w:r w:rsidR="00284311" w:rsidRPr="00476369">
        <w:rPr>
          <w:rFonts w:ascii="Calibri" w:hAnsi="Calibri" w:cs="Calibri"/>
          <w:color w:val="000000" w:themeColor="text1"/>
          <w:sz w:val="24"/>
          <w:szCs w:val="24"/>
        </w:rPr>
        <w:t xml:space="preserve"> FN</w:t>
      </w:r>
      <w:r w:rsidR="00BF0536" w:rsidRPr="00476369">
        <w:rPr>
          <w:rFonts w:ascii="Calibri" w:hAnsi="Calibri" w:cs="Calibri"/>
          <w:color w:val="000000" w:themeColor="text1"/>
          <w:sz w:val="24"/>
          <w:szCs w:val="24"/>
        </w:rPr>
        <w:t>, které nevykazovaly záporný výsledek hospodaření</w:t>
      </w:r>
      <w:r w:rsidR="00284311" w:rsidRPr="00476369">
        <w:rPr>
          <w:rFonts w:ascii="Calibri" w:hAnsi="Calibri" w:cs="Calibri"/>
          <w:color w:val="000000" w:themeColor="text1"/>
          <w:sz w:val="24"/>
          <w:szCs w:val="24"/>
        </w:rPr>
        <w:t xml:space="preserve">. </w:t>
      </w:r>
      <w:r w:rsidR="00935DEF" w:rsidRPr="00476369">
        <w:rPr>
          <w:rFonts w:ascii="Calibri" w:hAnsi="Calibri" w:cs="Calibri"/>
          <w:color w:val="000000" w:themeColor="text1"/>
          <w:sz w:val="24"/>
          <w:szCs w:val="24"/>
        </w:rPr>
        <w:t xml:space="preserve">FNB řešila příčinu tohoto problému tak, že začala jednat se zdravotními pojišťovnami, aby narovnala výrazný nepoměr mezi svými náklady a výnosy. </w:t>
      </w:r>
      <w:r w:rsidR="00402003" w:rsidRPr="00476369">
        <w:rPr>
          <w:rFonts w:ascii="Calibri" w:hAnsi="Calibri" w:cs="Calibri"/>
          <w:color w:val="000000" w:themeColor="text1"/>
          <w:sz w:val="24"/>
          <w:szCs w:val="24"/>
        </w:rPr>
        <w:t xml:space="preserve">FNB k vymáhání ušlých výnosů za zdravotní služby od zdravotních pojišťoven od roku 2019 využívá externí právní služby. </w:t>
      </w:r>
      <w:r w:rsidR="00935DEF" w:rsidRPr="00476369">
        <w:rPr>
          <w:rFonts w:ascii="Calibri" w:hAnsi="Calibri" w:cs="Calibri"/>
          <w:color w:val="000000" w:themeColor="text1"/>
          <w:sz w:val="24"/>
          <w:szCs w:val="24"/>
        </w:rPr>
        <w:t xml:space="preserve">K 5. 12. 2022 FNB vymáhala dorovnání </w:t>
      </w:r>
      <w:r w:rsidR="0036096C" w:rsidRPr="00476369">
        <w:rPr>
          <w:rFonts w:ascii="Calibri" w:hAnsi="Calibri" w:cs="Calibri"/>
          <w:color w:val="000000" w:themeColor="text1"/>
          <w:sz w:val="24"/>
          <w:szCs w:val="24"/>
        </w:rPr>
        <w:t>výnosů za zdravotní služby od</w:t>
      </w:r>
      <w:r w:rsidR="00935DEF" w:rsidRPr="00476369">
        <w:rPr>
          <w:rFonts w:ascii="Calibri" w:hAnsi="Calibri" w:cs="Calibri"/>
          <w:color w:val="000000" w:themeColor="text1"/>
          <w:sz w:val="24"/>
          <w:szCs w:val="24"/>
        </w:rPr>
        <w:t xml:space="preserve"> zdravotní</w:t>
      </w:r>
      <w:r w:rsidR="0036096C" w:rsidRPr="00476369">
        <w:rPr>
          <w:rFonts w:ascii="Calibri" w:hAnsi="Calibri" w:cs="Calibri"/>
          <w:color w:val="000000" w:themeColor="text1"/>
          <w:sz w:val="24"/>
          <w:szCs w:val="24"/>
        </w:rPr>
        <w:t>ch</w:t>
      </w:r>
      <w:r w:rsidR="00935DEF" w:rsidRPr="00476369">
        <w:rPr>
          <w:rFonts w:ascii="Calibri" w:hAnsi="Calibri" w:cs="Calibri"/>
          <w:color w:val="000000" w:themeColor="text1"/>
          <w:sz w:val="24"/>
          <w:szCs w:val="24"/>
        </w:rPr>
        <w:t xml:space="preserve"> pojišťov</w:t>
      </w:r>
      <w:r w:rsidR="0036096C" w:rsidRPr="00476369">
        <w:rPr>
          <w:rFonts w:ascii="Calibri" w:hAnsi="Calibri" w:cs="Calibri"/>
          <w:color w:val="000000" w:themeColor="text1"/>
          <w:sz w:val="24"/>
          <w:szCs w:val="24"/>
        </w:rPr>
        <w:t>e</w:t>
      </w:r>
      <w:r w:rsidR="00935DEF" w:rsidRPr="00476369">
        <w:rPr>
          <w:rFonts w:ascii="Calibri" w:hAnsi="Calibri" w:cs="Calibri"/>
          <w:color w:val="000000" w:themeColor="text1"/>
          <w:sz w:val="24"/>
          <w:szCs w:val="24"/>
        </w:rPr>
        <w:t>n v</w:t>
      </w:r>
      <w:r w:rsidR="00FE7238" w:rsidRPr="00476369">
        <w:rPr>
          <w:rFonts w:ascii="Calibri" w:hAnsi="Calibri" w:cs="Calibri"/>
          <w:color w:val="000000" w:themeColor="text1"/>
          <w:sz w:val="24"/>
          <w:szCs w:val="24"/>
        </w:rPr>
        <w:t> </w:t>
      </w:r>
      <w:r w:rsidR="00935DEF" w:rsidRPr="00476369">
        <w:rPr>
          <w:rFonts w:ascii="Calibri" w:hAnsi="Calibri" w:cs="Calibri"/>
          <w:color w:val="000000" w:themeColor="text1"/>
          <w:sz w:val="24"/>
          <w:szCs w:val="24"/>
        </w:rPr>
        <w:t xml:space="preserve">celkové výši 231 993 591 Kč (včetně příslušenství) a </w:t>
      </w:r>
      <w:r w:rsidR="00B24A05" w:rsidRPr="00476369">
        <w:rPr>
          <w:rFonts w:ascii="Calibri" w:hAnsi="Calibri" w:cs="Calibri"/>
          <w:color w:val="000000" w:themeColor="text1"/>
          <w:sz w:val="24"/>
          <w:szCs w:val="24"/>
        </w:rPr>
        <w:t xml:space="preserve">do </w:t>
      </w:r>
      <w:r w:rsidR="00013C37" w:rsidRPr="00476369">
        <w:rPr>
          <w:rFonts w:ascii="Calibri" w:hAnsi="Calibri" w:cs="Calibri"/>
          <w:color w:val="000000" w:themeColor="text1"/>
          <w:sz w:val="24"/>
          <w:szCs w:val="24"/>
        </w:rPr>
        <w:t>konce roku 2021</w:t>
      </w:r>
      <w:r w:rsidR="00B24A05" w:rsidRPr="00476369">
        <w:rPr>
          <w:rFonts w:ascii="Calibri" w:hAnsi="Calibri" w:cs="Calibri"/>
          <w:color w:val="000000" w:themeColor="text1"/>
          <w:sz w:val="24"/>
          <w:szCs w:val="24"/>
        </w:rPr>
        <w:t xml:space="preserve"> </w:t>
      </w:r>
      <w:r w:rsidR="00013C37" w:rsidRPr="00476369">
        <w:rPr>
          <w:rFonts w:ascii="Calibri" w:hAnsi="Calibri" w:cs="Calibri"/>
          <w:color w:val="000000" w:themeColor="text1"/>
          <w:sz w:val="24"/>
          <w:szCs w:val="24"/>
        </w:rPr>
        <w:t xml:space="preserve">bylo </w:t>
      </w:r>
      <w:r w:rsidR="00935DEF" w:rsidRPr="00476369">
        <w:rPr>
          <w:rFonts w:ascii="Calibri" w:hAnsi="Calibri" w:cs="Calibri"/>
          <w:color w:val="000000" w:themeColor="text1"/>
          <w:sz w:val="24"/>
          <w:szCs w:val="24"/>
        </w:rPr>
        <w:t>vymoženo celkem 62</w:t>
      </w:r>
      <w:r w:rsidR="004E6805" w:rsidRPr="00476369">
        <w:rPr>
          <w:rFonts w:ascii="Calibri" w:hAnsi="Calibri" w:cs="Calibri"/>
          <w:color w:val="000000" w:themeColor="text1"/>
          <w:sz w:val="24"/>
          <w:szCs w:val="24"/>
        </w:rPr>
        <w:t> </w:t>
      </w:r>
      <w:r w:rsidR="00935DEF" w:rsidRPr="00476369">
        <w:rPr>
          <w:rFonts w:ascii="Calibri" w:hAnsi="Calibri" w:cs="Calibri"/>
          <w:color w:val="000000" w:themeColor="text1"/>
          <w:sz w:val="24"/>
          <w:szCs w:val="24"/>
        </w:rPr>
        <w:t>175 274,44</w:t>
      </w:r>
      <w:r w:rsidR="00370FF8" w:rsidRPr="00476369">
        <w:rPr>
          <w:rFonts w:ascii="Calibri" w:hAnsi="Calibri" w:cs="Calibri"/>
          <w:color w:val="000000" w:themeColor="text1"/>
          <w:sz w:val="24"/>
          <w:szCs w:val="24"/>
        </w:rPr>
        <w:t> </w:t>
      </w:r>
      <w:r w:rsidR="00935DEF" w:rsidRPr="00476369">
        <w:rPr>
          <w:rFonts w:ascii="Calibri" w:hAnsi="Calibri" w:cs="Calibri"/>
          <w:color w:val="000000" w:themeColor="text1"/>
          <w:sz w:val="24"/>
          <w:szCs w:val="24"/>
        </w:rPr>
        <w:t>Kč, což představuje 26,8 %</w:t>
      </w:r>
      <w:r w:rsidR="00924C13" w:rsidRPr="00476369">
        <w:rPr>
          <w:rFonts w:ascii="Calibri" w:hAnsi="Calibri" w:cs="Calibri"/>
          <w:color w:val="000000" w:themeColor="text1"/>
          <w:sz w:val="24"/>
          <w:szCs w:val="24"/>
        </w:rPr>
        <w:t xml:space="preserve"> takto </w:t>
      </w:r>
      <w:r w:rsidR="00402003" w:rsidRPr="00476369">
        <w:rPr>
          <w:rFonts w:ascii="Calibri" w:hAnsi="Calibri" w:cs="Calibri"/>
          <w:color w:val="000000" w:themeColor="text1"/>
          <w:sz w:val="24"/>
          <w:szCs w:val="24"/>
        </w:rPr>
        <w:t xml:space="preserve">vymáhaných </w:t>
      </w:r>
      <w:r w:rsidR="00924C13" w:rsidRPr="00476369">
        <w:rPr>
          <w:rFonts w:ascii="Calibri" w:hAnsi="Calibri" w:cs="Calibri"/>
          <w:color w:val="000000" w:themeColor="text1"/>
          <w:sz w:val="24"/>
          <w:szCs w:val="24"/>
        </w:rPr>
        <w:t>pohledávek</w:t>
      </w:r>
      <w:r w:rsidR="00402003" w:rsidRPr="00476369">
        <w:rPr>
          <w:rFonts w:ascii="Calibri" w:hAnsi="Calibri" w:cs="Calibri"/>
          <w:color w:val="000000" w:themeColor="text1"/>
          <w:sz w:val="24"/>
          <w:szCs w:val="24"/>
        </w:rPr>
        <w:t>.</w:t>
      </w:r>
    </w:p>
    <w:p w14:paraId="420D8E45" w14:textId="77777777" w:rsidR="00C87E80" w:rsidRPr="00476369" w:rsidRDefault="00C87E80" w:rsidP="00CF1B3F">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FNKV</w:t>
      </w:r>
    </w:p>
    <w:p w14:paraId="1D17CD47" w14:textId="7935199C" w:rsidR="00C87E80" w:rsidRPr="00476369" w:rsidRDefault="000C2060"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FNKV nehradila své závazky </w:t>
      </w:r>
      <w:r w:rsidR="008258FE" w:rsidRPr="00476369">
        <w:rPr>
          <w:rFonts w:ascii="Calibri" w:hAnsi="Calibri" w:cs="Calibri"/>
          <w:color w:val="000000" w:themeColor="text1"/>
          <w:sz w:val="24"/>
          <w:szCs w:val="24"/>
        </w:rPr>
        <w:t xml:space="preserve">řádně a </w:t>
      </w:r>
      <w:r w:rsidRPr="00476369">
        <w:rPr>
          <w:rFonts w:ascii="Calibri" w:hAnsi="Calibri" w:cs="Calibri"/>
          <w:color w:val="000000" w:themeColor="text1"/>
          <w:sz w:val="24"/>
          <w:szCs w:val="24"/>
        </w:rPr>
        <w:t>včas, proto byla součástí projektu oddlužení</w:t>
      </w:r>
      <w:r w:rsidR="004A5A60" w:rsidRPr="00476369">
        <w:rPr>
          <w:rFonts w:ascii="Calibri" w:hAnsi="Calibri" w:cs="Calibri"/>
          <w:color w:val="000000" w:themeColor="text1"/>
          <w:sz w:val="24"/>
          <w:szCs w:val="24"/>
        </w:rPr>
        <w:t xml:space="preserve"> v roce 2020</w:t>
      </w:r>
      <w:r w:rsidRPr="00476369">
        <w:rPr>
          <w:rFonts w:ascii="Calibri" w:hAnsi="Calibri" w:cs="Calibri"/>
          <w:color w:val="000000" w:themeColor="text1"/>
          <w:sz w:val="24"/>
          <w:szCs w:val="24"/>
        </w:rPr>
        <w:t xml:space="preserve">. </w:t>
      </w:r>
      <w:r w:rsidR="00C87E80" w:rsidRPr="00476369">
        <w:rPr>
          <w:rFonts w:ascii="Calibri" w:hAnsi="Calibri" w:cs="Calibri"/>
          <w:color w:val="000000" w:themeColor="text1"/>
          <w:sz w:val="24"/>
          <w:szCs w:val="24"/>
        </w:rPr>
        <w:t xml:space="preserve">FNKV vyčerpala alokované peněžní prostředky určené na úhradu závazků po splatnosti včetně závazků nad 60 dnů od DUZP v souladu s podmínkami stanovenými </w:t>
      </w:r>
      <w:r w:rsidR="007B2E83" w:rsidRPr="00476369">
        <w:rPr>
          <w:rFonts w:ascii="Calibri" w:hAnsi="Calibri" w:cs="Calibri"/>
          <w:color w:val="000000" w:themeColor="text1"/>
          <w:sz w:val="24"/>
          <w:szCs w:val="24"/>
        </w:rPr>
        <w:t xml:space="preserve">zřizovatelem </w:t>
      </w:r>
      <w:r w:rsidR="00C87E80" w:rsidRPr="00476369">
        <w:rPr>
          <w:rFonts w:ascii="Calibri" w:hAnsi="Calibri" w:cs="Calibri"/>
          <w:color w:val="000000" w:themeColor="text1"/>
          <w:sz w:val="24"/>
          <w:szCs w:val="24"/>
        </w:rPr>
        <w:t>a zaslala zprávu o využití peněžních prostředků do stanoveného termínu.</w:t>
      </w:r>
    </w:p>
    <w:p w14:paraId="47D229BC" w14:textId="77777777" w:rsidR="00C87E80" w:rsidRPr="00476369" w:rsidRDefault="00C87E80" w:rsidP="00CF1B3F">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FNUSA</w:t>
      </w:r>
    </w:p>
    <w:p w14:paraId="6497FF5D" w14:textId="55BE2A7B" w:rsidR="00C87E80" w:rsidRPr="00476369" w:rsidRDefault="00C87E80" w:rsidP="00476369">
      <w:pPr>
        <w:widowControl/>
        <w:spacing w:before="12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 xml:space="preserve">FNUSA nehradila závazky </w:t>
      </w:r>
      <w:r w:rsidR="008258FE" w:rsidRPr="00476369">
        <w:rPr>
          <w:rFonts w:ascii="Calibri" w:hAnsi="Calibri" w:cs="Calibri"/>
          <w:b/>
          <w:color w:val="000000" w:themeColor="text1"/>
          <w:sz w:val="24"/>
          <w:szCs w:val="24"/>
        </w:rPr>
        <w:t xml:space="preserve">řádně a </w:t>
      </w:r>
      <w:r w:rsidRPr="00476369">
        <w:rPr>
          <w:rFonts w:ascii="Calibri" w:hAnsi="Calibri" w:cs="Calibri"/>
          <w:b/>
          <w:color w:val="000000" w:themeColor="text1"/>
          <w:sz w:val="24"/>
          <w:szCs w:val="24"/>
        </w:rPr>
        <w:t>včas</w:t>
      </w:r>
      <w:r w:rsidR="002F36D8" w:rsidRPr="00476369">
        <w:rPr>
          <w:rFonts w:ascii="Calibri" w:hAnsi="Calibri" w:cs="Calibri"/>
          <w:b/>
          <w:color w:val="000000" w:themeColor="text1"/>
          <w:sz w:val="24"/>
          <w:szCs w:val="24"/>
        </w:rPr>
        <w:t xml:space="preserve"> a následně uzavřela dohody o uznání dluhu a závazky začala hradit formou splátek. FNUSA </w:t>
      </w:r>
      <w:r w:rsidR="00CB246F" w:rsidRPr="00476369">
        <w:rPr>
          <w:rFonts w:ascii="Calibri" w:hAnsi="Calibri" w:cs="Calibri"/>
          <w:b/>
          <w:color w:val="000000" w:themeColor="text1"/>
          <w:sz w:val="24"/>
          <w:szCs w:val="24"/>
        </w:rPr>
        <w:t xml:space="preserve">zaplatila na úrocích vyplývajících ze splátkových kalendářů za období 2016 </w:t>
      </w:r>
      <w:r w:rsidR="008F411B" w:rsidRPr="00476369">
        <w:rPr>
          <w:rFonts w:ascii="Calibri" w:hAnsi="Calibri" w:cs="Calibri"/>
          <w:b/>
          <w:color w:val="000000" w:themeColor="text1"/>
          <w:sz w:val="24"/>
          <w:szCs w:val="24"/>
        </w:rPr>
        <w:t xml:space="preserve">až </w:t>
      </w:r>
      <w:r w:rsidR="00CB246F" w:rsidRPr="00476369">
        <w:rPr>
          <w:rFonts w:ascii="Calibri" w:hAnsi="Calibri" w:cs="Calibri"/>
          <w:b/>
          <w:color w:val="000000" w:themeColor="text1"/>
          <w:sz w:val="24"/>
          <w:szCs w:val="24"/>
        </w:rPr>
        <w:t xml:space="preserve">2021 o 31 254 116,06 Kč více, než byla původní hodnota závazků. FNUSA </w:t>
      </w:r>
      <w:r w:rsidRPr="00476369">
        <w:rPr>
          <w:rFonts w:ascii="Calibri" w:hAnsi="Calibri" w:cs="Calibri"/>
          <w:b/>
          <w:color w:val="000000" w:themeColor="text1"/>
          <w:sz w:val="24"/>
          <w:szCs w:val="24"/>
        </w:rPr>
        <w:t>tím nedbala, aby plnila určené úkoly nejhospodárnějším způsobem a</w:t>
      </w:r>
      <w:r w:rsidR="008F411B" w:rsidRPr="00476369">
        <w:rPr>
          <w:rFonts w:ascii="Calibri" w:hAnsi="Calibri" w:cs="Calibri"/>
          <w:b/>
          <w:color w:val="000000" w:themeColor="text1"/>
          <w:sz w:val="24"/>
          <w:szCs w:val="24"/>
        </w:rPr>
        <w:t> </w:t>
      </w:r>
      <w:r w:rsidRPr="00476369">
        <w:rPr>
          <w:rFonts w:ascii="Calibri" w:hAnsi="Calibri" w:cs="Calibri"/>
          <w:b/>
          <w:color w:val="000000" w:themeColor="text1"/>
          <w:sz w:val="24"/>
          <w:szCs w:val="24"/>
        </w:rPr>
        <w:t xml:space="preserve">porušila </w:t>
      </w:r>
      <w:r w:rsidR="00CB246F" w:rsidRPr="00476369">
        <w:rPr>
          <w:rFonts w:ascii="Calibri" w:hAnsi="Calibri" w:cs="Calibri"/>
          <w:b/>
          <w:color w:val="000000" w:themeColor="text1"/>
          <w:sz w:val="24"/>
          <w:szCs w:val="24"/>
        </w:rPr>
        <w:t xml:space="preserve">tak </w:t>
      </w:r>
      <w:r w:rsidR="004E08C8" w:rsidRPr="00476369">
        <w:rPr>
          <w:rFonts w:ascii="Calibri" w:hAnsi="Calibri" w:cs="Calibri"/>
          <w:b/>
          <w:color w:val="000000" w:themeColor="text1"/>
          <w:sz w:val="24"/>
          <w:szCs w:val="24"/>
        </w:rPr>
        <w:t>rozpočtov</w:t>
      </w:r>
      <w:r w:rsidR="0064298D">
        <w:rPr>
          <w:rFonts w:ascii="Calibri" w:hAnsi="Calibri" w:cs="Calibri"/>
          <w:b/>
          <w:color w:val="000000" w:themeColor="text1"/>
          <w:sz w:val="24"/>
          <w:szCs w:val="24"/>
        </w:rPr>
        <w:t>á</w:t>
      </w:r>
      <w:r w:rsidR="004E08C8" w:rsidRPr="00476369">
        <w:rPr>
          <w:rFonts w:ascii="Calibri" w:hAnsi="Calibri" w:cs="Calibri"/>
          <w:b/>
          <w:color w:val="000000" w:themeColor="text1"/>
          <w:sz w:val="24"/>
          <w:szCs w:val="24"/>
        </w:rPr>
        <w:t xml:space="preserve"> pravidl</w:t>
      </w:r>
      <w:r w:rsidR="0064298D">
        <w:rPr>
          <w:rFonts w:ascii="Calibri" w:hAnsi="Calibri" w:cs="Calibri"/>
          <w:b/>
          <w:color w:val="000000" w:themeColor="text1"/>
          <w:sz w:val="24"/>
          <w:szCs w:val="24"/>
        </w:rPr>
        <w:t>a</w:t>
      </w:r>
      <w:r w:rsidR="00266299">
        <w:rPr>
          <w:rFonts w:ascii="Calibri" w:hAnsi="Calibri" w:cs="Calibri"/>
          <w:b/>
          <w:color w:val="000000" w:themeColor="text1"/>
          <w:sz w:val="24"/>
          <w:szCs w:val="24"/>
          <w:vertAlign w:val="superscript"/>
        </w:rPr>
        <w:t>8</w:t>
      </w:r>
      <w:r w:rsidR="004E08C8" w:rsidRPr="00476369">
        <w:rPr>
          <w:rFonts w:ascii="Calibri" w:hAnsi="Calibri" w:cs="Calibri"/>
          <w:b/>
          <w:color w:val="000000" w:themeColor="text1"/>
          <w:sz w:val="24"/>
          <w:szCs w:val="24"/>
        </w:rPr>
        <w:t>.</w:t>
      </w:r>
    </w:p>
    <w:p w14:paraId="362C8C78" w14:textId="1C244892" w:rsidR="00C87E80" w:rsidRPr="00476369" w:rsidRDefault="00C87E80" w:rsidP="00476369">
      <w:pPr>
        <w:widowControl/>
        <w:spacing w:before="12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 xml:space="preserve">FNUSA postoupením pohledávek </w:t>
      </w:r>
      <w:r w:rsidR="008F411B" w:rsidRPr="00476369">
        <w:rPr>
          <w:rFonts w:ascii="Calibri" w:hAnsi="Calibri" w:cs="Calibri"/>
          <w:b/>
          <w:color w:val="000000" w:themeColor="text1"/>
          <w:sz w:val="24"/>
          <w:szCs w:val="24"/>
        </w:rPr>
        <w:t xml:space="preserve">za zdravotní pojišťovnou </w:t>
      </w:r>
      <w:r w:rsidR="00E103EB" w:rsidRPr="00476369">
        <w:rPr>
          <w:rFonts w:ascii="Calibri" w:hAnsi="Calibri" w:cs="Calibri"/>
          <w:b/>
          <w:color w:val="000000" w:themeColor="text1"/>
          <w:sz w:val="24"/>
          <w:szCs w:val="24"/>
        </w:rPr>
        <w:t xml:space="preserve">před jejich splatností </w:t>
      </w:r>
      <w:r w:rsidRPr="00476369">
        <w:rPr>
          <w:rFonts w:ascii="Calibri" w:hAnsi="Calibri" w:cs="Calibri"/>
          <w:b/>
          <w:color w:val="000000" w:themeColor="text1"/>
          <w:sz w:val="24"/>
          <w:szCs w:val="24"/>
        </w:rPr>
        <w:t xml:space="preserve">bance </w:t>
      </w:r>
      <w:r w:rsidR="008F411B" w:rsidRPr="00476369">
        <w:rPr>
          <w:rFonts w:ascii="Calibri" w:hAnsi="Calibri" w:cs="Calibri"/>
          <w:b/>
          <w:color w:val="000000" w:themeColor="text1"/>
          <w:sz w:val="24"/>
          <w:szCs w:val="24"/>
        </w:rPr>
        <w:t>uhradila</w:t>
      </w:r>
      <w:r w:rsidRPr="00476369">
        <w:rPr>
          <w:rFonts w:ascii="Calibri" w:hAnsi="Calibri" w:cs="Calibri"/>
          <w:b/>
          <w:color w:val="000000" w:themeColor="text1"/>
          <w:sz w:val="24"/>
          <w:szCs w:val="24"/>
        </w:rPr>
        <w:t xml:space="preserve"> další náklady</w:t>
      </w:r>
      <w:r w:rsidR="00D5738E" w:rsidRPr="00476369">
        <w:rPr>
          <w:rFonts w:ascii="Calibri" w:hAnsi="Calibri" w:cs="Calibri"/>
          <w:b/>
          <w:color w:val="000000" w:themeColor="text1"/>
          <w:sz w:val="24"/>
          <w:szCs w:val="24"/>
        </w:rPr>
        <w:t xml:space="preserve"> </w:t>
      </w:r>
      <w:r w:rsidR="008F411B" w:rsidRPr="00476369">
        <w:rPr>
          <w:rFonts w:ascii="Calibri" w:hAnsi="Calibri" w:cs="Calibri"/>
          <w:b/>
          <w:color w:val="000000" w:themeColor="text1"/>
          <w:sz w:val="24"/>
          <w:szCs w:val="24"/>
        </w:rPr>
        <w:t xml:space="preserve">za období 2020 až září 2022 </w:t>
      </w:r>
      <w:r w:rsidR="00D5738E" w:rsidRPr="00476369">
        <w:rPr>
          <w:rFonts w:ascii="Calibri" w:hAnsi="Calibri" w:cs="Calibri"/>
          <w:b/>
          <w:color w:val="000000" w:themeColor="text1"/>
          <w:sz w:val="24"/>
          <w:szCs w:val="24"/>
        </w:rPr>
        <w:t>ve</w:t>
      </w:r>
      <w:r w:rsidR="008F411B" w:rsidRPr="00476369">
        <w:rPr>
          <w:rFonts w:ascii="Calibri" w:hAnsi="Calibri" w:cs="Calibri"/>
          <w:b/>
          <w:color w:val="000000" w:themeColor="text1"/>
          <w:sz w:val="24"/>
          <w:szCs w:val="24"/>
        </w:rPr>
        <w:t> </w:t>
      </w:r>
      <w:r w:rsidR="00D5738E" w:rsidRPr="00476369">
        <w:rPr>
          <w:rFonts w:ascii="Calibri" w:hAnsi="Calibri" w:cs="Calibri"/>
          <w:b/>
          <w:color w:val="000000" w:themeColor="text1"/>
          <w:sz w:val="24"/>
          <w:szCs w:val="24"/>
        </w:rPr>
        <w:t>výši 7 207 316,25 Kč</w:t>
      </w:r>
      <w:r w:rsidR="008F411B" w:rsidRPr="00476369">
        <w:rPr>
          <w:rFonts w:ascii="Calibri" w:hAnsi="Calibri" w:cs="Calibri"/>
          <w:b/>
          <w:color w:val="000000" w:themeColor="text1"/>
          <w:sz w:val="24"/>
          <w:szCs w:val="24"/>
        </w:rPr>
        <w:t>, v tom</w:t>
      </w:r>
      <w:r w:rsidR="00D5738E" w:rsidRPr="00476369">
        <w:rPr>
          <w:rFonts w:ascii="Calibri" w:hAnsi="Calibri" w:cs="Calibri"/>
          <w:b/>
          <w:color w:val="000000" w:themeColor="text1"/>
          <w:sz w:val="24"/>
          <w:szCs w:val="24"/>
        </w:rPr>
        <w:t xml:space="preserve"> úroky </w:t>
      </w:r>
      <w:r w:rsidR="008F411B" w:rsidRPr="00476369">
        <w:rPr>
          <w:rFonts w:ascii="Calibri" w:hAnsi="Calibri" w:cs="Calibri"/>
          <w:b/>
          <w:color w:val="000000" w:themeColor="text1"/>
          <w:sz w:val="24"/>
          <w:szCs w:val="24"/>
        </w:rPr>
        <w:t xml:space="preserve">ve výši </w:t>
      </w:r>
      <w:r w:rsidR="00D5738E" w:rsidRPr="00476369">
        <w:rPr>
          <w:rFonts w:ascii="Calibri" w:hAnsi="Calibri" w:cs="Calibri"/>
          <w:b/>
          <w:color w:val="000000" w:themeColor="text1"/>
          <w:sz w:val="24"/>
          <w:szCs w:val="24"/>
        </w:rPr>
        <w:t>6 991 252,10 Kč</w:t>
      </w:r>
      <w:r w:rsidR="00B24A05" w:rsidRPr="00476369">
        <w:rPr>
          <w:rFonts w:ascii="Calibri" w:hAnsi="Calibri" w:cs="Calibri"/>
          <w:b/>
          <w:color w:val="000000" w:themeColor="text1"/>
          <w:sz w:val="24"/>
          <w:szCs w:val="24"/>
        </w:rPr>
        <w:t xml:space="preserve"> a </w:t>
      </w:r>
      <w:r w:rsidR="00D5738E" w:rsidRPr="00476369">
        <w:rPr>
          <w:rFonts w:ascii="Calibri" w:hAnsi="Calibri" w:cs="Calibri"/>
          <w:b/>
          <w:color w:val="000000" w:themeColor="text1"/>
          <w:sz w:val="24"/>
          <w:szCs w:val="24"/>
        </w:rPr>
        <w:t>poplatky ve výši 216</w:t>
      </w:r>
      <w:r w:rsidR="008F411B" w:rsidRPr="00476369">
        <w:rPr>
          <w:rFonts w:ascii="Calibri" w:hAnsi="Calibri" w:cs="Calibri"/>
          <w:b/>
          <w:color w:val="000000" w:themeColor="text1"/>
          <w:sz w:val="24"/>
          <w:szCs w:val="24"/>
        </w:rPr>
        <w:t> </w:t>
      </w:r>
      <w:r w:rsidR="00D5738E" w:rsidRPr="00476369">
        <w:rPr>
          <w:rFonts w:ascii="Calibri" w:hAnsi="Calibri" w:cs="Calibri"/>
          <w:b/>
          <w:color w:val="000000" w:themeColor="text1"/>
          <w:sz w:val="24"/>
          <w:szCs w:val="24"/>
        </w:rPr>
        <w:t>064,15 Kč.</w:t>
      </w:r>
      <w:r w:rsidR="008F411B" w:rsidRPr="00476369">
        <w:rPr>
          <w:rFonts w:ascii="Calibri" w:hAnsi="Calibri" w:cs="Calibri"/>
          <w:b/>
          <w:color w:val="000000" w:themeColor="text1"/>
          <w:sz w:val="24"/>
          <w:szCs w:val="24"/>
        </w:rPr>
        <w:t xml:space="preserve"> FNUSA</w:t>
      </w:r>
      <w:r w:rsidRPr="00476369">
        <w:rPr>
          <w:rFonts w:ascii="Calibri" w:hAnsi="Calibri" w:cs="Calibri"/>
          <w:b/>
          <w:color w:val="000000" w:themeColor="text1"/>
          <w:sz w:val="24"/>
          <w:szCs w:val="24"/>
        </w:rPr>
        <w:t xml:space="preserve"> tím nedbala, aby plnila určené úkoly nejhospodárnějším způsobem a porušila </w:t>
      </w:r>
      <w:r w:rsidR="004E08C8" w:rsidRPr="00476369">
        <w:rPr>
          <w:rFonts w:ascii="Calibri" w:hAnsi="Calibri" w:cs="Calibri"/>
          <w:b/>
          <w:color w:val="000000" w:themeColor="text1"/>
          <w:sz w:val="24"/>
          <w:szCs w:val="24"/>
        </w:rPr>
        <w:t>rozpočtov</w:t>
      </w:r>
      <w:r w:rsidR="0064298D">
        <w:rPr>
          <w:rFonts w:ascii="Calibri" w:hAnsi="Calibri" w:cs="Calibri"/>
          <w:b/>
          <w:color w:val="000000" w:themeColor="text1"/>
          <w:sz w:val="24"/>
          <w:szCs w:val="24"/>
        </w:rPr>
        <w:t>á</w:t>
      </w:r>
      <w:r w:rsidR="004E08C8" w:rsidRPr="00476369">
        <w:rPr>
          <w:rFonts w:ascii="Calibri" w:hAnsi="Calibri" w:cs="Calibri"/>
          <w:b/>
          <w:color w:val="000000" w:themeColor="text1"/>
          <w:sz w:val="24"/>
          <w:szCs w:val="24"/>
        </w:rPr>
        <w:t xml:space="preserve"> pravidl</w:t>
      </w:r>
      <w:r w:rsidR="0064298D">
        <w:rPr>
          <w:rFonts w:ascii="Calibri" w:hAnsi="Calibri" w:cs="Calibri"/>
          <w:b/>
          <w:color w:val="000000" w:themeColor="text1"/>
          <w:sz w:val="24"/>
          <w:szCs w:val="24"/>
        </w:rPr>
        <w:t>a</w:t>
      </w:r>
      <w:r w:rsidR="00266299">
        <w:rPr>
          <w:rFonts w:ascii="Calibri" w:hAnsi="Calibri" w:cs="Calibri"/>
          <w:b/>
          <w:color w:val="000000" w:themeColor="text1"/>
          <w:sz w:val="24"/>
          <w:szCs w:val="24"/>
          <w:vertAlign w:val="superscript"/>
        </w:rPr>
        <w:t>8</w:t>
      </w:r>
      <w:r w:rsidR="008F411B" w:rsidRPr="00476369">
        <w:rPr>
          <w:rFonts w:ascii="Calibri" w:hAnsi="Calibri" w:cs="Calibri"/>
          <w:b/>
          <w:color w:val="000000" w:themeColor="text1"/>
          <w:sz w:val="24"/>
          <w:szCs w:val="24"/>
        </w:rPr>
        <w:t>.</w:t>
      </w:r>
    </w:p>
    <w:p w14:paraId="692DC207" w14:textId="00BA18CD" w:rsidR="00C87E80" w:rsidRPr="00476369" w:rsidRDefault="00C87E80" w:rsidP="00CF1B3F">
      <w:pPr>
        <w:widowControl/>
        <w:spacing w:before="120"/>
        <w:jc w:val="both"/>
        <w:rPr>
          <w:rFonts w:ascii="Calibri" w:hAnsi="Calibri" w:cs="Calibri"/>
          <w:color w:val="000000" w:themeColor="text1"/>
          <w:sz w:val="24"/>
          <w:szCs w:val="24"/>
        </w:rPr>
      </w:pPr>
      <w:r w:rsidRPr="00476369">
        <w:rPr>
          <w:rFonts w:ascii="Calibri" w:hAnsi="Calibri" w:cs="Calibri"/>
          <w:color w:val="000000" w:themeColor="text1"/>
          <w:sz w:val="24"/>
          <w:szCs w:val="24"/>
        </w:rPr>
        <w:t>FNUSA použila jednorázový příspěvek</w:t>
      </w:r>
      <w:r w:rsidR="000439DE" w:rsidRPr="00476369">
        <w:rPr>
          <w:rFonts w:ascii="Calibri" w:hAnsi="Calibri" w:cs="Calibri"/>
          <w:color w:val="000000" w:themeColor="text1"/>
          <w:sz w:val="24"/>
          <w:szCs w:val="24"/>
        </w:rPr>
        <w:t xml:space="preserve"> za účelem oddlužení</w:t>
      </w:r>
      <w:r w:rsidRPr="00476369">
        <w:rPr>
          <w:rFonts w:ascii="Calibri" w:hAnsi="Calibri" w:cs="Calibri"/>
          <w:color w:val="000000" w:themeColor="text1"/>
          <w:sz w:val="24"/>
          <w:szCs w:val="24"/>
        </w:rPr>
        <w:t xml:space="preserve"> na úhradu závazků po splatnosti nebo závazků nad 60 dnů od DUZP a </w:t>
      </w:r>
      <w:proofErr w:type="spellStart"/>
      <w:r w:rsidRPr="00476369">
        <w:rPr>
          <w:rFonts w:ascii="Calibri" w:hAnsi="Calibri" w:cs="Calibri"/>
          <w:color w:val="000000" w:themeColor="text1"/>
          <w:sz w:val="24"/>
          <w:szCs w:val="24"/>
        </w:rPr>
        <w:t>přefinancovaných</w:t>
      </w:r>
      <w:proofErr w:type="spellEnd"/>
      <w:r w:rsidRPr="00476369">
        <w:rPr>
          <w:rFonts w:ascii="Calibri" w:hAnsi="Calibri" w:cs="Calibri"/>
          <w:color w:val="000000" w:themeColor="text1"/>
          <w:sz w:val="24"/>
          <w:szCs w:val="24"/>
        </w:rPr>
        <w:t xml:space="preserve"> závazků v rozporu s podmínkami </w:t>
      </w:r>
      <w:r w:rsidR="005436C6" w:rsidRPr="00476369">
        <w:rPr>
          <w:rFonts w:ascii="Calibri" w:hAnsi="Calibri" w:cs="Calibri"/>
          <w:color w:val="000000" w:themeColor="text1"/>
          <w:sz w:val="24"/>
          <w:szCs w:val="24"/>
        </w:rPr>
        <w:t xml:space="preserve">stanovenými </w:t>
      </w:r>
      <w:r w:rsidR="001E7286" w:rsidRPr="00476369">
        <w:rPr>
          <w:rFonts w:ascii="Calibri" w:hAnsi="Calibri" w:cs="Calibri"/>
          <w:color w:val="000000" w:themeColor="text1"/>
          <w:sz w:val="24"/>
          <w:szCs w:val="24"/>
        </w:rPr>
        <w:t xml:space="preserve">dopisem </w:t>
      </w:r>
      <w:r w:rsidR="007C0DBF" w:rsidRPr="00476369">
        <w:rPr>
          <w:rFonts w:ascii="Calibri" w:hAnsi="Calibri" w:cs="Calibri"/>
          <w:color w:val="000000" w:themeColor="text1"/>
          <w:sz w:val="24"/>
          <w:szCs w:val="24"/>
        </w:rPr>
        <w:t>zřizovatele</w:t>
      </w:r>
      <w:r w:rsidRPr="00476369">
        <w:rPr>
          <w:rFonts w:ascii="Calibri" w:hAnsi="Calibri" w:cs="Calibri"/>
          <w:color w:val="000000" w:themeColor="text1"/>
          <w:sz w:val="24"/>
          <w:szCs w:val="24"/>
        </w:rPr>
        <w:t xml:space="preserve"> v celkové výši 646 208 523,63 Kč, tím že:</w:t>
      </w:r>
    </w:p>
    <w:p w14:paraId="1B7980E7" w14:textId="7C9E3E27" w:rsidR="00C87E80" w:rsidRPr="00476369" w:rsidRDefault="000439DE" w:rsidP="00CF1B3F">
      <w:pPr>
        <w:pStyle w:val="Odstavecseseznamem"/>
        <w:widowControl/>
        <w:numPr>
          <w:ilvl w:val="0"/>
          <w:numId w:val="39"/>
        </w:numPr>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jej </w:t>
      </w:r>
      <w:r w:rsidR="00C87E80" w:rsidRPr="00476369">
        <w:rPr>
          <w:rFonts w:ascii="Calibri" w:hAnsi="Calibri" w:cs="Calibri"/>
          <w:color w:val="000000" w:themeColor="text1"/>
          <w:sz w:val="24"/>
          <w:szCs w:val="24"/>
        </w:rPr>
        <w:t>použila na úhradu 40 závazků v celkové výši 3 135 154,28, které byly před datem splatnosti a u nichž současně neuplynulo 60 dnů od DUZP;</w:t>
      </w:r>
    </w:p>
    <w:p w14:paraId="1F52E926" w14:textId="13CBB091" w:rsidR="00C87E80" w:rsidRPr="00476369" w:rsidRDefault="00C87E80" w:rsidP="00CF1B3F">
      <w:pPr>
        <w:pStyle w:val="Odstavecseseznamem"/>
        <w:widowControl/>
        <w:numPr>
          <w:ilvl w:val="0"/>
          <w:numId w:val="39"/>
        </w:numPr>
        <w:spacing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jako čerpání </w:t>
      </w:r>
      <w:r w:rsidR="000F736A" w:rsidRPr="00476369">
        <w:rPr>
          <w:rFonts w:ascii="Calibri" w:hAnsi="Calibri" w:cs="Calibri"/>
          <w:color w:val="000000" w:themeColor="text1"/>
          <w:sz w:val="24"/>
          <w:szCs w:val="24"/>
        </w:rPr>
        <w:t xml:space="preserve">jednorázového </w:t>
      </w:r>
      <w:r w:rsidRPr="00476369">
        <w:rPr>
          <w:rFonts w:ascii="Calibri" w:hAnsi="Calibri" w:cs="Calibri"/>
          <w:color w:val="000000" w:themeColor="text1"/>
          <w:sz w:val="24"/>
          <w:szCs w:val="24"/>
        </w:rPr>
        <w:t xml:space="preserve">příspěvku </w:t>
      </w:r>
      <w:r w:rsidR="000439DE" w:rsidRPr="00476369">
        <w:rPr>
          <w:rFonts w:ascii="Calibri" w:hAnsi="Calibri" w:cs="Calibri"/>
          <w:color w:val="000000" w:themeColor="text1"/>
          <w:sz w:val="24"/>
          <w:szCs w:val="24"/>
        </w:rPr>
        <w:t xml:space="preserve">za účelem oddlužení </w:t>
      </w:r>
      <w:r w:rsidRPr="00476369">
        <w:rPr>
          <w:rFonts w:ascii="Calibri" w:hAnsi="Calibri" w:cs="Calibri"/>
          <w:color w:val="000000" w:themeColor="text1"/>
          <w:sz w:val="24"/>
          <w:szCs w:val="24"/>
        </w:rPr>
        <w:t>vykázala 5 750 závazků v</w:t>
      </w:r>
      <w:r w:rsidR="00A40632" w:rsidRPr="00476369">
        <w:rPr>
          <w:rFonts w:ascii="Calibri" w:hAnsi="Calibri" w:cs="Calibri"/>
          <w:color w:val="000000" w:themeColor="text1"/>
          <w:sz w:val="24"/>
          <w:szCs w:val="24"/>
        </w:rPr>
        <w:t> </w:t>
      </w:r>
      <w:r w:rsidRPr="00476369">
        <w:rPr>
          <w:rFonts w:ascii="Calibri" w:hAnsi="Calibri" w:cs="Calibri"/>
          <w:color w:val="000000" w:themeColor="text1"/>
          <w:sz w:val="24"/>
          <w:szCs w:val="24"/>
        </w:rPr>
        <w:t>celkové výši 643 073 369,35 Kč, které uhradila v době od 4. 2. 2020 do 21.</w:t>
      </w:r>
      <w:r w:rsidR="003401EB" w:rsidRPr="00476369">
        <w:rPr>
          <w:rFonts w:ascii="Calibri" w:hAnsi="Calibri" w:cs="Calibri"/>
          <w:color w:val="000000" w:themeColor="text1"/>
          <w:sz w:val="24"/>
          <w:szCs w:val="24"/>
        </w:rPr>
        <w:t> </w:t>
      </w:r>
      <w:r w:rsidRPr="00476369">
        <w:rPr>
          <w:rFonts w:ascii="Calibri" w:hAnsi="Calibri" w:cs="Calibri"/>
          <w:color w:val="000000" w:themeColor="text1"/>
          <w:sz w:val="24"/>
          <w:szCs w:val="24"/>
        </w:rPr>
        <w:t>5.</w:t>
      </w:r>
      <w:r w:rsidR="003401EB" w:rsidRPr="00476369">
        <w:rPr>
          <w:rFonts w:ascii="Calibri" w:hAnsi="Calibri" w:cs="Calibri"/>
          <w:color w:val="000000" w:themeColor="text1"/>
          <w:sz w:val="24"/>
          <w:szCs w:val="24"/>
        </w:rPr>
        <w:t> </w:t>
      </w:r>
      <w:r w:rsidRPr="00476369">
        <w:rPr>
          <w:rFonts w:ascii="Calibri" w:hAnsi="Calibri" w:cs="Calibri"/>
          <w:color w:val="000000" w:themeColor="text1"/>
          <w:sz w:val="24"/>
          <w:szCs w:val="24"/>
        </w:rPr>
        <w:t xml:space="preserve">2020, tj. před datem obdržení </w:t>
      </w:r>
      <w:r w:rsidR="000F736A" w:rsidRPr="00476369">
        <w:rPr>
          <w:rFonts w:ascii="Calibri" w:hAnsi="Calibri" w:cs="Calibri"/>
          <w:color w:val="000000" w:themeColor="text1"/>
          <w:sz w:val="24"/>
          <w:szCs w:val="24"/>
        </w:rPr>
        <w:t xml:space="preserve">tohoto </w:t>
      </w:r>
      <w:r w:rsidRPr="00476369">
        <w:rPr>
          <w:rFonts w:ascii="Calibri" w:hAnsi="Calibri" w:cs="Calibri"/>
          <w:color w:val="000000" w:themeColor="text1"/>
          <w:sz w:val="24"/>
          <w:szCs w:val="24"/>
        </w:rPr>
        <w:t xml:space="preserve">příspěvku </w:t>
      </w:r>
      <w:r w:rsidR="00910A4A" w:rsidRPr="00476369">
        <w:rPr>
          <w:rFonts w:ascii="Calibri" w:hAnsi="Calibri" w:cs="Calibri"/>
          <w:color w:val="000000" w:themeColor="text1"/>
          <w:sz w:val="24"/>
          <w:szCs w:val="24"/>
        </w:rPr>
        <w:t xml:space="preserve">od </w:t>
      </w:r>
      <w:proofErr w:type="spellStart"/>
      <w:r w:rsidR="00910A4A" w:rsidRPr="00476369">
        <w:rPr>
          <w:rFonts w:ascii="Calibri" w:hAnsi="Calibri" w:cs="Calibri"/>
          <w:color w:val="000000" w:themeColor="text1"/>
          <w:sz w:val="24"/>
          <w:szCs w:val="24"/>
        </w:rPr>
        <w:t>MZ</w:t>
      </w:r>
      <w:r w:rsidR="0064298D">
        <w:rPr>
          <w:rFonts w:ascii="Calibri" w:hAnsi="Calibri" w:cs="Calibri"/>
          <w:color w:val="000000" w:themeColor="text1"/>
          <w:sz w:val="24"/>
          <w:szCs w:val="24"/>
        </w:rPr>
        <w:t>d</w:t>
      </w:r>
      <w:proofErr w:type="spellEnd"/>
      <w:r w:rsidR="00910A4A" w:rsidRPr="00476369">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na svůj bankovní účet.</w:t>
      </w:r>
    </w:p>
    <w:p w14:paraId="52FEA584" w14:textId="553A8812" w:rsidR="00C87E80" w:rsidRPr="00476369" w:rsidRDefault="00D335AA"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I </w:t>
      </w:r>
      <w:r w:rsidR="00C87E80" w:rsidRPr="00476369">
        <w:rPr>
          <w:rFonts w:ascii="Calibri" w:hAnsi="Calibri" w:cs="Calibri"/>
          <w:color w:val="000000" w:themeColor="text1"/>
          <w:sz w:val="24"/>
          <w:szCs w:val="24"/>
        </w:rPr>
        <w:t xml:space="preserve">po oddlužení </w:t>
      </w:r>
      <w:r w:rsidRPr="00476369">
        <w:rPr>
          <w:rFonts w:ascii="Calibri" w:hAnsi="Calibri" w:cs="Calibri"/>
          <w:color w:val="000000" w:themeColor="text1"/>
          <w:sz w:val="24"/>
          <w:szCs w:val="24"/>
        </w:rPr>
        <w:t xml:space="preserve">v roce 2020 </w:t>
      </w:r>
      <w:r w:rsidR="0064298D" w:rsidRPr="00476369">
        <w:rPr>
          <w:rFonts w:ascii="Calibri" w:hAnsi="Calibri" w:cs="Calibri"/>
          <w:color w:val="000000" w:themeColor="text1"/>
          <w:sz w:val="24"/>
          <w:szCs w:val="24"/>
        </w:rPr>
        <w:t xml:space="preserve">využívala </w:t>
      </w:r>
      <w:r w:rsidRPr="00476369">
        <w:rPr>
          <w:rFonts w:ascii="Calibri" w:hAnsi="Calibri" w:cs="Calibri"/>
          <w:color w:val="000000" w:themeColor="text1"/>
          <w:sz w:val="24"/>
          <w:szCs w:val="24"/>
        </w:rPr>
        <w:t xml:space="preserve">FNUSA </w:t>
      </w:r>
      <w:r w:rsidR="00C87E80" w:rsidRPr="00476369">
        <w:rPr>
          <w:rFonts w:ascii="Calibri" w:hAnsi="Calibri" w:cs="Calibri"/>
          <w:color w:val="000000" w:themeColor="text1"/>
          <w:sz w:val="24"/>
          <w:szCs w:val="24"/>
        </w:rPr>
        <w:t>stále v letech 2021 a</w:t>
      </w:r>
      <w:r w:rsidR="003F370A" w:rsidRPr="00476369">
        <w:rPr>
          <w:rFonts w:ascii="Calibri" w:hAnsi="Calibri" w:cs="Calibri"/>
          <w:color w:val="000000" w:themeColor="text1"/>
          <w:sz w:val="24"/>
          <w:szCs w:val="24"/>
        </w:rPr>
        <w:t> </w:t>
      </w:r>
      <w:r w:rsidR="00C87E80" w:rsidRPr="00476369">
        <w:rPr>
          <w:rFonts w:ascii="Calibri" w:hAnsi="Calibri" w:cs="Calibri"/>
          <w:color w:val="000000" w:themeColor="text1"/>
          <w:sz w:val="24"/>
          <w:szCs w:val="24"/>
        </w:rPr>
        <w:t>2022 financování prostřednictvím postoupení nesplatných pohledávek za zdravotní pojišťovnou bance</w:t>
      </w:r>
      <w:r w:rsidR="000E79CC" w:rsidRPr="00476369">
        <w:rPr>
          <w:rFonts w:ascii="Calibri" w:hAnsi="Calibri" w:cs="Calibri"/>
          <w:color w:val="000000" w:themeColor="text1"/>
          <w:sz w:val="24"/>
          <w:szCs w:val="24"/>
        </w:rPr>
        <w:t>, tj.</w:t>
      </w:r>
      <w:r w:rsidR="006842B7">
        <w:rPr>
          <w:rFonts w:ascii="Calibri" w:hAnsi="Calibri" w:cs="Calibri"/>
          <w:color w:val="000000" w:themeColor="text1"/>
          <w:sz w:val="24"/>
          <w:szCs w:val="24"/>
        </w:rPr>
        <w:t> </w:t>
      </w:r>
      <w:r w:rsidR="000E79CC" w:rsidRPr="00476369">
        <w:rPr>
          <w:rFonts w:ascii="Calibri" w:hAnsi="Calibri" w:cs="Calibri"/>
          <w:color w:val="000000" w:themeColor="text1"/>
          <w:sz w:val="24"/>
          <w:szCs w:val="24"/>
        </w:rPr>
        <w:t>předfinancování</w:t>
      </w:r>
      <w:r w:rsidR="00C87E80" w:rsidRPr="00476369">
        <w:rPr>
          <w:rFonts w:ascii="Calibri" w:hAnsi="Calibri" w:cs="Calibri"/>
          <w:color w:val="000000" w:themeColor="text1"/>
          <w:sz w:val="24"/>
          <w:szCs w:val="24"/>
        </w:rPr>
        <w:t xml:space="preserve"> na období 14 dnů ve výši jedné poloviny měsíční zálohy od zdravotní pojišťovny.</w:t>
      </w:r>
      <w:r w:rsidR="00356702" w:rsidRPr="00476369">
        <w:rPr>
          <w:rFonts w:ascii="Calibri" w:hAnsi="Calibri" w:cs="Calibri"/>
          <w:color w:val="000000" w:themeColor="text1"/>
          <w:sz w:val="24"/>
          <w:szCs w:val="24"/>
        </w:rPr>
        <w:t xml:space="preserve"> Tím vznikají </w:t>
      </w:r>
      <w:r w:rsidR="0089788A" w:rsidRPr="00476369">
        <w:rPr>
          <w:rFonts w:ascii="Calibri" w:hAnsi="Calibri" w:cs="Calibri"/>
          <w:color w:val="000000" w:themeColor="text1"/>
          <w:sz w:val="24"/>
          <w:szCs w:val="24"/>
        </w:rPr>
        <w:t xml:space="preserve">FNUSA </w:t>
      </w:r>
      <w:r w:rsidR="00356702" w:rsidRPr="00476369">
        <w:rPr>
          <w:rFonts w:ascii="Calibri" w:hAnsi="Calibri" w:cs="Calibri"/>
          <w:color w:val="000000" w:themeColor="text1"/>
          <w:sz w:val="24"/>
          <w:szCs w:val="24"/>
        </w:rPr>
        <w:t>nadále vícenáklady (úroky a</w:t>
      </w:r>
      <w:r w:rsidR="00654D16" w:rsidRPr="00476369">
        <w:rPr>
          <w:rFonts w:ascii="Calibri" w:hAnsi="Calibri" w:cs="Calibri"/>
          <w:color w:val="000000" w:themeColor="text1"/>
          <w:sz w:val="24"/>
          <w:szCs w:val="24"/>
        </w:rPr>
        <w:t> </w:t>
      </w:r>
      <w:r w:rsidR="00356702" w:rsidRPr="00476369">
        <w:rPr>
          <w:rFonts w:ascii="Calibri" w:hAnsi="Calibri" w:cs="Calibri"/>
          <w:color w:val="000000" w:themeColor="text1"/>
          <w:sz w:val="24"/>
          <w:szCs w:val="24"/>
        </w:rPr>
        <w:t>poplatky).</w:t>
      </w:r>
    </w:p>
    <w:p w14:paraId="5BAF81F7" w14:textId="346F0D0E" w:rsidR="00AA543F" w:rsidRPr="00476369" w:rsidRDefault="00AA543F" w:rsidP="00CF1B3F">
      <w:pPr>
        <w:keepNext/>
        <w:widowControl/>
        <w:spacing w:before="24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2</w:t>
      </w:r>
      <w:r w:rsidR="00107700">
        <w:rPr>
          <w:rFonts w:ascii="Calibri" w:hAnsi="Calibri" w:cs="Calibri"/>
          <w:b/>
          <w:color w:val="000000" w:themeColor="text1"/>
          <w:sz w:val="24"/>
          <w:szCs w:val="24"/>
        </w:rPr>
        <w:t>.</w:t>
      </w:r>
      <w:r w:rsidRPr="00476369">
        <w:rPr>
          <w:rFonts w:ascii="Calibri" w:hAnsi="Calibri" w:cs="Calibri"/>
          <w:b/>
          <w:color w:val="000000" w:themeColor="text1"/>
          <w:sz w:val="24"/>
          <w:szCs w:val="24"/>
        </w:rPr>
        <w:t xml:space="preserve"> </w:t>
      </w:r>
      <w:r w:rsidR="006923AA" w:rsidRPr="00476369">
        <w:rPr>
          <w:rFonts w:ascii="Calibri" w:hAnsi="Calibri" w:cs="Calibri"/>
          <w:b/>
          <w:color w:val="000000" w:themeColor="text1"/>
          <w:sz w:val="24"/>
          <w:szCs w:val="24"/>
        </w:rPr>
        <w:t>Odměny pracovníkům vystaveným riziku onemocnění covid-19</w:t>
      </w:r>
    </w:p>
    <w:p w14:paraId="5D4A3803" w14:textId="505C0F61" w:rsidR="00AA543F" w:rsidRPr="00476369" w:rsidRDefault="00AA543F" w:rsidP="00CF1B3F">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proofErr w:type="spellStart"/>
      <w:r w:rsidRPr="00476369">
        <w:rPr>
          <w:rFonts w:ascii="Calibri" w:hAnsi="Calibri" w:cs="Calibri"/>
          <w:color w:val="000000" w:themeColor="text1"/>
          <w:sz w:val="24"/>
          <w:szCs w:val="24"/>
        </w:rPr>
        <w:t>MZ</w:t>
      </w:r>
      <w:r w:rsidR="0064298D">
        <w:rPr>
          <w:rFonts w:ascii="Calibri" w:hAnsi="Calibri" w:cs="Calibri"/>
          <w:color w:val="000000" w:themeColor="text1"/>
          <w:sz w:val="24"/>
          <w:szCs w:val="24"/>
        </w:rPr>
        <w:t>d</w:t>
      </w:r>
      <w:proofErr w:type="spellEnd"/>
    </w:p>
    <w:p w14:paraId="0353A4C8" w14:textId="71A72A92" w:rsidR="00AA543F" w:rsidRPr="00476369" w:rsidRDefault="00D03E19" w:rsidP="00476369">
      <w:pPr>
        <w:widowControl/>
        <w:spacing w:before="120" w:after="120"/>
        <w:jc w:val="both"/>
        <w:rPr>
          <w:rFonts w:ascii="Calibri" w:hAnsi="Calibri" w:cs="Calibri"/>
          <w:strike/>
          <w:color w:val="000000" w:themeColor="text1"/>
          <w:sz w:val="24"/>
          <w:szCs w:val="24"/>
        </w:rPr>
      </w:pPr>
      <w:proofErr w:type="spellStart"/>
      <w:r w:rsidRPr="00476369">
        <w:rPr>
          <w:rFonts w:ascii="Calibri" w:eastAsia="Calibri" w:hAnsi="Calibri" w:cs="Calibri"/>
          <w:color w:val="000000" w:themeColor="text1"/>
          <w:sz w:val="24"/>
          <w:szCs w:val="24"/>
        </w:rPr>
        <w:t>MZ</w:t>
      </w:r>
      <w:r w:rsidR="0064298D">
        <w:rPr>
          <w:rFonts w:ascii="Calibri" w:eastAsia="Calibri" w:hAnsi="Calibri" w:cs="Calibri"/>
          <w:color w:val="000000" w:themeColor="text1"/>
          <w:sz w:val="24"/>
          <w:szCs w:val="24"/>
        </w:rPr>
        <w:t>d</w:t>
      </w:r>
      <w:proofErr w:type="spellEnd"/>
      <w:r w:rsidRPr="00476369">
        <w:rPr>
          <w:rFonts w:ascii="Calibri" w:eastAsia="Calibri" w:hAnsi="Calibri" w:cs="Calibri"/>
          <w:color w:val="000000" w:themeColor="text1"/>
          <w:sz w:val="24"/>
          <w:szCs w:val="24"/>
        </w:rPr>
        <w:t xml:space="preserve"> vyplatilo přímo řízeným organizacím mimořádné příspěvky na odměny covid-19 ve výši 4,383 mld. Kč za rok 2020 a mimořádné příspěvky na odměny covid-19 ve výši 4,653 mld. Kč za rok 2021, ačkoliv </w:t>
      </w:r>
      <w:r w:rsidR="00AA543F" w:rsidRPr="00476369">
        <w:rPr>
          <w:rFonts w:ascii="Calibri" w:eastAsia="Calibri" w:hAnsi="Calibri" w:cs="Calibri"/>
          <w:color w:val="000000" w:themeColor="text1"/>
          <w:sz w:val="24"/>
          <w:szCs w:val="24"/>
        </w:rPr>
        <w:t xml:space="preserve">nemělo v celém procesu přiznání a poskytování </w:t>
      </w:r>
      <w:r w:rsidR="000F736A" w:rsidRPr="00476369">
        <w:rPr>
          <w:rFonts w:ascii="Calibri" w:eastAsia="Calibri" w:hAnsi="Calibri" w:cs="Calibri"/>
          <w:color w:val="000000" w:themeColor="text1"/>
          <w:sz w:val="24"/>
          <w:szCs w:val="24"/>
        </w:rPr>
        <w:t xml:space="preserve">mimořádných </w:t>
      </w:r>
      <w:r w:rsidR="00AA543F" w:rsidRPr="00476369">
        <w:rPr>
          <w:rFonts w:ascii="Calibri" w:eastAsia="Calibri" w:hAnsi="Calibri" w:cs="Calibri"/>
          <w:color w:val="000000" w:themeColor="text1"/>
          <w:sz w:val="24"/>
          <w:szCs w:val="24"/>
        </w:rPr>
        <w:t>příspěvků nastavené kontrolní mechanismy</w:t>
      </w:r>
      <w:r w:rsidR="00A01BA2" w:rsidRPr="00476369">
        <w:rPr>
          <w:rFonts w:ascii="Calibri" w:eastAsia="Calibri" w:hAnsi="Calibri" w:cs="Calibri"/>
          <w:color w:val="000000" w:themeColor="text1"/>
          <w:sz w:val="24"/>
          <w:szCs w:val="24"/>
        </w:rPr>
        <w:t xml:space="preserve"> dle zákona o finanční kontrole</w:t>
      </w:r>
      <w:r w:rsidR="006F192B" w:rsidRPr="00476369">
        <w:rPr>
          <w:rFonts w:ascii="Calibri" w:eastAsia="Calibri" w:hAnsi="Calibri" w:cs="Calibri"/>
          <w:color w:val="000000" w:themeColor="text1"/>
          <w:sz w:val="24"/>
          <w:szCs w:val="24"/>
          <w:vertAlign w:val="superscript"/>
        </w:rPr>
        <w:t>4</w:t>
      </w:r>
      <w:r w:rsidR="00AA543F" w:rsidRPr="00476369">
        <w:rPr>
          <w:rFonts w:ascii="Calibri" w:eastAsia="Calibri" w:hAnsi="Calibri" w:cs="Calibri"/>
          <w:color w:val="000000" w:themeColor="text1"/>
          <w:sz w:val="24"/>
          <w:szCs w:val="24"/>
        </w:rPr>
        <w:t xml:space="preserve"> tak, aby byly peněžní prostředky poskytnuty v souladu s</w:t>
      </w:r>
      <w:r w:rsidR="008E7509" w:rsidRPr="00476369">
        <w:rPr>
          <w:rFonts w:ascii="Calibri" w:eastAsia="Calibri" w:hAnsi="Calibri" w:cs="Calibri"/>
          <w:color w:val="000000" w:themeColor="text1"/>
          <w:sz w:val="24"/>
          <w:szCs w:val="24"/>
        </w:rPr>
        <w:t>e stanovenými podmínkami Výzvy 2020 a</w:t>
      </w:r>
      <w:r w:rsidR="00733B9E" w:rsidRPr="00476369">
        <w:rPr>
          <w:rFonts w:ascii="Calibri" w:eastAsia="Calibri" w:hAnsi="Calibri" w:cs="Calibri"/>
          <w:color w:val="000000" w:themeColor="text1"/>
          <w:sz w:val="24"/>
          <w:szCs w:val="24"/>
        </w:rPr>
        <w:t> </w:t>
      </w:r>
      <w:r w:rsidR="008E7509" w:rsidRPr="00476369">
        <w:rPr>
          <w:rFonts w:ascii="Calibri" w:eastAsia="Calibri" w:hAnsi="Calibri" w:cs="Calibri"/>
          <w:color w:val="000000" w:themeColor="text1"/>
          <w:sz w:val="24"/>
          <w:szCs w:val="24"/>
        </w:rPr>
        <w:t>Výzvy 2021</w:t>
      </w:r>
      <w:r w:rsidR="00AA543F" w:rsidRPr="00476369">
        <w:rPr>
          <w:rFonts w:ascii="Calibri" w:eastAsia="Calibri" w:hAnsi="Calibri" w:cs="Calibri"/>
          <w:color w:val="000000" w:themeColor="text1"/>
          <w:sz w:val="24"/>
          <w:szCs w:val="24"/>
        </w:rPr>
        <w:t xml:space="preserve"> a aby byly vynaloženy hospodárně, efektivně a účelně</w:t>
      </w:r>
      <w:r w:rsidR="00A01BA2" w:rsidRPr="00476369">
        <w:rPr>
          <w:rFonts w:ascii="Calibri" w:eastAsia="Calibri" w:hAnsi="Calibri" w:cs="Calibri"/>
          <w:color w:val="000000" w:themeColor="text1"/>
          <w:sz w:val="24"/>
          <w:szCs w:val="24"/>
        </w:rPr>
        <w:t xml:space="preserve"> dle rozpočtových pravid</w:t>
      </w:r>
      <w:r w:rsidR="0064298D">
        <w:rPr>
          <w:rFonts w:ascii="Calibri" w:eastAsia="Calibri" w:hAnsi="Calibri" w:cs="Calibri"/>
          <w:color w:val="000000" w:themeColor="text1"/>
          <w:sz w:val="24"/>
          <w:szCs w:val="24"/>
        </w:rPr>
        <w:t>e</w:t>
      </w:r>
      <w:r w:rsidR="00A01BA2" w:rsidRPr="00476369">
        <w:rPr>
          <w:rFonts w:ascii="Calibri" w:eastAsia="Calibri" w:hAnsi="Calibri" w:cs="Calibri"/>
          <w:color w:val="000000" w:themeColor="text1"/>
          <w:sz w:val="24"/>
          <w:szCs w:val="24"/>
        </w:rPr>
        <w:t>l</w:t>
      </w:r>
      <w:r w:rsidR="006F192B" w:rsidRPr="00476369">
        <w:rPr>
          <w:rFonts w:ascii="Calibri" w:eastAsia="Calibri" w:hAnsi="Calibri" w:cs="Calibri"/>
          <w:color w:val="000000" w:themeColor="text1"/>
          <w:sz w:val="24"/>
          <w:szCs w:val="24"/>
          <w:vertAlign w:val="superscript"/>
        </w:rPr>
        <w:t>14</w:t>
      </w:r>
      <w:r w:rsidR="00B618CF" w:rsidRPr="00476369">
        <w:rPr>
          <w:rFonts w:ascii="Calibri" w:eastAsia="Calibri" w:hAnsi="Calibri" w:cs="Calibri"/>
          <w:color w:val="000000" w:themeColor="text1"/>
          <w:sz w:val="24"/>
          <w:szCs w:val="24"/>
        </w:rPr>
        <w:t>.</w:t>
      </w:r>
      <w:r w:rsidR="00AA543F" w:rsidRPr="00476369">
        <w:rPr>
          <w:rFonts w:ascii="Calibri" w:eastAsia="Calibri" w:hAnsi="Calibri" w:cs="Calibri"/>
          <w:color w:val="000000" w:themeColor="text1"/>
          <w:sz w:val="24"/>
          <w:szCs w:val="24"/>
        </w:rPr>
        <w:t xml:space="preserve"> </w:t>
      </w:r>
    </w:p>
    <w:p w14:paraId="54A1B59F" w14:textId="43066D77" w:rsidR="006E1802" w:rsidRPr="00476369" w:rsidRDefault="00AA543F" w:rsidP="00476369">
      <w:pPr>
        <w:widowControl/>
        <w:spacing w:before="120" w:after="120"/>
        <w:jc w:val="both"/>
        <w:rPr>
          <w:rFonts w:ascii="Calibri" w:eastAsia="Calibri" w:hAnsi="Calibri" w:cs="Calibri"/>
          <w:color w:val="000000" w:themeColor="text1"/>
          <w:sz w:val="24"/>
          <w:szCs w:val="24"/>
        </w:rPr>
      </w:pPr>
      <w:proofErr w:type="spellStart"/>
      <w:r w:rsidRPr="00476369">
        <w:rPr>
          <w:rFonts w:ascii="Calibri" w:eastAsia="Calibri" w:hAnsi="Calibri" w:cs="Calibri"/>
          <w:color w:val="000000" w:themeColor="text1"/>
          <w:sz w:val="24"/>
          <w:szCs w:val="24"/>
        </w:rPr>
        <w:t>MZ</w:t>
      </w:r>
      <w:r w:rsidR="0064298D">
        <w:rPr>
          <w:rFonts w:ascii="Calibri" w:eastAsia="Calibri" w:hAnsi="Calibri" w:cs="Calibri"/>
          <w:color w:val="000000" w:themeColor="text1"/>
          <w:sz w:val="24"/>
          <w:szCs w:val="24"/>
        </w:rPr>
        <w:t>d</w:t>
      </w:r>
      <w:proofErr w:type="spellEnd"/>
      <w:r w:rsidRPr="00476369">
        <w:rPr>
          <w:rFonts w:ascii="Calibri" w:eastAsia="Calibri" w:hAnsi="Calibri" w:cs="Calibri"/>
          <w:color w:val="000000" w:themeColor="text1"/>
          <w:sz w:val="24"/>
          <w:szCs w:val="24"/>
        </w:rPr>
        <w:t xml:space="preserve"> nep</w:t>
      </w:r>
      <w:r w:rsidR="00820D2A" w:rsidRPr="00476369">
        <w:rPr>
          <w:rFonts w:ascii="Calibri" w:eastAsia="Calibri" w:hAnsi="Calibri" w:cs="Calibri"/>
          <w:color w:val="000000" w:themeColor="text1"/>
          <w:sz w:val="24"/>
          <w:szCs w:val="24"/>
        </w:rPr>
        <w:t>ožadovalo</w:t>
      </w:r>
      <w:r w:rsidRPr="00476369">
        <w:rPr>
          <w:rFonts w:ascii="Calibri" w:eastAsia="Calibri" w:hAnsi="Calibri" w:cs="Calibri"/>
          <w:color w:val="000000" w:themeColor="text1"/>
          <w:sz w:val="24"/>
          <w:szCs w:val="24"/>
        </w:rPr>
        <w:t xml:space="preserve"> </w:t>
      </w:r>
      <w:r w:rsidR="00F81AB9" w:rsidRPr="00476369">
        <w:rPr>
          <w:rFonts w:ascii="Calibri" w:eastAsia="Calibri" w:hAnsi="Calibri" w:cs="Calibri"/>
          <w:color w:val="000000" w:themeColor="text1"/>
          <w:sz w:val="24"/>
          <w:szCs w:val="24"/>
        </w:rPr>
        <w:t xml:space="preserve">od FNKV a FNUSA </w:t>
      </w:r>
      <w:r w:rsidRPr="00476369">
        <w:rPr>
          <w:rFonts w:ascii="Calibri" w:eastAsia="Calibri" w:hAnsi="Calibri" w:cs="Calibri"/>
          <w:color w:val="000000" w:themeColor="text1"/>
          <w:sz w:val="24"/>
          <w:szCs w:val="24"/>
        </w:rPr>
        <w:t>zaslání</w:t>
      </w:r>
      <w:r w:rsidR="00721A0A" w:rsidRPr="00476369">
        <w:rPr>
          <w:rFonts w:ascii="Calibri" w:eastAsia="Calibri" w:hAnsi="Calibri" w:cs="Calibri"/>
          <w:color w:val="000000" w:themeColor="text1"/>
          <w:sz w:val="24"/>
          <w:szCs w:val="24"/>
        </w:rPr>
        <w:t xml:space="preserve"> závěrečn</w:t>
      </w:r>
      <w:r w:rsidR="00E20A9D" w:rsidRPr="00476369">
        <w:rPr>
          <w:rFonts w:ascii="Calibri" w:eastAsia="Calibri" w:hAnsi="Calibri" w:cs="Calibri"/>
          <w:color w:val="000000" w:themeColor="text1"/>
          <w:sz w:val="24"/>
          <w:szCs w:val="24"/>
        </w:rPr>
        <w:t xml:space="preserve">é </w:t>
      </w:r>
      <w:r w:rsidR="00721A0A" w:rsidRPr="00476369">
        <w:rPr>
          <w:rFonts w:ascii="Calibri" w:eastAsia="Calibri" w:hAnsi="Calibri" w:cs="Calibri"/>
          <w:color w:val="000000" w:themeColor="text1"/>
          <w:sz w:val="24"/>
          <w:szCs w:val="24"/>
        </w:rPr>
        <w:t>zpráv</w:t>
      </w:r>
      <w:r w:rsidR="00E20A9D" w:rsidRPr="00476369">
        <w:rPr>
          <w:rFonts w:ascii="Calibri" w:eastAsia="Calibri" w:hAnsi="Calibri" w:cs="Calibri"/>
          <w:color w:val="000000" w:themeColor="text1"/>
          <w:sz w:val="24"/>
          <w:szCs w:val="24"/>
        </w:rPr>
        <w:t xml:space="preserve">y </w:t>
      </w:r>
      <w:r w:rsidR="00721A0A" w:rsidRPr="00476369">
        <w:rPr>
          <w:rFonts w:ascii="Calibri" w:eastAsia="Calibri" w:hAnsi="Calibri" w:cs="Calibri"/>
          <w:color w:val="000000" w:themeColor="text1"/>
          <w:sz w:val="24"/>
          <w:szCs w:val="24"/>
        </w:rPr>
        <w:t>o čerpání peněžních prostředků na odměny covid-19</w:t>
      </w:r>
      <w:r w:rsidR="00631E29" w:rsidRPr="00476369">
        <w:rPr>
          <w:rFonts w:ascii="Calibri" w:eastAsia="Calibri" w:hAnsi="Calibri" w:cs="Calibri"/>
          <w:color w:val="000000" w:themeColor="text1"/>
          <w:sz w:val="24"/>
          <w:szCs w:val="24"/>
        </w:rPr>
        <w:t xml:space="preserve">. </w:t>
      </w:r>
      <w:proofErr w:type="spellStart"/>
      <w:r w:rsidR="006E1802" w:rsidRPr="00476369">
        <w:rPr>
          <w:rFonts w:ascii="Calibri" w:eastAsia="Calibri" w:hAnsi="Calibri" w:cs="Calibri"/>
          <w:color w:val="000000" w:themeColor="text1"/>
          <w:sz w:val="24"/>
          <w:szCs w:val="24"/>
        </w:rPr>
        <w:t>MZ</w:t>
      </w:r>
      <w:r w:rsidR="0064298D">
        <w:rPr>
          <w:rFonts w:ascii="Calibri" w:eastAsia="Calibri" w:hAnsi="Calibri" w:cs="Calibri"/>
          <w:color w:val="000000" w:themeColor="text1"/>
          <w:sz w:val="24"/>
          <w:szCs w:val="24"/>
        </w:rPr>
        <w:t>d</w:t>
      </w:r>
      <w:proofErr w:type="spellEnd"/>
      <w:r w:rsidR="006E1802" w:rsidRPr="00476369">
        <w:rPr>
          <w:rFonts w:ascii="Calibri" w:eastAsia="Calibri" w:hAnsi="Calibri" w:cs="Calibri"/>
          <w:color w:val="000000" w:themeColor="text1"/>
          <w:sz w:val="24"/>
          <w:szCs w:val="24"/>
        </w:rPr>
        <w:t xml:space="preserve"> nepožádalo FNB o opravu závěrečné zprávy a akceptovalo tak předložený dokument bez požadovaných náležitostí (např. poč</w:t>
      </w:r>
      <w:r w:rsidR="00D33B06" w:rsidRPr="00476369">
        <w:rPr>
          <w:rFonts w:ascii="Calibri" w:eastAsia="Calibri" w:hAnsi="Calibri" w:cs="Calibri"/>
          <w:color w:val="000000" w:themeColor="text1"/>
          <w:sz w:val="24"/>
          <w:szCs w:val="24"/>
        </w:rPr>
        <w:t>e</w:t>
      </w:r>
      <w:r w:rsidR="006E1802" w:rsidRPr="00476369">
        <w:rPr>
          <w:rFonts w:ascii="Calibri" w:eastAsia="Calibri" w:hAnsi="Calibri" w:cs="Calibri"/>
          <w:color w:val="000000" w:themeColor="text1"/>
          <w:sz w:val="24"/>
          <w:szCs w:val="24"/>
        </w:rPr>
        <w:t>t pracovníků a výš</w:t>
      </w:r>
      <w:r w:rsidR="00A500BA" w:rsidRPr="00476369">
        <w:rPr>
          <w:rFonts w:ascii="Calibri" w:eastAsia="Calibri" w:hAnsi="Calibri" w:cs="Calibri"/>
          <w:color w:val="000000" w:themeColor="text1"/>
          <w:sz w:val="24"/>
          <w:szCs w:val="24"/>
        </w:rPr>
        <w:t>e</w:t>
      </w:r>
      <w:r w:rsidR="006E1802" w:rsidRPr="00476369">
        <w:rPr>
          <w:rFonts w:ascii="Calibri" w:eastAsia="Calibri" w:hAnsi="Calibri" w:cs="Calibri"/>
          <w:color w:val="000000" w:themeColor="text1"/>
          <w:sz w:val="24"/>
          <w:szCs w:val="24"/>
        </w:rPr>
        <w:t xml:space="preserve"> vyplacených peněžních prostředků v</w:t>
      </w:r>
      <w:r w:rsidR="00902C86" w:rsidRPr="00476369">
        <w:rPr>
          <w:rFonts w:ascii="Calibri" w:eastAsia="Calibri" w:hAnsi="Calibri" w:cs="Calibri"/>
          <w:color w:val="000000" w:themeColor="text1"/>
          <w:sz w:val="24"/>
          <w:szCs w:val="24"/>
        </w:rPr>
        <w:t> </w:t>
      </w:r>
      <w:r w:rsidR="006E1802" w:rsidRPr="00476369">
        <w:rPr>
          <w:rFonts w:ascii="Calibri" w:eastAsia="Calibri" w:hAnsi="Calibri" w:cs="Calibri"/>
          <w:color w:val="000000" w:themeColor="text1"/>
          <w:sz w:val="24"/>
          <w:szCs w:val="24"/>
        </w:rPr>
        <w:t xml:space="preserve">jednotlivých kategoriích pracovníků) dle podmínek </w:t>
      </w:r>
      <w:r w:rsidR="008258FE" w:rsidRPr="00476369">
        <w:rPr>
          <w:rFonts w:ascii="Calibri" w:eastAsia="Calibri" w:hAnsi="Calibri" w:cs="Calibri"/>
          <w:color w:val="000000" w:themeColor="text1"/>
          <w:sz w:val="24"/>
          <w:szCs w:val="24"/>
        </w:rPr>
        <w:t>ve</w:t>
      </w:r>
      <w:r w:rsidR="006E1802" w:rsidRPr="00476369">
        <w:rPr>
          <w:rFonts w:ascii="Calibri" w:eastAsia="Calibri" w:hAnsi="Calibri" w:cs="Calibri"/>
          <w:color w:val="000000" w:themeColor="text1"/>
          <w:sz w:val="24"/>
          <w:szCs w:val="24"/>
        </w:rPr>
        <w:t xml:space="preserve"> </w:t>
      </w:r>
      <w:r w:rsidR="00902C86" w:rsidRPr="00476369">
        <w:rPr>
          <w:rFonts w:ascii="Calibri" w:eastAsia="Calibri" w:hAnsi="Calibri" w:cs="Calibri"/>
          <w:color w:val="000000" w:themeColor="text1"/>
          <w:sz w:val="24"/>
          <w:szCs w:val="24"/>
        </w:rPr>
        <w:t>Výzv</w:t>
      </w:r>
      <w:r w:rsidR="008258FE" w:rsidRPr="00476369">
        <w:rPr>
          <w:rFonts w:ascii="Calibri" w:eastAsia="Calibri" w:hAnsi="Calibri" w:cs="Calibri"/>
          <w:color w:val="000000" w:themeColor="text1"/>
          <w:sz w:val="24"/>
          <w:szCs w:val="24"/>
        </w:rPr>
        <w:t>ě</w:t>
      </w:r>
      <w:r w:rsidR="006E1802" w:rsidRPr="00476369">
        <w:rPr>
          <w:rFonts w:ascii="Calibri" w:eastAsia="Calibri" w:hAnsi="Calibri" w:cs="Calibri"/>
          <w:color w:val="000000" w:themeColor="text1"/>
          <w:sz w:val="24"/>
          <w:szCs w:val="24"/>
        </w:rPr>
        <w:t xml:space="preserve"> 2020. </w:t>
      </w:r>
      <w:proofErr w:type="spellStart"/>
      <w:r w:rsidR="006E1802" w:rsidRPr="00476369">
        <w:rPr>
          <w:rFonts w:ascii="Calibri" w:eastAsia="Calibri" w:hAnsi="Calibri" w:cs="Calibri"/>
          <w:color w:val="000000" w:themeColor="text1"/>
          <w:sz w:val="24"/>
          <w:szCs w:val="24"/>
        </w:rPr>
        <w:t>MZ</w:t>
      </w:r>
      <w:r w:rsidR="0064298D">
        <w:rPr>
          <w:rFonts w:ascii="Calibri" w:eastAsia="Calibri" w:hAnsi="Calibri" w:cs="Calibri"/>
          <w:color w:val="000000" w:themeColor="text1"/>
          <w:sz w:val="24"/>
          <w:szCs w:val="24"/>
        </w:rPr>
        <w:t>d</w:t>
      </w:r>
      <w:proofErr w:type="spellEnd"/>
      <w:r w:rsidR="003306E4" w:rsidRPr="00476369">
        <w:rPr>
          <w:rFonts w:ascii="Calibri" w:eastAsia="Calibri" w:hAnsi="Calibri" w:cs="Calibri"/>
          <w:color w:val="000000" w:themeColor="text1"/>
          <w:sz w:val="24"/>
          <w:szCs w:val="24"/>
        </w:rPr>
        <w:t xml:space="preserve"> </w:t>
      </w:r>
      <w:r w:rsidR="009E4757" w:rsidRPr="00476369">
        <w:rPr>
          <w:rFonts w:ascii="Calibri" w:eastAsia="Calibri" w:hAnsi="Calibri" w:cs="Calibri"/>
          <w:color w:val="000000" w:themeColor="text1"/>
          <w:sz w:val="24"/>
          <w:szCs w:val="24"/>
        </w:rPr>
        <w:t>nevyžadovalo</w:t>
      </w:r>
      <w:r w:rsidR="003306E4" w:rsidRPr="00476369">
        <w:rPr>
          <w:rFonts w:ascii="Calibri" w:eastAsia="Calibri" w:hAnsi="Calibri" w:cs="Calibri"/>
          <w:color w:val="000000" w:themeColor="text1"/>
          <w:sz w:val="24"/>
          <w:szCs w:val="24"/>
        </w:rPr>
        <w:t xml:space="preserve"> dodržení podmínek ze strany FN</w:t>
      </w:r>
      <w:r w:rsidR="00CB3D43" w:rsidRPr="00476369">
        <w:rPr>
          <w:rFonts w:ascii="Calibri" w:eastAsia="Calibri" w:hAnsi="Calibri" w:cs="Calibri"/>
          <w:color w:val="000000" w:themeColor="text1"/>
          <w:sz w:val="24"/>
          <w:szCs w:val="24"/>
        </w:rPr>
        <w:t xml:space="preserve">, </w:t>
      </w:r>
      <w:r w:rsidR="003306E4" w:rsidRPr="00476369">
        <w:rPr>
          <w:rFonts w:ascii="Calibri" w:eastAsia="Calibri" w:hAnsi="Calibri" w:cs="Calibri"/>
          <w:color w:val="000000" w:themeColor="text1"/>
          <w:sz w:val="24"/>
          <w:szCs w:val="24"/>
        </w:rPr>
        <w:t xml:space="preserve">které </w:t>
      </w:r>
      <w:r w:rsidR="006E1802" w:rsidRPr="00476369">
        <w:rPr>
          <w:rFonts w:ascii="Calibri" w:eastAsia="Calibri" w:hAnsi="Calibri" w:cs="Calibri"/>
          <w:color w:val="000000" w:themeColor="text1"/>
          <w:sz w:val="24"/>
          <w:szCs w:val="24"/>
        </w:rPr>
        <w:t>stanovilo v</w:t>
      </w:r>
      <w:r w:rsidR="00902C86" w:rsidRPr="00476369">
        <w:rPr>
          <w:rFonts w:ascii="Calibri" w:eastAsia="Calibri" w:hAnsi="Calibri" w:cs="Calibri"/>
          <w:color w:val="000000" w:themeColor="text1"/>
          <w:sz w:val="24"/>
          <w:szCs w:val="24"/>
        </w:rPr>
        <w:t>e</w:t>
      </w:r>
      <w:r w:rsidR="006E1802" w:rsidRPr="00476369">
        <w:rPr>
          <w:rFonts w:ascii="Calibri" w:eastAsia="Calibri" w:hAnsi="Calibri" w:cs="Calibri"/>
          <w:color w:val="000000" w:themeColor="text1"/>
          <w:sz w:val="24"/>
          <w:szCs w:val="24"/>
        </w:rPr>
        <w:t> </w:t>
      </w:r>
      <w:r w:rsidR="00902C86" w:rsidRPr="00476369">
        <w:rPr>
          <w:rFonts w:ascii="Calibri" w:eastAsia="Calibri" w:hAnsi="Calibri" w:cs="Calibri"/>
          <w:color w:val="000000" w:themeColor="text1"/>
          <w:sz w:val="24"/>
          <w:szCs w:val="24"/>
        </w:rPr>
        <w:t>Výzvě</w:t>
      </w:r>
      <w:r w:rsidR="006E1802" w:rsidRPr="00476369">
        <w:rPr>
          <w:rFonts w:ascii="Calibri" w:eastAsia="Calibri" w:hAnsi="Calibri" w:cs="Calibri"/>
          <w:color w:val="000000" w:themeColor="text1"/>
          <w:sz w:val="24"/>
          <w:szCs w:val="24"/>
        </w:rPr>
        <w:t xml:space="preserve"> 2020.</w:t>
      </w:r>
    </w:p>
    <w:p w14:paraId="1452E3F7" w14:textId="32130A79" w:rsidR="00AA543F" w:rsidRPr="00476369" w:rsidRDefault="00AA543F" w:rsidP="00476369">
      <w:pPr>
        <w:widowControl/>
        <w:spacing w:before="120" w:after="120"/>
        <w:jc w:val="both"/>
        <w:rPr>
          <w:rFonts w:ascii="Calibri" w:eastAsia="Calibri" w:hAnsi="Calibri" w:cs="Calibri"/>
          <w:iCs/>
          <w:color w:val="000000" w:themeColor="text1"/>
          <w:sz w:val="24"/>
          <w:szCs w:val="24"/>
        </w:rPr>
      </w:pPr>
      <w:proofErr w:type="spellStart"/>
      <w:r w:rsidRPr="00476369">
        <w:rPr>
          <w:rFonts w:ascii="Calibri" w:eastAsia="Calibri" w:hAnsi="Calibri" w:cs="Calibri"/>
          <w:iCs/>
          <w:color w:val="000000" w:themeColor="text1"/>
          <w:sz w:val="24"/>
          <w:szCs w:val="24"/>
        </w:rPr>
        <w:t>MZ</w:t>
      </w:r>
      <w:r w:rsidR="0064298D">
        <w:rPr>
          <w:rFonts w:ascii="Calibri" w:eastAsia="Calibri" w:hAnsi="Calibri" w:cs="Calibri"/>
          <w:iCs/>
          <w:color w:val="000000" w:themeColor="text1"/>
          <w:sz w:val="24"/>
          <w:szCs w:val="24"/>
        </w:rPr>
        <w:t>d</w:t>
      </w:r>
      <w:proofErr w:type="spellEnd"/>
      <w:r w:rsidRPr="00476369">
        <w:rPr>
          <w:rFonts w:ascii="Calibri" w:eastAsia="Calibri" w:hAnsi="Calibri" w:cs="Calibri"/>
          <w:iCs/>
          <w:color w:val="000000" w:themeColor="text1"/>
          <w:sz w:val="24"/>
          <w:szCs w:val="24"/>
        </w:rPr>
        <w:t xml:space="preserve"> nevykonávalo řádně předběžnou řídicí kontrolu před vznikem závazku ani po vzniku závazku</w:t>
      </w:r>
      <w:r w:rsidRPr="00476369">
        <w:rPr>
          <w:rStyle w:val="Znakapoznpodarou"/>
          <w:rFonts w:ascii="Calibri" w:eastAsia="Calibri" w:hAnsi="Calibri" w:cs="Calibri"/>
          <w:iCs/>
          <w:color w:val="000000" w:themeColor="text1"/>
          <w:sz w:val="24"/>
          <w:szCs w:val="24"/>
        </w:rPr>
        <w:footnoteReference w:id="39"/>
      </w:r>
      <w:r w:rsidRPr="00476369">
        <w:rPr>
          <w:rFonts w:ascii="Calibri" w:eastAsia="Calibri" w:hAnsi="Calibri" w:cs="Calibri"/>
          <w:iCs/>
          <w:color w:val="000000" w:themeColor="text1"/>
          <w:sz w:val="24"/>
          <w:szCs w:val="24"/>
        </w:rPr>
        <w:t>, neboť neprovedlo zápisy o kontrolních postupech opatřené podpisy příkazce operace a správce rozpočtu a hlavního účetního</w:t>
      </w:r>
      <w:r w:rsidRPr="00476369">
        <w:rPr>
          <w:rStyle w:val="Znakapoznpodarou"/>
          <w:rFonts w:ascii="Calibri" w:eastAsia="Calibri" w:hAnsi="Calibri" w:cs="Calibri"/>
          <w:iCs/>
          <w:color w:val="000000" w:themeColor="text1"/>
          <w:sz w:val="24"/>
          <w:szCs w:val="24"/>
        </w:rPr>
        <w:footnoteReference w:id="40"/>
      </w:r>
      <w:r w:rsidRPr="00476369">
        <w:rPr>
          <w:rFonts w:ascii="Calibri" w:eastAsia="Calibri" w:hAnsi="Calibri" w:cs="Calibri"/>
          <w:iCs/>
          <w:color w:val="000000" w:themeColor="text1"/>
          <w:sz w:val="24"/>
          <w:szCs w:val="24"/>
        </w:rPr>
        <w:t xml:space="preserve">. </w:t>
      </w:r>
      <w:proofErr w:type="spellStart"/>
      <w:r w:rsidRPr="00476369">
        <w:rPr>
          <w:rFonts w:ascii="Calibri" w:eastAsia="Calibri" w:hAnsi="Calibri" w:cs="Calibri"/>
          <w:iCs/>
          <w:color w:val="000000" w:themeColor="text1"/>
          <w:sz w:val="24"/>
          <w:szCs w:val="24"/>
        </w:rPr>
        <w:t>MZ</w:t>
      </w:r>
      <w:r w:rsidR="0064298D">
        <w:rPr>
          <w:rFonts w:ascii="Calibri" w:eastAsia="Calibri" w:hAnsi="Calibri" w:cs="Calibri"/>
          <w:iCs/>
          <w:color w:val="000000" w:themeColor="text1"/>
          <w:sz w:val="24"/>
          <w:szCs w:val="24"/>
        </w:rPr>
        <w:t>d</w:t>
      </w:r>
      <w:proofErr w:type="spellEnd"/>
      <w:r w:rsidRPr="00476369">
        <w:rPr>
          <w:rFonts w:ascii="Calibri" w:eastAsia="Calibri" w:hAnsi="Calibri" w:cs="Calibri"/>
          <w:iCs/>
          <w:color w:val="000000" w:themeColor="text1"/>
          <w:sz w:val="24"/>
          <w:szCs w:val="24"/>
        </w:rPr>
        <w:t xml:space="preserve"> neprovádělo dle zásad spolehlivého řízení o těchto operacích a kontrolách záznamy (vč. prověřování podkladů připravovaných operací a prověřování stanovených kritérií se skutečnostmi v rámci schvalovacích postupů) a nevedlo příslušnou dokumentaci. </w:t>
      </w:r>
    </w:p>
    <w:p w14:paraId="57AC3F17" w14:textId="5065126B" w:rsidR="00514C8F" w:rsidRPr="00476369" w:rsidRDefault="00AA543F" w:rsidP="00476369">
      <w:pPr>
        <w:widowControl/>
        <w:spacing w:before="120" w:after="120"/>
        <w:jc w:val="both"/>
        <w:rPr>
          <w:rFonts w:ascii="Calibri" w:hAnsi="Calibri" w:cs="Calibri"/>
          <w:b/>
          <w:bCs/>
          <w:color w:val="000000" w:themeColor="text1"/>
          <w:sz w:val="24"/>
          <w:szCs w:val="24"/>
        </w:rPr>
      </w:pPr>
      <w:proofErr w:type="spellStart"/>
      <w:r w:rsidRPr="00476369">
        <w:rPr>
          <w:rFonts w:ascii="Calibri" w:eastAsia="Calibri" w:hAnsi="Calibri" w:cs="Calibri"/>
          <w:b/>
          <w:color w:val="000000" w:themeColor="text1"/>
          <w:sz w:val="24"/>
          <w:szCs w:val="24"/>
        </w:rPr>
        <w:t>MZ</w:t>
      </w:r>
      <w:r w:rsidR="0064298D">
        <w:rPr>
          <w:rFonts w:ascii="Calibri" w:eastAsia="Calibri" w:hAnsi="Calibri" w:cs="Calibri"/>
          <w:b/>
          <w:color w:val="000000" w:themeColor="text1"/>
          <w:sz w:val="24"/>
          <w:szCs w:val="24"/>
        </w:rPr>
        <w:t>d</w:t>
      </w:r>
      <w:proofErr w:type="spellEnd"/>
      <w:r w:rsidRPr="00476369">
        <w:rPr>
          <w:rFonts w:ascii="Calibri" w:eastAsia="Calibri" w:hAnsi="Calibri" w:cs="Calibri"/>
          <w:b/>
          <w:color w:val="000000" w:themeColor="text1"/>
          <w:sz w:val="24"/>
          <w:szCs w:val="24"/>
        </w:rPr>
        <w:t xml:space="preserve"> </w:t>
      </w:r>
      <w:r w:rsidR="008121B8" w:rsidRPr="00476369">
        <w:rPr>
          <w:rFonts w:ascii="Calibri" w:eastAsia="Calibri" w:hAnsi="Calibri" w:cs="Calibri"/>
          <w:b/>
          <w:color w:val="000000" w:themeColor="text1"/>
          <w:sz w:val="24"/>
          <w:szCs w:val="24"/>
        </w:rPr>
        <w:t xml:space="preserve">nepůsobilo ve funkci zřizovatele FN v souladu </w:t>
      </w:r>
      <w:r w:rsidR="0064298D">
        <w:rPr>
          <w:rFonts w:ascii="Calibri" w:eastAsia="Calibri" w:hAnsi="Calibri" w:cs="Calibri"/>
          <w:b/>
          <w:color w:val="000000" w:themeColor="text1"/>
          <w:sz w:val="24"/>
          <w:szCs w:val="24"/>
        </w:rPr>
        <w:t>s </w:t>
      </w:r>
      <w:r w:rsidR="004E08C8" w:rsidRPr="00476369">
        <w:rPr>
          <w:rFonts w:ascii="Calibri" w:eastAsia="Calibri" w:hAnsi="Calibri" w:cs="Calibri"/>
          <w:b/>
          <w:color w:val="000000" w:themeColor="text1"/>
          <w:sz w:val="24"/>
          <w:szCs w:val="24"/>
        </w:rPr>
        <w:t>rozpočtový</w:t>
      </w:r>
      <w:r w:rsidR="0064298D">
        <w:rPr>
          <w:rFonts w:ascii="Calibri" w:eastAsia="Calibri" w:hAnsi="Calibri" w:cs="Calibri"/>
          <w:b/>
          <w:color w:val="000000" w:themeColor="text1"/>
          <w:sz w:val="24"/>
          <w:szCs w:val="24"/>
        </w:rPr>
        <w:t>mi</w:t>
      </w:r>
      <w:r w:rsidR="004E08C8" w:rsidRPr="00476369">
        <w:rPr>
          <w:rFonts w:ascii="Calibri" w:eastAsia="Calibri" w:hAnsi="Calibri" w:cs="Calibri"/>
          <w:b/>
          <w:color w:val="000000" w:themeColor="text1"/>
          <w:sz w:val="24"/>
          <w:szCs w:val="24"/>
        </w:rPr>
        <w:t xml:space="preserve"> pravidl</w:t>
      </w:r>
      <w:r w:rsidR="0064298D">
        <w:rPr>
          <w:rFonts w:ascii="Calibri" w:eastAsia="Calibri" w:hAnsi="Calibri" w:cs="Calibri"/>
          <w:b/>
          <w:color w:val="000000" w:themeColor="text1"/>
          <w:sz w:val="24"/>
          <w:szCs w:val="24"/>
        </w:rPr>
        <w:t>y</w:t>
      </w:r>
      <w:r w:rsidR="006F192B" w:rsidRPr="00476369">
        <w:rPr>
          <w:rFonts w:ascii="Calibri" w:eastAsia="Calibri" w:hAnsi="Calibri" w:cs="Calibri"/>
          <w:b/>
          <w:color w:val="000000" w:themeColor="text1"/>
          <w:sz w:val="24"/>
          <w:szCs w:val="24"/>
          <w:vertAlign w:val="superscript"/>
        </w:rPr>
        <w:t>14</w:t>
      </w:r>
      <w:r w:rsidR="00CB3D43" w:rsidRPr="00476369">
        <w:rPr>
          <w:rFonts w:ascii="Calibri" w:eastAsia="Calibri" w:hAnsi="Calibri" w:cs="Calibri"/>
          <w:b/>
          <w:color w:val="000000" w:themeColor="text1"/>
          <w:sz w:val="24"/>
          <w:szCs w:val="24"/>
        </w:rPr>
        <w:t>.</w:t>
      </w:r>
      <w:r w:rsidR="00733B9E" w:rsidRPr="00476369">
        <w:rPr>
          <w:rFonts w:ascii="Calibri" w:eastAsia="Calibri" w:hAnsi="Calibri" w:cs="Calibri"/>
          <w:b/>
          <w:color w:val="000000" w:themeColor="text1"/>
          <w:sz w:val="24"/>
          <w:szCs w:val="24"/>
        </w:rPr>
        <w:t xml:space="preserve"> </w:t>
      </w:r>
      <w:r w:rsidR="00514C8F" w:rsidRPr="00476369">
        <w:rPr>
          <w:rFonts w:ascii="Calibri" w:hAnsi="Calibri" w:cs="Calibri"/>
          <w:b/>
          <w:bCs/>
          <w:color w:val="000000" w:themeColor="text1"/>
          <w:sz w:val="24"/>
          <w:szCs w:val="24"/>
        </w:rPr>
        <w:t>FN neprovedly v oblasti odměn</w:t>
      </w:r>
      <w:r w:rsidR="006F192B" w:rsidRPr="00476369">
        <w:rPr>
          <w:rFonts w:ascii="Calibri" w:hAnsi="Calibri" w:cs="Calibri"/>
          <w:b/>
          <w:bCs/>
          <w:color w:val="000000" w:themeColor="text1"/>
          <w:sz w:val="24"/>
          <w:szCs w:val="24"/>
          <w:vertAlign w:val="superscript"/>
        </w:rPr>
        <w:t>1</w:t>
      </w:r>
      <w:r w:rsidR="00253BF1" w:rsidRPr="00476369">
        <w:rPr>
          <w:rFonts w:ascii="Calibri" w:hAnsi="Calibri" w:cs="Calibri"/>
          <w:b/>
          <w:bCs/>
          <w:color w:val="000000" w:themeColor="text1"/>
          <w:sz w:val="24"/>
          <w:szCs w:val="24"/>
          <w:vertAlign w:val="superscript"/>
        </w:rPr>
        <w:t>1</w:t>
      </w:r>
      <w:r w:rsidR="00514C8F" w:rsidRPr="00476369">
        <w:rPr>
          <w:rFonts w:ascii="Calibri" w:hAnsi="Calibri" w:cs="Calibri"/>
          <w:b/>
          <w:bCs/>
          <w:color w:val="000000" w:themeColor="text1"/>
          <w:sz w:val="24"/>
          <w:szCs w:val="24"/>
          <w:vertAlign w:val="superscript"/>
        </w:rPr>
        <w:t xml:space="preserve"> </w:t>
      </w:r>
      <w:r w:rsidR="00514C8F" w:rsidRPr="00476369">
        <w:rPr>
          <w:rFonts w:ascii="Calibri" w:hAnsi="Calibri" w:cs="Calibri"/>
          <w:b/>
          <w:bCs/>
          <w:color w:val="000000" w:themeColor="text1"/>
          <w:sz w:val="24"/>
          <w:szCs w:val="24"/>
        </w:rPr>
        <w:t>covid-19 v letech 2020 a 2021 finanční kontrolu</w:t>
      </w:r>
      <w:r w:rsidR="006F192B" w:rsidRPr="00476369">
        <w:rPr>
          <w:rFonts w:ascii="Calibri" w:hAnsi="Calibri" w:cs="Calibri"/>
          <w:b/>
          <w:bCs/>
          <w:color w:val="000000" w:themeColor="text1"/>
          <w:sz w:val="24"/>
          <w:szCs w:val="24"/>
          <w:vertAlign w:val="superscript"/>
        </w:rPr>
        <w:t>4</w:t>
      </w:r>
      <w:r w:rsidR="00514C8F" w:rsidRPr="00476369">
        <w:rPr>
          <w:rFonts w:ascii="Calibri" w:hAnsi="Calibri" w:cs="Calibri"/>
          <w:b/>
          <w:bCs/>
          <w:color w:val="000000" w:themeColor="text1"/>
          <w:sz w:val="24"/>
          <w:szCs w:val="24"/>
        </w:rPr>
        <w:t>.</w:t>
      </w:r>
    </w:p>
    <w:p w14:paraId="13353D39" w14:textId="584A1206" w:rsidR="00934652" w:rsidRPr="00476369" w:rsidRDefault="00934652" w:rsidP="00CF1B3F">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w:t>
      </w:r>
    </w:p>
    <w:p w14:paraId="422EA9CF" w14:textId="756CFAC7" w:rsidR="00934652" w:rsidRPr="00476369" w:rsidRDefault="00D2461A"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FN při výpočtu a vyplacení odměn pracovníkům vystaveným riziku onemocnění covid-19 nedodržely vždy stanovené podmínky Výzvy 2020 a</w:t>
      </w:r>
      <w:r w:rsidR="009B1466" w:rsidRPr="00476369">
        <w:rPr>
          <w:rFonts w:ascii="Calibri" w:hAnsi="Calibri" w:cs="Calibri"/>
          <w:color w:val="000000" w:themeColor="text1"/>
          <w:sz w:val="24"/>
          <w:szCs w:val="24"/>
        </w:rPr>
        <w:t> </w:t>
      </w:r>
      <w:r w:rsidRPr="00476369">
        <w:rPr>
          <w:rFonts w:ascii="Calibri" w:hAnsi="Calibri" w:cs="Calibri"/>
          <w:color w:val="000000" w:themeColor="text1"/>
          <w:sz w:val="24"/>
          <w:szCs w:val="24"/>
        </w:rPr>
        <w:t>Výzvy 2021.</w:t>
      </w:r>
      <w:r w:rsidR="004561E1" w:rsidRPr="00476369">
        <w:rPr>
          <w:rFonts w:ascii="Calibri" w:hAnsi="Calibri" w:cs="Calibri"/>
          <w:color w:val="000000" w:themeColor="text1"/>
          <w:sz w:val="24"/>
          <w:szCs w:val="24"/>
        </w:rPr>
        <w:t xml:space="preserve"> NKÚ zjistil 36 nesprávných výpočtů z kontrolního vzorku 85 pracovníků ve výši 163 707,15 Kč</w:t>
      </w:r>
      <w:r w:rsidR="00253BF1" w:rsidRPr="00476369">
        <w:rPr>
          <w:rFonts w:ascii="Calibri" w:hAnsi="Calibri" w:cs="Calibri"/>
          <w:color w:val="000000" w:themeColor="text1"/>
          <w:sz w:val="24"/>
          <w:szCs w:val="24"/>
        </w:rPr>
        <w:t xml:space="preserve"> dle Výzvy 2020 a </w:t>
      </w:r>
      <w:r w:rsidR="003B2D7B">
        <w:rPr>
          <w:rFonts w:ascii="Calibri" w:hAnsi="Calibri" w:cs="Calibri"/>
          <w:color w:val="000000" w:themeColor="text1"/>
          <w:sz w:val="24"/>
          <w:szCs w:val="24"/>
        </w:rPr>
        <w:t>rovněž</w:t>
      </w:r>
      <w:r w:rsidR="004561E1" w:rsidRPr="00476369">
        <w:rPr>
          <w:rFonts w:ascii="Calibri" w:hAnsi="Calibri" w:cs="Calibri"/>
          <w:color w:val="000000" w:themeColor="text1"/>
          <w:sz w:val="24"/>
          <w:szCs w:val="24"/>
        </w:rPr>
        <w:t xml:space="preserve"> 33 nesprávných výpočtů z kontrolního vzorku 81 pracovníků ve výši 384 907,22 Kč</w:t>
      </w:r>
      <w:r w:rsidR="00253BF1" w:rsidRPr="00476369">
        <w:rPr>
          <w:rFonts w:ascii="Calibri" w:hAnsi="Calibri" w:cs="Calibri"/>
          <w:color w:val="000000" w:themeColor="text1"/>
          <w:sz w:val="24"/>
          <w:szCs w:val="24"/>
        </w:rPr>
        <w:t xml:space="preserve"> dle Výzvy 2021</w:t>
      </w:r>
      <w:r w:rsidR="000E509A" w:rsidRPr="00476369">
        <w:rPr>
          <w:rFonts w:ascii="Calibri" w:hAnsi="Calibri" w:cs="Calibri"/>
          <w:color w:val="000000" w:themeColor="text1"/>
          <w:sz w:val="24"/>
          <w:szCs w:val="24"/>
        </w:rPr>
        <w:t>. Z toho ve 44 případech došlo ke skutečnostem nasvědčujícím porušení rozpočtové kázně</w:t>
      </w:r>
      <w:r w:rsidR="00253BF1" w:rsidRPr="00476369">
        <w:rPr>
          <w:rFonts w:ascii="Calibri" w:hAnsi="Calibri" w:cs="Calibri"/>
          <w:color w:val="000000" w:themeColor="text1"/>
          <w:sz w:val="24"/>
          <w:szCs w:val="24"/>
          <w:vertAlign w:val="superscript"/>
        </w:rPr>
        <w:t>19</w:t>
      </w:r>
      <w:r w:rsidR="000E509A" w:rsidRPr="00476369">
        <w:rPr>
          <w:rFonts w:ascii="Calibri" w:hAnsi="Calibri" w:cs="Calibri"/>
          <w:color w:val="000000" w:themeColor="text1"/>
          <w:sz w:val="24"/>
          <w:szCs w:val="24"/>
          <w:vertAlign w:val="superscript"/>
        </w:rPr>
        <w:t xml:space="preserve"> </w:t>
      </w:r>
      <w:r w:rsidR="000E509A" w:rsidRPr="00476369">
        <w:rPr>
          <w:rFonts w:ascii="Calibri" w:hAnsi="Calibri" w:cs="Calibri"/>
          <w:color w:val="000000" w:themeColor="text1"/>
          <w:sz w:val="24"/>
          <w:szCs w:val="24"/>
        </w:rPr>
        <w:t>v celkové výši 457</w:t>
      </w:r>
      <w:r w:rsidR="008D3DFF" w:rsidRPr="00476369">
        <w:rPr>
          <w:rFonts w:ascii="Calibri" w:hAnsi="Calibri" w:cs="Calibri"/>
          <w:color w:val="000000" w:themeColor="text1"/>
          <w:sz w:val="24"/>
          <w:szCs w:val="24"/>
        </w:rPr>
        <w:t> 755,73</w:t>
      </w:r>
      <w:r w:rsidR="000E509A" w:rsidRPr="00476369">
        <w:rPr>
          <w:rFonts w:ascii="Calibri" w:hAnsi="Calibri" w:cs="Calibri"/>
          <w:color w:val="000000" w:themeColor="text1"/>
          <w:sz w:val="24"/>
          <w:szCs w:val="24"/>
        </w:rPr>
        <w:t xml:space="preserve"> Kč.</w:t>
      </w:r>
    </w:p>
    <w:p w14:paraId="5920F677" w14:textId="50807BC5" w:rsidR="00AA543F" w:rsidRPr="00476369" w:rsidRDefault="00AA543F" w:rsidP="00FF1820">
      <w:pPr>
        <w:keepNext/>
        <w:widowControl/>
        <w:spacing w:before="24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3</w:t>
      </w:r>
      <w:r w:rsidR="00107700">
        <w:rPr>
          <w:rFonts w:ascii="Calibri" w:hAnsi="Calibri" w:cs="Calibri"/>
          <w:b/>
          <w:color w:val="000000" w:themeColor="text1"/>
          <w:sz w:val="24"/>
          <w:szCs w:val="24"/>
        </w:rPr>
        <w:t>.</w:t>
      </w:r>
      <w:r w:rsidRPr="00476369">
        <w:rPr>
          <w:rFonts w:ascii="Calibri" w:hAnsi="Calibri" w:cs="Calibri"/>
          <w:b/>
          <w:color w:val="000000" w:themeColor="text1"/>
          <w:sz w:val="24"/>
          <w:szCs w:val="24"/>
        </w:rPr>
        <w:t xml:space="preserve"> </w:t>
      </w:r>
      <w:r w:rsidR="00466B4F" w:rsidRPr="00476369">
        <w:rPr>
          <w:rFonts w:ascii="Calibri" w:hAnsi="Calibri" w:cs="Calibri"/>
          <w:b/>
          <w:color w:val="000000" w:themeColor="text1"/>
          <w:sz w:val="24"/>
          <w:szCs w:val="24"/>
        </w:rPr>
        <w:t>Záložní</w:t>
      </w:r>
      <w:r w:rsidRPr="00476369">
        <w:rPr>
          <w:rFonts w:ascii="Calibri" w:hAnsi="Calibri" w:cs="Calibri"/>
          <w:b/>
          <w:color w:val="000000" w:themeColor="text1"/>
          <w:sz w:val="24"/>
          <w:szCs w:val="24"/>
        </w:rPr>
        <w:t xml:space="preserve"> zdravotnické zařízení</w:t>
      </w:r>
    </w:p>
    <w:p w14:paraId="0AB89465" w14:textId="70DDA76A" w:rsidR="00605A52" w:rsidRPr="00476369" w:rsidRDefault="00605A52" w:rsidP="00FF1820">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proofErr w:type="spellStart"/>
      <w:r w:rsidRPr="00476369">
        <w:rPr>
          <w:rFonts w:ascii="Calibri" w:hAnsi="Calibri" w:cs="Calibri"/>
          <w:color w:val="000000" w:themeColor="text1"/>
          <w:sz w:val="24"/>
          <w:szCs w:val="24"/>
        </w:rPr>
        <w:t>MZ</w:t>
      </w:r>
      <w:r w:rsidR="003B2D7B">
        <w:rPr>
          <w:rFonts w:ascii="Calibri" w:hAnsi="Calibri" w:cs="Calibri"/>
          <w:color w:val="000000" w:themeColor="text1"/>
          <w:sz w:val="24"/>
          <w:szCs w:val="24"/>
        </w:rPr>
        <w:t>d</w:t>
      </w:r>
      <w:proofErr w:type="spellEnd"/>
    </w:p>
    <w:p w14:paraId="66218FAD" w14:textId="026C88EB" w:rsidR="00605A52" w:rsidRPr="00476369" w:rsidRDefault="00B879CC" w:rsidP="00476369">
      <w:pPr>
        <w:widowControl/>
        <w:spacing w:before="120" w:after="120"/>
        <w:jc w:val="both"/>
        <w:rPr>
          <w:rFonts w:ascii="Calibri" w:eastAsia="Calibri" w:hAnsi="Calibri" w:cs="Calibri"/>
          <w:color w:val="000000" w:themeColor="text1"/>
          <w:sz w:val="24"/>
          <w:szCs w:val="24"/>
        </w:rPr>
      </w:pPr>
      <w:r w:rsidRPr="00476369">
        <w:rPr>
          <w:rFonts w:ascii="Calibri" w:eastAsia="Calibri" w:hAnsi="Calibri" w:cs="Calibri"/>
          <w:color w:val="000000" w:themeColor="text1"/>
          <w:sz w:val="24"/>
          <w:szCs w:val="24"/>
        </w:rPr>
        <w:t xml:space="preserve">Pro zřízení a provoz PNL </w:t>
      </w:r>
      <w:r w:rsidR="00413A49" w:rsidRPr="00476369">
        <w:rPr>
          <w:rFonts w:ascii="Calibri" w:eastAsia="Calibri" w:hAnsi="Calibri" w:cs="Calibri"/>
          <w:color w:val="000000" w:themeColor="text1"/>
          <w:sz w:val="24"/>
          <w:szCs w:val="24"/>
        </w:rPr>
        <w:t xml:space="preserve">nestanovilo </w:t>
      </w:r>
      <w:proofErr w:type="spellStart"/>
      <w:r w:rsidR="00413A49" w:rsidRPr="00476369">
        <w:rPr>
          <w:rFonts w:ascii="Calibri" w:eastAsia="Calibri" w:hAnsi="Calibri" w:cs="Calibri"/>
          <w:color w:val="000000" w:themeColor="text1"/>
          <w:sz w:val="24"/>
          <w:szCs w:val="24"/>
        </w:rPr>
        <w:t>MZ</w:t>
      </w:r>
      <w:r w:rsidR="003B2D7B">
        <w:rPr>
          <w:rFonts w:ascii="Calibri" w:eastAsia="Calibri" w:hAnsi="Calibri" w:cs="Calibri"/>
          <w:color w:val="000000" w:themeColor="text1"/>
          <w:sz w:val="24"/>
          <w:szCs w:val="24"/>
        </w:rPr>
        <w:t>d</w:t>
      </w:r>
      <w:proofErr w:type="spellEnd"/>
      <w:r w:rsidRPr="00476369">
        <w:rPr>
          <w:rFonts w:ascii="Calibri" w:eastAsia="Calibri" w:hAnsi="Calibri" w:cs="Calibri"/>
          <w:color w:val="000000" w:themeColor="text1"/>
          <w:sz w:val="24"/>
          <w:szCs w:val="24"/>
        </w:rPr>
        <w:t xml:space="preserve"> jednoznačné podmínky, </w:t>
      </w:r>
      <w:r w:rsidR="00605A52" w:rsidRPr="00476369">
        <w:rPr>
          <w:rFonts w:ascii="Calibri" w:eastAsia="Calibri" w:hAnsi="Calibri" w:cs="Calibri"/>
          <w:color w:val="000000" w:themeColor="text1"/>
          <w:sz w:val="24"/>
          <w:szCs w:val="24"/>
        </w:rPr>
        <w:t>a to ve věci úhrady celkových nákladů na její vybudování a provoz</w:t>
      </w:r>
      <w:r w:rsidRPr="00476369">
        <w:rPr>
          <w:rFonts w:ascii="Calibri" w:eastAsia="Calibri" w:hAnsi="Calibri" w:cs="Calibri"/>
          <w:color w:val="000000" w:themeColor="text1"/>
          <w:sz w:val="24"/>
          <w:szCs w:val="24"/>
        </w:rPr>
        <w:t>.</w:t>
      </w:r>
    </w:p>
    <w:p w14:paraId="639B6EF1" w14:textId="70F770FA" w:rsidR="00605A52" w:rsidRPr="00476369" w:rsidRDefault="00605A52" w:rsidP="00476369">
      <w:pPr>
        <w:widowControl/>
        <w:spacing w:before="120" w:after="120"/>
        <w:jc w:val="both"/>
        <w:rPr>
          <w:rFonts w:ascii="Calibri" w:eastAsia="Calibri" w:hAnsi="Calibri" w:cs="Calibri"/>
          <w:color w:val="000000" w:themeColor="text1"/>
          <w:sz w:val="24"/>
          <w:szCs w:val="24"/>
        </w:rPr>
      </w:pPr>
      <w:r w:rsidRPr="00476369">
        <w:rPr>
          <w:rFonts w:ascii="Calibri" w:eastAsia="Calibri" w:hAnsi="Calibri" w:cs="Calibri"/>
          <w:color w:val="000000" w:themeColor="text1"/>
          <w:sz w:val="24"/>
          <w:szCs w:val="24"/>
        </w:rPr>
        <w:t xml:space="preserve">Přestože </w:t>
      </w:r>
      <w:proofErr w:type="spellStart"/>
      <w:r w:rsidRPr="00476369">
        <w:rPr>
          <w:rFonts w:ascii="Calibri" w:eastAsia="Calibri" w:hAnsi="Calibri" w:cs="Calibri"/>
          <w:color w:val="000000" w:themeColor="text1"/>
          <w:sz w:val="24"/>
          <w:szCs w:val="24"/>
        </w:rPr>
        <w:t>MZ</w:t>
      </w:r>
      <w:r w:rsidR="003B2D7B">
        <w:rPr>
          <w:rFonts w:ascii="Calibri" w:eastAsia="Calibri" w:hAnsi="Calibri" w:cs="Calibri"/>
          <w:color w:val="000000" w:themeColor="text1"/>
          <w:sz w:val="24"/>
          <w:szCs w:val="24"/>
        </w:rPr>
        <w:t>d</w:t>
      </w:r>
      <w:proofErr w:type="spellEnd"/>
      <w:r w:rsidRPr="00476369">
        <w:rPr>
          <w:rFonts w:ascii="Calibri" w:eastAsia="Calibri" w:hAnsi="Calibri" w:cs="Calibri"/>
          <w:color w:val="000000" w:themeColor="text1"/>
          <w:sz w:val="24"/>
          <w:szCs w:val="24"/>
        </w:rPr>
        <w:t xml:space="preserve"> požadovalo předložení podrobné závěrečné zprávy, následně akceptovalo obecnou sestavu z účetní evidence FNB bez </w:t>
      </w:r>
      <w:r w:rsidR="00910A4A" w:rsidRPr="00476369">
        <w:rPr>
          <w:rFonts w:ascii="Calibri" w:eastAsia="Calibri" w:hAnsi="Calibri" w:cs="Calibri"/>
          <w:color w:val="000000" w:themeColor="text1"/>
          <w:sz w:val="24"/>
          <w:szCs w:val="24"/>
        </w:rPr>
        <w:t xml:space="preserve">detailnějšího </w:t>
      </w:r>
      <w:r w:rsidRPr="00476369">
        <w:rPr>
          <w:rFonts w:ascii="Calibri" w:eastAsia="Calibri" w:hAnsi="Calibri" w:cs="Calibri"/>
          <w:color w:val="000000" w:themeColor="text1"/>
          <w:sz w:val="24"/>
          <w:szCs w:val="24"/>
        </w:rPr>
        <w:t xml:space="preserve">popisu a zdůvodnění vynaložených nákladů a nepožádalo FNB o její doplnění k vykázaným nákladovým položkám smluvní dokumentací, účetními záznamy, doklady nebo podrobnějším rozpadem jednotlivých položek apod. U investičních položek (tj. gastronomické vybavení a zdravotnická technika) nepožadovalo </w:t>
      </w:r>
      <w:proofErr w:type="spellStart"/>
      <w:r w:rsidRPr="00476369">
        <w:rPr>
          <w:rFonts w:ascii="Calibri" w:eastAsia="Calibri" w:hAnsi="Calibri" w:cs="Calibri"/>
          <w:color w:val="000000" w:themeColor="text1"/>
          <w:sz w:val="24"/>
          <w:szCs w:val="24"/>
        </w:rPr>
        <w:t>MZ</w:t>
      </w:r>
      <w:r w:rsidR="000D74CA">
        <w:rPr>
          <w:rFonts w:ascii="Calibri" w:eastAsia="Calibri" w:hAnsi="Calibri" w:cs="Calibri"/>
          <w:color w:val="000000" w:themeColor="text1"/>
          <w:sz w:val="24"/>
          <w:szCs w:val="24"/>
        </w:rPr>
        <w:t>d</w:t>
      </w:r>
      <w:proofErr w:type="spellEnd"/>
      <w:r w:rsidRPr="00476369">
        <w:rPr>
          <w:rFonts w:ascii="Calibri" w:eastAsia="Calibri" w:hAnsi="Calibri" w:cs="Calibri"/>
          <w:color w:val="000000" w:themeColor="text1"/>
          <w:sz w:val="24"/>
          <w:szCs w:val="24"/>
        </w:rPr>
        <w:t xml:space="preserve"> vysvětlení, resp. zdůvodnění jejich uplatnění.</w:t>
      </w:r>
    </w:p>
    <w:p w14:paraId="5CFBFA0D" w14:textId="5FB61484" w:rsidR="00605A52" w:rsidRPr="00C97535" w:rsidRDefault="00605A52" w:rsidP="00476369">
      <w:pPr>
        <w:widowControl/>
        <w:spacing w:before="120" w:after="120"/>
        <w:jc w:val="both"/>
        <w:rPr>
          <w:rFonts w:ascii="Calibri" w:eastAsia="Calibri" w:hAnsi="Calibri" w:cs="Calibri"/>
          <w:color w:val="000000" w:themeColor="text1"/>
          <w:sz w:val="24"/>
          <w:szCs w:val="24"/>
        </w:rPr>
      </w:pPr>
      <w:proofErr w:type="spellStart"/>
      <w:r w:rsidRPr="00476369">
        <w:rPr>
          <w:rFonts w:ascii="Calibri" w:eastAsia="Calibri" w:hAnsi="Calibri" w:cs="Calibri"/>
          <w:color w:val="000000" w:themeColor="text1"/>
          <w:sz w:val="24"/>
          <w:szCs w:val="24"/>
        </w:rPr>
        <w:t>MZ</w:t>
      </w:r>
      <w:r w:rsidR="000D74CA">
        <w:rPr>
          <w:rFonts w:ascii="Calibri" w:eastAsia="Calibri" w:hAnsi="Calibri" w:cs="Calibri"/>
          <w:color w:val="000000" w:themeColor="text1"/>
          <w:sz w:val="24"/>
          <w:szCs w:val="24"/>
        </w:rPr>
        <w:t>d</w:t>
      </w:r>
      <w:proofErr w:type="spellEnd"/>
      <w:r w:rsidRPr="00476369">
        <w:rPr>
          <w:rFonts w:ascii="Calibri" w:eastAsia="Calibri" w:hAnsi="Calibri" w:cs="Calibri"/>
          <w:color w:val="000000" w:themeColor="text1"/>
          <w:sz w:val="24"/>
          <w:szCs w:val="24"/>
        </w:rPr>
        <w:t xml:space="preserve"> rovněž nemělo informaci, kdy zanikl podnájem mezi FNB a nájemcem. </w:t>
      </w:r>
      <w:proofErr w:type="spellStart"/>
      <w:r w:rsidRPr="00476369">
        <w:rPr>
          <w:rFonts w:ascii="Calibri" w:eastAsia="Calibri" w:hAnsi="Calibri" w:cs="Calibri"/>
          <w:color w:val="000000" w:themeColor="text1"/>
          <w:sz w:val="24"/>
          <w:szCs w:val="24"/>
        </w:rPr>
        <w:t>MZ</w:t>
      </w:r>
      <w:r w:rsidR="003B2D7B">
        <w:rPr>
          <w:rFonts w:ascii="Calibri" w:eastAsia="Calibri" w:hAnsi="Calibri" w:cs="Calibri"/>
          <w:color w:val="000000" w:themeColor="text1"/>
          <w:sz w:val="24"/>
          <w:szCs w:val="24"/>
        </w:rPr>
        <w:t>d</w:t>
      </w:r>
      <w:proofErr w:type="spellEnd"/>
      <w:r w:rsidRPr="00476369">
        <w:rPr>
          <w:rFonts w:ascii="Calibri" w:eastAsia="Calibri" w:hAnsi="Calibri" w:cs="Calibri"/>
          <w:color w:val="000000" w:themeColor="text1"/>
          <w:sz w:val="24"/>
          <w:szCs w:val="24"/>
        </w:rPr>
        <w:t xml:space="preserve"> si tak neprověřilo řádnými a relevantními dokumenty oprávněnost nákladů vyúčtovaných FNB k následné </w:t>
      </w:r>
      <w:r w:rsidR="003773BE" w:rsidRPr="00476369">
        <w:rPr>
          <w:rFonts w:ascii="Calibri" w:eastAsia="Calibri" w:hAnsi="Calibri" w:cs="Calibri"/>
          <w:color w:val="000000" w:themeColor="text1"/>
          <w:sz w:val="24"/>
          <w:szCs w:val="24"/>
        </w:rPr>
        <w:t>úhrad</w:t>
      </w:r>
      <w:r w:rsidR="003773BE" w:rsidRPr="00C97535">
        <w:rPr>
          <w:rFonts w:ascii="Calibri" w:eastAsia="Calibri" w:hAnsi="Calibri" w:cs="Calibri"/>
          <w:color w:val="000000" w:themeColor="text1"/>
          <w:sz w:val="24"/>
          <w:szCs w:val="24"/>
        </w:rPr>
        <w:t>ě</w:t>
      </w:r>
      <w:r w:rsidRPr="00C97535">
        <w:rPr>
          <w:rFonts w:ascii="Calibri" w:eastAsia="Calibri" w:hAnsi="Calibri" w:cs="Calibri"/>
          <w:color w:val="000000" w:themeColor="text1"/>
          <w:sz w:val="24"/>
          <w:szCs w:val="24"/>
        </w:rPr>
        <w:t xml:space="preserve">. </w:t>
      </w:r>
    </w:p>
    <w:p w14:paraId="49B4B125" w14:textId="3AD9264A" w:rsidR="00605A52" w:rsidRPr="00476369" w:rsidRDefault="00605A52" w:rsidP="00476369">
      <w:pPr>
        <w:widowControl/>
        <w:spacing w:before="120" w:after="120"/>
        <w:jc w:val="both"/>
        <w:rPr>
          <w:rFonts w:ascii="Calibri" w:eastAsia="Calibri" w:hAnsi="Calibri" w:cs="Calibri"/>
          <w:color w:val="000000" w:themeColor="text1"/>
          <w:sz w:val="24"/>
          <w:szCs w:val="24"/>
        </w:rPr>
      </w:pPr>
      <w:proofErr w:type="spellStart"/>
      <w:r w:rsidRPr="00C97535">
        <w:rPr>
          <w:rFonts w:ascii="Calibri" w:eastAsia="Calibri" w:hAnsi="Calibri" w:cs="Calibri"/>
          <w:color w:val="000000" w:themeColor="text1"/>
          <w:sz w:val="24"/>
          <w:szCs w:val="24"/>
        </w:rPr>
        <w:t>MZ</w:t>
      </w:r>
      <w:r w:rsidR="003B2D7B">
        <w:rPr>
          <w:rFonts w:ascii="Calibri" w:eastAsia="Calibri" w:hAnsi="Calibri" w:cs="Calibri"/>
          <w:color w:val="000000" w:themeColor="text1"/>
          <w:sz w:val="24"/>
          <w:szCs w:val="24"/>
        </w:rPr>
        <w:t>d</w:t>
      </w:r>
      <w:proofErr w:type="spellEnd"/>
      <w:r w:rsidRPr="00C97535">
        <w:rPr>
          <w:rFonts w:ascii="Calibri" w:eastAsia="Calibri" w:hAnsi="Calibri" w:cs="Calibri"/>
          <w:color w:val="000000" w:themeColor="text1"/>
          <w:sz w:val="24"/>
          <w:szCs w:val="24"/>
        </w:rPr>
        <w:t xml:space="preserve"> se tak nezabývalo, zd</w:t>
      </w:r>
      <w:r w:rsidRPr="00476369">
        <w:rPr>
          <w:rFonts w:ascii="Calibri" w:eastAsia="Calibri" w:hAnsi="Calibri" w:cs="Calibri"/>
          <w:color w:val="000000" w:themeColor="text1"/>
          <w:sz w:val="24"/>
          <w:szCs w:val="24"/>
        </w:rPr>
        <w:t xml:space="preserve">a vykázané náklady FNB ve výši 88 158 386 Kč byly oprávněně vyúčtované k následné </w:t>
      </w:r>
      <w:r w:rsidR="00176B09" w:rsidRPr="00476369">
        <w:rPr>
          <w:rFonts w:ascii="Calibri" w:eastAsia="Calibri" w:hAnsi="Calibri" w:cs="Calibri"/>
          <w:color w:val="000000" w:themeColor="text1"/>
          <w:sz w:val="24"/>
          <w:szCs w:val="24"/>
        </w:rPr>
        <w:t>úhradě</w:t>
      </w:r>
      <w:r w:rsidRPr="00476369">
        <w:rPr>
          <w:rFonts w:ascii="Calibri" w:eastAsia="Calibri" w:hAnsi="Calibri" w:cs="Calibri"/>
          <w:color w:val="000000" w:themeColor="text1"/>
          <w:sz w:val="24"/>
          <w:szCs w:val="24"/>
        </w:rPr>
        <w:t xml:space="preserve">. </w:t>
      </w:r>
      <w:proofErr w:type="spellStart"/>
      <w:r w:rsidRPr="00476369">
        <w:rPr>
          <w:rFonts w:ascii="Calibri" w:eastAsia="Calibri" w:hAnsi="Calibri" w:cs="Calibri"/>
          <w:color w:val="000000" w:themeColor="text1"/>
          <w:sz w:val="24"/>
          <w:szCs w:val="24"/>
        </w:rPr>
        <w:t>MZ</w:t>
      </w:r>
      <w:r w:rsidR="003B2D7B">
        <w:rPr>
          <w:rFonts w:ascii="Calibri" w:eastAsia="Calibri" w:hAnsi="Calibri" w:cs="Calibri"/>
          <w:color w:val="000000" w:themeColor="text1"/>
          <w:sz w:val="24"/>
          <w:szCs w:val="24"/>
        </w:rPr>
        <w:t>d</w:t>
      </w:r>
      <w:proofErr w:type="spellEnd"/>
      <w:r w:rsidR="003C7EA5" w:rsidRPr="00476369">
        <w:rPr>
          <w:rFonts w:ascii="Calibri" w:eastAsia="Calibri" w:hAnsi="Calibri" w:cs="Calibri"/>
          <w:color w:val="000000" w:themeColor="text1"/>
          <w:sz w:val="24"/>
          <w:szCs w:val="24"/>
        </w:rPr>
        <w:t xml:space="preserve"> poskytlo</w:t>
      </w:r>
      <w:r w:rsidRPr="00476369">
        <w:rPr>
          <w:rFonts w:ascii="Calibri" w:eastAsia="Calibri" w:hAnsi="Calibri" w:cs="Calibri"/>
          <w:color w:val="000000" w:themeColor="text1"/>
          <w:sz w:val="24"/>
          <w:szCs w:val="24"/>
        </w:rPr>
        <w:t xml:space="preserve"> FNB provozní neinvestiční příspěv</w:t>
      </w:r>
      <w:r w:rsidR="003C7EA5" w:rsidRPr="00476369">
        <w:rPr>
          <w:rFonts w:ascii="Calibri" w:eastAsia="Calibri" w:hAnsi="Calibri" w:cs="Calibri"/>
          <w:color w:val="000000" w:themeColor="text1"/>
          <w:sz w:val="24"/>
          <w:szCs w:val="24"/>
        </w:rPr>
        <w:t>e</w:t>
      </w:r>
      <w:r w:rsidRPr="00476369">
        <w:rPr>
          <w:rFonts w:ascii="Calibri" w:eastAsia="Calibri" w:hAnsi="Calibri" w:cs="Calibri"/>
          <w:color w:val="000000" w:themeColor="text1"/>
          <w:sz w:val="24"/>
          <w:szCs w:val="24"/>
        </w:rPr>
        <w:t xml:space="preserve">k, přičemž tak </w:t>
      </w:r>
      <w:r w:rsidR="005D7D97" w:rsidRPr="00476369">
        <w:rPr>
          <w:rFonts w:ascii="Calibri" w:eastAsia="Calibri" w:hAnsi="Calibri" w:cs="Calibri"/>
          <w:color w:val="000000" w:themeColor="text1"/>
          <w:sz w:val="24"/>
          <w:szCs w:val="24"/>
        </w:rPr>
        <w:t>uhradilo</w:t>
      </w:r>
      <w:r w:rsidRPr="00476369">
        <w:rPr>
          <w:rFonts w:ascii="Calibri" w:eastAsia="Calibri" w:hAnsi="Calibri" w:cs="Calibri"/>
          <w:color w:val="000000" w:themeColor="text1"/>
          <w:sz w:val="24"/>
          <w:szCs w:val="24"/>
        </w:rPr>
        <w:t xml:space="preserve"> i vykázané investiční náklady, např. gastronomické vybavení a</w:t>
      </w:r>
      <w:r w:rsidR="00B75C9D" w:rsidRPr="00476369">
        <w:rPr>
          <w:rFonts w:ascii="Calibri" w:eastAsia="Calibri" w:hAnsi="Calibri" w:cs="Calibri"/>
          <w:color w:val="000000" w:themeColor="text1"/>
          <w:sz w:val="24"/>
          <w:szCs w:val="24"/>
        </w:rPr>
        <w:t> </w:t>
      </w:r>
      <w:r w:rsidRPr="00476369">
        <w:rPr>
          <w:rFonts w:ascii="Calibri" w:eastAsia="Calibri" w:hAnsi="Calibri" w:cs="Calibri"/>
          <w:color w:val="000000" w:themeColor="text1"/>
          <w:sz w:val="24"/>
          <w:szCs w:val="24"/>
        </w:rPr>
        <w:t xml:space="preserve">zdravotnickou techniku. </w:t>
      </w:r>
    </w:p>
    <w:p w14:paraId="7F5BF0D1" w14:textId="1C5BB6E2" w:rsidR="00605A52" w:rsidRPr="00476369" w:rsidRDefault="00605A52" w:rsidP="00476369">
      <w:pPr>
        <w:widowControl/>
        <w:spacing w:before="120" w:after="120"/>
        <w:jc w:val="both"/>
        <w:rPr>
          <w:rFonts w:ascii="Calibri" w:eastAsia="Calibri" w:hAnsi="Calibri" w:cs="Calibri"/>
          <w:color w:val="000000" w:themeColor="text1"/>
          <w:sz w:val="24"/>
          <w:szCs w:val="24"/>
        </w:rPr>
      </w:pPr>
      <w:proofErr w:type="spellStart"/>
      <w:r w:rsidRPr="00476369">
        <w:rPr>
          <w:rFonts w:ascii="Calibri" w:eastAsia="Calibri" w:hAnsi="Calibri" w:cs="Calibri"/>
          <w:b/>
          <w:color w:val="000000" w:themeColor="text1"/>
          <w:sz w:val="24"/>
          <w:szCs w:val="24"/>
        </w:rPr>
        <w:t>MZ</w:t>
      </w:r>
      <w:r w:rsidR="003B2D7B">
        <w:rPr>
          <w:rFonts w:ascii="Calibri" w:eastAsia="Calibri" w:hAnsi="Calibri" w:cs="Calibri"/>
          <w:b/>
          <w:color w:val="000000" w:themeColor="text1"/>
          <w:sz w:val="24"/>
          <w:szCs w:val="24"/>
        </w:rPr>
        <w:t>d</w:t>
      </w:r>
      <w:proofErr w:type="spellEnd"/>
      <w:r w:rsidRPr="00476369">
        <w:rPr>
          <w:rFonts w:ascii="Calibri" w:eastAsia="Calibri" w:hAnsi="Calibri" w:cs="Calibri"/>
          <w:b/>
          <w:color w:val="000000" w:themeColor="text1"/>
          <w:sz w:val="24"/>
          <w:szCs w:val="24"/>
        </w:rPr>
        <w:t xml:space="preserve"> </w:t>
      </w:r>
      <w:r w:rsidR="00EA2B5A" w:rsidRPr="00476369">
        <w:rPr>
          <w:rFonts w:ascii="Calibri" w:eastAsia="Calibri" w:hAnsi="Calibri" w:cs="Calibri"/>
          <w:b/>
          <w:color w:val="000000" w:themeColor="text1"/>
          <w:sz w:val="24"/>
          <w:szCs w:val="24"/>
        </w:rPr>
        <w:t xml:space="preserve">nepůsobilo ve funkci zřizovatele FN v souladu </w:t>
      </w:r>
      <w:r w:rsidR="003B2D7B">
        <w:rPr>
          <w:rFonts w:ascii="Calibri" w:eastAsia="Calibri" w:hAnsi="Calibri" w:cs="Calibri"/>
          <w:b/>
          <w:color w:val="000000" w:themeColor="text1"/>
          <w:sz w:val="24"/>
          <w:szCs w:val="24"/>
        </w:rPr>
        <w:t>s</w:t>
      </w:r>
      <w:r w:rsidR="004E08C8" w:rsidRPr="00476369">
        <w:rPr>
          <w:rFonts w:ascii="Calibri" w:eastAsia="Calibri" w:hAnsi="Calibri" w:cs="Calibri"/>
          <w:b/>
          <w:color w:val="000000" w:themeColor="text1"/>
          <w:sz w:val="24"/>
          <w:szCs w:val="24"/>
        </w:rPr>
        <w:t xml:space="preserve"> rozpočtový</w:t>
      </w:r>
      <w:r w:rsidR="003B2D7B">
        <w:rPr>
          <w:rFonts w:ascii="Calibri" w:eastAsia="Calibri" w:hAnsi="Calibri" w:cs="Calibri"/>
          <w:b/>
          <w:color w:val="000000" w:themeColor="text1"/>
          <w:sz w:val="24"/>
          <w:szCs w:val="24"/>
        </w:rPr>
        <w:t>mi</w:t>
      </w:r>
      <w:r w:rsidR="004E08C8" w:rsidRPr="00476369">
        <w:rPr>
          <w:rFonts w:ascii="Calibri" w:eastAsia="Calibri" w:hAnsi="Calibri" w:cs="Calibri"/>
          <w:b/>
          <w:color w:val="000000" w:themeColor="text1"/>
          <w:sz w:val="24"/>
          <w:szCs w:val="24"/>
        </w:rPr>
        <w:t xml:space="preserve"> pravidl</w:t>
      </w:r>
      <w:r w:rsidR="003B2D7B">
        <w:rPr>
          <w:rFonts w:ascii="Calibri" w:eastAsia="Calibri" w:hAnsi="Calibri" w:cs="Calibri"/>
          <w:b/>
          <w:color w:val="000000" w:themeColor="text1"/>
          <w:sz w:val="24"/>
          <w:szCs w:val="24"/>
        </w:rPr>
        <w:t>y</w:t>
      </w:r>
      <w:r w:rsidR="00F06438" w:rsidRPr="00476369">
        <w:rPr>
          <w:rFonts w:ascii="Calibri" w:eastAsia="Calibri" w:hAnsi="Calibri" w:cs="Calibri"/>
          <w:b/>
          <w:color w:val="000000" w:themeColor="text1"/>
          <w:sz w:val="24"/>
          <w:szCs w:val="24"/>
          <w:vertAlign w:val="superscript"/>
        </w:rPr>
        <w:t>14</w:t>
      </w:r>
      <w:r w:rsidR="00EA2B5A" w:rsidRPr="00476369">
        <w:rPr>
          <w:rFonts w:ascii="Calibri" w:eastAsia="Calibri" w:hAnsi="Calibri" w:cs="Calibri"/>
          <w:b/>
          <w:color w:val="000000" w:themeColor="text1"/>
          <w:sz w:val="24"/>
          <w:szCs w:val="24"/>
        </w:rPr>
        <w:t xml:space="preserve">. </w:t>
      </w:r>
      <w:proofErr w:type="spellStart"/>
      <w:r w:rsidR="00EA2B5A" w:rsidRPr="00476369">
        <w:rPr>
          <w:rFonts w:ascii="Calibri" w:eastAsia="Calibri" w:hAnsi="Calibri" w:cs="Calibri"/>
          <w:color w:val="000000" w:themeColor="text1"/>
          <w:sz w:val="24"/>
          <w:szCs w:val="24"/>
        </w:rPr>
        <w:t>MZ</w:t>
      </w:r>
      <w:r w:rsidR="003B2D7B">
        <w:rPr>
          <w:rFonts w:ascii="Calibri" w:eastAsia="Calibri" w:hAnsi="Calibri" w:cs="Calibri"/>
          <w:color w:val="000000" w:themeColor="text1"/>
          <w:sz w:val="24"/>
          <w:szCs w:val="24"/>
        </w:rPr>
        <w:t>d</w:t>
      </w:r>
      <w:proofErr w:type="spellEnd"/>
      <w:r w:rsidR="00EA2B5A" w:rsidRPr="00476369">
        <w:rPr>
          <w:rFonts w:ascii="Calibri" w:eastAsia="Calibri" w:hAnsi="Calibri" w:cs="Calibri"/>
          <w:color w:val="000000" w:themeColor="text1"/>
          <w:sz w:val="24"/>
          <w:szCs w:val="24"/>
        </w:rPr>
        <w:t xml:space="preserve"> jednotlivé nákladové položky </w:t>
      </w:r>
      <w:r w:rsidR="000A54D6" w:rsidRPr="00476369">
        <w:rPr>
          <w:rFonts w:ascii="Calibri" w:eastAsia="Calibri" w:hAnsi="Calibri" w:cs="Calibri"/>
          <w:color w:val="000000" w:themeColor="text1"/>
          <w:sz w:val="24"/>
          <w:szCs w:val="24"/>
        </w:rPr>
        <w:t xml:space="preserve">určené k následné úhradě výdajů </w:t>
      </w:r>
      <w:r w:rsidR="001C0E41" w:rsidRPr="00476369">
        <w:rPr>
          <w:rFonts w:ascii="Calibri" w:eastAsia="Calibri" w:hAnsi="Calibri" w:cs="Calibri"/>
          <w:color w:val="000000" w:themeColor="text1"/>
          <w:sz w:val="24"/>
          <w:szCs w:val="24"/>
        </w:rPr>
        <w:t>neprověřovalo</w:t>
      </w:r>
      <w:r w:rsidR="00EA2B5A" w:rsidRPr="00476369">
        <w:rPr>
          <w:rFonts w:ascii="Calibri" w:eastAsia="Calibri" w:hAnsi="Calibri" w:cs="Calibri"/>
          <w:color w:val="000000" w:themeColor="text1"/>
          <w:sz w:val="24"/>
          <w:szCs w:val="24"/>
        </w:rPr>
        <w:t xml:space="preserve"> </w:t>
      </w:r>
      <w:r w:rsidR="000A54D6" w:rsidRPr="00476369">
        <w:rPr>
          <w:rFonts w:ascii="Calibri" w:eastAsia="Calibri" w:hAnsi="Calibri" w:cs="Calibri"/>
          <w:color w:val="000000" w:themeColor="text1"/>
          <w:sz w:val="24"/>
          <w:szCs w:val="24"/>
        </w:rPr>
        <w:t xml:space="preserve">dle předložené </w:t>
      </w:r>
      <w:r w:rsidRPr="00476369">
        <w:rPr>
          <w:rFonts w:ascii="Calibri" w:eastAsia="Calibri" w:hAnsi="Calibri" w:cs="Calibri"/>
          <w:color w:val="000000" w:themeColor="text1"/>
          <w:sz w:val="24"/>
          <w:szCs w:val="24"/>
        </w:rPr>
        <w:t>závěrečné zprávy od FNB</w:t>
      </w:r>
      <w:r w:rsidR="000A54D6" w:rsidRPr="00476369">
        <w:rPr>
          <w:rFonts w:ascii="Calibri" w:eastAsia="Calibri" w:hAnsi="Calibri" w:cs="Calibri"/>
          <w:color w:val="000000" w:themeColor="text1"/>
          <w:sz w:val="24"/>
          <w:szCs w:val="24"/>
        </w:rPr>
        <w:t>.</w:t>
      </w:r>
    </w:p>
    <w:p w14:paraId="0A3E1502" w14:textId="670F47CB" w:rsidR="00605A52" w:rsidRPr="00476369" w:rsidRDefault="00605A52" w:rsidP="00476369">
      <w:pPr>
        <w:widowControl/>
        <w:spacing w:before="120" w:after="120"/>
        <w:jc w:val="both"/>
        <w:rPr>
          <w:rFonts w:ascii="Calibri" w:eastAsia="Calibri" w:hAnsi="Calibri" w:cs="Calibri"/>
          <w:iCs/>
          <w:color w:val="000000" w:themeColor="text1"/>
          <w:sz w:val="24"/>
          <w:szCs w:val="24"/>
        </w:rPr>
      </w:pPr>
      <w:proofErr w:type="spellStart"/>
      <w:r w:rsidRPr="00476369">
        <w:rPr>
          <w:rFonts w:ascii="Calibri" w:eastAsia="Calibri" w:hAnsi="Calibri" w:cs="Calibri"/>
          <w:b/>
          <w:iCs/>
          <w:color w:val="000000" w:themeColor="text1"/>
          <w:sz w:val="24"/>
          <w:szCs w:val="24"/>
        </w:rPr>
        <w:t>MZ</w:t>
      </w:r>
      <w:r w:rsidR="003B2D7B">
        <w:rPr>
          <w:rFonts w:ascii="Calibri" w:eastAsia="Calibri" w:hAnsi="Calibri" w:cs="Calibri"/>
          <w:b/>
          <w:iCs/>
          <w:color w:val="000000" w:themeColor="text1"/>
          <w:sz w:val="24"/>
          <w:szCs w:val="24"/>
        </w:rPr>
        <w:t>d</w:t>
      </w:r>
      <w:proofErr w:type="spellEnd"/>
      <w:r w:rsidRPr="00476369">
        <w:rPr>
          <w:rFonts w:ascii="Calibri" w:eastAsia="Calibri" w:hAnsi="Calibri" w:cs="Calibri"/>
          <w:b/>
          <w:iCs/>
          <w:color w:val="000000" w:themeColor="text1"/>
          <w:sz w:val="24"/>
          <w:szCs w:val="24"/>
        </w:rPr>
        <w:t xml:space="preserve"> </w:t>
      </w:r>
      <w:r w:rsidR="00366626" w:rsidRPr="00476369">
        <w:rPr>
          <w:rFonts w:ascii="Calibri" w:eastAsia="Calibri" w:hAnsi="Calibri" w:cs="Calibri"/>
          <w:b/>
          <w:iCs/>
          <w:color w:val="000000" w:themeColor="text1"/>
          <w:sz w:val="24"/>
          <w:szCs w:val="24"/>
        </w:rPr>
        <w:t>neprovedlo finanční kontrolu použití těchto peněžních prostředků</w:t>
      </w:r>
      <w:r w:rsidR="0046286B" w:rsidRPr="00476369">
        <w:rPr>
          <w:rFonts w:ascii="Calibri" w:eastAsia="Calibri" w:hAnsi="Calibri" w:cs="Calibri"/>
          <w:b/>
          <w:iCs/>
          <w:color w:val="000000" w:themeColor="text1"/>
          <w:sz w:val="24"/>
          <w:szCs w:val="24"/>
          <w:vertAlign w:val="superscript"/>
        </w:rPr>
        <w:t>4</w:t>
      </w:r>
      <w:r w:rsidR="00366626" w:rsidRPr="00476369">
        <w:rPr>
          <w:rFonts w:ascii="Calibri" w:eastAsia="Calibri" w:hAnsi="Calibri" w:cs="Calibri"/>
          <w:b/>
          <w:iCs/>
          <w:color w:val="000000" w:themeColor="text1"/>
          <w:sz w:val="24"/>
          <w:szCs w:val="24"/>
        </w:rPr>
        <w:t>.</w:t>
      </w:r>
      <w:r w:rsidR="00366626" w:rsidRPr="00476369">
        <w:rPr>
          <w:rFonts w:ascii="Calibri" w:eastAsia="Calibri" w:hAnsi="Calibri" w:cs="Calibri"/>
          <w:iCs/>
          <w:color w:val="000000" w:themeColor="text1"/>
          <w:sz w:val="24"/>
          <w:szCs w:val="24"/>
        </w:rPr>
        <w:t xml:space="preserve"> </w:t>
      </w:r>
      <w:proofErr w:type="spellStart"/>
      <w:r w:rsidRPr="00476369">
        <w:rPr>
          <w:rFonts w:ascii="Calibri" w:eastAsia="Calibri" w:hAnsi="Calibri" w:cs="Calibri"/>
          <w:iCs/>
          <w:color w:val="000000" w:themeColor="text1"/>
          <w:sz w:val="24"/>
          <w:szCs w:val="24"/>
        </w:rPr>
        <w:t>MZ</w:t>
      </w:r>
      <w:r w:rsidR="003B2D7B">
        <w:rPr>
          <w:rFonts w:ascii="Calibri" w:eastAsia="Calibri" w:hAnsi="Calibri" w:cs="Calibri"/>
          <w:iCs/>
          <w:color w:val="000000" w:themeColor="text1"/>
          <w:sz w:val="24"/>
          <w:szCs w:val="24"/>
        </w:rPr>
        <w:t>d</w:t>
      </w:r>
      <w:proofErr w:type="spellEnd"/>
      <w:r w:rsidRPr="00476369">
        <w:rPr>
          <w:rFonts w:ascii="Calibri" w:eastAsia="Calibri" w:hAnsi="Calibri" w:cs="Calibri"/>
          <w:iCs/>
          <w:color w:val="000000" w:themeColor="text1"/>
          <w:sz w:val="24"/>
          <w:szCs w:val="24"/>
        </w:rPr>
        <w:t xml:space="preserve"> řádně neprovádělo </w:t>
      </w:r>
      <w:r w:rsidR="00C01C01" w:rsidRPr="00476369">
        <w:rPr>
          <w:rFonts w:ascii="Calibri" w:eastAsia="Calibri" w:hAnsi="Calibri" w:cs="Calibri"/>
          <w:iCs/>
          <w:color w:val="000000" w:themeColor="text1"/>
          <w:sz w:val="24"/>
          <w:szCs w:val="24"/>
        </w:rPr>
        <w:t xml:space="preserve">záznamy o </w:t>
      </w:r>
      <w:r w:rsidRPr="00476369">
        <w:rPr>
          <w:rFonts w:ascii="Calibri" w:eastAsia="Calibri" w:hAnsi="Calibri" w:cs="Calibri"/>
          <w:iCs/>
          <w:color w:val="000000" w:themeColor="text1"/>
          <w:sz w:val="24"/>
          <w:szCs w:val="24"/>
        </w:rPr>
        <w:t xml:space="preserve">těchto operacích a </w:t>
      </w:r>
      <w:r w:rsidR="00332564" w:rsidRPr="00476369">
        <w:rPr>
          <w:rFonts w:ascii="Calibri" w:eastAsia="Calibri" w:hAnsi="Calibri" w:cs="Calibri"/>
          <w:iCs/>
          <w:color w:val="000000" w:themeColor="text1"/>
          <w:sz w:val="24"/>
          <w:szCs w:val="24"/>
        </w:rPr>
        <w:t xml:space="preserve">kontrolách </w:t>
      </w:r>
      <w:r w:rsidRPr="00476369">
        <w:rPr>
          <w:rFonts w:ascii="Calibri" w:eastAsia="Calibri" w:hAnsi="Calibri" w:cs="Calibri"/>
          <w:iCs/>
          <w:color w:val="000000" w:themeColor="text1"/>
          <w:sz w:val="24"/>
          <w:szCs w:val="24"/>
        </w:rPr>
        <w:t>a nevedlo příslušnou dokumentaci opatřenou podpisy příkazce operace</w:t>
      </w:r>
      <w:r w:rsidR="00190630" w:rsidRPr="00476369">
        <w:rPr>
          <w:rFonts w:ascii="Calibri" w:eastAsia="Calibri" w:hAnsi="Calibri" w:cs="Calibri"/>
          <w:iCs/>
          <w:color w:val="000000" w:themeColor="text1"/>
          <w:sz w:val="24"/>
          <w:szCs w:val="24"/>
        </w:rPr>
        <w:t>,</w:t>
      </w:r>
      <w:r w:rsidRPr="00476369">
        <w:rPr>
          <w:rFonts w:ascii="Calibri" w:eastAsia="Calibri" w:hAnsi="Calibri" w:cs="Calibri"/>
          <w:iCs/>
          <w:color w:val="000000" w:themeColor="text1"/>
          <w:sz w:val="24"/>
          <w:szCs w:val="24"/>
        </w:rPr>
        <w:t xml:space="preserve"> správce rozpočtu a hlavního účetního</w:t>
      </w:r>
      <w:r w:rsidR="007D240F" w:rsidRPr="00476369">
        <w:rPr>
          <w:rFonts w:ascii="Calibri" w:eastAsia="Calibri" w:hAnsi="Calibri" w:cs="Calibri"/>
          <w:iCs/>
          <w:color w:val="000000" w:themeColor="text1"/>
          <w:sz w:val="24"/>
          <w:szCs w:val="24"/>
          <w:vertAlign w:val="superscript"/>
        </w:rPr>
        <w:t>39</w:t>
      </w:r>
      <w:r w:rsidRPr="00476369">
        <w:rPr>
          <w:rFonts w:ascii="Calibri" w:eastAsia="Calibri" w:hAnsi="Calibri" w:cs="Calibri"/>
          <w:iCs/>
          <w:color w:val="000000" w:themeColor="text1"/>
          <w:sz w:val="24"/>
          <w:szCs w:val="24"/>
        </w:rPr>
        <w:t xml:space="preserve">. </w:t>
      </w:r>
    </w:p>
    <w:p w14:paraId="609C2844" w14:textId="77777777" w:rsidR="00AA543F" w:rsidRPr="00476369" w:rsidRDefault="00AA543F" w:rsidP="00C97535">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FNB</w:t>
      </w:r>
    </w:p>
    <w:p w14:paraId="6E7B468E" w14:textId="50423646" w:rsidR="00AA543F" w:rsidRPr="00476369" w:rsidRDefault="00AA543F"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FNB uzavřela dne 17. 10. 2020 smlouvu</w:t>
      </w:r>
      <w:r w:rsidR="007E50A3" w:rsidRPr="00476369">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týkající se prostor pro zřízení PNL</w:t>
      </w:r>
      <w:r w:rsidR="001C0E41" w:rsidRPr="00476369">
        <w:rPr>
          <w:rFonts w:ascii="Calibri" w:hAnsi="Calibri" w:cs="Calibri"/>
          <w:color w:val="000000" w:themeColor="text1"/>
          <w:sz w:val="24"/>
          <w:szCs w:val="24"/>
        </w:rPr>
        <w:t>.</w:t>
      </w:r>
      <w:r w:rsidR="00D968F5" w:rsidRPr="00476369">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 xml:space="preserve">FNB požádala dne 23. 3. 2021 </w:t>
      </w:r>
      <w:proofErr w:type="spellStart"/>
      <w:r w:rsidRPr="00476369">
        <w:rPr>
          <w:rFonts w:ascii="Calibri" w:hAnsi="Calibri" w:cs="Calibri"/>
          <w:color w:val="000000" w:themeColor="text1"/>
          <w:sz w:val="24"/>
          <w:szCs w:val="24"/>
        </w:rPr>
        <w:t>MZ</w:t>
      </w:r>
      <w:r w:rsidR="003B2D7B">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o úhradu nákladů spojených s provozem PNL ve výši 88 158 386 Kč, ale nepředložila závěrečnou zprávu s podrobným popisem a zdůvodněním nákladů vynaložených na </w:t>
      </w:r>
      <w:r w:rsidR="0036028C" w:rsidRPr="00476369">
        <w:rPr>
          <w:rFonts w:ascii="Calibri" w:hAnsi="Calibri" w:cs="Calibri"/>
          <w:color w:val="000000" w:themeColor="text1"/>
          <w:sz w:val="24"/>
          <w:szCs w:val="24"/>
        </w:rPr>
        <w:t>zřízení a provoz</w:t>
      </w:r>
      <w:r w:rsidRPr="00476369">
        <w:rPr>
          <w:rFonts w:ascii="Calibri" w:hAnsi="Calibri" w:cs="Calibri"/>
          <w:color w:val="000000" w:themeColor="text1"/>
          <w:sz w:val="24"/>
          <w:szCs w:val="24"/>
        </w:rPr>
        <w:t xml:space="preserve"> PNL tak, jak požadoval ministr zdravotnictví v dopisu ze dne 27. ledna 2021.</w:t>
      </w:r>
    </w:p>
    <w:p w14:paraId="258CD4C1" w14:textId="1728FB1E" w:rsidR="00AA543F" w:rsidRPr="00476369" w:rsidRDefault="00AA543F" w:rsidP="00476369">
      <w:pPr>
        <w:widowControl/>
        <w:spacing w:before="120" w:after="120"/>
        <w:jc w:val="both"/>
        <w:rPr>
          <w:rFonts w:ascii="Calibri" w:hAnsi="Calibri" w:cs="Calibri"/>
          <w:color w:val="000000" w:themeColor="text1"/>
          <w:sz w:val="24"/>
          <w:szCs w:val="24"/>
        </w:rPr>
      </w:pPr>
      <w:r w:rsidRPr="00476369">
        <w:rPr>
          <w:rFonts w:ascii="Calibri" w:hAnsi="Calibri" w:cs="Calibri"/>
          <w:bCs/>
          <w:color w:val="000000" w:themeColor="text1"/>
          <w:sz w:val="24"/>
          <w:szCs w:val="24"/>
        </w:rPr>
        <w:t xml:space="preserve">FNB </w:t>
      </w:r>
      <w:r w:rsidRPr="00476369">
        <w:rPr>
          <w:rFonts w:ascii="Calibri" w:hAnsi="Calibri" w:cs="Calibri"/>
          <w:color w:val="000000" w:themeColor="text1"/>
          <w:sz w:val="24"/>
          <w:szCs w:val="24"/>
        </w:rPr>
        <w:t xml:space="preserve">zahrnula do vyúčtování </w:t>
      </w:r>
      <w:r w:rsidR="00E97575" w:rsidRPr="00476369">
        <w:rPr>
          <w:rFonts w:ascii="Calibri" w:hAnsi="Calibri" w:cs="Calibri"/>
          <w:color w:val="000000" w:themeColor="text1"/>
          <w:sz w:val="24"/>
          <w:szCs w:val="24"/>
        </w:rPr>
        <w:t xml:space="preserve">nárokované výdaje spojené se zřízením a provozem PNL </w:t>
      </w:r>
      <w:r w:rsidRPr="00476369">
        <w:rPr>
          <w:rFonts w:ascii="Calibri" w:hAnsi="Calibri" w:cs="Calibri"/>
          <w:color w:val="000000" w:themeColor="text1"/>
          <w:sz w:val="24"/>
          <w:szCs w:val="24"/>
        </w:rPr>
        <w:t xml:space="preserve">ze dne 23. 3. 2021, které bylo podkladem pro </w:t>
      </w:r>
      <w:r w:rsidR="00BF0536" w:rsidRPr="00476369">
        <w:rPr>
          <w:rFonts w:ascii="Calibri" w:hAnsi="Calibri" w:cs="Calibri"/>
          <w:color w:val="000000" w:themeColor="text1"/>
          <w:sz w:val="24"/>
          <w:szCs w:val="24"/>
        </w:rPr>
        <w:t>úhradu</w:t>
      </w:r>
      <w:r w:rsidRPr="00476369">
        <w:rPr>
          <w:rFonts w:ascii="Calibri" w:hAnsi="Calibri" w:cs="Calibri"/>
          <w:color w:val="000000" w:themeColor="text1"/>
          <w:sz w:val="24"/>
          <w:szCs w:val="24"/>
        </w:rPr>
        <w:t xml:space="preserve"> výdajů ze strany </w:t>
      </w:r>
      <w:proofErr w:type="spellStart"/>
      <w:r w:rsidRPr="00476369">
        <w:rPr>
          <w:rFonts w:ascii="Calibri" w:hAnsi="Calibri" w:cs="Calibri"/>
          <w:color w:val="000000" w:themeColor="text1"/>
          <w:sz w:val="24"/>
          <w:szCs w:val="24"/>
        </w:rPr>
        <w:t>MZ</w:t>
      </w:r>
      <w:r w:rsidR="003B2D7B">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i náklady ve výši 1 375 310,10 Kč, které nesplňovaly podmínku provozních neinvestičních výdajů</w:t>
      </w:r>
      <w:r w:rsidR="00B3368F" w:rsidRPr="00476369">
        <w:rPr>
          <w:rFonts w:ascii="Calibri" w:hAnsi="Calibri" w:cs="Calibri"/>
          <w:color w:val="000000" w:themeColor="text1"/>
          <w:sz w:val="24"/>
          <w:szCs w:val="24"/>
        </w:rPr>
        <w:t xml:space="preserve"> </w:t>
      </w:r>
      <w:r w:rsidR="007B2E83" w:rsidRPr="00476369">
        <w:rPr>
          <w:rFonts w:ascii="Calibri" w:hAnsi="Calibri" w:cs="Calibri"/>
          <w:color w:val="000000" w:themeColor="text1"/>
          <w:sz w:val="24"/>
          <w:szCs w:val="24"/>
        </w:rPr>
        <w:t>stanovenou zřizovatelem</w:t>
      </w:r>
      <w:r w:rsidRPr="00476369">
        <w:rPr>
          <w:rFonts w:ascii="Calibri" w:hAnsi="Calibri" w:cs="Calibri"/>
          <w:color w:val="000000" w:themeColor="text1"/>
          <w:sz w:val="24"/>
          <w:szCs w:val="24"/>
        </w:rPr>
        <w:t>.</w:t>
      </w:r>
      <w:r w:rsidR="00B3368F" w:rsidRPr="00476369">
        <w:rPr>
          <w:rFonts w:ascii="Calibri" w:hAnsi="Calibri" w:cs="Calibri"/>
          <w:color w:val="000000" w:themeColor="text1"/>
          <w:sz w:val="24"/>
          <w:szCs w:val="24"/>
        </w:rPr>
        <w:t xml:space="preserve"> Jednalo se tedy o neoprávněně nárokované výdaje.</w:t>
      </w:r>
    </w:p>
    <w:p w14:paraId="474605C7" w14:textId="015E3201" w:rsidR="00AA543F" w:rsidRPr="00476369" w:rsidRDefault="00FC3C03" w:rsidP="00476369">
      <w:pPr>
        <w:widowControl/>
        <w:spacing w:before="120" w:after="120"/>
        <w:jc w:val="both"/>
        <w:rPr>
          <w:rFonts w:ascii="Calibri" w:hAnsi="Calibri" w:cs="Calibri"/>
          <w:b/>
          <w:color w:val="000000" w:themeColor="text1"/>
          <w:sz w:val="24"/>
          <w:szCs w:val="24"/>
        </w:rPr>
      </w:pPr>
      <w:r w:rsidRPr="00476369">
        <w:rPr>
          <w:rFonts w:ascii="Calibri" w:hAnsi="Calibri" w:cs="Calibri"/>
          <w:color w:val="000000" w:themeColor="text1"/>
          <w:sz w:val="24"/>
          <w:szCs w:val="24"/>
        </w:rPr>
        <w:t xml:space="preserve">NKÚ zjistil, že FNB neoprávněně zahrnula </w:t>
      </w:r>
      <w:r w:rsidR="00954D4A" w:rsidRPr="00476369">
        <w:rPr>
          <w:rFonts w:ascii="Calibri" w:hAnsi="Calibri" w:cs="Calibri"/>
          <w:color w:val="000000" w:themeColor="text1"/>
          <w:sz w:val="24"/>
          <w:szCs w:val="24"/>
        </w:rPr>
        <w:t xml:space="preserve">do vyúčtování </w:t>
      </w:r>
      <w:r w:rsidR="00AA543F" w:rsidRPr="00476369">
        <w:rPr>
          <w:rFonts w:ascii="Calibri" w:hAnsi="Calibri" w:cs="Calibri"/>
          <w:color w:val="000000" w:themeColor="text1"/>
          <w:sz w:val="24"/>
          <w:szCs w:val="24"/>
        </w:rPr>
        <w:t xml:space="preserve">částku 254 916,11 Kč, kterou sama </w:t>
      </w:r>
      <w:r w:rsidR="003C58CB" w:rsidRPr="00476369">
        <w:rPr>
          <w:rFonts w:ascii="Calibri" w:hAnsi="Calibri" w:cs="Calibri"/>
          <w:color w:val="000000" w:themeColor="text1"/>
          <w:sz w:val="24"/>
          <w:szCs w:val="24"/>
        </w:rPr>
        <w:t>v průběhu kontroly NKÚ vyčíslila</w:t>
      </w:r>
      <w:r w:rsidR="00AA543F" w:rsidRPr="00476369">
        <w:rPr>
          <w:rFonts w:ascii="Calibri" w:hAnsi="Calibri" w:cs="Calibri"/>
          <w:color w:val="000000" w:themeColor="text1"/>
          <w:sz w:val="24"/>
          <w:szCs w:val="24"/>
        </w:rPr>
        <w:t xml:space="preserve">, </w:t>
      </w:r>
      <w:r w:rsidR="003C58CB" w:rsidRPr="00476369">
        <w:rPr>
          <w:rFonts w:ascii="Calibri" w:hAnsi="Calibri" w:cs="Calibri"/>
          <w:color w:val="000000" w:themeColor="text1"/>
          <w:sz w:val="24"/>
          <w:szCs w:val="24"/>
        </w:rPr>
        <w:t>dále</w:t>
      </w:r>
      <w:r w:rsidR="00AA543F" w:rsidRPr="00476369">
        <w:rPr>
          <w:rFonts w:ascii="Calibri" w:hAnsi="Calibri" w:cs="Calibri"/>
          <w:color w:val="000000" w:themeColor="text1"/>
          <w:sz w:val="24"/>
          <w:szCs w:val="24"/>
        </w:rPr>
        <w:t xml:space="preserve"> částku 162 960 Kč za mzdy zaúčtované v říjnu 2021, částku 49 731 Kč za dva notebooky, částku 217 800 Kč za údržbu software,</w:t>
      </w:r>
      <w:r w:rsidR="003B2D7B">
        <w:rPr>
          <w:rFonts w:ascii="Calibri" w:hAnsi="Calibri" w:cs="Calibri"/>
          <w:color w:val="000000" w:themeColor="text1"/>
          <w:sz w:val="24"/>
          <w:szCs w:val="24"/>
        </w:rPr>
        <w:t xml:space="preserve"> </w:t>
      </w:r>
      <w:r w:rsidR="00AA543F" w:rsidRPr="00476369">
        <w:rPr>
          <w:rFonts w:ascii="Calibri" w:hAnsi="Calibri" w:cs="Calibri"/>
          <w:color w:val="000000" w:themeColor="text1"/>
          <w:sz w:val="24"/>
          <w:szCs w:val="24"/>
        </w:rPr>
        <w:t>částku 255 769,80</w:t>
      </w:r>
      <w:r w:rsidR="000D3278" w:rsidRPr="00476369">
        <w:rPr>
          <w:rFonts w:ascii="Calibri" w:hAnsi="Calibri" w:cs="Calibri"/>
          <w:color w:val="000000" w:themeColor="text1"/>
          <w:sz w:val="24"/>
          <w:szCs w:val="24"/>
        </w:rPr>
        <w:t> </w:t>
      </w:r>
      <w:r w:rsidR="00AA543F" w:rsidRPr="00476369">
        <w:rPr>
          <w:rFonts w:ascii="Calibri" w:hAnsi="Calibri" w:cs="Calibri"/>
          <w:color w:val="000000" w:themeColor="text1"/>
          <w:sz w:val="24"/>
          <w:szCs w:val="24"/>
        </w:rPr>
        <w:t>Kč za licenci k serveru a</w:t>
      </w:r>
      <w:bookmarkStart w:id="9" w:name="_Hlk120176977"/>
      <w:r w:rsidR="00AA543F" w:rsidRPr="00476369">
        <w:rPr>
          <w:rFonts w:ascii="Calibri" w:hAnsi="Calibri" w:cs="Calibri"/>
          <w:color w:val="000000" w:themeColor="text1"/>
          <w:sz w:val="24"/>
          <w:szCs w:val="24"/>
        </w:rPr>
        <w:t xml:space="preserve"> částku 547 646 Kč za </w:t>
      </w:r>
      <w:proofErr w:type="spellStart"/>
      <w:r w:rsidR="00AA543F" w:rsidRPr="00476369">
        <w:rPr>
          <w:rFonts w:ascii="Calibri" w:hAnsi="Calibri" w:cs="Calibri"/>
          <w:color w:val="000000" w:themeColor="text1"/>
          <w:sz w:val="24"/>
          <w:szCs w:val="24"/>
        </w:rPr>
        <w:t>Citrix</w:t>
      </w:r>
      <w:bookmarkEnd w:id="9"/>
      <w:proofErr w:type="spellEnd"/>
      <w:r w:rsidR="00AA543F" w:rsidRPr="00476369">
        <w:rPr>
          <w:rFonts w:ascii="Calibri" w:hAnsi="Calibri" w:cs="Calibri"/>
          <w:color w:val="000000" w:themeColor="text1"/>
          <w:sz w:val="24"/>
          <w:szCs w:val="24"/>
        </w:rPr>
        <w:t>, tj. celkem</w:t>
      </w:r>
      <w:r w:rsidR="003B2D7B">
        <w:rPr>
          <w:rFonts w:ascii="Calibri" w:hAnsi="Calibri" w:cs="Calibri"/>
          <w:color w:val="000000" w:themeColor="text1"/>
          <w:sz w:val="24"/>
          <w:szCs w:val="24"/>
        </w:rPr>
        <w:t xml:space="preserve"> </w:t>
      </w:r>
      <w:r w:rsidR="00AA543F" w:rsidRPr="00476369">
        <w:rPr>
          <w:rFonts w:ascii="Calibri" w:hAnsi="Calibri" w:cs="Calibri"/>
          <w:color w:val="000000" w:themeColor="text1"/>
          <w:sz w:val="24"/>
          <w:szCs w:val="24"/>
        </w:rPr>
        <w:t>částku 1 488 822,91</w:t>
      </w:r>
      <w:r w:rsidR="000D3278" w:rsidRPr="00476369">
        <w:rPr>
          <w:rFonts w:ascii="Calibri" w:hAnsi="Calibri" w:cs="Calibri"/>
          <w:color w:val="000000" w:themeColor="text1"/>
          <w:sz w:val="24"/>
          <w:szCs w:val="24"/>
        </w:rPr>
        <w:t> </w:t>
      </w:r>
      <w:r w:rsidR="00AA543F" w:rsidRPr="00476369">
        <w:rPr>
          <w:rFonts w:ascii="Calibri" w:hAnsi="Calibri" w:cs="Calibri"/>
          <w:color w:val="000000" w:themeColor="text1"/>
          <w:sz w:val="24"/>
          <w:szCs w:val="24"/>
        </w:rPr>
        <w:t>Kč.</w:t>
      </w:r>
      <w:r w:rsidR="00AA543F" w:rsidRPr="00476369">
        <w:rPr>
          <w:rFonts w:ascii="Calibri" w:hAnsi="Calibri" w:cs="Calibri"/>
          <w:b/>
          <w:color w:val="000000" w:themeColor="text1"/>
          <w:sz w:val="24"/>
          <w:szCs w:val="24"/>
        </w:rPr>
        <w:t xml:space="preserve"> FNB nedbala, aby plnila určené úkoly nejhospodárnějším způsobem a </w:t>
      </w:r>
      <w:r w:rsidR="003B2D7B">
        <w:rPr>
          <w:rFonts w:ascii="Calibri" w:hAnsi="Calibri" w:cs="Calibri"/>
          <w:b/>
          <w:color w:val="000000" w:themeColor="text1"/>
          <w:sz w:val="24"/>
          <w:szCs w:val="24"/>
        </w:rPr>
        <w:t xml:space="preserve">aby </w:t>
      </w:r>
      <w:r w:rsidR="00AA543F" w:rsidRPr="00476369">
        <w:rPr>
          <w:rFonts w:ascii="Calibri" w:hAnsi="Calibri" w:cs="Calibri"/>
          <w:b/>
          <w:color w:val="000000" w:themeColor="text1"/>
          <w:sz w:val="24"/>
          <w:szCs w:val="24"/>
        </w:rPr>
        <w:t xml:space="preserve">peněžní prostředky používala jen k účelům, na které jsou určeny, tj. k zajištění provozu PNL, </w:t>
      </w:r>
      <w:r w:rsidR="003B2D7B">
        <w:rPr>
          <w:rFonts w:ascii="Calibri" w:hAnsi="Calibri" w:cs="Calibri"/>
          <w:b/>
          <w:color w:val="000000" w:themeColor="text1"/>
          <w:sz w:val="24"/>
          <w:szCs w:val="24"/>
        </w:rPr>
        <w:t>a </w:t>
      </w:r>
      <w:r w:rsidR="00AA543F" w:rsidRPr="00476369">
        <w:rPr>
          <w:rFonts w:ascii="Calibri" w:hAnsi="Calibri" w:cs="Calibri"/>
          <w:b/>
          <w:color w:val="000000" w:themeColor="text1"/>
          <w:sz w:val="24"/>
          <w:szCs w:val="24"/>
        </w:rPr>
        <w:t xml:space="preserve">porušila </w:t>
      </w:r>
      <w:r w:rsidR="006B5D9D" w:rsidRPr="00476369">
        <w:rPr>
          <w:rFonts w:ascii="Calibri" w:hAnsi="Calibri" w:cs="Calibri"/>
          <w:b/>
          <w:color w:val="000000" w:themeColor="text1"/>
          <w:sz w:val="24"/>
          <w:szCs w:val="24"/>
        </w:rPr>
        <w:t>rozpočtov</w:t>
      </w:r>
      <w:r w:rsidR="003B2D7B">
        <w:rPr>
          <w:rFonts w:ascii="Calibri" w:hAnsi="Calibri" w:cs="Calibri"/>
          <w:b/>
          <w:color w:val="000000" w:themeColor="text1"/>
          <w:sz w:val="24"/>
          <w:szCs w:val="24"/>
        </w:rPr>
        <w:t>á</w:t>
      </w:r>
      <w:r w:rsidR="006B5D9D" w:rsidRPr="00476369">
        <w:rPr>
          <w:rFonts w:ascii="Calibri" w:hAnsi="Calibri" w:cs="Calibri"/>
          <w:b/>
          <w:color w:val="000000" w:themeColor="text1"/>
          <w:sz w:val="24"/>
          <w:szCs w:val="24"/>
        </w:rPr>
        <w:t xml:space="preserve"> pravidl</w:t>
      </w:r>
      <w:r w:rsidR="003B2D7B">
        <w:rPr>
          <w:rFonts w:ascii="Calibri" w:hAnsi="Calibri" w:cs="Calibri"/>
          <w:b/>
          <w:color w:val="000000" w:themeColor="text1"/>
          <w:sz w:val="24"/>
          <w:szCs w:val="24"/>
        </w:rPr>
        <w:t>a</w:t>
      </w:r>
      <w:r w:rsidR="00266299">
        <w:rPr>
          <w:rFonts w:ascii="Calibri" w:hAnsi="Calibri" w:cs="Calibri"/>
          <w:b/>
          <w:color w:val="000000" w:themeColor="text1"/>
          <w:sz w:val="24"/>
          <w:szCs w:val="24"/>
          <w:vertAlign w:val="superscript"/>
        </w:rPr>
        <w:t>8</w:t>
      </w:r>
      <w:r w:rsidR="00AA543F" w:rsidRPr="00476369">
        <w:rPr>
          <w:rFonts w:ascii="Calibri" w:hAnsi="Calibri" w:cs="Calibri"/>
          <w:b/>
          <w:color w:val="000000" w:themeColor="text1"/>
          <w:sz w:val="24"/>
          <w:szCs w:val="24"/>
        </w:rPr>
        <w:t xml:space="preserve"> a zákon </w:t>
      </w:r>
      <w:r w:rsidR="006B5D9D" w:rsidRPr="00476369">
        <w:rPr>
          <w:rFonts w:ascii="Calibri" w:hAnsi="Calibri" w:cs="Calibri"/>
          <w:b/>
          <w:color w:val="000000" w:themeColor="text1"/>
          <w:sz w:val="24"/>
          <w:szCs w:val="24"/>
        </w:rPr>
        <w:t>o majetku</w:t>
      </w:r>
      <w:r w:rsidR="0046286B" w:rsidRPr="00476369">
        <w:rPr>
          <w:rFonts w:ascii="Calibri" w:hAnsi="Calibri" w:cs="Calibri"/>
          <w:b/>
          <w:color w:val="000000" w:themeColor="text1"/>
          <w:sz w:val="24"/>
          <w:szCs w:val="24"/>
          <w:vertAlign w:val="superscript"/>
        </w:rPr>
        <w:t>1</w:t>
      </w:r>
      <w:r w:rsidR="009041B5" w:rsidRPr="00476369">
        <w:rPr>
          <w:rFonts w:ascii="Calibri" w:hAnsi="Calibri" w:cs="Calibri"/>
          <w:b/>
          <w:color w:val="000000" w:themeColor="text1"/>
          <w:sz w:val="24"/>
          <w:szCs w:val="24"/>
          <w:vertAlign w:val="superscript"/>
        </w:rPr>
        <w:t>6</w:t>
      </w:r>
      <w:r w:rsidR="00AA543F" w:rsidRPr="00476369">
        <w:rPr>
          <w:rFonts w:ascii="Calibri" w:hAnsi="Calibri" w:cs="Calibri"/>
          <w:b/>
          <w:color w:val="000000" w:themeColor="text1"/>
          <w:sz w:val="24"/>
          <w:szCs w:val="24"/>
        </w:rPr>
        <w:t xml:space="preserve"> tím, že majetek nevyužívala účelně a</w:t>
      </w:r>
      <w:r w:rsidR="00AD6A05" w:rsidRPr="00476369">
        <w:rPr>
          <w:rFonts w:ascii="Calibri" w:hAnsi="Calibri" w:cs="Calibri"/>
          <w:b/>
          <w:color w:val="000000" w:themeColor="text1"/>
          <w:sz w:val="24"/>
          <w:szCs w:val="24"/>
        </w:rPr>
        <w:t> </w:t>
      </w:r>
      <w:r w:rsidR="00AA543F" w:rsidRPr="00476369">
        <w:rPr>
          <w:rFonts w:ascii="Calibri" w:hAnsi="Calibri" w:cs="Calibri"/>
          <w:b/>
          <w:color w:val="000000" w:themeColor="text1"/>
          <w:sz w:val="24"/>
          <w:szCs w:val="24"/>
        </w:rPr>
        <w:t>hospodárně k plnění funkcí státu a k výkonu stanovených činností</w:t>
      </w:r>
      <w:r w:rsidR="00B744FC" w:rsidRPr="00476369">
        <w:rPr>
          <w:rFonts w:ascii="Calibri" w:hAnsi="Calibri" w:cs="Calibri"/>
          <w:b/>
          <w:color w:val="000000" w:themeColor="text1"/>
          <w:sz w:val="24"/>
          <w:szCs w:val="24"/>
        </w:rPr>
        <w:t>, a to celkem</w:t>
      </w:r>
      <w:r w:rsidR="00C97535">
        <w:rPr>
          <w:rFonts w:ascii="Calibri" w:hAnsi="Calibri" w:cs="Calibri"/>
          <w:b/>
          <w:color w:val="000000" w:themeColor="text1"/>
          <w:sz w:val="24"/>
          <w:szCs w:val="24"/>
        </w:rPr>
        <w:t xml:space="preserve"> </w:t>
      </w:r>
      <w:r w:rsidR="00B744FC" w:rsidRPr="00476369">
        <w:rPr>
          <w:rFonts w:ascii="Calibri" w:hAnsi="Calibri" w:cs="Calibri"/>
          <w:b/>
          <w:color w:val="000000" w:themeColor="text1"/>
          <w:sz w:val="24"/>
          <w:szCs w:val="24"/>
        </w:rPr>
        <w:t>ve výši 1 488 822,91 Kč.</w:t>
      </w:r>
    </w:p>
    <w:p w14:paraId="1D20E126" w14:textId="110711C9" w:rsidR="00C87E80" w:rsidRPr="00476369" w:rsidRDefault="00AA543F" w:rsidP="00476369">
      <w:pPr>
        <w:widowControl/>
        <w:spacing w:before="12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 xml:space="preserve">FNB porušila zákon </w:t>
      </w:r>
      <w:r w:rsidR="006B5D9D" w:rsidRPr="00476369">
        <w:rPr>
          <w:rFonts w:ascii="Calibri" w:hAnsi="Calibri" w:cs="Calibri"/>
          <w:b/>
          <w:color w:val="000000" w:themeColor="text1"/>
          <w:sz w:val="24"/>
          <w:szCs w:val="24"/>
        </w:rPr>
        <w:t>o účetnictví</w:t>
      </w:r>
      <w:r w:rsidRPr="00476369">
        <w:rPr>
          <w:rStyle w:val="Znakapoznpodarou"/>
          <w:rFonts w:ascii="Calibri" w:hAnsi="Calibri" w:cs="Calibri"/>
          <w:b/>
          <w:color w:val="000000" w:themeColor="text1"/>
          <w:sz w:val="24"/>
          <w:szCs w:val="24"/>
        </w:rPr>
        <w:footnoteReference w:id="41"/>
      </w:r>
      <w:r w:rsidRPr="00476369">
        <w:rPr>
          <w:rFonts w:ascii="Calibri" w:hAnsi="Calibri" w:cs="Calibri"/>
          <w:b/>
          <w:color w:val="000000" w:themeColor="text1"/>
          <w:sz w:val="24"/>
          <w:szCs w:val="24"/>
        </w:rPr>
        <w:t xml:space="preserve"> tím, že neúčtovala </w:t>
      </w:r>
      <w:r w:rsidR="00FC3C03" w:rsidRPr="00476369">
        <w:rPr>
          <w:rFonts w:ascii="Calibri" w:hAnsi="Calibri" w:cs="Calibri"/>
          <w:b/>
          <w:color w:val="000000" w:themeColor="text1"/>
          <w:sz w:val="24"/>
          <w:szCs w:val="24"/>
        </w:rPr>
        <w:t xml:space="preserve">skutečnosti, které jsou předmětem účetnictví ve výši </w:t>
      </w:r>
      <w:r w:rsidRPr="00476369">
        <w:rPr>
          <w:rFonts w:ascii="Calibri" w:hAnsi="Calibri" w:cs="Calibri"/>
          <w:b/>
          <w:color w:val="000000" w:themeColor="text1"/>
          <w:sz w:val="24"/>
          <w:szCs w:val="24"/>
        </w:rPr>
        <w:t>869 990 Kč do období, s nímž tyto skutečnosti časově a věcně souvisí</w:t>
      </w:r>
      <w:r w:rsidR="00227863" w:rsidRPr="00476369">
        <w:rPr>
          <w:rFonts w:ascii="Calibri" w:hAnsi="Calibri" w:cs="Calibri"/>
          <w:b/>
          <w:color w:val="000000" w:themeColor="text1"/>
          <w:sz w:val="24"/>
          <w:szCs w:val="24"/>
        </w:rPr>
        <w:t>.</w:t>
      </w:r>
      <w:r w:rsidRPr="00476369">
        <w:rPr>
          <w:rFonts w:ascii="Calibri" w:hAnsi="Calibri" w:cs="Calibri"/>
          <w:b/>
          <w:color w:val="000000" w:themeColor="text1"/>
          <w:sz w:val="24"/>
          <w:szCs w:val="24"/>
        </w:rPr>
        <w:t xml:space="preserve"> </w:t>
      </w:r>
      <w:r w:rsidR="00227863" w:rsidRPr="00476369">
        <w:rPr>
          <w:rFonts w:ascii="Calibri" w:hAnsi="Calibri" w:cs="Calibri"/>
          <w:b/>
          <w:color w:val="000000" w:themeColor="text1"/>
          <w:sz w:val="24"/>
          <w:szCs w:val="24"/>
        </w:rPr>
        <w:t xml:space="preserve">FNB </w:t>
      </w:r>
      <w:r w:rsidR="00FE2477" w:rsidRPr="00476369">
        <w:rPr>
          <w:rFonts w:ascii="Calibri" w:hAnsi="Calibri" w:cs="Calibri"/>
          <w:b/>
          <w:color w:val="000000" w:themeColor="text1"/>
          <w:sz w:val="24"/>
          <w:szCs w:val="24"/>
        </w:rPr>
        <w:t xml:space="preserve">také </w:t>
      </w:r>
      <w:r w:rsidR="00227863" w:rsidRPr="00476369">
        <w:rPr>
          <w:rFonts w:ascii="Calibri" w:hAnsi="Calibri" w:cs="Calibri"/>
          <w:b/>
          <w:color w:val="000000" w:themeColor="text1"/>
          <w:sz w:val="24"/>
          <w:szCs w:val="24"/>
        </w:rPr>
        <w:t>n</w:t>
      </w:r>
      <w:r w:rsidRPr="00476369">
        <w:rPr>
          <w:rFonts w:ascii="Calibri" w:hAnsi="Calibri" w:cs="Calibri"/>
          <w:b/>
          <w:color w:val="000000" w:themeColor="text1"/>
          <w:sz w:val="24"/>
          <w:szCs w:val="24"/>
        </w:rPr>
        <w:t xml:space="preserve">evedla v roce 2020 a 2021 správné účetnictví, neboť vedla na nesprávném účtu částku </w:t>
      </w:r>
      <w:bookmarkStart w:id="10" w:name="_Hlk117450254"/>
      <w:r w:rsidRPr="00476369">
        <w:rPr>
          <w:rFonts w:ascii="Calibri" w:hAnsi="Calibri" w:cs="Calibri"/>
          <w:b/>
          <w:color w:val="000000" w:themeColor="text1"/>
          <w:sz w:val="24"/>
          <w:szCs w:val="24"/>
        </w:rPr>
        <w:t>851 757,72 Kč</w:t>
      </w:r>
      <w:bookmarkEnd w:id="10"/>
      <w:r w:rsidR="00FC3C03" w:rsidRPr="00476369">
        <w:rPr>
          <w:rFonts w:ascii="Calibri" w:hAnsi="Calibri" w:cs="Calibri"/>
          <w:b/>
          <w:color w:val="000000" w:themeColor="text1"/>
          <w:sz w:val="24"/>
          <w:szCs w:val="24"/>
        </w:rPr>
        <w:t xml:space="preserve">. </w:t>
      </w:r>
      <w:r w:rsidR="00FE2477" w:rsidRPr="00476369">
        <w:rPr>
          <w:rFonts w:ascii="Calibri" w:hAnsi="Calibri" w:cs="Calibri"/>
          <w:b/>
          <w:color w:val="000000" w:themeColor="text1"/>
          <w:sz w:val="24"/>
          <w:szCs w:val="24"/>
        </w:rPr>
        <w:t xml:space="preserve">FNB rovněž </w:t>
      </w:r>
      <w:r w:rsidR="00FC3C03" w:rsidRPr="00476369">
        <w:rPr>
          <w:rFonts w:ascii="Calibri" w:hAnsi="Calibri" w:cs="Calibri"/>
          <w:b/>
          <w:color w:val="000000" w:themeColor="text1"/>
          <w:sz w:val="24"/>
          <w:szCs w:val="24"/>
        </w:rPr>
        <w:t xml:space="preserve">nezjistila </w:t>
      </w:r>
      <w:r w:rsidRPr="00476369">
        <w:rPr>
          <w:rFonts w:ascii="Calibri" w:hAnsi="Calibri" w:cs="Calibri"/>
          <w:b/>
          <w:color w:val="000000" w:themeColor="text1"/>
          <w:sz w:val="24"/>
          <w:szCs w:val="24"/>
        </w:rPr>
        <w:t>fyzickou inventurou skutečný stav veškerého majetku pořízeného pro potřeby PNL minimálně ve výši 6 220 026,55 Kč.</w:t>
      </w:r>
    </w:p>
    <w:p w14:paraId="361B44D3" w14:textId="15B112AD" w:rsidR="000E64BD" w:rsidRPr="00476369" w:rsidRDefault="00107700" w:rsidP="00107700">
      <w:pPr>
        <w:pStyle w:val="Odstavecseseznamem"/>
        <w:keepNext/>
        <w:widowControl/>
        <w:spacing w:before="240" w:after="120"/>
        <w:ind w:left="0"/>
        <w:contextualSpacing w:val="0"/>
        <w:jc w:val="both"/>
        <w:rPr>
          <w:rFonts w:ascii="Calibri" w:hAnsi="Calibri" w:cs="Calibri"/>
          <w:b/>
          <w:color w:val="000000" w:themeColor="text1"/>
          <w:sz w:val="24"/>
          <w:szCs w:val="24"/>
        </w:rPr>
      </w:pPr>
      <w:r>
        <w:rPr>
          <w:rFonts w:ascii="Calibri" w:hAnsi="Calibri" w:cs="Calibri"/>
          <w:b/>
          <w:color w:val="000000" w:themeColor="text1"/>
          <w:sz w:val="24"/>
          <w:szCs w:val="24"/>
        </w:rPr>
        <w:t xml:space="preserve">4. </w:t>
      </w:r>
      <w:r w:rsidR="000E64BD" w:rsidRPr="00476369">
        <w:rPr>
          <w:rFonts w:ascii="Calibri" w:hAnsi="Calibri" w:cs="Calibri"/>
          <w:b/>
          <w:color w:val="000000" w:themeColor="text1"/>
          <w:sz w:val="24"/>
          <w:szCs w:val="24"/>
        </w:rPr>
        <w:t xml:space="preserve">Pořizování léčivých přípravků a zdravotnických </w:t>
      </w:r>
      <w:r w:rsidR="00337513" w:rsidRPr="00476369">
        <w:rPr>
          <w:rFonts w:ascii="Calibri" w:hAnsi="Calibri" w:cs="Calibri"/>
          <w:b/>
          <w:color w:val="000000" w:themeColor="text1"/>
          <w:sz w:val="24"/>
          <w:szCs w:val="24"/>
        </w:rPr>
        <w:t>prostředků</w:t>
      </w:r>
    </w:p>
    <w:p w14:paraId="5388FB5C" w14:textId="2010B79B" w:rsidR="00AA543F" w:rsidRPr="00476369" w:rsidRDefault="00AA543F" w:rsidP="00C97535">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proofErr w:type="spellStart"/>
      <w:r w:rsidRPr="00476369">
        <w:rPr>
          <w:rFonts w:ascii="Calibri" w:hAnsi="Calibri" w:cs="Calibri"/>
          <w:color w:val="000000" w:themeColor="text1"/>
          <w:sz w:val="24"/>
          <w:szCs w:val="24"/>
        </w:rPr>
        <w:t>MZ</w:t>
      </w:r>
      <w:r w:rsidR="005F68AE">
        <w:rPr>
          <w:rFonts w:ascii="Calibri" w:hAnsi="Calibri" w:cs="Calibri"/>
          <w:color w:val="000000" w:themeColor="text1"/>
          <w:sz w:val="24"/>
          <w:szCs w:val="24"/>
        </w:rPr>
        <w:t>d</w:t>
      </w:r>
      <w:proofErr w:type="spellEnd"/>
    </w:p>
    <w:p w14:paraId="0E3BD01E" w14:textId="095C2BCB" w:rsidR="00D14956" w:rsidRPr="00476369" w:rsidRDefault="00D549B6"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Usnesením vlády ze dne 30. září 2019 č. 675</w:t>
      </w:r>
      <w:r w:rsidRPr="00476369">
        <w:rPr>
          <w:rStyle w:val="Znakapoznpodarou"/>
          <w:rFonts w:ascii="Calibri" w:hAnsi="Calibri" w:cs="Calibri"/>
          <w:color w:val="000000" w:themeColor="text1"/>
          <w:sz w:val="24"/>
          <w:szCs w:val="24"/>
        </w:rPr>
        <w:footnoteReference w:id="42"/>
      </w:r>
      <w:r w:rsidRPr="002044A8">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 xml:space="preserve">vláda ČR uložila ministru zdravotnictví realizaci opatření k odstranění </w:t>
      </w:r>
      <w:r w:rsidR="004076BC" w:rsidRPr="00476369">
        <w:rPr>
          <w:rFonts w:ascii="Calibri" w:hAnsi="Calibri" w:cs="Calibri"/>
          <w:color w:val="000000" w:themeColor="text1"/>
          <w:sz w:val="24"/>
          <w:szCs w:val="24"/>
        </w:rPr>
        <w:t xml:space="preserve">nedostatků </w:t>
      </w:r>
      <w:r w:rsidRPr="00476369">
        <w:rPr>
          <w:rFonts w:ascii="Calibri" w:hAnsi="Calibri" w:cs="Calibri"/>
          <w:color w:val="000000" w:themeColor="text1"/>
          <w:sz w:val="24"/>
          <w:szCs w:val="24"/>
        </w:rPr>
        <w:t xml:space="preserve">obsažených ve stanovisku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00C74625" w:rsidRPr="00476369">
        <w:rPr>
          <w:rFonts w:ascii="Calibri" w:hAnsi="Calibri" w:cs="Calibri"/>
          <w:color w:val="000000" w:themeColor="text1"/>
          <w:sz w:val="24"/>
          <w:szCs w:val="24"/>
        </w:rPr>
        <w:t xml:space="preserve"> ke kontrolnímu</w:t>
      </w:r>
      <w:r w:rsidR="00D14956" w:rsidRPr="00476369">
        <w:rPr>
          <w:rFonts w:ascii="Calibri" w:hAnsi="Calibri" w:cs="Calibri"/>
          <w:color w:val="000000" w:themeColor="text1"/>
          <w:sz w:val="24"/>
          <w:szCs w:val="24"/>
        </w:rPr>
        <w:t xml:space="preserve"> závěru NKÚ z</w:t>
      </w:r>
      <w:r w:rsidR="00C74625" w:rsidRPr="00476369">
        <w:rPr>
          <w:rFonts w:ascii="Calibri" w:hAnsi="Calibri" w:cs="Calibri"/>
          <w:color w:val="000000" w:themeColor="text1"/>
          <w:sz w:val="24"/>
          <w:szCs w:val="24"/>
        </w:rPr>
        <w:t> </w:t>
      </w:r>
      <w:r w:rsidR="008F36C7" w:rsidRPr="00476369">
        <w:rPr>
          <w:rFonts w:ascii="Calibri" w:hAnsi="Calibri" w:cs="Calibri"/>
          <w:color w:val="000000" w:themeColor="text1"/>
          <w:sz w:val="24"/>
          <w:szCs w:val="24"/>
        </w:rPr>
        <w:t xml:space="preserve">KA </w:t>
      </w:r>
      <w:r w:rsidR="00D14956" w:rsidRPr="00476369">
        <w:rPr>
          <w:rFonts w:ascii="Calibri" w:hAnsi="Calibri" w:cs="Calibri"/>
          <w:color w:val="000000" w:themeColor="text1"/>
          <w:sz w:val="24"/>
          <w:szCs w:val="24"/>
        </w:rPr>
        <w:t>č. 17/19</w:t>
      </w:r>
      <w:r w:rsidR="00C74625" w:rsidRPr="00476369">
        <w:rPr>
          <w:rFonts w:ascii="Calibri" w:hAnsi="Calibri" w:cs="Calibri"/>
          <w:color w:val="000000" w:themeColor="text1"/>
          <w:sz w:val="24"/>
          <w:szCs w:val="24"/>
        </w:rPr>
        <w:t>.</w:t>
      </w:r>
      <w:r w:rsidR="00D14956" w:rsidRPr="00476369">
        <w:rPr>
          <w:rFonts w:ascii="Calibri" w:hAnsi="Calibri" w:cs="Calibri"/>
          <w:color w:val="000000" w:themeColor="text1"/>
          <w:sz w:val="24"/>
          <w:szCs w:val="24"/>
        </w:rPr>
        <w:t xml:space="preserve"> </w:t>
      </w:r>
      <w:r w:rsidR="007E43BB" w:rsidRPr="00476369">
        <w:rPr>
          <w:rFonts w:ascii="Calibri" w:hAnsi="Calibri" w:cs="Calibri"/>
          <w:color w:val="000000" w:themeColor="text1"/>
          <w:sz w:val="24"/>
          <w:szCs w:val="24"/>
        </w:rPr>
        <w:t xml:space="preserve">Jednalo se např. </w:t>
      </w:r>
      <w:r w:rsidRPr="00476369">
        <w:rPr>
          <w:rFonts w:ascii="Calibri" w:hAnsi="Calibri" w:cs="Calibri"/>
          <w:color w:val="000000" w:themeColor="text1"/>
          <w:sz w:val="24"/>
          <w:szCs w:val="24"/>
        </w:rPr>
        <w:t xml:space="preserve">o </w:t>
      </w:r>
      <w:r w:rsidR="00A2511D" w:rsidRPr="00476369">
        <w:rPr>
          <w:rFonts w:ascii="Calibri" w:hAnsi="Calibri" w:cs="Calibri"/>
          <w:color w:val="000000" w:themeColor="text1"/>
          <w:sz w:val="24"/>
          <w:szCs w:val="24"/>
        </w:rPr>
        <w:t xml:space="preserve">nastavení </w:t>
      </w:r>
      <w:r w:rsidR="007F68F4" w:rsidRPr="00476369">
        <w:rPr>
          <w:rFonts w:ascii="Calibri" w:hAnsi="Calibri" w:cs="Calibri"/>
          <w:color w:val="000000" w:themeColor="text1"/>
          <w:sz w:val="24"/>
          <w:szCs w:val="24"/>
        </w:rPr>
        <w:t>pravid</w:t>
      </w:r>
      <w:r w:rsidR="00A2511D" w:rsidRPr="00476369">
        <w:rPr>
          <w:rFonts w:ascii="Calibri" w:hAnsi="Calibri" w:cs="Calibri"/>
          <w:color w:val="000000" w:themeColor="text1"/>
          <w:sz w:val="24"/>
          <w:szCs w:val="24"/>
        </w:rPr>
        <w:t>e</w:t>
      </w:r>
      <w:r w:rsidR="007F68F4" w:rsidRPr="00476369">
        <w:rPr>
          <w:rFonts w:ascii="Calibri" w:hAnsi="Calibri" w:cs="Calibri"/>
          <w:color w:val="000000" w:themeColor="text1"/>
          <w:sz w:val="24"/>
          <w:szCs w:val="24"/>
        </w:rPr>
        <w:t>l pro přijímání bonusů a nakládání</w:t>
      </w:r>
      <w:r w:rsidR="00A2511D" w:rsidRPr="00476369">
        <w:rPr>
          <w:rFonts w:ascii="Calibri" w:hAnsi="Calibri" w:cs="Calibri"/>
          <w:color w:val="000000" w:themeColor="text1"/>
          <w:sz w:val="24"/>
          <w:szCs w:val="24"/>
        </w:rPr>
        <w:t xml:space="preserve"> s</w:t>
      </w:r>
      <w:r w:rsidR="008F36C7" w:rsidRPr="00476369">
        <w:rPr>
          <w:rFonts w:ascii="Calibri" w:hAnsi="Calibri" w:cs="Calibri"/>
          <w:color w:val="000000" w:themeColor="text1"/>
          <w:sz w:val="24"/>
          <w:szCs w:val="24"/>
        </w:rPr>
        <w:t> </w:t>
      </w:r>
      <w:r w:rsidR="00A2511D" w:rsidRPr="00476369">
        <w:rPr>
          <w:rFonts w:ascii="Calibri" w:hAnsi="Calibri" w:cs="Calibri"/>
          <w:color w:val="000000" w:themeColor="text1"/>
          <w:sz w:val="24"/>
          <w:szCs w:val="24"/>
        </w:rPr>
        <w:t>nimi</w:t>
      </w:r>
      <w:r w:rsidR="0061672D" w:rsidRPr="00476369">
        <w:rPr>
          <w:rFonts w:ascii="Calibri" w:hAnsi="Calibri" w:cs="Calibri"/>
          <w:color w:val="000000" w:themeColor="text1"/>
          <w:sz w:val="24"/>
          <w:szCs w:val="24"/>
        </w:rPr>
        <w:t xml:space="preserve">, </w:t>
      </w:r>
      <w:r w:rsidR="00A2511D" w:rsidRPr="00476369">
        <w:rPr>
          <w:rFonts w:ascii="Calibri" w:hAnsi="Calibri" w:cs="Calibri"/>
          <w:color w:val="000000" w:themeColor="text1"/>
          <w:sz w:val="24"/>
          <w:szCs w:val="24"/>
        </w:rPr>
        <w:t xml:space="preserve">zpracování koncepce rozvoje a řešení zásadních otázek pro poskytovatele zdravotních služeb v přímé </w:t>
      </w:r>
      <w:r w:rsidR="00F72C46" w:rsidRPr="00476369">
        <w:rPr>
          <w:rFonts w:ascii="Calibri" w:hAnsi="Calibri" w:cs="Calibri"/>
          <w:color w:val="000000" w:themeColor="text1"/>
          <w:sz w:val="24"/>
          <w:szCs w:val="24"/>
        </w:rPr>
        <w:t xml:space="preserve">řídicí </w:t>
      </w:r>
      <w:r w:rsidR="00A2511D" w:rsidRPr="00476369">
        <w:rPr>
          <w:rFonts w:ascii="Calibri" w:hAnsi="Calibri" w:cs="Calibri"/>
          <w:color w:val="000000" w:themeColor="text1"/>
          <w:sz w:val="24"/>
          <w:szCs w:val="24"/>
        </w:rPr>
        <w:t xml:space="preserve">působnosti </w:t>
      </w:r>
      <w:proofErr w:type="spellStart"/>
      <w:r w:rsidR="00A2511D"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0061672D" w:rsidRPr="00476369">
        <w:rPr>
          <w:rFonts w:ascii="Calibri" w:hAnsi="Calibri" w:cs="Calibri"/>
          <w:color w:val="000000" w:themeColor="text1"/>
          <w:sz w:val="24"/>
          <w:szCs w:val="24"/>
        </w:rPr>
        <w:t xml:space="preserve">, </w:t>
      </w:r>
      <w:r w:rsidR="00A2511D" w:rsidRPr="00476369">
        <w:rPr>
          <w:rFonts w:ascii="Calibri" w:hAnsi="Calibri" w:cs="Calibri"/>
          <w:color w:val="000000" w:themeColor="text1"/>
          <w:sz w:val="24"/>
          <w:szCs w:val="24"/>
        </w:rPr>
        <w:t xml:space="preserve">vydání pokynu ke zveřejňování jednotkových cen nakupovaných léčivých přípravků a zdravotnických prostředků a opatření k maximálnímu zvýšení transparentnosti </w:t>
      </w:r>
      <w:r w:rsidR="00F72C46" w:rsidRPr="00476369">
        <w:rPr>
          <w:rFonts w:ascii="Calibri" w:hAnsi="Calibri" w:cs="Calibri"/>
          <w:color w:val="000000" w:themeColor="text1"/>
          <w:sz w:val="24"/>
          <w:szCs w:val="24"/>
        </w:rPr>
        <w:t xml:space="preserve">při </w:t>
      </w:r>
      <w:r w:rsidR="00A2511D" w:rsidRPr="00476369">
        <w:rPr>
          <w:rFonts w:ascii="Calibri" w:hAnsi="Calibri" w:cs="Calibri"/>
          <w:color w:val="000000" w:themeColor="text1"/>
          <w:sz w:val="24"/>
          <w:szCs w:val="24"/>
        </w:rPr>
        <w:t>nakupování.</w:t>
      </w:r>
    </w:p>
    <w:p w14:paraId="2B0D3288" w14:textId="59E3C8F9" w:rsidR="007E43BB" w:rsidRPr="00476369" w:rsidRDefault="007E43BB" w:rsidP="00476369">
      <w:pPr>
        <w:widowControl/>
        <w:spacing w:before="120" w:after="120"/>
        <w:jc w:val="both"/>
        <w:rPr>
          <w:rFonts w:ascii="Calibri" w:hAnsi="Calibri" w:cs="Calibri"/>
          <w:b/>
          <w:color w:val="000000" w:themeColor="text1"/>
          <w:sz w:val="24"/>
          <w:szCs w:val="24"/>
        </w:rPr>
      </w:pPr>
      <w:proofErr w:type="spellStart"/>
      <w:r w:rsidRPr="00476369">
        <w:rPr>
          <w:rFonts w:ascii="Calibri" w:hAnsi="Calibri" w:cs="Calibri"/>
          <w:b/>
          <w:color w:val="000000" w:themeColor="text1"/>
          <w:sz w:val="24"/>
          <w:szCs w:val="24"/>
        </w:rPr>
        <w:t>MZ</w:t>
      </w:r>
      <w:r w:rsidR="001A53CE">
        <w:rPr>
          <w:rFonts w:ascii="Calibri" w:hAnsi="Calibri" w:cs="Calibri"/>
          <w:b/>
          <w:color w:val="000000" w:themeColor="text1"/>
          <w:sz w:val="24"/>
          <w:szCs w:val="24"/>
        </w:rPr>
        <w:t>d</w:t>
      </w:r>
      <w:proofErr w:type="spellEnd"/>
      <w:r w:rsidRPr="00476369">
        <w:rPr>
          <w:rFonts w:ascii="Calibri" w:hAnsi="Calibri" w:cs="Calibri"/>
          <w:b/>
          <w:color w:val="000000" w:themeColor="text1"/>
          <w:sz w:val="24"/>
          <w:szCs w:val="24"/>
        </w:rPr>
        <w:t xml:space="preserve"> </w:t>
      </w:r>
      <w:r w:rsidR="00C74625" w:rsidRPr="00476369">
        <w:rPr>
          <w:rFonts w:ascii="Calibri" w:hAnsi="Calibri" w:cs="Calibri"/>
          <w:b/>
          <w:color w:val="000000" w:themeColor="text1"/>
          <w:sz w:val="24"/>
          <w:szCs w:val="24"/>
        </w:rPr>
        <w:t>nezajistilo realizaci</w:t>
      </w:r>
      <w:r w:rsidRPr="00476369">
        <w:rPr>
          <w:rFonts w:ascii="Calibri" w:hAnsi="Calibri" w:cs="Calibri"/>
          <w:b/>
          <w:color w:val="000000" w:themeColor="text1"/>
          <w:sz w:val="24"/>
          <w:szCs w:val="24"/>
        </w:rPr>
        <w:t xml:space="preserve"> opatření k odstranění nedostatků </w:t>
      </w:r>
      <w:r w:rsidR="00C74625" w:rsidRPr="00476369">
        <w:rPr>
          <w:rFonts w:ascii="Calibri" w:hAnsi="Calibri" w:cs="Calibri"/>
          <w:b/>
          <w:color w:val="000000" w:themeColor="text1"/>
          <w:sz w:val="24"/>
          <w:szCs w:val="24"/>
        </w:rPr>
        <w:t>zjištěných v</w:t>
      </w:r>
      <w:r w:rsidRPr="00476369">
        <w:rPr>
          <w:rFonts w:ascii="Calibri" w:hAnsi="Calibri" w:cs="Calibri"/>
          <w:b/>
          <w:color w:val="000000" w:themeColor="text1"/>
          <w:sz w:val="24"/>
          <w:szCs w:val="24"/>
        </w:rPr>
        <w:t xml:space="preserve"> KA č. 17/19 v oblasti </w:t>
      </w:r>
      <w:r w:rsidR="00FE7FB2" w:rsidRPr="00476369">
        <w:rPr>
          <w:rFonts w:ascii="Calibri" w:hAnsi="Calibri" w:cs="Calibri"/>
          <w:b/>
          <w:color w:val="000000" w:themeColor="text1"/>
          <w:sz w:val="24"/>
          <w:szCs w:val="24"/>
        </w:rPr>
        <w:t>bonusů</w:t>
      </w:r>
      <w:r w:rsidR="00F72C46" w:rsidRPr="00476369">
        <w:rPr>
          <w:rFonts w:ascii="Calibri" w:hAnsi="Calibri" w:cs="Calibri"/>
          <w:b/>
          <w:color w:val="000000" w:themeColor="text1"/>
          <w:sz w:val="24"/>
          <w:szCs w:val="24"/>
        </w:rPr>
        <w:t>, neboť</w:t>
      </w:r>
      <w:r w:rsidR="00FE7FB2" w:rsidRPr="00476369">
        <w:rPr>
          <w:rFonts w:ascii="Calibri" w:hAnsi="Calibri" w:cs="Calibri"/>
          <w:b/>
          <w:color w:val="000000" w:themeColor="text1"/>
          <w:sz w:val="24"/>
          <w:szCs w:val="24"/>
        </w:rPr>
        <w:t xml:space="preserve"> metodicky neupravilo problematiku bonusů při zadávacích řízeních</w:t>
      </w:r>
      <w:r w:rsidR="00D30C21" w:rsidRPr="00476369">
        <w:rPr>
          <w:rFonts w:ascii="Calibri" w:hAnsi="Calibri" w:cs="Calibri"/>
          <w:b/>
          <w:color w:val="000000" w:themeColor="text1"/>
          <w:sz w:val="24"/>
          <w:szCs w:val="24"/>
        </w:rPr>
        <w:t xml:space="preserve"> a</w:t>
      </w:r>
      <w:r w:rsidRPr="00476369">
        <w:rPr>
          <w:rFonts w:ascii="Calibri" w:hAnsi="Calibri" w:cs="Calibri"/>
          <w:b/>
          <w:color w:val="000000" w:themeColor="text1"/>
          <w:sz w:val="24"/>
          <w:szCs w:val="24"/>
        </w:rPr>
        <w:t xml:space="preserve"> </w:t>
      </w:r>
      <w:r w:rsidR="005E0F23" w:rsidRPr="00476369">
        <w:rPr>
          <w:rFonts w:ascii="Calibri" w:hAnsi="Calibri" w:cs="Calibri"/>
          <w:b/>
          <w:color w:val="000000" w:themeColor="text1"/>
          <w:sz w:val="24"/>
          <w:szCs w:val="24"/>
        </w:rPr>
        <w:t>po stanovené lhůtě</w:t>
      </w:r>
      <w:r w:rsidRPr="00476369">
        <w:rPr>
          <w:rFonts w:ascii="Calibri" w:hAnsi="Calibri" w:cs="Calibri"/>
          <w:b/>
          <w:color w:val="000000" w:themeColor="text1"/>
          <w:sz w:val="24"/>
          <w:szCs w:val="24"/>
        </w:rPr>
        <w:t xml:space="preserve"> zpracovalo koncepci rozvoje </w:t>
      </w:r>
      <w:r w:rsidR="00FE7FB2" w:rsidRPr="00476369">
        <w:rPr>
          <w:rFonts w:ascii="Calibri" w:hAnsi="Calibri" w:cs="Calibri"/>
          <w:b/>
          <w:color w:val="000000" w:themeColor="text1"/>
          <w:sz w:val="24"/>
          <w:szCs w:val="24"/>
        </w:rPr>
        <w:t xml:space="preserve">a </w:t>
      </w:r>
      <w:r w:rsidRPr="00476369">
        <w:rPr>
          <w:rFonts w:ascii="Calibri" w:hAnsi="Calibri" w:cs="Calibri"/>
          <w:b/>
          <w:color w:val="000000" w:themeColor="text1"/>
          <w:sz w:val="24"/>
          <w:szCs w:val="24"/>
        </w:rPr>
        <w:t>řešení zásadních otázek pro poskytovatele zdravotních služeb v přímé řídicí působnosti</w:t>
      </w:r>
      <w:r w:rsidR="00A2511D" w:rsidRPr="00476369">
        <w:rPr>
          <w:rFonts w:ascii="Calibri" w:hAnsi="Calibri" w:cs="Calibri"/>
          <w:b/>
          <w:color w:val="000000" w:themeColor="text1"/>
          <w:sz w:val="24"/>
          <w:szCs w:val="24"/>
        </w:rPr>
        <w:t xml:space="preserve"> </w:t>
      </w:r>
      <w:proofErr w:type="spellStart"/>
      <w:r w:rsidR="00FE7FB2" w:rsidRPr="00476369">
        <w:rPr>
          <w:rFonts w:ascii="Calibri" w:hAnsi="Calibri" w:cs="Calibri"/>
          <w:b/>
          <w:color w:val="000000" w:themeColor="text1"/>
          <w:sz w:val="24"/>
          <w:szCs w:val="24"/>
        </w:rPr>
        <w:t>MZ</w:t>
      </w:r>
      <w:r w:rsidR="001A53CE">
        <w:rPr>
          <w:rFonts w:ascii="Calibri" w:hAnsi="Calibri" w:cs="Calibri"/>
          <w:b/>
          <w:color w:val="000000" w:themeColor="text1"/>
          <w:sz w:val="24"/>
          <w:szCs w:val="24"/>
        </w:rPr>
        <w:t>d</w:t>
      </w:r>
      <w:proofErr w:type="spellEnd"/>
      <w:r w:rsidR="00002A2E" w:rsidRPr="00476369">
        <w:rPr>
          <w:rFonts w:ascii="Calibri" w:hAnsi="Calibri" w:cs="Calibri"/>
          <w:b/>
          <w:color w:val="000000" w:themeColor="text1"/>
          <w:sz w:val="24"/>
          <w:szCs w:val="24"/>
        </w:rPr>
        <w:t>.</w:t>
      </w:r>
    </w:p>
    <w:p w14:paraId="491FDB67" w14:textId="4526472C" w:rsidR="00AA543F" w:rsidRPr="00476369" w:rsidRDefault="00AA543F"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Metodické pokyny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nadále neupravují problematiku zohlednění bonusů při nákupech léčivých přípravků a zdravotnických prostředků již ve fázi přípravy a realizace zadávacích řízení dle zákona o zadávání veřejných zakázek</w:t>
      </w:r>
      <w:r w:rsidR="00631E29" w:rsidRPr="00476369">
        <w:rPr>
          <w:rFonts w:ascii="Calibri" w:hAnsi="Calibri" w:cs="Calibri"/>
          <w:color w:val="000000" w:themeColor="text1"/>
          <w:sz w:val="24"/>
          <w:szCs w:val="24"/>
        </w:rPr>
        <w:t xml:space="preserve">.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tak dostatečně neřídilo své přímo řízené organizace v oblasti zajištění transparentnosti obdržených bonusů při nákupech léčiv a</w:t>
      </w:r>
      <w:r w:rsidR="00C97535">
        <w:rPr>
          <w:rFonts w:ascii="Calibri" w:hAnsi="Calibri" w:cs="Calibri"/>
          <w:color w:val="000000" w:themeColor="text1"/>
          <w:sz w:val="24"/>
          <w:szCs w:val="24"/>
        </w:rPr>
        <w:t> </w:t>
      </w:r>
      <w:r w:rsidRPr="00476369">
        <w:rPr>
          <w:rFonts w:ascii="Calibri" w:hAnsi="Calibri" w:cs="Calibri"/>
          <w:color w:val="000000" w:themeColor="text1"/>
          <w:sz w:val="24"/>
          <w:szCs w:val="24"/>
        </w:rPr>
        <w:t>zdravotnických prostředků</w:t>
      </w:r>
      <w:r w:rsidR="0061672D" w:rsidRPr="00476369">
        <w:rPr>
          <w:rFonts w:ascii="Calibri" w:hAnsi="Calibri" w:cs="Calibri"/>
          <w:color w:val="000000" w:themeColor="text1"/>
          <w:sz w:val="24"/>
          <w:szCs w:val="24"/>
        </w:rPr>
        <w:t>.</w:t>
      </w:r>
    </w:p>
    <w:p w14:paraId="6630D63B" w14:textId="36BE5243" w:rsidR="00AA543F" w:rsidRPr="00476369" w:rsidRDefault="00AA543F"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FNKV v kontrolovaném období 2019 až 2021 uplatňovala ve značně vysoké míře výjimku nahodilého nákupu, kdy nakupovala léčiva a zdravotnické prostředky pro zajištění </w:t>
      </w:r>
      <w:r w:rsidR="00283D64" w:rsidRPr="00476369">
        <w:rPr>
          <w:rFonts w:ascii="Calibri" w:hAnsi="Calibri" w:cs="Calibri"/>
          <w:color w:val="000000" w:themeColor="text1"/>
          <w:sz w:val="24"/>
          <w:szCs w:val="24"/>
        </w:rPr>
        <w:t xml:space="preserve">svých </w:t>
      </w:r>
      <w:r w:rsidRPr="00476369">
        <w:rPr>
          <w:rFonts w:ascii="Calibri" w:hAnsi="Calibri" w:cs="Calibri"/>
          <w:color w:val="000000" w:themeColor="text1"/>
          <w:sz w:val="24"/>
          <w:szCs w:val="24"/>
        </w:rPr>
        <w:t xml:space="preserve">aktuálních potřeb, a to v rozmezí </w:t>
      </w:r>
      <w:r w:rsidR="00C74625" w:rsidRPr="00476369">
        <w:rPr>
          <w:rFonts w:ascii="Calibri" w:hAnsi="Calibri" w:cs="Calibri"/>
          <w:color w:val="000000" w:themeColor="text1"/>
          <w:sz w:val="24"/>
          <w:szCs w:val="24"/>
        </w:rPr>
        <w:t xml:space="preserve">68 </w:t>
      </w:r>
      <w:r w:rsidRPr="00476369">
        <w:rPr>
          <w:rFonts w:ascii="Calibri" w:hAnsi="Calibri" w:cs="Calibri"/>
          <w:color w:val="000000" w:themeColor="text1"/>
          <w:sz w:val="24"/>
          <w:szCs w:val="24"/>
        </w:rPr>
        <w:t xml:space="preserve">% až </w:t>
      </w:r>
      <w:r w:rsidR="00C74625" w:rsidRPr="00476369">
        <w:rPr>
          <w:rFonts w:ascii="Calibri" w:hAnsi="Calibri" w:cs="Calibri"/>
          <w:color w:val="000000" w:themeColor="text1"/>
          <w:sz w:val="24"/>
          <w:szCs w:val="24"/>
        </w:rPr>
        <w:t>83</w:t>
      </w:r>
      <w:r w:rsidRPr="00476369">
        <w:rPr>
          <w:rFonts w:ascii="Calibri" w:hAnsi="Calibri" w:cs="Calibri"/>
          <w:color w:val="000000" w:themeColor="text1"/>
          <w:sz w:val="24"/>
          <w:szCs w:val="24"/>
        </w:rPr>
        <w:t xml:space="preserve"> % z celkového objemu nákupů.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z pozice </w:t>
      </w:r>
      <w:r w:rsidR="00C74625" w:rsidRPr="00476369">
        <w:rPr>
          <w:rFonts w:ascii="Calibri" w:hAnsi="Calibri" w:cs="Calibri"/>
          <w:color w:val="000000" w:themeColor="text1"/>
          <w:sz w:val="24"/>
          <w:szCs w:val="24"/>
        </w:rPr>
        <w:t>zřizovatele</w:t>
      </w:r>
      <w:r w:rsidRPr="00476369">
        <w:rPr>
          <w:rFonts w:ascii="Calibri" w:hAnsi="Calibri" w:cs="Calibri"/>
          <w:color w:val="000000" w:themeColor="text1"/>
          <w:sz w:val="24"/>
          <w:szCs w:val="24"/>
        </w:rPr>
        <w:t xml:space="preserve"> vůči své příspěvkové organizaci neučinilo žádné zásadní opatření za roky 2019 až 2021 s cílem eliminovat nadužívanou výjimku nahodilých nákupů</w:t>
      </w:r>
      <w:r w:rsidRPr="00476369">
        <w:rPr>
          <w:rStyle w:val="Znakapoznpodarou"/>
          <w:rFonts w:ascii="Calibri" w:hAnsi="Calibri" w:cs="Calibri"/>
          <w:color w:val="000000" w:themeColor="text1"/>
          <w:sz w:val="24"/>
          <w:szCs w:val="24"/>
        </w:rPr>
        <w:footnoteReference w:id="43"/>
      </w:r>
      <w:r w:rsidRPr="00476369">
        <w:rPr>
          <w:rFonts w:ascii="Calibri" w:hAnsi="Calibri" w:cs="Calibri"/>
          <w:color w:val="000000" w:themeColor="text1"/>
          <w:sz w:val="24"/>
          <w:szCs w:val="24"/>
        </w:rPr>
        <w:t xml:space="preserve">. Přestože FNKV předkládala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001A53CE">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 xml:space="preserve">pravidelné ekonomické reporty s daty o nahodilých nákupech,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tak na nežádoucí stav nijak cíleně nereagovalo a žádné adekvátní opatření nepřijalo.</w:t>
      </w:r>
    </w:p>
    <w:p w14:paraId="7A979123" w14:textId="14AD7299" w:rsidR="00AA543F" w:rsidRPr="00476369" w:rsidRDefault="00AA543F" w:rsidP="00476369">
      <w:pPr>
        <w:widowControl/>
        <w:spacing w:before="120" w:after="120"/>
        <w:jc w:val="both"/>
        <w:rPr>
          <w:rFonts w:ascii="Calibri" w:hAnsi="Calibri" w:cs="Calibri"/>
          <w:color w:val="000000" w:themeColor="text1"/>
          <w:sz w:val="24"/>
          <w:szCs w:val="24"/>
        </w:rPr>
      </w:pP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porušilo </w:t>
      </w:r>
      <w:r w:rsidR="006B5D9D" w:rsidRPr="00476369">
        <w:rPr>
          <w:rFonts w:ascii="Calibri" w:hAnsi="Calibri" w:cs="Calibri"/>
          <w:color w:val="000000" w:themeColor="text1"/>
          <w:sz w:val="24"/>
          <w:szCs w:val="24"/>
        </w:rPr>
        <w:t>rozpočtov</w:t>
      </w:r>
      <w:r w:rsidR="001A53CE">
        <w:rPr>
          <w:rFonts w:ascii="Calibri" w:hAnsi="Calibri" w:cs="Calibri"/>
          <w:color w:val="000000" w:themeColor="text1"/>
          <w:sz w:val="24"/>
          <w:szCs w:val="24"/>
        </w:rPr>
        <w:t>á</w:t>
      </w:r>
      <w:r w:rsidR="006B5D9D" w:rsidRPr="00476369">
        <w:rPr>
          <w:rFonts w:ascii="Calibri" w:hAnsi="Calibri" w:cs="Calibri"/>
          <w:color w:val="000000" w:themeColor="text1"/>
          <w:sz w:val="24"/>
          <w:szCs w:val="24"/>
        </w:rPr>
        <w:t xml:space="preserve"> pravidl</w:t>
      </w:r>
      <w:r w:rsidR="001A53CE">
        <w:rPr>
          <w:rFonts w:ascii="Calibri" w:hAnsi="Calibri" w:cs="Calibri"/>
          <w:color w:val="000000" w:themeColor="text1"/>
          <w:sz w:val="24"/>
          <w:szCs w:val="24"/>
        </w:rPr>
        <w:t>a</w:t>
      </w:r>
      <w:r w:rsidR="0046286B" w:rsidRPr="00476369">
        <w:rPr>
          <w:rFonts w:ascii="Calibri" w:hAnsi="Calibri" w:cs="Calibri"/>
          <w:color w:val="000000" w:themeColor="text1"/>
          <w:sz w:val="24"/>
          <w:szCs w:val="24"/>
          <w:vertAlign w:val="superscript"/>
        </w:rPr>
        <w:t>14</w:t>
      </w:r>
      <w:r w:rsidRPr="00476369">
        <w:rPr>
          <w:rFonts w:ascii="Calibri" w:hAnsi="Calibri" w:cs="Calibri"/>
          <w:color w:val="000000" w:themeColor="text1"/>
          <w:sz w:val="24"/>
          <w:szCs w:val="24"/>
        </w:rPr>
        <w:t xml:space="preserve"> tím, že jako zřizovatel nepůsobilo při</w:t>
      </w:r>
      <w:r w:rsidR="001A53CE">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řízení FNKV tak, aby vynakládání výdajů při nákupech léčiv a zdravotnických prostředků bylo co nejhospodárnější, nejefektivnější a nejúčelnější.</w:t>
      </w:r>
    </w:p>
    <w:p w14:paraId="7B6E8F90" w14:textId="16E61FA5" w:rsidR="00AA543F" w:rsidRPr="00476369" w:rsidRDefault="00AA543F" w:rsidP="00476369">
      <w:pPr>
        <w:widowControl/>
        <w:spacing w:before="120" w:after="120"/>
        <w:jc w:val="both"/>
        <w:rPr>
          <w:rFonts w:ascii="Calibri" w:hAnsi="Calibri" w:cs="Calibri"/>
          <w:color w:val="000000" w:themeColor="text1"/>
          <w:sz w:val="24"/>
          <w:szCs w:val="24"/>
        </w:rPr>
      </w:pP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se </w:t>
      </w:r>
      <w:r w:rsidR="005F4F92" w:rsidRPr="00476369">
        <w:rPr>
          <w:rFonts w:ascii="Calibri" w:hAnsi="Calibri" w:cs="Calibri"/>
          <w:color w:val="000000" w:themeColor="text1"/>
          <w:sz w:val="24"/>
          <w:szCs w:val="24"/>
        </w:rPr>
        <w:t xml:space="preserve">podílelo </w:t>
      </w:r>
      <w:r w:rsidR="00D30C21" w:rsidRPr="00476369">
        <w:rPr>
          <w:rFonts w:ascii="Calibri" w:hAnsi="Calibri" w:cs="Calibri"/>
          <w:color w:val="000000" w:themeColor="text1"/>
          <w:sz w:val="24"/>
          <w:szCs w:val="24"/>
        </w:rPr>
        <w:t xml:space="preserve">na vytvoření </w:t>
      </w:r>
      <w:r w:rsidR="001A53CE">
        <w:rPr>
          <w:rFonts w:ascii="Calibri" w:hAnsi="Calibri" w:cs="Calibri"/>
          <w:color w:val="000000" w:themeColor="text1"/>
          <w:sz w:val="24"/>
          <w:szCs w:val="24"/>
        </w:rPr>
        <w:t>d</w:t>
      </w:r>
      <w:r w:rsidR="00D30C21" w:rsidRPr="00476369">
        <w:rPr>
          <w:rFonts w:ascii="Calibri" w:hAnsi="Calibri" w:cs="Calibri"/>
          <w:color w:val="000000" w:themeColor="text1"/>
          <w:sz w:val="24"/>
          <w:szCs w:val="24"/>
        </w:rPr>
        <w:t xml:space="preserve">atabáze reálných jednotkových cen léčiv dodávaných do nemocnic přímo řízených </w:t>
      </w:r>
      <w:proofErr w:type="spellStart"/>
      <w:r w:rsidR="00D30C21"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00D30C21" w:rsidRPr="00476369">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v zájmu kontroly vynakládání veřejných prostředků a v zájmu tvorby a</w:t>
      </w:r>
      <w:r w:rsidR="005F4F92" w:rsidRPr="00476369">
        <w:rPr>
          <w:rFonts w:ascii="Calibri" w:hAnsi="Calibri" w:cs="Calibri"/>
          <w:color w:val="000000" w:themeColor="text1"/>
          <w:sz w:val="24"/>
          <w:szCs w:val="24"/>
        </w:rPr>
        <w:t> </w:t>
      </w:r>
      <w:r w:rsidRPr="00476369">
        <w:rPr>
          <w:rFonts w:ascii="Calibri" w:hAnsi="Calibri" w:cs="Calibri"/>
          <w:color w:val="000000" w:themeColor="text1"/>
          <w:sz w:val="24"/>
          <w:szCs w:val="24"/>
        </w:rPr>
        <w:t xml:space="preserve">řízení efektivní lékové politiky státu. Tato databáze však nebyla po uvedení do provozu v lednu 2019 funkční.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vyvinulo </w:t>
      </w:r>
      <w:r w:rsidR="001A53CE">
        <w:rPr>
          <w:rFonts w:ascii="Calibri" w:hAnsi="Calibri" w:cs="Calibri"/>
          <w:color w:val="000000" w:themeColor="text1"/>
          <w:sz w:val="24"/>
          <w:szCs w:val="24"/>
        </w:rPr>
        <w:t>i</w:t>
      </w:r>
      <w:r w:rsidRPr="00476369">
        <w:rPr>
          <w:rFonts w:ascii="Calibri" w:hAnsi="Calibri" w:cs="Calibri"/>
          <w:color w:val="000000" w:themeColor="text1"/>
          <w:sz w:val="24"/>
          <w:szCs w:val="24"/>
        </w:rPr>
        <w:t xml:space="preserve">nterní systém </w:t>
      </w:r>
      <w:proofErr w:type="spellStart"/>
      <w:r w:rsidRPr="00476369">
        <w:rPr>
          <w:rFonts w:ascii="Calibri" w:hAnsi="Calibri" w:cs="Calibri"/>
          <w:color w:val="000000" w:themeColor="text1"/>
          <w:sz w:val="24"/>
          <w:szCs w:val="24"/>
        </w:rPr>
        <w:t>benchmarkingu</w:t>
      </w:r>
      <w:proofErr w:type="spellEnd"/>
      <w:r w:rsidRPr="00476369">
        <w:rPr>
          <w:rFonts w:ascii="Calibri" w:hAnsi="Calibri" w:cs="Calibri"/>
          <w:color w:val="000000" w:themeColor="text1"/>
          <w:sz w:val="24"/>
          <w:szCs w:val="24"/>
        </w:rPr>
        <w:t xml:space="preserve"> reálných nákupních cen, který však od jeho zavedení v říjnu 2019 </w:t>
      </w:r>
      <w:r w:rsidR="0061672D" w:rsidRPr="00476369">
        <w:rPr>
          <w:rFonts w:ascii="Calibri" w:hAnsi="Calibri" w:cs="Calibri"/>
          <w:color w:val="000000" w:themeColor="text1"/>
          <w:sz w:val="24"/>
          <w:szCs w:val="24"/>
        </w:rPr>
        <w:t>ne</w:t>
      </w:r>
      <w:r w:rsidRPr="00476369">
        <w:rPr>
          <w:rFonts w:ascii="Calibri" w:hAnsi="Calibri" w:cs="Calibri"/>
          <w:color w:val="000000" w:themeColor="text1"/>
          <w:sz w:val="24"/>
          <w:szCs w:val="24"/>
        </w:rPr>
        <w:t>použív</w:t>
      </w:r>
      <w:r w:rsidR="0061672D" w:rsidRPr="00476369">
        <w:rPr>
          <w:rFonts w:ascii="Calibri" w:hAnsi="Calibri" w:cs="Calibri"/>
          <w:color w:val="000000" w:themeColor="text1"/>
          <w:sz w:val="24"/>
          <w:szCs w:val="24"/>
        </w:rPr>
        <w:t>alo</w:t>
      </w:r>
      <w:r w:rsidRPr="00476369">
        <w:rPr>
          <w:rFonts w:ascii="Calibri" w:hAnsi="Calibri" w:cs="Calibri"/>
          <w:color w:val="000000" w:themeColor="text1"/>
          <w:sz w:val="24"/>
          <w:szCs w:val="24"/>
        </w:rPr>
        <w:t xml:space="preserve">.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od roku 2019 vyvíjí ve spolupráci s Ministerstvem pro místní rozvoj elektronický nástroj </w:t>
      </w:r>
      <w:r w:rsidRPr="005805C2">
        <w:rPr>
          <w:rFonts w:ascii="Calibri" w:hAnsi="Calibri" w:cs="Calibri"/>
          <w:i/>
          <w:color w:val="000000" w:themeColor="text1"/>
          <w:sz w:val="24"/>
          <w:szCs w:val="24"/>
        </w:rPr>
        <w:t xml:space="preserve">Systém flexibilního </w:t>
      </w:r>
      <w:proofErr w:type="spellStart"/>
      <w:r w:rsidRPr="005805C2">
        <w:rPr>
          <w:rFonts w:ascii="Calibri" w:hAnsi="Calibri" w:cs="Calibri"/>
          <w:i/>
          <w:color w:val="000000" w:themeColor="text1"/>
          <w:sz w:val="24"/>
          <w:szCs w:val="24"/>
        </w:rPr>
        <w:t>tendrování</w:t>
      </w:r>
      <w:proofErr w:type="spellEnd"/>
      <w:r w:rsidRPr="005805C2">
        <w:rPr>
          <w:rFonts w:ascii="Calibri" w:hAnsi="Calibri" w:cs="Calibri"/>
          <w:i/>
          <w:color w:val="000000" w:themeColor="text1"/>
          <w:sz w:val="24"/>
          <w:szCs w:val="24"/>
        </w:rPr>
        <w:t xml:space="preserve"> léčiv</w:t>
      </w:r>
      <w:r w:rsidRPr="00476369">
        <w:rPr>
          <w:rFonts w:ascii="Calibri" w:hAnsi="Calibri" w:cs="Calibri"/>
          <w:color w:val="000000" w:themeColor="text1"/>
          <w:sz w:val="24"/>
          <w:szCs w:val="24"/>
        </w:rPr>
        <w:t>, který má</w:t>
      </w:r>
      <w:r w:rsidR="001A53CE">
        <w:rPr>
          <w:rFonts w:ascii="Calibri" w:hAnsi="Calibri" w:cs="Calibri"/>
          <w:color w:val="000000" w:themeColor="text1"/>
          <w:sz w:val="24"/>
          <w:szCs w:val="24"/>
        </w:rPr>
        <w:t xml:space="preserve"> </w:t>
      </w:r>
      <w:r w:rsidRPr="00476369">
        <w:rPr>
          <w:rFonts w:ascii="Calibri" w:hAnsi="Calibri" w:cs="Calibri"/>
          <w:color w:val="000000" w:themeColor="text1"/>
          <w:sz w:val="24"/>
          <w:szCs w:val="24"/>
        </w:rPr>
        <w:t xml:space="preserve">u nemocnic zajistit nákup léčiv za tržní ceny a v souladu se zákonem </w:t>
      </w:r>
      <w:r w:rsidR="006B5D9D" w:rsidRPr="00476369">
        <w:rPr>
          <w:rFonts w:ascii="Calibri" w:hAnsi="Calibri" w:cs="Calibri"/>
          <w:color w:val="000000" w:themeColor="text1"/>
          <w:sz w:val="24"/>
          <w:szCs w:val="24"/>
        </w:rPr>
        <w:t>o zadávání veřejných zakázek.</w:t>
      </w:r>
    </w:p>
    <w:p w14:paraId="07E6E883" w14:textId="4BCF3B30" w:rsidR="00AA543F" w:rsidRPr="00476369" w:rsidRDefault="00AA543F"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V kontrolovaném období 2019 až 2021 nemělo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w:t>
      </w:r>
      <w:r w:rsidR="00350EF4" w:rsidRPr="00476369">
        <w:rPr>
          <w:rFonts w:ascii="Calibri" w:hAnsi="Calibri" w:cs="Calibri"/>
          <w:color w:val="000000" w:themeColor="text1"/>
          <w:sz w:val="24"/>
          <w:szCs w:val="24"/>
        </w:rPr>
        <w:t>relevantní</w:t>
      </w:r>
      <w:r w:rsidRPr="00476369">
        <w:rPr>
          <w:rFonts w:ascii="Calibri" w:hAnsi="Calibri" w:cs="Calibri"/>
          <w:color w:val="000000" w:themeColor="text1"/>
          <w:sz w:val="24"/>
          <w:szCs w:val="24"/>
        </w:rPr>
        <w:t xml:space="preserve"> informace o jednotkových cenách nakupovaných léčivých přípravků, popř. vybraných druhů zdravotnických prostředků přímo řízených nemocnic, což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jakožto jejich zřizovateli neumožňovalo </w:t>
      </w:r>
      <w:r w:rsidR="00C517A9" w:rsidRPr="00476369">
        <w:rPr>
          <w:rFonts w:ascii="Calibri" w:hAnsi="Calibri" w:cs="Calibri"/>
          <w:color w:val="000000" w:themeColor="text1"/>
          <w:sz w:val="24"/>
          <w:szCs w:val="24"/>
        </w:rPr>
        <w:t>působit při řízení FN v oblasti nákupů léčiv a zdravotnických prostředků, aby vynakládání těchto výdajů bylo co nejhospodárnější, nejefektivnější a nejúčelnější</w:t>
      </w:r>
      <w:r w:rsidR="001A53CE">
        <w:rPr>
          <w:rFonts w:ascii="Calibri" w:hAnsi="Calibri" w:cs="Calibri"/>
          <w:color w:val="000000" w:themeColor="text1"/>
          <w:sz w:val="24"/>
          <w:szCs w:val="24"/>
        </w:rPr>
        <w:t>.</w:t>
      </w:r>
      <w:r w:rsidRPr="00476369">
        <w:rPr>
          <w:rFonts w:ascii="Calibri" w:hAnsi="Calibri" w:cs="Calibri"/>
          <w:color w:val="000000" w:themeColor="text1"/>
          <w:sz w:val="24"/>
          <w:szCs w:val="24"/>
        </w:rPr>
        <w:t xml:space="preserve"> </w:t>
      </w: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w:t>
      </w:r>
      <w:r w:rsidR="001A53CE">
        <w:rPr>
          <w:rFonts w:ascii="Calibri" w:hAnsi="Calibri" w:cs="Calibri"/>
          <w:color w:val="000000" w:themeColor="text1"/>
          <w:sz w:val="24"/>
          <w:szCs w:val="24"/>
        </w:rPr>
        <w:t xml:space="preserve">tím </w:t>
      </w:r>
      <w:r w:rsidRPr="00476369">
        <w:rPr>
          <w:rFonts w:ascii="Calibri" w:hAnsi="Calibri" w:cs="Calibri"/>
          <w:color w:val="000000" w:themeColor="text1"/>
          <w:sz w:val="24"/>
          <w:szCs w:val="24"/>
        </w:rPr>
        <w:t xml:space="preserve">porušilo </w:t>
      </w:r>
      <w:r w:rsidR="006B5D9D" w:rsidRPr="00476369">
        <w:rPr>
          <w:rFonts w:ascii="Calibri" w:hAnsi="Calibri" w:cs="Calibri"/>
          <w:color w:val="000000" w:themeColor="text1"/>
          <w:sz w:val="24"/>
          <w:szCs w:val="24"/>
        </w:rPr>
        <w:t>rozpočtov</w:t>
      </w:r>
      <w:r w:rsidR="001A53CE">
        <w:rPr>
          <w:rFonts w:ascii="Calibri" w:hAnsi="Calibri" w:cs="Calibri"/>
          <w:color w:val="000000" w:themeColor="text1"/>
          <w:sz w:val="24"/>
          <w:szCs w:val="24"/>
        </w:rPr>
        <w:t>á</w:t>
      </w:r>
      <w:r w:rsidR="006B5D9D" w:rsidRPr="00476369">
        <w:rPr>
          <w:rFonts w:ascii="Calibri" w:hAnsi="Calibri" w:cs="Calibri"/>
          <w:color w:val="000000" w:themeColor="text1"/>
          <w:sz w:val="24"/>
          <w:szCs w:val="24"/>
        </w:rPr>
        <w:t xml:space="preserve"> pravidl</w:t>
      </w:r>
      <w:r w:rsidR="001A53CE">
        <w:rPr>
          <w:rFonts w:ascii="Calibri" w:hAnsi="Calibri" w:cs="Calibri"/>
          <w:color w:val="000000" w:themeColor="text1"/>
          <w:sz w:val="24"/>
          <w:szCs w:val="24"/>
        </w:rPr>
        <w:t>a</w:t>
      </w:r>
      <w:r w:rsidR="00972194" w:rsidRPr="00476369">
        <w:rPr>
          <w:rFonts w:ascii="Calibri" w:hAnsi="Calibri" w:cs="Calibri"/>
          <w:color w:val="000000" w:themeColor="text1"/>
          <w:sz w:val="24"/>
          <w:szCs w:val="24"/>
          <w:vertAlign w:val="superscript"/>
        </w:rPr>
        <w:t>14</w:t>
      </w:r>
      <w:r w:rsidR="006B5D9D" w:rsidRPr="00476369">
        <w:rPr>
          <w:rFonts w:ascii="Calibri" w:hAnsi="Calibri" w:cs="Calibri"/>
          <w:color w:val="000000" w:themeColor="text1"/>
          <w:sz w:val="24"/>
          <w:szCs w:val="24"/>
        </w:rPr>
        <w:t>.</w:t>
      </w:r>
    </w:p>
    <w:p w14:paraId="4AB5D165" w14:textId="30932F59" w:rsidR="00C401B4" w:rsidRPr="00476369" w:rsidRDefault="00C401B4" w:rsidP="00476369">
      <w:pPr>
        <w:widowControl/>
        <w:spacing w:before="120" w:after="120"/>
        <w:jc w:val="both"/>
        <w:rPr>
          <w:rFonts w:ascii="Calibri" w:hAnsi="Calibri" w:cs="Calibri"/>
          <w:b/>
          <w:color w:val="000000" w:themeColor="text1"/>
          <w:sz w:val="24"/>
          <w:szCs w:val="24"/>
        </w:rPr>
      </w:pPr>
      <w:proofErr w:type="spellStart"/>
      <w:r w:rsidRPr="00476369">
        <w:rPr>
          <w:rFonts w:ascii="Calibri" w:hAnsi="Calibri" w:cs="Calibri"/>
          <w:color w:val="000000" w:themeColor="text1"/>
          <w:sz w:val="24"/>
          <w:szCs w:val="24"/>
        </w:rPr>
        <w:t>MZ</w:t>
      </w:r>
      <w:r w:rsidR="001A53CE">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realizovalo </w:t>
      </w:r>
      <w:r w:rsidR="001A6CD2" w:rsidRPr="00476369">
        <w:rPr>
          <w:rFonts w:ascii="Calibri" w:hAnsi="Calibri" w:cs="Calibri"/>
          <w:color w:val="000000" w:themeColor="text1"/>
          <w:sz w:val="24"/>
          <w:szCs w:val="24"/>
        </w:rPr>
        <w:t xml:space="preserve">opatření k odstranění nedostatků </w:t>
      </w:r>
      <w:r w:rsidRPr="00476369">
        <w:rPr>
          <w:rFonts w:ascii="Calibri" w:hAnsi="Calibri" w:cs="Calibri"/>
          <w:color w:val="000000" w:themeColor="text1"/>
          <w:sz w:val="24"/>
          <w:szCs w:val="24"/>
        </w:rPr>
        <w:t xml:space="preserve">ke zpracování koncepce rozvoje řešení zásadních otázek pro poskytovatele zdravotních služeb v přímé řídicí působnosti téměř tři roky </w:t>
      </w:r>
      <w:r w:rsidR="0014501F" w:rsidRPr="00476369">
        <w:rPr>
          <w:rFonts w:ascii="Calibri" w:hAnsi="Calibri" w:cs="Calibri"/>
          <w:color w:val="000000" w:themeColor="text1"/>
          <w:sz w:val="24"/>
          <w:szCs w:val="24"/>
        </w:rPr>
        <w:t>po</w:t>
      </w:r>
      <w:r w:rsidRPr="00476369">
        <w:rPr>
          <w:rFonts w:ascii="Calibri" w:hAnsi="Calibri" w:cs="Calibri"/>
          <w:color w:val="000000" w:themeColor="text1"/>
          <w:sz w:val="24"/>
          <w:szCs w:val="24"/>
        </w:rPr>
        <w:t xml:space="preserve"> termínu. </w:t>
      </w:r>
      <w:proofErr w:type="spellStart"/>
      <w:r w:rsidRPr="00476369">
        <w:rPr>
          <w:rFonts w:ascii="Calibri" w:hAnsi="Calibri" w:cs="Calibri"/>
          <w:b/>
          <w:color w:val="000000" w:themeColor="text1"/>
          <w:sz w:val="24"/>
          <w:szCs w:val="24"/>
        </w:rPr>
        <w:t>MZ</w:t>
      </w:r>
      <w:r w:rsidR="001A53CE">
        <w:rPr>
          <w:rFonts w:ascii="Calibri" w:hAnsi="Calibri" w:cs="Calibri"/>
          <w:b/>
          <w:color w:val="000000" w:themeColor="text1"/>
          <w:sz w:val="24"/>
          <w:szCs w:val="24"/>
        </w:rPr>
        <w:t>d</w:t>
      </w:r>
      <w:proofErr w:type="spellEnd"/>
      <w:r w:rsidRPr="00476369">
        <w:rPr>
          <w:rFonts w:ascii="Calibri" w:hAnsi="Calibri" w:cs="Calibri"/>
          <w:b/>
          <w:color w:val="000000" w:themeColor="text1"/>
          <w:sz w:val="24"/>
          <w:szCs w:val="24"/>
        </w:rPr>
        <w:t xml:space="preserve"> tak porušilo </w:t>
      </w:r>
      <w:r w:rsidR="00042DB9" w:rsidRPr="00476369">
        <w:rPr>
          <w:rFonts w:ascii="Calibri" w:hAnsi="Calibri" w:cs="Calibri"/>
          <w:b/>
          <w:color w:val="000000" w:themeColor="text1"/>
          <w:sz w:val="24"/>
          <w:szCs w:val="24"/>
        </w:rPr>
        <w:t xml:space="preserve">kompetenční </w:t>
      </w:r>
      <w:r w:rsidRPr="00476369">
        <w:rPr>
          <w:rFonts w:ascii="Calibri" w:hAnsi="Calibri" w:cs="Calibri"/>
          <w:b/>
          <w:color w:val="000000" w:themeColor="text1"/>
          <w:sz w:val="24"/>
          <w:szCs w:val="24"/>
        </w:rPr>
        <w:t>zákon</w:t>
      </w:r>
      <w:r w:rsidR="00DB1137" w:rsidRPr="00476369">
        <w:rPr>
          <w:rFonts w:ascii="Calibri" w:hAnsi="Calibri" w:cs="Calibri"/>
          <w:b/>
          <w:color w:val="000000" w:themeColor="text1"/>
          <w:sz w:val="24"/>
          <w:szCs w:val="24"/>
          <w:vertAlign w:val="superscript"/>
        </w:rPr>
        <w:t>3</w:t>
      </w:r>
      <w:r w:rsidR="00075FA1" w:rsidRPr="00476369">
        <w:rPr>
          <w:rFonts w:ascii="Calibri" w:hAnsi="Calibri" w:cs="Calibri"/>
          <w:b/>
          <w:color w:val="000000" w:themeColor="text1"/>
          <w:sz w:val="24"/>
          <w:szCs w:val="24"/>
          <w:vertAlign w:val="superscript"/>
        </w:rPr>
        <w:t>7</w:t>
      </w:r>
      <w:r w:rsidRPr="00476369">
        <w:rPr>
          <w:rFonts w:ascii="Calibri" w:hAnsi="Calibri" w:cs="Calibri"/>
          <w:b/>
          <w:color w:val="000000" w:themeColor="text1"/>
          <w:sz w:val="24"/>
          <w:szCs w:val="24"/>
        </w:rPr>
        <w:t xml:space="preserve">, když se neřídilo </w:t>
      </w:r>
      <w:r w:rsidR="007F68F4" w:rsidRPr="00476369">
        <w:rPr>
          <w:rFonts w:ascii="Calibri" w:hAnsi="Calibri" w:cs="Calibri"/>
          <w:b/>
          <w:color w:val="000000" w:themeColor="text1"/>
          <w:sz w:val="24"/>
          <w:szCs w:val="24"/>
        </w:rPr>
        <w:t xml:space="preserve">usnesením </w:t>
      </w:r>
      <w:r w:rsidR="00AB152E" w:rsidRPr="00476369">
        <w:rPr>
          <w:rFonts w:ascii="Calibri" w:hAnsi="Calibri" w:cs="Calibri"/>
          <w:b/>
          <w:color w:val="000000" w:themeColor="text1"/>
          <w:sz w:val="24"/>
          <w:szCs w:val="24"/>
        </w:rPr>
        <w:t xml:space="preserve">vlády </w:t>
      </w:r>
      <w:r w:rsidR="00D21DF8" w:rsidRPr="00476369">
        <w:rPr>
          <w:rFonts w:ascii="Calibri" w:hAnsi="Calibri" w:cs="Calibri"/>
          <w:b/>
          <w:color w:val="000000" w:themeColor="text1"/>
          <w:sz w:val="24"/>
          <w:szCs w:val="24"/>
        </w:rPr>
        <w:t>ČR</w:t>
      </w:r>
      <w:r w:rsidR="005E0F23" w:rsidRPr="00476369">
        <w:rPr>
          <w:rFonts w:ascii="Calibri" w:hAnsi="Calibri" w:cs="Calibri"/>
          <w:b/>
          <w:color w:val="000000" w:themeColor="text1"/>
          <w:sz w:val="24"/>
          <w:szCs w:val="24"/>
        </w:rPr>
        <w:t xml:space="preserve"> </w:t>
      </w:r>
      <w:r w:rsidR="007F68F4" w:rsidRPr="00476369">
        <w:rPr>
          <w:rFonts w:ascii="Calibri" w:hAnsi="Calibri" w:cs="Calibri"/>
          <w:b/>
          <w:color w:val="000000" w:themeColor="text1"/>
          <w:sz w:val="24"/>
          <w:szCs w:val="24"/>
        </w:rPr>
        <w:t>č.</w:t>
      </w:r>
      <w:r w:rsidR="00031BBF" w:rsidRPr="00476369">
        <w:rPr>
          <w:rFonts w:ascii="Calibri" w:hAnsi="Calibri" w:cs="Calibri"/>
          <w:b/>
          <w:color w:val="000000" w:themeColor="text1"/>
          <w:sz w:val="24"/>
          <w:szCs w:val="24"/>
        </w:rPr>
        <w:t> </w:t>
      </w:r>
      <w:r w:rsidR="007F68F4" w:rsidRPr="00476369">
        <w:rPr>
          <w:rFonts w:ascii="Calibri" w:hAnsi="Calibri" w:cs="Calibri"/>
          <w:b/>
          <w:color w:val="000000" w:themeColor="text1"/>
          <w:sz w:val="24"/>
          <w:szCs w:val="24"/>
        </w:rPr>
        <w:t>675</w:t>
      </w:r>
      <w:r w:rsidRPr="00476369">
        <w:rPr>
          <w:rFonts w:ascii="Calibri" w:hAnsi="Calibri" w:cs="Calibri"/>
          <w:b/>
          <w:color w:val="000000" w:themeColor="text1"/>
          <w:sz w:val="24"/>
          <w:szCs w:val="24"/>
        </w:rPr>
        <w:t>, kterým mu bylo uloženo</w:t>
      </w:r>
      <w:r w:rsidR="005E0F23" w:rsidRPr="00476369">
        <w:rPr>
          <w:rFonts w:ascii="Calibri" w:hAnsi="Calibri" w:cs="Calibri"/>
          <w:b/>
          <w:color w:val="000000" w:themeColor="text1"/>
          <w:sz w:val="24"/>
          <w:szCs w:val="24"/>
        </w:rPr>
        <w:t xml:space="preserve"> ve stanoveném termínu</w:t>
      </w:r>
      <w:r w:rsidRPr="00476369">
        <w:rPr>
          <w:rFonts w:ascii="Calibri" w:hAnsi="Calibri" w:cs="Calibri"/>
          <w:b/>
          <w:color w:val="000000" w:themeColor="text1"/>
          <w:sz w:val="24"/>
          <w:szCs w:val="24"/>
        </w:rPr>
        <w:t xml:space="preserve"> realizovat </w:t>
      </w:r>
      <w:r w:rsidR="001A6CD2" w:rsidRPr="00476369">
        <w:rPr>
          <w:rFonts w:ascii="Calibri" w:hAnsi="Calibri" w:cs="Calibri"/>
          <w:b/>
          <w:color w:val="000000" w:themeColor="text1"/>
          <w:sz w:val="24"/>
          <w:szCs w:val="24"/>
        </w:rPr>
        <w:t>opatření k odstranění nedostatků</w:t>
      </w:r>
      <w:r w:rsidRPr="00476369">
        <w:rPr>
          <w:rFonts w:ascii="Calibri" w:hAnsi="Calibri" w:cs="Calibri"/>
          <w:b/>
          <w:color w:val="000000" w:themeColor="text1"/>
          <w:sz w:val="24"/>
          <w:szCs w:val="24"/>
        </w:rPr>
        <w:t xml:space="preserve">, uvedená ve stanovisku </w:t>
      </w:r>
      <w:proofErr w:type="spellStart"/>
      <w:r w:rsidRPr="00476369">
        <w:rPr>
          <w:rFonts w:ascii="Calibri" w:hAnsi="Calibri" w:cs="Calibri"/>
          <w:b/>
          <w:color w:val="000000" w:themeColor="text1"/>
          <w:sz w:val="24"/>
          <w:szCs w:val="24"/>
        </w:rPr>
        <w:t>MZ</w:t>
      </w:r>
      <w:r w:rsidR="000F5088">
        <w:rPr>
          <w:rFonts w:ascii="Calibri" w:hAnsi="Calibri" w:cs="Calibri"/>
          <w:b/>
          <w:color w:val="000000" w:themeColor="text1"/>
          <w:sz w:val="24"/>
          <w:szCs w:val="24"/>
        </w:rPr>
        <w:t>d</w:t>
      </w:r>
      <w:proofErr w:type="spellEnd"/>
      <w:r w:rsidRPr="00476369">
        <w:rPr>
          <w:rFonts w:ascii="Calibri" w:hAnsi="Calibri" w:cs="Calibri"/>
          <w:b/>
          <w:color w:val="000000" w:themeColor="text1"/>
          <w:sz w:val="24"/>
          <w:szCs w:val="24"/>
        </w:rPr>
        <w:t xml:space="preserve"> ke kontrolnímu závěru NKÚ z KA </w:t>
      </w:r>
      <w:r w:rsidR="00E26D87" w:rsidRPr="00476369">
        <w:rPr>
          <w:rFonts w:ascii="Calibri" w:hAnsi="Calibri" w:cs="Calibri"/>
          <w:b/>
          <w:color w:val="000000" w:themeColor="text1"/>
          <w:sz w:val="24"/>
          <w:szCs w:val="24"/>
        </w:rPr>
        <w:t xml:space="preserve">č. </w:t>
      </w:r>
      <w:r w:rsidRPr="00476369">
        <w:rPr>
          <w:rFonts w:ascii="Calibri" w:hAnsi="Calibri" w:cs="Calibri"/>
          <w:b/>
          <w:color w:val="000000" w:themeColor="text1"/>
          <w:sz w:val="24"/>
          <w:szCs w:val="24"/>
        </w:rPr>
        <w:t>17/19.</w:t>
      </w:r>
    </w:p>
    <w:p w14:paraId="70658532" w14:textId="6261DDAC" w:rsidR="00C401B4" w:rsidRPr="00476369" w:rsidRDefault="00C401B4"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Strategie </w:t>
      </w:r>
      <w:r w:rsidRPr="00476369">
        <w:rPr>
          <w:rFonts w:ascii="Calibri" w:hAnsi="Calibri" w:cs="Calibri"/>
          <w:i/>
          <w:color w:val="000000" w:themeColor="text1"/>
          <w:sz w:val="24"/>
          <w:szCs w:val="24"/>
        </w:rPr>
        <w:t>Řízení přímo řízených nemocnic MZČR</w:t>
      </w:r>
      <w:r w:rsidRPr="00476369">
        <w:rPr>
          <w:rFonts w:ascii="Calibri" w:hAnsi="Calibri" w:cs="Calibri"/>
          <w:color w:val="000000" w:themeColor="text1"/>
          <w:sz w:val="24"/>
          <w:szCs w:val="24"/>
        </w:rPr>
        <w:t xml:space="preserve"> neobsahuje žádné konkrétní a měřitelné cíle s definováním odpovědností za jejich plnění, ukazatele a indikátory pro jejich hodnocení a časový harmonogram pro dosažení cílového stavu a vyhodnocení přínosů. Strategie také neupravuje oblast rozvoje a řešení zásadních otázek pro poskytovatele zdravotních služeb v přímé řídicí působnosti </w:t>
      </w:r>
      <w:proofErr w:type="spellStart"/>
      <w:r w:rsidRPr="00476369">
        <w:rPr>
          <w:rFonts w:ascii="Calibri" w:hAnsi="Calibri" w:cs="Calibri"/>
          <w:color w:val="000000" w:themeColor="text1"/>
          <w:sz w:val="24"/>
          <w:szCs w:val="24"/>
        </w:rPr>
        <w:t>MZ</w:t>
      </w:r>
      <w:r w:rsidR="000F5088">
        <w:rPr>
          <w:rFonts w:ascii="Calibri" w:hAnsi="Calibri" w:cs="Calibri"/>
          <w:color w:val="000000" w:themeColor="text1"/>
          <w:sz w:val="24"/>
          <w:szCs w:val="24"/>
        </w:rPr>
        <w:t>d</w:t>
      </w:r>
      <w:proofErr w:type="spellEnd"/>
      <w:r w:rsidRPr="00476369">
        <w:rPr>
          <w:rFonts w:ascii="Calibri" w:hAnsi="Calibri" w:cs="Calibri"/>
          <w:color w:val="000000" w:themeColor="text1"/>
          <w:sz w:val="24"/>
          <w:szCs w:val="24"/>
        </w:rPr>
        <w:t xml:space="preserve">, jak </w:t>
      </w:r>
      <w:r w:rsidR="00992365" w:rsidRPr="00476369">
        <w:rPr>
          <w:rFonts w:ascii="Calibri" w:hAnsi="Calibri" w:cs="Calibri"/>
          <w:color w:val="000000" w:themeColor="text1"/>
          <w:sz w:val="24"/>
          <w:szCs w:val="24"/>
        </w:rPr>
        <w:t>stanovilo</w:t>
      </w:r>
      <w:r w:rsidR="000F5088">
        <w:rPr>
          <w:rFonts w:ascii="Calibri" w:hAnsi="Calibri" w:cs="Calibri"/>
          <w:color w:val="000000" w:themeColor="text1"/>
          <w:sz w:val="24"/>
          <w:szCs w:val="24"/>
        </w:rPr>
        <w:t xml:space="preserve"> </w:t>
      </w:r>
      <w:r w:rsidR="001A6CD2" w:rsidRPr="00476369">
        <w:rPr>
          <w:rFonts w:ascii="Calibri" w:hAnsi="Calibri" w:cs="Calibri"/>
          <w:color w:val="000000" w:themeColor="text1"/>
          <w:sz w:val="24"/>
          <w:szCs w:val="24"/>
        </w:rPr>
        <w:t>opatření k odstranění nedostatků</w:t>
      </w:r>
      <w:r w:rsidR="0014501F" w:rsidRPr="00476369">
        <w:rPr>
          <w:rFonts w:ascii="Calibri" w:hAnsi="Calibri" w:cs="Calibri"/>
          <w:color w:val="000000" w:themeColor="text1"/>
          <w:sz w:val="24"/>
          <w:szCs w:val="24"/>
        </w:rPr>
        <w:t xml:space="preserve"> zjištěných z KA č.</w:t>
      </w:r>
      <w:r w:rsidR="00031BBF" w:rsidRPr="00476369">
        <w:rPr>
          <w:rFonts w:ascii="Calibri" w:hAnsi="Calibri" w:cs="Calibri"/>
          <w:color w:val="000000" w:themeColor="text1"/>
          <w:sz w:val="24"/>
          <w:szCs w:val="24"/>
        </w:rPr>
        <w:t> </w:t>
      </w:r>
      <w:r w:rsidR="0014501F" w:rsidRPr="00476369">
        <w:rPr>
          <w:rFonts w:ascii="Calibri" w:hAnsi="Calibri" w:cs="Calibri"/>
          <w:color w:val="000000" w:themeColor="text1"/>
          <w:sz w:val="24"/>
          <w:szCs w:val="24"/>
        </w:rPr>
        <w:t>17/19.</w:t>
      </w:r>
    </w:p>
    <w:p w14:paraId="4F2C217A" w14:textId="239A80D0" w:rsidR="000E64BD" w:rsidRPr="00476369" w:rsidRDefault="000E64BD" w:rsidP="00C97535">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FNB</w:t>
      </w:r>
    </w:p>
    <w:p w14:paraId="10478D36" w14:textId="74B3028C" w:rsidR="00FA6ABB" w:rsidRPr="00476369" w:rsidRDefault="00B544AE" w:rsidP="00476369">
      <w:pPr>
        <w:widowControl/>
        <w:spacing w:before="12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 xml:space="preserve">FNB </w:t>
      </w:r>
      <w:r w:rsidR="005A5E7A" w:rsidRPr="00476369">
        <w:rPr>
          <w:rFonts w:ascii="Calibri" w:hAnsi="Calibri" w:cs="Calibri"/>
          <w:b/>
          <w:color w:val="000000" w:themeColor="text1"/>
          <w:sz w:val="24"/>
          <w:szCs w:val="24"/>
        </w:rPr>
        <w:t>nedodržela zásady transparentnosti, rovného zacházení a nediskriminace</w:t>
      </w:r>
      <w:r w:rsidR="00266299">
        <w:rPr>
          <w:rFonts w:ascii="Calibri" w:hAnsi="Calibri" w:cs="Calibri"/>
          <w:b/>
          <w:color w:val="000000" w:themeColor="text1"/>
          <w:sz w:val="24"/>
          <w:szCs w:val="24"/>
          <w:vertAlign w:val="superscript"/>
        </w:rPr>
        <w:t>18</w:t>
      </w:r>
      <w:r w:rsidR="005A5E7A" w:rsidRPr="00476369">
        <w:rPr>
          <w:rFonts w:ascii="Calibri" w:hAnsi="Calibri" w:cs="Calibri"/>
          <w:b/>
          <w:color w:val="000000" w:themeColor="text1"/>
          <w:sz w:val="24"/>
          <w:szCs w:val="24"/>
        </w:rPr>
        <w:t xml:space="preserve"> tím, že </w:t>
      </w:r>
      <w:r w:rsidR="00FA6ABB" w:rsidRPr="00476369">
        <w:rPr>
          <w:rFonts w:ascii="Calibri" w:hAnsi="Calibri" w:cs="Calibri"/>
          <w:b/>
          <w:color w:val="000000" w:themeColor="text1"/>
          <w:sz w:val="24"/>
          <w:szCs w:val="24"/>
        </w:rPr>
        <w:t xml:space="preserve">nevybrala dodavatele </w:t>
      </w:r>
      <w:r w:rsidR="00031ADD" w:rsidRPr="00476369">
        <w:rPr>
          <w:rFonts w:ascii="Calibri" w:hAnsi="Calibri" w:cs="Calibri"/>
          <w:b/>
          <w:color w:val="000000" w:themeColor="text1"/>
          <w:sz w:val="24"/>
          <w:szCs w:val="24"/>
        </w:rPr>
        <w:t>léčivých přípravků</w:t>
      </w:r>
      <w:r w:rsidR="00FA6ABB" w:rsidRPr="00476369">
        <w:rPr>
          <w:rFonts w:ascii="Calibri" w:hAnsi="Calibri" w:cs="Calibri"/>
          <w:b/>
          <w:color w:val="000000" w:themeColor="text1"/>
          <w:sz w:val="24"/>
          <w:szCs w:val="24"/>
        </w:rPr>
        <w:t xml:space="preserve"> a </w:t>
      </w:r>
      <w:proofErr w:type="spellStart"/>
      <w:r w:rsidR="00E26D87" w:rsidRPr="00476369">
        <w:rPr>
          <w:rFonts w:ascii="Calibri" w:hAnsi="Calibri" w:cs="Calibri"/>
          <w:b/>
          <w:color w:val="000000" w:themeColor="text1"/>
          <w:sz w:val="24"/>
          <w:szCs w:val="24"/>
        </w:rPr>
        <w:t>ZPr</w:t>
      </w:r>
      <w:proofErr w:type="spellEnd"/>
      <w:r w:rsidR="00FA6ABB" w:rsidRPr="00476369">
        <w:rPr>
          <w:rFonts w:ascii="Calibri" w:hAnsi="Calibri" w:cs="Calibri"/>
          <w:b/>
          <w:color w:val="000000" w:themeColor="text1"/>
          <w:sz w:val="24"/>
          <w:szCs w:val="24"/>
        </w:rPr>
        <w:t xml:space="preserve"> </w:t>
      </w:r>
      <w:r w:rsidR="000C3962" w:rsidRPr="00476369">
        <w:rPr>
          <w:rFonts w:ascii="Calibri" w:hAnsi="Calibri" w:cs="Calibri"/>
          <w:b/>
          <w:color w:val="000000" w:themeColor="text1"/>
          <w:sz w:val="24"/>
          <w:szCs w:val="24"/>
        </w:rPr>
        <w:t>v režimu</w:t>
      </w:r>
      <w:r w:rsidR="00FA6ABB" w:rsidRPr="00476369">
        <w:rPr>
          <w:rFonts w:ascii="Calibri" w:hAnsi="Calibri" w:cs="Calibri"/>
          <w:b/>
          <w:color w:val="000000" w:themeColor="text1"/>
          <w:sz w:val="24"/>
          <w:szCs w:val="24"/>
        </w:rPr>
        <w:t xml:space="preserve"> </w:t>
      </w:r>
      <w:r w:rsidR="00C14586" w:rsidRPr="00476369">
        <w:rPr>
          <w:rFonts w:ascii="Calibri" w:hAnsi="Calibri" w:cs="Calibri"/>
          <w:b/>
          <w:color w:val="000000" w:themeColor="text1"/>
          <w:sz w:val="24"/>
          <w:szCs w:val="24"/>
        </w:rPr>
        <w:t>veřejné zakázky malého rozsahu (dále také „</w:t>
      </w:r>
      <w:r w:rsidR="00FA6ABB" w:rsidRPr="00476369">
        <w:rPr>
          <w:rFonts w:ascii="Calibri" w:hAnsi="Calibri" w:cs="Calibri"/>
          <w:b/>
          <w:color w:val="000000" w:themeColor="text1"/>
          <w:sz w:val="24"/>
          <w:szCs w:val="24"/>
        </w:rPr>
        <w:t>VZMR</w:t>
      </w:r>
      <w:r w:rsidR="00C14586" w:rsidRPr="00476369">
        <w:rPr>
          <w:rFonts w:ascii="Calibri" w:hAnsi="Calibri" w:cs="Calibri"/>
          <w:b/>
          <w:color w:val="000000" w:themeColor="text1"/>
          <w:sz w:val="24"/>
          <w:szCs w:val="24"/>
        </w:rPr>
        <w:t>“)</w:t>
      </w:r>
      <w:r w:rsidR="00FA6ABB" w:rsidRPr="00476369">
        <w:rPr>
          <w:rFonts w:ascii="Calibri" w:hAnsi="Calibri" w:cs="Calibri"/>
          <w:b/>
          <w:color w:val="000000" w:themeColor="text1"/>
          <w:sz w:val="24"/>
          <w:szCs w:val="24"/>
        </w:rPr>
        <w:t xml:space="preserve"> při pořizování dodávek jednoho </w:t>
      </w:r>
      <w:proofErr w:type="spellStart"/>
      <w:r w:rsidR="00FA6ABB" w:rsidRPr="00476369">
        <w:rPr>
          <w:rFonts w:ascii="Calibri" w:hAnsi="Calibri" w:cs="Calibri"/>
          <w:b/>
          <w:color w:val="000000" w:themeColor="text1"/>
          <w:sz w:val="24"/>
          <w:szCs w:val="24"/>
        </w:rPr>
        <w:t>centrového</w:t>
      </w:r>
      <w:proofErr w:type="spellEnd"/>
      <w:r w:rsidR="00FA6ABB" w:rsidRPr="00476369">
        <w:rPr>
          <w:rFonts w:ascii="Calibri" w:hAnsi="Calibri" w:cs="Calibri"/>
          <w:b/>
          <w:color w:val="000000" w:themeColor="text1"/>
          <w:sz w:val="24"/>
          <w:szCs w:val="24"/>
        </w:rPr>
        <w:t xml:space="preserve"> léku, čtyř </w:t>
      </w:r>
      <w:r w:rsidR="00031ADD" w:rsidRPr="00476369">
        <w:rPr>
          <w:rFonts w:ascii="Calibri" w:hAnsi="Calibri" w:cs="Calibri"/>
          <w:b/>
          <w:color w:val="000000" w:themeColor="text1"/>
          <w:sz w:val="24"/>
          <w:szCs w:val="24"/>
        </w:rPr>
        <w:t>léčivých přípravků</w:t>
      </w:r>
      <w:r w:rsidR="00FA6ABB" w:rsidRPr="00476369">
        <w:rPr>
          <w:rFonts w:ascii="Calibri" w:hAnsi="Calibri" w:cs="Calibri"/>
          <w:b/>
          <w:color w:val="000000" w:themeColor="text1"/>
          <w:sz w:val="24"/>
          <w:szCs w:val="24"/>
        </w:rPr>
        <w:t xml:space="preserve"> skupiny ATC</w:t>
      </w:r>
      <w:r w:rsidR="00865464" w:rsidRPr="00476369">
        <w:rPr>
          <w:rFonts w:ascii="Calibri" w:hAnsi="Calibri" w:cs="Calibri"/>
          <w:b/>
          <w:color w:val="000000" w:themeColor="text1"/>
          <w:sz w:val="24"/>
          <w:szCs w:val="24"/>
        </w:rPr>
        <w:t xml:space="preserve"> — </w:t>
      </w:r>
      <w:r w:rsidR="00FA6ABB" w:rsidRPr="00476369">
        <w:rPr>
          <w:rFonts w:ascii="Calibri" w:hAnsi="Calibri" w:cs="Calibri"/>
          <w:b/>
          <w:color w:val="000000" w:themeColor="text1"/>
          <w:sz w:val="24"/>
          <w:szCs w:val="24"/>
        </w:rPr>
        <w:t xml:space="preserve">J a pěti </w:t>
      </w:r>
      <w:proofErr w:type="spellStart"/>
      <w:r w:rsidR="00E26D87" w:rsidRPr="00476369">
        <w:rPr>
          <w:rFonts w:ascii="Calibri" w:hAnsi="Calibri" w:cs="Calibri"/>
          <w:b/>
          <w:color w:val="000000" w:themeColor="text1"/>
          <w:sz w:val="24"/>
          <w:szCs w:val="24"/>
        </w:rPr>
        <w:t>ZPr</w:t>
      </w:r>
      <w:proofErr w:type="spellEnd"/>
      <w:r w:rsidR="000A0B88" w:rsidRPr="00476369">
        <w:rPr>
          <w:rFonts w:ascii="Calibri" w:hAnsi="Calibri" w:cs="Calibri"/>
          <w:b/>
          <w:color w:val="000000" w:themeColor="text1"/>
          <w:sz w:val="24"/>
          <w:szCs w:val="24"/>
        </w:rPr>
        <w:t>, tím došlo ke skutečnostem nasvědčujícím porušení rozpočtové kázně</w:t>
      </w:r>
      <w:r w:rsidR="00075FA1" w:rsidRPr="00476369">
        <w:rPr>
          <w:rFonts w:ascii="Calibri" w:hAnsi="Calibri" w:cs="Calibri"/>
          <w:b/>
          <w:color w:val="000000" w:themeColor="text1"/>
          <w:sz w:val="24"/>
          <w:szCs w:val="24"/>
          <w:vertAlign w:val="superscript"/>
        </w:rPr>
        <w:t>19</w:t>
      </w:r>
      <w:r w:rsidR="000A0B88" w:rsidRPr="00476369">
        <w:rPr>
          <w:rFonts w:ascii="Calibri" w:hAnsi="Calibri" w:cs="Calibri"/>
          <w:b/>
          <w:color w:val="000000" w:themeColor="text1"/>
          <w:sz w:val="24"/>
          <w:szCs w:val="24"/>
        </w:rPr>
        <w:t xml:space="preserve"> minimálně ve výši 1 965 782,63</w:t>
      </w:r>
      <w:r w:rsidR="008F36C7" w:rsidRPr="00476369">
        <w:rPr>
          <w:rFonts w:ascii="Calibri" w:hAnsi="Calibri" w:cs="Calibri"/>
          <w:b/>
          <w:color w:val="000000" w:themeColor="text1"/>
          <w:sz w:val="24"/>
          <w:szCs w:val="24"/>
        </w:rPr>
        <w:t> </w:t>
      </w:r>
      <w:r w:rsidR="000A0B88" w:rsidRPr="00476369">
        <w:rPr>
          <w:rFonts w:ascii="Calibri" w:hAnsi="Calibri" w:cs="Calibri"/>
          <w:b/>
          <w:color w:val="000000" w:themeColor="text1"/>
          <w:sz w:val="24"/>
          <w:szCs w:val="24"/>
        </w:rPr>
        <w:t>Kč vč. DPH.</w:t>
      </w:r>
    </w:p>
    <w:p w14:paraId="4811488C" w14:textId="77777777" w:rsidR="00E053FE" w:rsidRPr="00476369" w:rsidRDefault="00E053FE" w:rsidP="00C97535">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FNKV</w:t>
      </w:r>
    </w:p>
    <w:p w14:paraId="6BDC798D" w14:textId="1275B178" w:rsidR="000A0B88" w:rsidRPr="00476369" w:rsidRDefault="0061121B" w:rsidP="00476369">
      <w:pPr>
        <w:widowControl/>
        <w:spacing w:before="12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 xml:space="preserve">FNKV při pořizování dodávek pěti </w:t>
      </w:r>
      <w:proofErr w:type="spellStart"/>
      <w:r w:rsidRPr="00476369">
        <w:rPr>
          <w:rFonts w:ascii="Calibri" w:hAnsi="Calibri" w:cs="Calibri"/>
          <w:b/>
          <w:color w:val="000000" w:themeColor="text1"/>
          <w:sz w:val="24"/>
          <w:szCs w:val="24"/>
        </w:rPr>
        <w:t>centrových</w:t>
      </w:r>
      <w:proofErr w:type="spellEnd"/>
      <w:r w:rsidRPr="00476369">
        <w:rPr>
          <w:rFonts w:ascii="Calibri" w:hAnsi="Calibri" w:cs="Calibri"/>
          <w:b/>
          <w:color w:val="000000" w:themeColor="text1"/>
          <w:sz w:val="24"/>
          <w:szCs w:val="24"/>
        </w:rPr>
        <w:t xml:space="preserve"> léků, 13 </w:t>
      </w:r>
      <w:r w:rsidR="00031ADD" w:rsidRPr="00476369">
        <w:rPr>
          <w:rFonts w:ascii="Calibri" w:hAnsi="Calibri" w:cs="Calibri"/>
          <w:b/>
          <w:color w:val="000000" w:themeColor="text1"/>
          <w:sz w:val="24"/>
          <w:szCs w:val="24"/>
        </w:rPr>
        <w:t>léčivých přípravků</w:t>
      </w:r>
      <w:r w:rsidRPr="00476369">
        <w:rPr>
          <w:rFonts w:ascii="Calibri" w:hAnsi="Calibri" w:cs="Calibri"/>
          <w:b/>
          <w:color w:val="000000" w:themeColor="text1"/>
          <w:sz w:val="24"/>
          <w:szCs w:val="24"/>
        </w:rPr>
        <w:t xml:space="preserve"> skupiny ATC</w:t>
      </w:r>
      <w:r w:rsidR="00865464" w:rsidRPr="00476369">
        <w:rPr>
          <w:rFonts w:ascii="Calibri" w:hAnsi="Calibri" w:cs="Calibri"/>
          <w:b/>
          <w:color w:val="000000" w:themeColor="text1"/>
          <w:sz w:val="24"/>
          <w:szCs w:val="24"/>
        </w:rPr>
        <w:t xml:space="preserve"> — </w:t>
      </w:r>
      <w:r w:rsidRPr="00476369">
        <w:rPr>
          <w:rFonts w:ascii="Calibri" w:hAnsi="Calibri" w:cs="Calibri"/>
          <w:b/>
          <w:color w:val="000000" w:themeColor="text1"/>
          <w:sz w:val="24"/>
          <w:szCs w:val="24"/>
        </w:rPr>
        <w:t>J a</w:t>
      </w:r>
      <w:r w:rsidR="00283A0C" w:rsidRPr="00476369">
        <w:rPr>
          <w:rFonts w:ascii="Calibri" w:hAnsi="Calibri" w:cs="Calibri"/>
          <w:b/>
          <w:color w:val="000000" w:themeColor="text1"/>
          <w:sz w:val="24"/>
          <w:szCs w:val="24"/>
        </w:rPr>
        <w:t> </w:t>
      </w:r>
      <w:r w:rsidRPr="00476369">
        <w:rPr>
          <w:rFonts w:ascii="Calibri" w:hAnsi="Calibri" w:cs="Calibri"/>
          <w:b/>
          <w:color w:val="000000" w:themeColor="text1"/>
          <w:sz w:val="24"/>
          <w:szCs w:val="24"/>
        </w:rPr>
        <w:t xml:space="preserve">pěti </w:t>
      </w:r>
      <w:proofErr w:type="spellStart"/>
      <w:r w:rsidR="00E26D87" w:rsidRPr="00476369">
        <w:rPr>
          <w:rFonts w:ascii="Calibri" w:hAnsi="Calibri" w:cs="Calibri"/>
          <w:b/>
          <w:color w:val="000000" w:themeColor="text1"/>
          <w:sz w:val="24"/>
          <w:szCs w:val="24"/>
        </w:rPr>
        <w:t>ZPr</w:t>
      </w:r>
      <w:proofErr w:type="spellEnd"/>
      <w:r w:rsidRPr="00476369">
        <w:rPr>
          <w:rFonts w:ascii="Calibri" w:hAnsi="Calibri" w:cs="Calibri"/>
          <w:b/>
          <w:color w:val="000000" w:themeColor="text1"/>
          <w:sz w:val="24"/>
          <w:szCs w:val="24"/>
        </w:rPr>
        <w:t xml:space="preserve"> nedodržela zásadu transparentnosti, rovného zacházení a zákazu diskriminace</w:t>
      </w:r>
      <w:r w:rsidR="00266299">
        <w:rPr>
          <w:rFonts w:ascii="Calibri" w:hAnsi="Calibri" w:cs="Calibri"/>
          <w:b/>
          <w:color w:val="000000" w:themeColor="text1"/>
          <w:sz w:val="24"/>
          <w:szCs w:val="24"/>
          <w:vertAlign w:val="superscript"/>
        </w:rPr>
        <w:t>18</w:t>
      </w:r>
      <w:r w:rsidRPr="00476369">
        <w:rPr>
          <w:rFonts w:ascii="Calibri" w:hAnsi="Calibri" w:cs="Calibri"/>
          <w:b/>
          <w:color w:val="000000" w:themeColor="text1"/>
          <w:sz w:val="24"/>
          <w:szCs w:val="24"/>
        </w:rPr>
        <w:t>.</w:t>
      </w:r>
      <w:r w:rsidR="004A3283" w:rsidRPr="00476369">
        <w:rPr>
          <w:rFonts w:ascii="Calibri" w:hAnsi="Calibri" w:cs="Calibri"/>
          <w:b/>
          <w:color w:val="000000" w:themeColor="text1"/>
          <w:sz w:val="24"/>
          <w:szCs w:val="24"/>
        </w:rPr>
        <w:t xml:space="preserve"> </w:t>
      </w:r>
      <w:r w:rsidR="00262ABA" w:rsidRPr="00476369">
        <w:rPr>
          <w:rFonts w:ascii="Calibri" w:hAnsi="Calibri" w:cs="Calibri"/>
          <w:b/>
          <w:color w:val="000000" w:themeColor="text1"/>
          <w:sz w:val="24"/>
          <w:szCs w:val="24"/>
        </w:rPr>
        <w:t xml:space="preserve">FNKV </w:t>
      </w:r>
      <w:r w:rsidR="005A5E7A" w:rsidRPr="00476369">
        <w:rPr>
          <w:rFonts w:ascii="Calibri" w:hAnsi="Calibri" w:cs="Calibri"/>
          <w:b/>
          <w:color w:val="000000" w:themeColor="text1"/>
          <w:sz w:val="24"/>
          <w:szCs w:val="24"/>
        </w:rPr>
        <w:t xml:space="preserve">nepostupovala </w:t>
      </w:r>
      <w:r w:rsidR="004A3283" w:rsidRPr="00476369">
        <w:rPr>
          <w:rFonts w:ascii="Calibri" w:hAnsi="Calibri" w:cs="Calibri"/>
          <w:b/>
          <w:color w:val="000000" w:themeColor="text1"/>
          <w:sz w:val="24"/>
          <w:szCs w:val="24"/>
        </w:rPr>
        <w:t>v některém z</w:t>
      </w:r>
      <w:r w:rsidR="00761191" w:rsidRPr="00476369">
        <w:rPr>
          <w:rFonts w:ascii="Calibri" w:hAnsi="Calibri" w:cs="Calibri"/>
          <w:b/>
          <w:color w:val="000000" w:themeColor="text1"/>
          <w:sz w:val="24"/>
          <w:szCs w:val="24"/>
        </w:rPr>
        <w:t xml:space="preserve"> druhů</w:t>
      </w:r>
      <w:r w:rsidR="004A3283" w:rsidRPr="00476369">
        <w:rPr>
          <w:rFonts w:ascii="Calibri" w:hAnsi="Calibri" w:cs="Calibri"/>
          <w:b/>
          <w:color w:val="000000" w:themeColor="text1"/>
          <w:sz w:val="24"/>
          <w:szCs w:val="24"/>
        </w:rPr>
        <w:t xml:space="preserve"> zadávacích řízení vymezených zákonem</w:t>
      </w:r>
      <w:r w:rsidR="00865464" w:rsidRPr="00476369">
        <w:rPr>
          <w:rFonts w:ascii="Calibri" w:hAnsi="Calibri" w:cs="Calibri"/>
          <w:b/>
          <w:color w:val="000000" w:themeColor="text1"/>
          <w:sz w:val="24"/>
          <w:szCs w:val="24"/>
        </w:rPr>
        <w:t xml:space="preserve"> o zadávání veřejných zakázek</w:t>
      </w:r>
      <w:r w:rsidR="004A3283" w:rsidRPr="00476369">
        <w:rPr>
          <w:rStyle w:val="Znakapoznpodarou"/>
          <w:rFonts w:ascii="Calibri" w:hAnsi="Calibri" w:cs="Calibri"/>
          <w:b/>
          <w:color w:val="000000" w:themeColor="text1"/>
          <w:sz w:val="24"/>
          <w:szCs w:val="24"/>
        </w:rPr>
        <w:footnoteReference w:id="44"/>
      </w:r>
      <w:r w:rsidR="000A0B88" w:rsidRPr="00476369">
        <w:rPr>
          <w:rFonts w:ascii="Calibri" w:hAnsi="Calibri" w:cs="Calibri"/>
          <w:b/>
          <w:color w:val="000000" w:themeColor="text1"/>
          <w:sz w:val="24"/>
          <w:szCs w:val="24"/>
        </w:rPr>
        <w:t>, tím došlo ke skutečnostem nasvědčujícím porušení rozpočtové kázně</w:t>
      </w:r>
      <w:r w:rsidR="009102B8" w:rsidRPr="00476369">
        <w:rPr>
          <w:rFonts w:ascii="Calibri" w:hAnsi="Calibri" w:cs="Calibri"/>
          <w:b/>
          <w:color w:val="000000" w:themeColor="text1"/>
          <w:sz w:val="24"/>
          <w:szCs w:val="24"/>
          <w:vertAlign w:val="superscript"/>
        </w:rPr>
        <w:t>19</w:t>
      </w:r>
      <w:r w:rsidR="000A0B88" w:rsidRPr="00476369">
        <w:rPr>
          <w:rFonts w:ascii="Calibri" w:hAnsi="Calibri" w:cs="Calibri"/>
          <w:b/>
          <w:color w:val="000000" w:themeColor="text1"/>
          <w:sz w:val="24"/>
          <w:szCs w:val="24"/>
        </w:rPr>
        <w:t xml:space="preserve"> minimálně ve výši 16 198 879,08 Kč vč. DPH.</w:t>
      </w:r>
    </w:p>
    <w:p w14:paraId="476B89C4" w14:textId="77777777" w:rsidR="00E053FE" w:rsidRPr="00476369" w:rsidRDefault="00E053FE" w:rsidP="00C97535">
      <w:pPr>
        <w:pStyle w:val="Odstavecseseznamem"/>
        <w:keepNext/>
        <w:widowControl/>
        <w:numPr>
          <w:ilvl w:val="0"/>
          <w:numId w:val="2"/>
        </w:numPr>
        <w:spacing w:before="120" w:after="120"/>
        <w:ind w:left="284" w:hanging="284"/>
        <w:contextualSpacing w:val="0"/>
        <w:jc w:val="both"/>
        <w:rPr>
          <w:rFonts w:ascii="Calibri" w:hAnsi="Calibri" w:cs="Calibri"/>
          <w:color w:val="000000" w:themeColor="text1"/>
          <w:sz w:val="24"/>
          <w:szCs w:val="24"/>
        </w:rPr>
      </w:pPr>
      <w:r w:rsidRPr="00476369">
        <w:rPr>
          <w:rFonts w:ascii="Calibri" w:hAnsi="Calibri" w:cs="Calibri"/>
          <w:color w:val="000000" w:themeColor="text1"/>
          <w:sz w:val="24"/>
          <w:szCs w:val="24"/>
        </w:rPr>
        <w:t>FNUSA</w:t>
      </w:r>
    </w:p>
    <w:p w14:paraId="4E51ABB4" w14:textId="4825FEC4" w:rsidR="000A0B88" w:rsidRPr="00476369" w:rsidRDefault="00E053FE" w:rsidP="00476369">
      <w:pPr>
        <w:widowControl/>
        <w:spacing w:before="120" w:after="120"/>
        <w:jc w:val="both"/>
        <w:rPr>
          <w:rFonts w:ascii="Calibri" w:hAnsi="Calibri" w:cs="Calibri"/>
          <w:b/>
          <w:color w:val="000000" w:themeColor="text1"/>
          <w:sz w:val="24"/>
          <w:szCs w:val="24"/>
        </w:rPr>
      </w:pPr>
      <w:r w:rsidRPr="00476369">
        <w:rPr>
          <w:rFonts w:ascii="Calibri" w:hAnsi="Calibri" w:cs="Calibri"/>
          <w:b/>
          <w:color w:val="000000" w:themeColor="text1"/>
          <w:sz w:val="24"/>
          <w:szCs w:val="24"/>
        </w:rPr>
        <w:t xml:space="preserve">FNUSA při pořizování dodávek </w:t>
      </w:r>
      <w:r w:rsidR="00130FED" w:rsidRPr="00476369">
        <w:rPr>
          <w:rFonts w:ascii="Calibri" w:hAnsi="Calibri" w:cs="Calibri"/>
          <w:b/>
          <w:color w:val="000000" w:themeColor="text1"/>
          <w:sz w:val="24"/>
          <w:szCs w:val="24"/>
        </w:rPr>
        <w:t>pěti</w:t>
      </w:r>
      <w:r w:rsidRPr="00476369">
        <w:rPr>
          <w:rFonts w:ascii="Calibri" w:hAnsi="Calibri" w:cs="Calibri"/>
          <w:b/>
          <w:color w:val="000000" w:themeColor="text1"/>
          <w:sz w:val="24"/>
          <w:szCs w:val="24"/>
        </w:rPr>
        <w:t xml:space="preserve"> </w:t>
      </w:r>
      <w:proofErr w:type="spellStart"/>
      <w:r w:rsidRPr="00476369">
        <w:rPr>
          <w:rFonts w:ascii="Calibri" w:hAnsi="Calibri" w:cs="Calibri"/>
          <w:b/>
          <w:color w:val="000000" w:themeColor="text1"/>
          <w:sz w:val="24"/>
          <w:szCs w:val="24"/>
        </w:rPr>
        <w:t>centrových</w:t>
      </w:r>
      <w:proofErr w:type="spellEnd"/>
      <w:r w:rsidRPr="00476369">
        <w:rPr>
          <w:rFonts w:ascii="Calibri" w:hAnsi="Calibri" w:cs="Calibri"/>
          <w:b/>
          <w:color w:val="000000" w:themeColor="text1"/>
          <w:sz w:val="24"/>
          <w:szCs w:val="24"/>
        </w:rPr>
        <w:t xml:space="preserve"> léků, 12 </w:t>
      </w:r>
      <w:r w:rsidR="00031ADD" w:rsidRPr="00476369">
        <w:rPr>
          <w:rFonts w:ascii="Calibri" w:hAnsi="Calibri" w:cs="Calibri"/>
          <w:b/>
          <w:color w:val="000000" w:themeColor="text1"/>
          <w:sz w:val="24"/>
          <w:szCs w:val="24"/>
        </w:rPr>
        <w:t>léčivých přípravků</w:t>
      </w:r>
      <w:r w:rsidRPr="00476369">
        <w:rPr>
          <w:rFonts w:ascii="Calibri" w:hAnsi="Calibri" w:cs="Calibri"/>
          <w:b/>
          <w:color w:val="000000" w:themeColor="text1"/>
          <w:sz w:val="24"/>
          <w:szCs w:val="24"/>
        </w:rPr>
        <w:t xml:space="preserve"> skupiny ATC</w:t>
      </w:r>
      <w:r w:rsidR="00A37B4A" w:rsidRPr="00476369">
        <w:rPr>
          <w:rFonts w:ascii="Calibri" w:hAnsi="Calibri" w:cs="Calibri"/>
          <w:b/>
          <w:color w:val="000000" w:themeColor="text1"/>
          <w:sz w:val="24"/>
          <w:szCs w:val="24"/>
        </w:rPr>
        <w:t xml:space="preserve"> — </w:t>
      </w:r>
      <w:r w:rsidRPr="00476369">
        <w:rPr>
          <w:rFonts w:ascii="Calibri" w:hAnsi="Calibri" w:cs="Calibri"/>
          <w:b/>
          <w:color w:val="000000" w:themeColor="text1"/>
          <w:sz w:val="24"/>
          <w:szCs w:val="24"/>
        </w:rPr>
        <w:t>J a</w:t>
      </w:r>
      <w:r w:rsidR="00B544AE" w:rsidRPr="00476369">
        <w:rPr>
          <w:rFonts w:ascii="Calibri" w:hAnsi="Calibri" w:cs="Calibri"/>
          <w:b/>
          <w:color w:val="000000" w:themeColor="text1"/>
          <w:sz w:val="24"/>
          <w:szCs w:val="24"/>
        </w:rPr>
        <w:t> </w:t>
      </w:r>
      <w:r w:rsidRPr="00476369">
        <w:rPr>
          <w:rFonts w:ascii="Calibri" w:hAnsi="Calibri" w:cs="Calibri"/>
          <w:b/>
          <w:color w:val="000000" w:themeColor="text1"/>
          <w:sz w:val="24"/>
          <w:szCs w:val="24"/>
        </w:rPr>
        <w:t xml:space="preserve">šesti </w:t>
      </w:r>
      <w:proofErr w:type="spellStart"/>
      <w:r w:rsidR="00E26D87" w:rsidRPr="00476369">
        <w:rPr>
          <w:rFonts w:ascii="Calibri" w:hAnsi="Calibri" w:cs="Calibri"/>
          <w:b/>
          <w:color w:val="000000" w:themeColor="text1"/>
          <w:sz w:val="24"/>
          <w:szCs w:val="24"/>
        </w:rPr>
        <w:t>ZPr</w:t>
      </w:r>
      <w:proofErr w:type="spellEnd"/>
      <w:r w:rsidRPr="00476369">
        <w:rPr>
          <w:rFonts w:ascii="Calibri" w:hAnsi="Calibri" w:cs="Calibri"/>
          <w:b/>
          <w:color w:val="000000" w:themeColor="text1"/>
          <w:sz w:val="24"/>
          <w:szCs w:val="24"/>
        </w:rPr>
        <w:t xml:space="preserve"> nedodržela zásadu transparentnosti, rovného zacházení a zákazu diskriminace</w:t>
      </w:r>
      <w:r w:rsidR="00266299">
        <w:rPr>
          <w:rFonts w:ascii="Calibri" w:hAnsi="Calibri" w:cs="Calibri"/>
          <w:b/>
          <w:color w:val="000000" w:themeColor="text1"/>
          <w:sz w:val="24"/>
          <w:szCs w:val="24"/>
          <w:vertAlign w:val="superscript"/>
        </w:rPr>
        <w:t>18</w:t>
      </w:r>
      <w:r w:rsidR="009502FC" w:rsidRPr="00476369">
        <w:rPr>
          <w:rFonts w:ascii="Calibri" w:hAnsi="Calibri" w:cs="Calibri"/>
          <w:b/>
          <w:color w:val="000000" w:themeColor="text1"/>
          <w:sz w:val="24"/>
          <w:szCs w:val="24"/>
        </w:rPr>
        <w:t>,</w:t>
      </w:r>
      <w:r w:rsidR="000A0B88" w:rsidRPr="00476369">
        <w:rPr>
          <w:rFonts w:ascii="Calibri" w:hAnsi="Calibri" w:cs="Calibri"/>
          <w:b/>
          <w:color w:val="000000" w:themeColor="text1"/>
          <w:sz w:val="24"/>
          <w:szCs w:val="24"/>
        </w:rPr>
        <w:t xml:space="preserve"> </w:t>
      </w:r>
      <w:r w:rsidR="00761191" w:rsidRPr="00476369">
        <w:rPr>
          <w:rFonts w:ascii="Calibri" w:hAnsi="Calibri" w:cs="Calibri"/>
          <w:b/>
          <w:color w:val="000000" w:themeColor="text1"/>
          <w:sz w:val="24"/>
          <w:szCs w:val="24"/>
        </w:rPr>
        <w:t xml:space="preserve">čímž </w:t>
      </w:r>
      <w:r w:rsidR="000A0B88" w:rsidRPr="00476369">
        <w:rPr>
          <w:rFonts w:ascii="Calibri" w:hAnsi="Calibri" w:cs="Calibri"/>
          <w:b/>
          <w:color w:val="000000" w:themeColor="text1"/>
          <w:sz w:val="24"/>
          <w:szCs w:val="24"/>
        </w:rPr>
        <w:t>došlo ke skutečnostem nasvědčujícím porušení rozpočtové kázně</w:t>
      </w:r>
      <w:r w:rsidR="00B305C9" w:rsidRPr="00476369">
        <w:rPr>
          <w:rFonts w:ascii="Calibri" w:hAnsi="Calibri" w:cs="Calibri"/>
          <w:b/>
          <w:color w:val="000000" w:themeColor="text1"/>
          <w:sz w:val="24"/>
          <w:szCs w:val="24"/>
          <w:vertAlign w:val="superscript"/>
        </w:rPr>
        <w:t>19</w:t>
      </w:r>
      <w:r w:rsidR="000A0B88" w:rsidRPr="00476369">
        <w:rPr>
          <w:rFonts w:ascii="Calibri" w:hAnsi="Calibri" w:cs="Calibri"/>
          <w:b/>
          <w:color w:val="000000" w:themeColor="text1"/>
          <w:sz w:val="24"/>
          <w:szCs w:val="24"/>
        </w:rPr>
        <w:t xml:space="preserve"> minimálně ve výši 23 373 930,82 Kč vč. DPH.</w:t>
      </w:r>
    </w:p>
    <w:p w14:paraId="76A93768" w14:textId="3648C38C" w:rsidR="0081585C" w:rsidRPr="00476369" w:rsidRDefault="0081585C" w:rsidP="00476369">
      <w:pPr>
        <w:widowControl/>
        <w:spacing w:before="120" w:after="120"/>
        <w:jc w:val="both"/>
        <w:rPr>
          <w:rFonts w:ascii="Calibri" w:hAnsi="Calibri" w:cs="Calibri"/>
          <w:color w:val="000000" w:themeColor="text1"/>
          <w:sz w:val="24"/>
          <w:szCs w:val="24"/>
        </w:rPr>
      </w:pPr>
      <w:r w:rsidRPr="00476369">
        <w:rPr>
          <w:rFonts w:ascii="Calibri" w:hAnsi="Calibri" w:cs="Calibri"/>
          <w:color w:val="000000" w:themeColor="text1"/>
          <w:sz w:val="24"/>
          <w:szCs w:val="24"/>
        </w:rPr>
        <w:t xml:space="preserve">FNUSA zrušila některé nadlimitní veřejné zakázky na dodávky </w:t>
      </w:r>
      <w:proofErr w:type="spellStart"/>
      <w:r w:rsidRPr="00476369">
        <w:rPr>
          <w:rFonts w:ascii="Calibri" w:hAnsi="Calibri" w:cs="Calibri"/>
          <w:color w:val="000000" w:themeColor="text1"/>
          <w:sz w:val="24"/>
          <w:szCs w:val="24"/>
        </w:rPr>
        <w:t>centrových</w:t>
      </w:r>
      <w:proofErr w:type="spellEnd"/>
      <w:r w:rsidRPr="00476369">
        <w:rPr>
          <w:rFonts w:ascii="Calibri" w:hAnsi="Calibri" w:cs="Calibri"/>
          <w:color w:val="000000" w:themeColor="text1"/>
          <w:sz w:val="24"/>
          <w:szCs w:val="24"/>
        </w:rPr>
        <w:t xml:space="preserve"> léků v letech 2018 až 2021. Dle vyjádření FNUSA měl</w:t>
      </w:r>
      <w:r w:rsidR="00DF4A3D" w:rsidRPr="00476369">
        <w:rPr>
          <w:rFonts w:ascii="Calibri" w:hAnsi="Calibri" w:cs="Calibri"/>
          <w:color w:val="000000" w:themeColor="text1"/>
          <w:sz w:val="24"/>
          <w:szCs w:val="24"/>
        </w:rPr>
        <w:t>a</w:t>
      </w:r>
      <w:r w:rsidRPr="00476369">
        <w:rPr>
          <w:rFonts w:ascii="Calibri" w:hAnsi="Calibri" w:cs="Calibri"/>
          <w:color w:val="000000" w:themeColor="text1"/>
          <w:sz w:val="24"/>
          <w:szCs w:val="24"/>
        </w:rPr>
        <w:t xml:space="preserve"> rozhodující vliv na </w:t>
      </w:r>
      <w:r w:rsidR="00DF4A3D" w:rsidRPr="00476369">
        <w:rPr>
          <w:rFonts w:ascii="Calibri" w:hAnsi="Calibri" w:cs="Calibri"/>
          <w:color w:val="000000" w:themeColor="text1"/>
          <w:sz w:val="24"/>
          <w:szCs w:val="24"/>
        </w:rPr>
        <w:t>ne</w:t>
      </w:r>
      <w:r w:rsidRPr="00476369">
        <w:rPr>
          <w:rFonts w:ascii="Calibri" w:hAnsi="Calibri" w:cs="Calibri"/>
          <w:color w:val="000000" w:themeColor="text1"/>
          <w:sz w:val="24"/>
          <w:szCs w:val="24"/>
        </w:rPr>
        <w:t>přihlášení účastníků do veřejných zakázek</w:t>
      </w:r>
      <w:r w:rsidR="00DF4A3D" w:rsidRPr="00476369">
        <w:rPr>
          <w:rFonts w:ascii="Calibri" w:hAnsi="Calibri" w:cs="Calibri"/>
          <w:color w:val="000000" w:themeColor="text1"/>
          <w:sz w:val="24"/>
          <w:szCs w:val="24"/>
        </w:rPr>
        <w:t xml:space="preserve"> úhrada závazků po lhůtě splatnosti. </w:t>
      </w:r>
    </w:p>
    <w:p w14:paraId="3BC4C2BA" w14:textId="77777777" w:rsidR="00466AD6" w:rsidRPr="00476369" w:rsidRDefault="00466AD6" w:rsidP="00C97535">
      <w:pPr>
        <w:keepNext/>
        <w:widowControl/>
        <w:spacing w:before="120" w:after="120"/>
        <w:jc w:val="both"/>
        <w:rPr>
          <w:rFonts w:ascii="Calibri" w:hAnsi="Calibri" w:cs="Calibri"/>
          <w:b/>
          <w:noProof/>
          <w:color w:val="000000" w:themeColor="text1"/>
          <w:sz w:val="24"/>
          <w:szCs w:val="24"/>
        </w:rPr>
      </w:pPr>
      <w:r w:rsidRPr="00476369">
        <w:rPr>
          <w:rFonts w:ascii="Calibri" w:hAnsi="Calibri" w:cs="Calibri"/>
          <w:b/>
          <w:noProof/>
          <w:color w:val="000000" w:themeColor="text1"/>
          <w:sz w:val="24"/>
          <w:szCs w:val="24"/>
        </w:rPr>
        <w:t>Cenové rozdíly centrových léků</w:t>
      </w:r>
    </w:p>
    <w:p w14:paraId="4B4FB4E0" w14:textId="7BA9EAB6" w:rsidR="000741CB" w:rsidRPr="00476369" w:rsidRDefault="00466AD6" w:rsidP="00476369">
      <w:pPr>
        <w:widowControl/>
        <w:spacing w:before="120" w:after="120"/>
        <w:jc w:val="both"/>
        <w:rPr>
          <w:rFonts w:ascii="Calibri" w:hAnsi="Calibri" w:cs="Calibri"/>
          <w:noProof/>
          <w:color w:val="000000" w:themeColor="text1"/>
          <w:sz w:val="24"/>
          <w:szCs w:val="24"/>
        </w:rPr>
      </w:pPr>
      <w:r w:rsidRPr="00476369">
        <w:rPr>
          <w:rFonts w:ascii="Calibri" w:hAnsi="Calibri" w:cs="Calibri"/>
          <w:noProof/>
          <w:color w:val="000000" w:themeColor="text1"/>
          <w:sz w:val="24"/>
          <w:szCs w:val="24"/>
        </w:rPr>
        <w:t xml:space="preserve">Na kontrolním vzorku 15 druhů centrových léků, které pořizovaly </w:t>
      </w:r>
      <w:r w:rsidR="00D95702" w:rsidRPr="00476369">
        <w:rPr>
          <w:rFonts w:ascii="Calibri" w:hAnsi="Calibri" w:cs="Calibri"/>
          <w:noProof/>
          <w:color w:val="000000" w:themeColor="text1"/>
          <w:sz w:val="24"/>
          <w:szCs w:val="24"/>
        </w:rPr>
        <w:t>kontrolované</w:t>
      </w:r>
      <w:r w:rsidR="009A410B" w:rsidRPr="00476369">
        <w:rPr>
          <w:rFonts w:ascii="Calibri" w:hAnsi="Calibri" w:cs="Calibri"/>
          <w:noProof/>
          <w:color w:val="000000" w:themeColor="text1"/>
          <w:sz w:val="24"/>
          <w:szCs w:val="24"/>
        </w:rPr>
        <w:t xml:space="preserve"> FN </w:t>
      </w:r>
      <w:r w:rsidRPr="00476369">
        <w:rPr>
          <w:rFonts w:ascii="Calibri" w:hAnsi="Calibri" w:cs="Calibri"/>
          <w:noProof/>
          <w:color w:val="000000" w:themeColor="text1"/>
          <w:sz w:val="24"/>
          <w:szCs w:val="24"/>
        </w:rPr>
        <w:t>v období 2019 až 2021, NKÚ zjistil při porovnání jednotkových cen za jedno balení v jednotlivých letech rozdíly</w:t>
      </w:r>
      <w:r w:rsidR="00745C63" w:rsidRPr="00476369">
        <w:rPr>
          <w:rFonts w:ascii="Calibri" w:hAnsi="Calibri" w:cs="Calibri"/>
          <w:noProof/>
          <w:color w:val="000000" w:themeColor="text1"/>
          <w:sz w:val="24"/>
          <w:szCs w:val="24"/>
        </w:rPr>
        <w:t>.</w:t>
      </w:r>
      <w:r w:rsidRPr="00476369">
        <w:rPr>
          <w:rFonts w:ascii="Calibri" w:hAnsi="Calibri" w:cs="Calibri"/>
          <w:noProof/>
          <w:color w:val="000000" w:themeColor="text1"/>
          <w:sz w:val="24"/>
          <w:szCs w:val="24"/>
        </w:rPr>
        <w:t xml:space="preserve"> </w:t>
      </w:r>
      <w:r w:rsidR="00745C63" w:rsidRPr="00476369">
        <w:rPr>
          <w:rFonts w:ascii="Calibri" w:hAnsi="Calibri" w:cs="Calibri"/>
          <w:noProof/>
          <w:color w:val="000000" w:themeColor="text1"/>
          <w:sz w:val="24"/>
          <w:szCs w:val="24"/>
        </w:rPr>
        <w:t>Tyto rozdíly</w:t>
      </w:r>
      <w:r w:rsidR="000C6008" w:rsidRPr="00476369">
        <w:rPr>
          <w:rStyle w:val="Znakapoznpodarou"/>
          <w:rFonts w:ascii="Calibri" w:hAnsi="Calibri" w:cs="Calibri"/>
          <w:noProof/>
          <w:color w:val="000000" w:themeColor="text1"/>
          <w:sz w:val="24"/>
          <w:szCs w:val="24"/>
        </w:rPr>
        <w:footnoteReference w:id="45"/>
      </w:r>
      <w:r w:rsidRPr="00476369">
        <w:rPr>
          <w:rFonts w:ascii="Calibri" w:hAnsi="Calibri" w:cs="Calibri"/>
          <w:noProof/>
          <w:color w:val="000000" w:themeColor="text1"/>
          <w:sz w:val="24"/>
          <w:szCs w:val="24"/>
        </w:rPr>
        <w:t xml:space="preserve"> se v procentuálním vyjádření pohybovaly </w:t>
      </w:r>
      <w:r w:rsidR="005202EA" w:rsidRPr="00476369">
        <w:rPr>
          <w:rFonts w:ascii="Calibri" w:hAnsi="Calibri" w:cs="Calibri"/>
          <w:noProof/>
          <w:color w:val="000000" w:themeColor="text1"/>
          <w:sz w:val="24"/>
          <w:szCs w:val="24"/>
        </w:rPr>
        <w:t xml:space="preserve">v rozmezí </w:t>
      </w:r>
      <w:r w:rsidR="000741CB" w:rsidRPr="00476369">
        <w:rPr>
          <w:rFonts w:ascii="Calibri" w:hAnsi="Calibri" w:cs="Calibri"/>
          <w:noProof/>
          <w:color w:val="000000" w:themeColor="text1"/>
          <w:sz w:val="24"/>
          <w:szCs w:val="24"/>
        </w:rPr>
        <w:t>od 0 % do 91,00 %</w:t>
      </w:r>
      <w:r w:rsidR="00AC4E8C" w:rsidRPr="00476369">
        <w:rPr>
          <w:rFonts w:ascii="Calibri" w:hAnsi="Calibri" w:cs="Calibri"/>
          <w:noProof/>
          <w:color w:val="000000" w:themeColor="text1"/>
          <w:sz w:val="24"/>
          <w:szCs w:val="24"/>
        </w:rPr>
        <w:t xml:space="preserve"> </w:t>
      </w:r>
      <w:r w:rsidR="000741CB" w:rsidRPr="00476369">
        <w:rPr>
          <w:rFonts w:ascii="Calibri" w:hAnsi="Calibri" w:cs="Calibri"/>
          <w:noProof/>
          <w:color w:val="000000" w:themeColor="text1"/>
          <w:sz w:val="24"/>
          <w:szCs w:val="24"/>
        </w:rPr>
        <w:t xml:space="preserve">a v absolutním vyjádření </w:t>
      </w:r>
      <w:r w:rsidR="00C14586" w:rsidRPr="00476369">
        <w:rPr>
          <w:rFonts w:ascii="Calibri" w:hAnsi="Calibri" w:cs="Calibri"/>
          <w:noProof/>
          <w:color w:val="000000" w:themeColor="text1"/>
          <w:sz w:val="24"/>
          <w:szCs w:val="24"/>
        </w:rPr>
        <w:t xml:space="preserve">se </w:t>
      </w:r>
      <w:r w:rsidR="000741CB" w:rsidRPr="00476369">
        <w:rPr>
          <w:rFonts w:ascii="Calibri" w:hAnsi="Calibri" w:cs="Calibri"/>
          <w:noProof/>
          <w:color w:val="000000" w:themeColor="text1"/>
          <w:sz w:val="24"/>
          <w:szCs w:val="24"/>
        </w:rPr>
        <w:t xml:space="preserve">pohybovaly </w:t>
      </w:r>
      <w:r w:rsidR="005202EA" w:rsidRPr="00476369">
        <w:rPr>
          <w:rFonts w:ascii="Calibri" w:hAnsi="Calibri" w:cs="Calibri"/>
          <w:noProof/>
          <w:color w:val="000000" w:themeColor="text1"/>
          <w:sz w:val="24"/>
          <w:szCs w:val="24"/>
        </w:rPr>
        <w:t xml:space="preserve">v rozmezí </w:t>
      </w:r>
      <w:r w:rsidR="000741CB" w:rsidRPr="00476369">
        <w:rPr>
          <w:rFonts w:ascii="Calibri" w:hAnsi="Calibri" w:cs="Calibri"/>
          <w:noProof/>
          <w:color w:val="000000" w:themeColor="text1"/>
          <w:sz w:val="24"/>
          <w:szCs w:val="24"/>
        </w:rPr>
        <w:t xml:space="preserve">od 0 Kč do 15 008,44 Kč. Všechny zjištěné rozdíly jsou uvedeny v příloze č. </w:t>
      </w:r>
      <w:r w:rsidR="00F56DF7" w:rsidRPr="00476369">
        <w:rPr>
          <w:rFonts w:ascii="Calibri" w:hAnsi="Calibri" w:cs="Calibri"/>
          <w:noProof/>
          <w:color w:val="000000" w:themeColor="text1"/>
          <w:sz w:val="24"/>
          <w:szCs w:val="24"/>
        </w:rPr>
        <w:t>2</w:t>
      </w:r>
      <w:r w:rsidR="000741CB" w:rsidRPr="00476369">
        <w:rPr>
          <w:rFonts w:ascii="Calibri" w:hAnsi="Calibri" w:cs="Calibri"/>
          <w:noProof/>
          <w:color w:val="000000" w:themeColor="text1"/>
          <w:sz w:val="24"/>
          <w:szCs w:val="24"/>
        </w:rPr>
        <w:t xml:space="preserve"> tohoto kontrolního závěru. </w:t>
      </w:r>
    </w:p>
    <w:p w14:paraId="4BDAD030" w14:textId="1CDE0790" w:rsidR="000741CB" w:rsidRPr="00D30C21" w:rsidRDefault="000741CB" w:rsidP="00476369">
      <w:pPr>
        <w:widowControl/>
        <w:jc w:val="both"/>
        <w:rPr>
          <w:rFonts w:asciiTheme="minorHAnsi" w:hAnsiTheme="minorHAnsi" w:cstheme="minorHAnsi"/>
          <w:noProof/>
          <w:color w:val="000000" w:themeColor="text1"/>
          <w:sz w:val="24"/>
          <w:szCs w:val="24"/>
        </w:rPr>
      </w:pPr>
      <w:r w:rsidRPr="00D30C21">
        <w:rPr>
          <w:rFonts w:asciiTheme="minorHAnsi" w:hAnsiTheme="minorHAnsi" w:cstheme="minorHAnsi"/>
          <w:noProof/>
          <w:color w:val="000000" w:themeColor="text1"/>
          <w:sz w:val="24"/>
          <w:szCs w:val="24"/>
        </w:rPr>
        <w:t xml:space="preserve">Největší rozdíl v absolutní hodnotě nebo v procentuálním vyjádření byl zjištěn u léčiv pod kódy </w:t>
      </w:r>
      <w:r w:rsidR="00CA1DBD" w:rsidRPr="00D30C21">
        <w:rPr>
          <w:rFonts w:asciiTheme="minorHAnsi" w:hAnsiTheme="minorHAnsi" w:cstheme="minorHAnsi"/>
          <w:noProof/>
          <w:color w:val="000000" w:themeColor="text1"/>
          <w:sz w:val="24"/>
          <w:szCs w:val="24"/>
        </w:rPr>
        <w:t>Státního ústavu pro kontrolu léčiv (dále také „</w:t>
      </w:r>
      <w:r w:rsidRPr="00D30C21">
        <w:rPr>
          <w:rFonts w:asciiTheme="minorHAnsi" w:hAnsiTheme="minorHAnsi" w:cstheme="minorHAnsi"/>
          <w:noProof/>
          <w:color w:val="000000" w:themeColor="text1"/>
          <w:sz w:val="24"/>
          <w:szCs w:val="24"/>
        </w:rPr>
        <w:t>SÚKL</w:t>
      </w:r>
      <w:r w:rsidR="00CA1DBD" w:rsidRPr="00D30C21">
        <w:rPr>
          <w:rFonts w:asciiTheme="minorHAnsi" w:hAnsiTheme="minorHAnsi" w:cstheme="minorHAnsi"/>
          <w:noProof/>
          <w:color w:val="000000" w:themeColor="text1"/>
          <w:sz w:val="24"/>
          <w:szCs w:val="24"/>
        </w:rPr>
        <w:t>“)</w:t>
      </w:r>
      <w:r w:rsidRPr="00D30C21">
        <w:rPr>
          <w:rFonts w:asciiTheme="minorHAnsi" w:hAnsiTheme="minorHAnsi" w:cstheme="minorHAnsi"/>
          <w:noProof/>
          <w:color w:val="000000" w:themeColor="text1"/>
          <w:sz w:val="24"/>
          <w:szCs w:val="24"/>
        </w:rPr>
        <w:t xml:space="preserve">: </w:t>
      </w:r>
    </w:p>
    <w:p w14:paraId="2471A0F9" w14:textId="36D1BB23" w:rsidR="000741CB" w:rsidRPr="00D30C21" w:rsidRDefault="0017220F" w:rsidP="00C97535">
      <w:pPr>
        <w:pStyle w:val="Odstavecseseznamem"/>
        <w:widowControl/>
        <w:numPr>
          <w:ilvl w:val="0"/>
          <w:numId w:val="40"/>
        </w:numPr>
        <w:autoSpaceDE/>
        <w:autoSpaceDN/>
        <w:adjustRightInd/>
        <w:ind w:left="284" w:hanging="284"/>
        <w:jc w:val="both"/>
        <w:rPr>
          <w:rFonts w:asciiTheme="minorHAnsi" w:hAnsiTheme="minorHAnsi" w:cstheme="minorHAnsi"/>
          <w:noProof/>
          <w:color w:val="000000" w:themeColor="text1"/>
          <w:sz w:val="24"/>
          <w:szCs w:val="24"/>
        </w:rPr>
      </w:pPr>
      <w:r w:rsidRPr="00D30C21">
        <w:rPr>
          <w:rFonts w:asciiTheme="minorHAnsi" w:hAnsiTheme="minorHAnsi" w:cstheme="minorHAnsi"/>
          <w:noProof/>
          <w:color w:val="000000" w:themeColor="text1"/>
          <w:sz w:val="24"/>
          <w:szCs w:val="24"/>
        </w:rPr>
        <w:t>0</w:t>
      </w:r>
      <w:r w:rsidR="000741CB" w:rsidRPr="00D30C21">
        <w:rPr>
          <w:rFonts w:asciiTheme="minorHAnsi" w:hAnsiTheme="minorHAnsi" w:cstheme="minorHAnsi"/>
          <w:noProof/>
          <w:color w:val="000000" w:themeColor="text1"/>
          <w:sz w:val="24"/>
          <w:szCs w:val="24"/>
        </w:rPr>
        <w:t>222565 (DUPIXENT) v roce 2019 činil 15 008,44 Kč (tj. 58,59 %), kdy FNB, FNKV, FNUSA pořídily jedno balení za 25 613,99 Kč a FNKV, FNUSA za 40 622,43 Kč. Tento léčivý přípravek dodával jeden dodavatel. Důvodem zjištěného rozdílu byla výše nákupní ceny a</w:t>
      </w:r>
      <w:r w:rsidR="00C97535">
        <w:rPr>
          <w:rFonts w:asciiTheme="minorHAnsi" w:hAnsiTheme="minorHAnsi" w:cstheme="minorHAnsi"/>
          <w:noProof/>
          <w:color w:val="000000" w:themeColor="text1"/>
          <w:sz w:val="24"/>
          <w:szCs w:val="24"/>
        </w:rPr>
        <w:t> </w:t>
      </w:r>
      <w:r w:rsidR="000741CB" w:rsidRPr="00D30C21">
        <w:rPr>
          <w:rFonts w:asciiTheme="minorHAnsi" w:hAnsiTheme="minorHAnsi" w:cstheme="minorHAnsi"/>
          <w:noProof/>
          <w:color w:val="000000" w:themeColor="text1"/>
          <w:sz w:val="24"/>
          <w:szCs w:val="24"/>
        </w:rPr>
        <w:t>t.</w:t>
      </w:r>
      <w:r w:rsidR="00C97535">
        <w:rPr>
          <w:rFonts w:asciiTheme="minorHAnsi" w:hAnsiTheme="minorHAnsi" w:cstheme="minorHAnsi"/>
          <w:noProof/>
          <w:color w:val="000000" w:themeColor="text1"/>
          <w:sz w:val="24"/>
          <w:szCs w:val="24"/>
        </w:rPr>
        <w:t> </w:t>
      </w:r>
      <w:r w:rsidR="000741CB" w:rsidRPr="00D30C21">
        <w:rPr>
          <w:rFonts w:asciiTheme="minorHAnsi" w:hAnsiTheme="minorHAnsi" w:cstheme="minorHAnsi"/>
          <w:noProof/>
          <w:color w:val="000000" w:themeColor="text1"/>
          <w:sz w:val="24"/>
          <w:szCs w:val="24"/>
        </w:rPr>
        <w:t>č.</w:t>
      </w:r>
      <w:r w:rsidR="00C97535">
        <w:rPr>
          <w:rFonts w:asciiTheme="minorHAnsi" w:hAnsiTheme="minorHAnsi" w:cstheme="minorHAnsi"/>
          <w:noProof/>
          <w:color w:val="000000" w:themeColor="text1"/>
          <w:sz w:val="24"/>
          <w:szCs w:val="24"/>
        </w:rPr>
        <w:t> </w:t>
      </w:r>
      <w:r w:rsidR="000741CB" w:rsidRPr="00D30C21">
        <w:rPr>
          <w:rFonts w:asciiTheme="minorHAnsi" w:hAnsiTheme="minorHAnsi" w:cstheme="minorHAnsi"/>
          <w:noProof/>
          <w:color w:val="000000" w:themeColor="text1"/>
          <w:sz w:val="24"/>
          <w:szCs w:val="24"/>
        </w:rPr>
        <w:t>stanovená úhrada,</w:t>
      </w:r>
      <w:r w:rsidR="000741CB" w:rsidRPr="00D30C21">
        <w:rPr>
          <w:rFonts w:asciiTheme="minorHAnsi" w:hAnsiTheme="minorHAnsi" w:cstheme="minorHAnsi"/>
          <w:sz w:val="24"/>
          <w:szCs w:val="24"/>
        </w:rPr>
        <w:t xml:space="preserve"> jednalo se o individuálně schválená podání zdravotní pojišťovnou</w:t>
      </w:r>
      <w:r w:rsidR="00A37B4A" w:rsidRPr="00D30C21">
        <w:rPr>
          <w:rStyle w:val="Znakapoznpodarou"/>
          <w:rFonts w:asciiTheme="minorHAnsi" w:hAnsiTheme="minorHAnsi"/>
          <w:sz w:val="24"/>
          <w:szCs w:val="24"/>
        </w:rPr>
        <w:footnoteReference w:id="46"/>
      </w:r>
      <w:r w:rsidR="000741CB" w:rsidRPr="00D30C21">
        <w:rPr>
          <w:rFonts w:asciiTheme="minorHAnsi" w:hAnsiTheme="minorHAnsi" w:cstheme="minorHAnsi"/>
          <w:noProof/>
          <w:color w:val="000000" w:themeColor="text1"/>
          <w:sz w:val="24"/>
          <w:szCs w:val="24"/>
        </w:rPr>
        <w:t>.</w:t>
      </w:r>
    </w:p>
    <w:p w14:paraId="4C8B524F" w14:textId="28AD52D8" w:rsidR="000741CB" w:rsidRPr="00D30C21" w:rsidRDefault="0017220F" w:rsidP="00C97535">
      <w:pPr>
        <w:pStyle w:val="Odstavecseseznamem"/>
        <w:widowControl/>
        <w:numPr>
          <w:ilvl w:val="0"/>
          <w:numId w:val="40"/>
        </w:numPr>
        <w:autoSpaceDE/>
        <w:autoSpaceDN/>
        <w:adjustRightInd/>
        <w:ind w:left="284" w:hanging="284"/>
        <w:jc w:val="both"/>
        <w:rPr>
          <w:rFonts w:asciiTheme="minorHAnsi" w:hAnsiTheme="minorHAnsi" w:cstheme="minorHAnsi"/>
          <w:noProof/>
          <w:color w:val="000000" w:themeColor="text1"/>
          <w:sz w:val="24"/>
          <w:szCs w:val="24"/>
        </w:rPr>
      </w:pPr>
      <w:r w:rsidRPr="00D30C21">
        <w:rPr>
          <w:rFonts w:asciiTheme="minorHAnsi" w:hAnsiTheme="minorHAnsi" w:cstheme="minorHAnsi"/>
          <w:noProof/>
          <w:color w:val="000000" w:themeColor="text1"/>
          <w:sz w:val="24"/>
          <w:szCs w:val="24"/>
        </w:rPr>
        <w:t>00</w:t>
      </w:r>
      <w:r w:rsidR="000741CB" w:rsidRPr="00D30C21">
        <w:rPr>
          <w:rFonts w:asciiTheme="minorHAnsi" w:hAnsiTheme="minorHAnsi" w:cstheme="minorHAnsi"/>
          <w:noProof/>
          <w:color w:val="000000" w:themeColor="text1"/>
          <w:sz w:val="24"/>
          <w:szCs w:val="24"/>
        </w:rPr>
        <w:t>28396 (AVASTIN) v roce 2019 činil 5 868,96 Kč (tj. 91</w:t>
      </w:r>
      <w:r w:rsidR="00D95702">
        <w:rPr>
          <w:rFonts w:asciiTheme="minorHAnsi" w:hAnsiTheme="minorHAnsi" w:cstheme="minorHAnsi"/>
          <w:noProof/>
          <w:color w:val="000000" w:themeColor="text1"/>
          <w:sz w:val="24"/>
          <w:szCs w:val="24"/>
        </w:rPr>
        <w:t>,00</w:t>
      </w:r>
      <w:r w:rsidR="000741CB" w:rsidRPr="00D30C21">
        <w:rPr>
          <w:rFonts w:asciiTheme="minorHAnsi" w:hAnsiTheme="minorHAnsi" w:cstheme="minorHAnsi"/>
          <w:noProof/>
          <w:color w:val="000000" w:themeColor="text1"/>
          <w:sz w:val="24"/>
          <w:szCs w:val="24"/>
        </w:rPr>
        <w:t xml:space="preserve"> %), kdy FNB, FNKV, FNUSA pořídily jedno balení za 6 449,41 Kč a FNKV </w:t>
      </w:r>
      <w:r w:rsidR="005202EA" w:rsidRPr="00D30C21">
        <w:rPr>
          <w:rFonts w:asciiTheme="minorHAnsi" w:hAnsiTheme="minorHAnsi" w:cstheme="minorHAnsi"/>
          <w:noProof/>
          <w:color w:val="000000" w:themeColor="text1"/>
          <w:sz w:val="24"/>
          <w:szCs w:val="24"/>
        </w:rPr>
        <w:t xml:space="preserve">také </w:t>
      </w:r>
      <w:r w:rsidR="000741CB" w:rsidRPr="00D30C21">
        <w:rPr>
          <w:rFonts w:asciiTheme="minorHAnsi" w:hAnsiTheme="minorHAnsi" w:cstheme="minorHAnsi"/>
          <w:noProof/>
          <w:color w:val="000000" w:themeColor="text1"/>
          <w:sz w:val="24"/>
          <w:szCs w:val="24"/>
        </w:rPr>
        <w:t>za 12 318,37 Kč. V roce 2021 činil rozdíl 2 377,61 Kč (58,39 %), kdy FNKV pořídil</w:t>
      </w:r>
      <w:r w:rsidR="008D0AED" w:rsidRPr="00D30C21">
        <w:rPr>
          <w:rFonts w:asciiTheme="minorHAnsi" w:hAnsiTheme="minorHAnsi" w:cstheme="minorHAnsi"/>
          <w:noProof/>
          <w:color w:val="000000" w:themeColor="text1"/>
          <w:sz w:val="24"/>
          <w:szCs w:val="24"/>
        </w:rPr>
        <w:t>a</w:t>
      </w:r>
      <w:r w:rsidR="000741CB" w:rsidRPr="00D30C21">
        <w:rPr>
          <w:rFonts w:asciiTheme="minorHAnsi" w:hAnsiTheme="minorHAnsi" w:cstheme="minorHAnsi"/>
          <w:noProof/>
          <w:color w:val="000000" w:themeColor="text1"/>
          <w:sz w:val="24"/>
          <w:szCs w:val="24"/>
        </w:rPr>
        <w:t xml:space="preserve"> jedno balení za 4 071,80 Kč a </w:t>
      </w:r>
      <w:r w:rsidR="008D0AED" w:rsidRPr="00D30C21">
        <w:rPr>
          <w:rFonts w:asciiTheme="minorHAnsi" w:hAnsiTheme="minorHAnsi" w:cstheme="minorHAnsi"/>
          <w:noProof/>
          <w:color w:val="000000" w:themeColor="text1"/>
          <w:sz w:val="24"/>
          <w:szCs w:val="24"/>
        </w:rPr>
        <w:t>FNB, FNKV a</w:t>
      </w:r>
      <w:r w:rsidR="00322F65" w:rsidRPr="00D30C21">
        <w:rPr>
          <w:rFonts w:asciiTheme="minorHAnsi" w:hAnsiTheme="minorHAnsi" w:cstheme="minorHAnsi"/>
          <w:noProof/>
          <w:color w:val="000000" w:themeColor="text1"/>
          <w:sz w:val="24"/>
          <w:szCs w:val="24"/>
        </w:rPr>
        <w:t> </w:t>
      </w:r>
      <w:r w:rsidR="008D0AED" w:rsidRPr="00D30C21">
        <w:rPr>
          <w:rFonts w:asciiTheme="minorHAnsi" w:hAnsiTheme="minorHAnsi" w:cstheme="minorHAnsi"/>
          <w:noProof/>
          <w:color w:val="000000" w:themeColor="text1"/>
          <w:sz w:val="24"/>
          <w:szCs w:val="24"/>
        </w:rPr>
        <w:t xml:space="preserve">FNUSA za </w:t>
      </w:r>
      <w:r w:rsidR="000741CB" w:rsidRPr="00D30C21">
        <w:rPr>
          <w:rFonts w:asciiTheme="minorHAnsi" w:hAnsiTheme="minorHAnsi" w:cstheme="minorHAnsi"/>
          <w:noProof/>
          <w:color w:val="000000" w:themeColor="text1"/>
          <w:sz w:val="24"/>
          <w:szCs w:val="24"/>
        </w:rPr>
        <w:t xml:space="preserve">6 449,41 Kč. Jedná </w:t>
      </w:r>
      <w:r w:rsidR="005202EA" w:rsidRPr="00D30C21">
        <w:rPr>
          <w:rFonts w:asciiTheme="minorHAnsi" w:hAnsiTheme="minorHAnsi" w:cstheme="minorHAnsi"/>
          <w:noProof/>
          <w:color w:val="000000" w:themeColor="text1"/>
          <w:sz w:val="24"/>
          <w:szCs w:val="24"/>
        </w:rPr>
        <w:t xml:space="preserve">se </w:t>
      </w:r>
      <w:r w:rsidR="000741CB" w:rsidRPr="00D30C21">
        <w:rPr>
          <w:rFonts w:asciiTheme="minorHAnsi" w:hAnsiTheme="minorHAnsi" w:cstheme="minorHAnsi"/>
          <w:noProof/>
          <w:color w:val="000000" w:themeColor="text1"/>
          <w:sz w:val="24"/>
          <w:szCs w:val="24"/>
        </w:rPr>
        <w:t>o originální léčivý přípravek, který byl do roku 2021 bez konkurence</w:t>
      </w:r>
      <w:r w:rsidR="005202EA" w:rsidRPr="00D30C21">
        <w:rPr>
          <w:rFonts w:asciiTheme="minorHAnsi" w:hAnsiTheme="minorHAnsi" w:cstheme="minorHAnsi"/>
          <w:noProof/>
          <w:color w:val="000000" w:themeColor="text1"/>
          <w:sz w:val="24"/>
          <w:szCs w:val="24"/>
        </w:rPr>
        <w:t xml:space="preserve"> a</w:t>
      </w:r>
      <w:r w:rsidR="000741CB" w:rsidRPr="00D30C21">
        <w:rPr>
          <w:rFonts w:asciiTheme="minorHAnsi" w:hAnsiTheme="minorHAnsi" w:cstheme="minorHAnsi"/>
          <w:noProof/>
          <w:color w:val="000000" w:themeColor="text1"/>
          <w:sz w:val="24"/>
          <w:szCs w:val="24"/>
        </w:rPr>
        <w:t xml:space="preserve"> byl nakupován přímo od výrobce, kdy od 1. 7. 2021 došlo ke snížení úhrady zdravotní pojišťovnou a současně </w:t>
      </w:r>
      <w:r w:rsidR="00D95702">
        <w:rPr>
          <w:rFonts w:asciiTheme="minorHAnsi" w:hAnsiTheme="minorHAnsi" w:cstheme="minorHAnsi"/>
          <w:noProof/>
          <w:color w:val="000000" w:themeColor="text1"/>
          <w:sz w:val="24"/>
          <w:szCs w:val="24"/>
        </w:rPr>
        <w:t xml:space="preserve">došlo </w:t>
      </w:r>
      <w:r w:rsidR="000741CB" w:rsidRPr="00D30C21">
        <w:rPr>
          <w:rFonts w:asciiTheme="minorHAnsi" w:hAnsiTheme="minorHAnsi" w:cstheme="minorHAnsi"/>
          <w:noProof/>
          <w:color w:val="000000" w:themeColor="text1"/>
          <w:sz w:val="24"/>
          <w:szCs w:val="24"/>
        </w:rPr>
        <w:t>i ke snížení ceny výrobcem.</w:t>
      </w:r>
    </w:p>
    <w:p w14:paraId="17E18B66" w14:textId="02891FB7" w:rsidR="000741CB" w:rsidRPr="004E624C" w:rsidRDefault="0017220F" w:rsidP="00C97535">
      <w:pPr>
        <w:pStyle w:val="Odstavecseseznamem"/>
        <w:widowControl/>
        <w:numPr>
          <w:ilvl w:val="0"/>
          <w:numId w:val="40"/>
        </w:numPr>
        <w:autoSpaceDE/>
        <w:autoSpaceDN/>
        <w:adjustRightInd/>
        <w:ind w:left="284" w:hanging="284"/>
        <w:jc w:val="both"/>
        <w:rPr>
          <w:rFonts w:asciiTheme="minorHAnsi" w:hAnsiTheme="minorHAnsi" w:cstheme="minorHAnsi"/>
          <w:noProof/>
          <w:color w:val="000000" w:themeColor="text1"/>
          <w:sz w:val="24"/>
          <w:szCs w:val="24"/>
        </w:rPr>
      </w:pPr>
      <w:r w:rsidRPr="004E624C">
        <w:rPr>
          <w:rFonts w:asciiTheme="minorHAnsi" w:hAnsiTheme="minorHAnsi" w:cstheme="minorHAnsi"/>
          <w:noProof/>
          <w:color w:val="000000" w:themeColor="text1"/>
          <w:sz w:val="24"/>
          <w:szCs w:val="24"/>
        </w:rPr>
        <w:t>0</w:t>
      </w:r>
      <w:r w:rsidR="000741CB" w:rsidRPr="004E624C">
        <w:rPr>
          <w:rFonts w:asciiTheme="minorHAnsi" w:hAnsiTheme="minorHAnsi" w:cstheme="minorHAnsi"/>
          <w:noProof/>
          <w:color w:val="000000" w:themeColor="text1"/>
          <w:sz w:val="24"/>
          <w:szCs w:val="24"/>
        </w:rPr>
        <w:t>194345 (REMSIMA) v roce 2019 činil 4 228,36 Kč (tj. 82,89 %), kdy FNB pořídila jedno balení za 5 101,26 Kč a FNUSA za 9 329,62 Kč. Důvodem zjištěného rozdílu bylo, že od 1. 7. 2019 došlo ke snížení úhrady</w:t>
      </w:r>
      <w:r w:rsidR="002F4982" w:rsidRPr="004E624C">
        <w:rPr>
          <w:rFonts w:asciiTheme="minorHAnsi" w:hAnsiTheme="minorHAnsi" w:cstheme="minorHAnsi"/>
          <w:noProof/>
          <w:color w:val="000000" w:themeColor="text1"/>
          <w:sz w:val="24"/>
          <w:szCs w:val="24"/>
        </w:rPr>
        <w:t>.</w:t>
      </w:r>
      <w:r w:rsidR="000741CB" w:rsidRPr="004E624C">
        <w:rPr>
          <w:rFonts w:asciiTheme="minorHAnsi" w:hAnsiTheme="minorHAnsi" w:cstheme="minorHAnsi"/>
          <w:noProof/>
          <w:color w:val="000000" w:themeColor="text1"/>
          <w:sz w:val="24"/>
          <w:szCs w:val="24"/>
        </w:rPr>
        <w:t xml:space="preserve"> </w:t>
      </w:r>
      <w:r w:rsidR="006244D5" w:rsidRPr="004E624C">
        <w:rPr>
          <w:rFonts w:asciiTheme="minorHAnsi" w:hAnsiTheme="minorHAnsi" w:cstheme="minorHAnsi"/>
          <w:noProof/>
          <w:color w:val="000000" w:themeColor="text1"/>
          <w:sz w:val="24"/>
          <w:szCs w:val="24"/>
        </w:rPr>
        <w:t xml:space="preserve">Další rozdíl v roce 2020 a 2021 </w:t>
      </w:r>
      <w:r w:rsidR="00992365" w:rsidRPr="004E624C">
        <w:rPr>
          <w:rFonts w:asciiTheme="minorHAnsi" w:hAnsiTheme="minorHAnsi" w:cstheme="minorHAnsi"/>
          <w:noProof/>
          <w:color w:val="000000" w:themeColor="text1"/>
          <w:sz w:val="24"/>
          <w:szCs w:val="24"/>
        </w:rPr>
        <w:t>vznikl v důsledku</w:t>
      </w:r>
      <w:r w:rsidR="006244D5" w:rsidRPr="004E624C">
        <w:rPr>
          <w:rFonts w:asciiTheme="minorHAnsi" w:hAnsiTheme="minorHAnsi" w:cstheme="minorHAnsi"/>
          <w:noProof/>
          <w:color w:val="000000" w:themeColor="text1"/>
          <w:sz w:val="24"/>
          <w:szCs w:val="24"/>
        </w:rPr>
        <w:t xml:space="preserve"> uskutečněn</w:t>
      </w:r>
      <w:r w:rsidR="00992365" w:rsidRPr="004E624C">
        <w:rPr>
          <w:rFonts w:asciiTheme="minorHAnsi" w:hAnsiTheme="minorHAnsi" w:cstheme="minorHAnsi"/>
          <w:noProof/>
          <w:color w:val="000000" w:themeColor="text1"/>
          <w:sz w:val="24"/>
          <w:szCs w:val="24"/>
        </w:rPr>
        <w:t>í</w:t>
      </w:r>
      <w:r w:rsidR="006244D5" w:rsidRPr="004E624C">
        <w:rPr>
          <w:rFonts w:asciiTheme="minorHAnsi" w:hAnsiTheme="minorHAnsi" w:cstheme="minorHAnsi"/>
          <w:noProof/>
          <w:color w:val="000000" w:themeColor="text1"/>
          <w:sz w:val="24"/>
          <w:szCs w:val="24"/>
        </w:rPr>
        <w:t xml:space="preserve"> veřejné zakázky FNUSA na pořízení tohoto léčiva.</w:t>
      </w:r>
    </w:p>
    <w:p w14:paraId="3445589A" w14:textId="77777777" w:rsidR="00466AD6" w:rsidRPr="0075660A" w:rsidRDefault="00466AD6" w:rsidP="00C97535">
      <w:pPr>
        <w:keepNext/>
        <w:widowControl/>
        <w:spacing w:before="120" w:after="120"/>
        <w:jc w:val="both"/>
        <w:rPr>
          <w:rFonts w:asciiTheme="minorHAnsi" w:hAnsiTheme="minorHAnsi" w:cstheme="minorHAnsi"/>
          <w:b/>
          <w:noProof/>
          <w:color w:val="000000" w:themeColor="text1"/>
          <w:sz w:val="24"/>
          <w:szCs w:val="24"/>
        </w:rPr>
      </w:pPr>
      <w:r w:rsidRPr="0075660A">
        <w:rPr>
          <w:rFonts w:asciiTheme="minorHAnsi" w:hAnsiTheme="minorHAnsi" w:cstheme="minorHAnsi"/>
          <w:b/>
          <w:noProof/>
          <w:color w:val="000000" w:themeColor="text1"/>
          <w:sz w:val="24"/>
          <w:szCs w:val="24"/>
        </w:rPr>
        <w:t>Cenové rozdíly léčiv skupiny ATC – J</w:t>
      </w:r>
    </w:p>
    <w:p w14:paraId="6364DC0B" w14:textId="3E8B40DE" w:rsidR="00466AD6" w:rsidRPr="0075660A" w:rsidRDefault="00466AD6" w:rsidP="00C97535">
      <w:pPr>
        <w:widowControl/>
        <w:spacing w:before="120" w:after="120"/>
        <w:jc w:val="both"/>
        <w:rPr>
          <w:rFonts w:asciiTheme="minorHAnsi" w:hAnsiTheme="minorHAnsi" w:cstheme="minorHAnsi"/>
          <w:noProof/>
          <w:color w:val="000000" w:themeColor="text1"/>
          <w:sz w:val="24"/>
          <w:szCs w:val="24"/>
        </w:rPr>
      </w:pPr>
      <w:r w:rsidRPr="0075660A">
        <w:rPr>
          <w:rFonts w:asciiTheme="minorHAnsi" w:hAnsiTheme="minorHAnsi" w:cstheme="minorHAnsi"/>
          <w:noProof/>
          <w:color w:val="000000" w:themeColor="text1"/>
          <w:sz w:val="24"/>
          <w:szCs w:val="24"/>
        </w:rPr>
        <w:t>Na kontrolním vzorku 1</w:t>
      </w:r>
      <w:r w:rsidR="007F65D2" w:rsidRPr="0075660A">
        <w:rPr>
          <w:rFonts w:asciiTheme="minorHAnsi" w:hAnsiTheme="minorHAnsi" w:cstheme="minorHAnsi"/>
          <w:noProof/>
          <w:color w:val="000000" w:themeColor="text1"/>
          <w:sz w:val="24"/>
          <w:szCs w:val="24"/>
        </w:rPr>
        <w:t>5</w:t>
      </w:r>
      <w:r w:rsidRPr="0075660A">
        <w:rPr>
          <w:rFonts w:asciiTheme="minorHAnsi" w:hAnsiTheme="minorHAnsi" w:cstheme="minorHAnsi"/>
          <w:noProof/>
          <w:color w:val="000000" w:themeColor="text1"/>
          <w:sz w:val="24"/>
          <w:szCs w:val="24"/>
        </w:rPr>
        <w:t xml:space="preserve"> druhů léčiv skupiny ATC – J, které </w:t>
      </w:r>
      <w:r w:rsidR="00D95702">
        <w:rPr>
          <w:rFonts w:asciiTheme="minorHAnsi" w:hAnsiTheme="minorHAnsi" w:cstheme="minorHAnsi"/>
          <w:noProof/>
          <w:color w:val="000000" w:themeColor="text1"/>
          <w:sz w:val="24"/>
          <w:szCs w:val="24"/>
        </w:rPr>
        <w:t>kontrolované</w:t>
      </w:r>
      <w:r w:rsidR="005202EA" w:rsidRPr="0075660A">
        <w:rPr>
          <w:rFonts w:asciiTheme="minorHAnsi" w:hAnsiTheme="minorHAnsi" w:cstheme="minorHAnsi"/>
          <w:noProof/>
          <w:color w:val="000000" w:themeColor="text1"/>
          <w:sz w:val="24"/>
          <w:szCs w:val="24"/>
        </w:rPr>
        <w:t xml:space="preserve"> FN </w:t>
      </w:r>
      <w:r w:rsidRPr="0075660A">
        <w:rPr>
          <w:rFonts w:asciiTheme="minorHAnsi" w:hAnsiTheme="minorHAnsi" w:cstheme="minorHAnsi"/>
          <w:noProof/>
          <w:color w:val="000000" w:themeColor="text1"/>
          <w:sz w:val="24"/>
          <w:szCs w:val="24"/>
        </w:rPr>
        <w:t>pořizovaly v období 201</w:t>
      </w:r>
      <w:r w:rsidR="007F65D2" w:rsidRPr="0075660A">
        <w:rPr>
          <w:rFonts w:asciiTheme="minorHAnsi" w:hAnsiTheme="minorHAnsi" w:cstheme="minorHAnsi"/>
          <w:noProof/>
          <w:color w:val="000000" w:themeColor="text1"/>
          <w:sz w:val="24"/>
          <w:szCs w:val="24"/>
        </w:rPr>
        <w:t>9</w:t>
      </w:r>
      <w:r w:rsidRPr="0075660A">
        <w:rPr>
          <w:rFonts w:asciiTheme="minorHAnsi" w:hAnsiTheme="minorHAnsi" w:cstheme="minorHAnsi"/>
          <w:noProof/>
          <w:color w:val="000000" w:themeColor="text1"/>
          <w:sz w:val="24"/>
          <w:szCs w:val="24"/>
        </w:rPr>
        <w:t xml:space="preserve"> až 20</w:t>
      </w:r>
      <w:r w:rsidR="007F65D2" w:rsidRPr="0075660A">
        <w:rPr>
          <w:rFonts w:asciiTheme="minorHAnsi" w:hAnsiTheme="minorHAnsi" w:cstheme="minorHAnsi"/>
          <w:noProof/>
          <w:color w:val="000000" w:themeColor="text1"/>
          <w:sz w:val="24"/>
          <w:szCs w:val="24"/>
        </w:rPr>
        <w:t>21</w:t>
      </w:r>
      <w:r w:rsidRPr="0075660A">
        <w:rPr>
          <w:rFonts w:asciiTheme="minorHAnsi" w:hAnsiTheme="minorHAnsi" w:cstheme="minorHAnsi"/>
          <w:noProof/>
          <w:color w:val="000000" w:themeColor="text1"/>
          <w:sz w:val="24"/>
          <w:szCs w:val="24"/>
        </w:rPr>
        <w:t>, NKÚ zjistil při porovnání jednotkových cen za jedno balení v jednotlivých letech rozdíly</w:t>
      </w:r>
      <w:r w:rsidR="00745C63" w:rsidRPr="0075660A">
        <w:rPr>
          <w:rFonts w:asciiTheme="minorHAnsi" w:hAnsiTheme="minorHAnsi" w:cstheme="minorHAnsi"/>
          <w:noProof/>
          <w:color w:val="000000" w:themeColor="text1"/>
          <w:sz w:val="24"/>
          <w:szCs w:val="24"/>
        </w:rPr>
        <w:t>.</w:t>
      </w:r>
      <w:r w:rsidRPr="0075660A">
        <w:rPr>
          <w:rFonts w:asciiTheme="minorHAnsi" w:hAnsiTheme="minorHAnsi" w:cstheme="minorHAnsi"/>
          <w:noProof/>
          <w:color w:val="000000" w:themeColor="text1"/>
          <w:sz w:val="24"/>
          <w:szCs w:val="24"/>
        </w:rPr>
        <w:t xml:space="preserve"> </w:t>
      </w:r>
      <w:r w:rsidR="00745C63" w:rsidRPr="0075660A">
        <w:rPr>
          <w:rFonts w:asciiTheme="minorHAnsi" w:hAnsiTheme="minorHAnsi" w:cstheme="minorHAnsi"/>
          <w:noProof/>
          <w:color w:val="000000" w:themeColor="text1"/>
          <w:sz w:val="24"/>
          <w:szCs w:val="24"/>
        </w:rPr>
        <w:t>Tyto rozdíly</w:t>
      </w:r>
      <w:r w:rsidR="00276F27" w:rsidRPr="0075660A">
        <w:rPr>
          <w:rFonts w:asciiTheme="minorHAnsi" w:hAnsiTheme="minorHAnsi" w:cstheme="minorHAnsi"/>
          <w:noProof/>
          <w:color w:val="000000" w:themeColor="text1"/>
          <w:sz w:val="24"/>
          <w:szCs w:val="24"/>
          <w:vertAlign w:val="superscript"/>
        </w:rPr>
        <w:t>4</w:t>
      </w:r>
      <w:r w:rsidR="00CE26B2">
        <w:rPr>
          <w:rFonts w:asciiTheme="minorHAnsi" w:hAnsiTheme="minorHAnsi" w:cstheme="minorHAnsi"/>
          <w:noProof/>
          <w:color w:val="000000" w:themeColor="text1"/>
          <w:sz w:val="24"/>
          <w:szCs w:val="24"/>
          <w:vertAlign w:val="superscript"/>
        </w:rPr>
        <w:t>4</w:t>
      </w:r>
      <w:r w:rsidR="00745C63" w:rsidRPr="0075660A">
        <w:rPr>
          <w:rFonts w:asciiTheme="minorHAnsi" w:hAnsiTheme="minorHAnsi" w:cstheme="minorHAnsi"/>
          <w:noProof/>
          <w:color w:val="000000" w:themeColor="text1"/>
          <w:sz w:val="24"/>
          <w:szCs w:val="24"/>
        </w:rPr>
        <w:t xml:space="preserve"> </w:t>
      </w:r>
      <w:r w:rsidRPr="0075660A">
        <w:rPr>
          <w:rFonts w:asciiTheme="minorHAnsi" w:hAnsiTheme="minorHAnsi" w:cstheme="minorHAnsi"/>
          <w:noProof/>
          <w:color w:val="000000" w:themeColor="text1"/>
          <w:sz w:val="24"/>
          <w:szCs w:val="24"/>
        </w:rPr>
        <w:t xml:space="preserve">se v procentuálním vyjádření pohybovaly </w:t>
      </w:r>
      <w:r w:rsidR="00A77254" w:rsidRPr="0075660A">
        <w:rPr>
          <w:rFonts w:asciiTheme="minorHAnsi" w:hAnsiTheme="minorHAnsi" w:cstheme="minorHAnsi"/>
          <w:noProof/>
          <w:color w:val="000000" w:themeColor="text1"/>
          <w:sz w:val="24"/>
          <w:szCs w:val="24"/>
        </w:rPr>
        <w:t xml:space="preserve">v rozmezí </w:t>
      </w:r>
      <w:r w:rsidRPr="0075660A">
        <w:rPr>
          <w:rFonts w:asciiTheme="minorHAnsi" w:hAnsiTheme="minorHAnsi" w:cstheme="minorHAnsi"/>
          <w:noProof/>
          <w:color w:val="000000" w:themeColor="text1"/>
          <w:sz w:val="24"/>
          <w:szCs w:val="24"/>
        </w:rPr>
        <w:t xml:space="preserve">od </w:t>
      </w:r>
      <w:r w:rsidR="00CA7DE0" w:rsidRPr="0075660A">
        <w:rPr>
          <w:rFonts w:asciiTheme="minorHAnsi" w:hAnsiTheme="minorHAnsi" w:cstheme="minorHAnsi"/>
          <w:noProof/>
          <w:color w:val="000000" w:themeColor="text1"/>
          <w:sz w:val="24"/>
          <w:szCs w:val="24"/>
        </w:rPr>
        <w:t>1,35</w:t>
      </w:r>
      <w:r w:rsidRPr="0075660A">
        <w:rPr>
          <w:rFonts w:asciiTheme="minorHAnsi" w:hAnsiTheme="minorHAnsi" w:cstheme="minorHAnsi"/>
          <w:noProof/>
          <w:color w:val="000000" w:themeColor="text1"/>
          <w:sz w:val="24"/>
          <w:szCs w:val="24"/>
        </w:rPr>
        <w:t xml:space="preserve"> % do </w:t>
      </w:r>
      <w:r w:rsidR="00527E83" w:rsidRPr="0075660A">
        <w:rPr>
          <w:rFonts w:asciiTheme="minorHAnsi" w:hAnsiTheme="minorHAnsi" w:cstheme="minorHAnsi"/>
          <w:noProof/>
          <w:color w:val="000000" w:themeColor="text1"/>
          <w:sz w:val="24"/>
          <w:szCs w:val="24"/>
        </w:rPr>
        <w:t>309,23</w:t>
      </w:r>
      <w:r w:rsidR="003C4CE2" w:rsidRPr="0075660A">
        <w:rPr>
          <w:rFonts w:asciiTheme="minorHAnsi" w:hAnsiTheme="minorHAnsi" w:cstheme="minorHAnsi"/>
          <w:noProof/>
          <w:color w:val="000000" w:themeColor="text1"/>
          <w:sz w:val="24"/>
          <w:szCs w:val="24"/>
        </w:rPr>
        <w:t> </w:t>
      </w:r>
      <w:r w:rsidR="00527E83" w:rsidRPr="0075660A">
        <w:rPr>
          <w:rFonts w:asciiTheme="minorHAnsi" w:hAnsiTheme="minorHAnsi" w:cstheme="minorHAnsi"/>
          <w:noProof/>
          <w:color w:val="000000" w:themeColor="text1"/>
          <w:sz w:val="24"/>
          <w:szCs w:val="24"/>
        </w:rPr>
        <w:t xml:space="preserve">% (resp. </w:t>
      </w:r>
      <w:r w:rsidR="000D7FC3" w:rsidRPr="0075660A">
        <w:rPr>
          <w:rFonts w:asciiTheme="minorHAnsi" w:hAnsiTheme="minorHAnsi" w:cstheme="minorHAnsi"/>
          <w:noProof/>
          <w:color w:val="000000" w:themeColor="text1"/>
          <w:sz w:val="24"/>
          <w:szCs w:val="24"/>
        </w:rPr>
        <w:t>920</w:t>
      </w:r>
      <w:r w:rsidR="00CA7DE0" w:rsidRPr="0075660A">
        <w:rPr>
          <w:rFonts w:asciiTheme="minorHAnsi" w:hAnsiTheme="minorHAnsi" w:cstheme="minorHAnsi"/>
          <w:noProof/>
          <w:color w:val="000000" w:themeColor="text1"/>
          <w:sz w:val="24"/>
          <w:szCs w:val="24"/>
        </w:rPr>
        <w:t>,44</w:t>
      </w:r>
      <w:r w:rsidRPr="0075660A">
        <w:rPr>
          <w:rFonts w:asciiTheme="minorHAnsi" w:hAnsiTheme="minorHAnsi" w:cstheme="minorHAnsi"/>
          <w:noProof/>
          <w:color w:val="000000" w:themeColor="text1"/>
          <w:sz w:val="24"/>
          <w:szCs w:val="24"/>
        </w:rPr>
        <w:t> %</w:t>
      </w:r>
      <w:r w:rsidR="00527E83" w:rsidRPr="0075660A">
        <w:rPr>
          <w:rFonts w:asciiTheme="minorHAnsi" w:hAnsiTheme="minorHAnsi" w:cstheme="minorHAnsi"/>
          <w:noProof/>
          <w:color w:val="000000" w:themeColor="text1"/>
          <w:sz w:val="24"/>
          <w:szCs w:val="24"/>
        </w:rPr>
        <w:t>)</w:t>
      </w:r>
      <w:r w:rsidRPr="0075660A">
        <w:rPr>
          <w:rFonts w:asciiTheme="minorHAnsi" w:hAnsiTheme="minorHAnsi" w:cstheme="minorHAnsi"/>
          <w:noProof/>
          <w:color w:val="000000" w:themeColor="text1"/>
          <w:sz w:val="24"/>
          <w:szCs w:val="24"/>
        </w:rPr>
        <w:t xml:space="preserve"> a v absolutním vyjádření </w:t>
      </w:r>
      <w:r w:rsidR="00C14586" w:rsidRPr="0075660A">
        <w:rPr>
          <w:rFonts w:asciiTheme="minorHAnsi" w:hAnsiTheme="minorHAnsi" w:cstheme="minorHAnsi"/>
          <w:noProof/>
          <w:color w:val="000000" w:themeColor="text1"/>
          <w:sz w:val="24"/>
          <w:szCs w:val="24"/>
        </w:rPr>
        <w:t xml:space="preserve">se </w:t>
      </w:r>
      <w:r w:rsidRPr="0075660A">
        <w:rPr>
          <w:rFonts w:asciiTheme="minorHAnsi" w:hAnsiTheme="minorHAnsi" w:cstheme="minorHAnsi"/>
          <w:noProof/>
          <w:color w:val="000000" w:themeColor="text1"/>
          <w:sz w:val="24"/>
          <w:szCs w:val="24"/>
        </w:rPr>
        <w:t xml:space="preserve">pohybovaly </w:t>
      </w:r>
      <w:r w:rsidR="00A77254" w:rsidRPr="0075660A">
        <w:rPr>
          <w:rFonts w:asciiTheme="minorHAnsi" w:hAnsiTheme="minorHAnsi" w:cstheme="minorHAnsi"/>
          <w:noProof/>
          <w:color w:val="000000" w:themeColor="text1"/>
          <w:sz w:val="24"/>
          <w:szCs w:val="24"/>
        </w:rPr>
        <w:t xml:space="preserve">v rozmezí </w:t>
      </w:r>
      <w:r w:rsidRPr="0075660A">
        <w:rPr>
          <w:rFonts w:asciiTheme="minorHAnsi" w:hAnsiTheme="minorHAnsi" w:cstheme="minorHAnsi"/>
          <w:noProof/>
          <w:color w:val="000000" w:themeColor="text1"/>
          <w:sz w:val="24"/>
          <w:szCs w:val="24"/>
        </w:rPr>
        <w:t xml:space="preserve">od 0 Kč do </w:t>
      </w:r>
      <w:r w:rsidR="00CA7DE0" w:rsidRPr="0075660A">
        <w:rPr>
          <w:rFonts w:asciiTheme="minorHAnsi" w:hAnsiTheme="minorHAnsi" w:cstheme="minorHAnsi"/>
          <w:noProof/>
          <w:color w:val="000000" w:themeColor="text1"/>
          <w:sz w:val="24"/>
          <w:szCs w:val="24"/>
        </w:rPr>
        <w:t>8 096,51</w:t>
      </w:r>
      <w:r w:rsidRPr="0075660A">
        <w:rPr>
          <w:rFonts w:asciiTheme="minorHAnsi" w:hAnsiTheme="minorHAnsi" w:cstheme="minorHAnsi"/>
          <w:noProof/>
          <w:color w:val="000000" w:themeColor="text1"/>
          <w:sz w:val="24"/>
          <w:szCs w:val="24"/>
        </w:rPr>
        <w:t xml:space="preserve"> Kč. Všechny zjištěné rozdíly jsou uvedeny v příloze č. </w:t>
      </w:r>
      <w:r w:rsidR="00F56DF7" w:rsidRPr="0075660A">
        <w:rPr>
          <w:rFonts w:asciiTheme="minorHAnsi" w:hAnsiTheme="minorHAnsi" w:cstheme="minorHAnsi"/>
          <w:noProof/>
          <w:color w:val="000000" w:themeColor="text1"/>
          <w:sz w:val="24"/>
          <w:szCs w:val="24"/>
        </w:rPr>
        <w:t>3</w:t>
      </w:r>
      <w:r w:rsidRPr="0075660A">
        <w:rPr>
          <w:rFonts w:asciiTheme="minorHAnsi" w:hAnsiTheme="minorHAnsi" w:cstheme="minorHAnsi"/>
          <w:noProof/>
          <w:color w:val="000000" w:themeColor="text1"/>
          <w:sz w:val="24"/>
          <w:szCs w:val="24"/>
        </w:rPr>
        <w:t xml:space="preserve"> tohoto kontrolního závěru. </w:t>
      </w:r>
    </w:p>
    <w:p w14:paraId="2F5A7281" w14:textId="0B4872CA" w:rsidR="00466AD6" w:rsidRPr="0075660A" w:rsidRDefault="00466AD6" w:rsidP="000F5088">
      <w:pPr>
        <w:keepNext/>
        <w:widowControl/>
        <w:jc w:val="both"/>
        <w:rPr>
          <w:rFonts w:asciiTheme="minorHAnsi" w:hAnsiTheme="minorHAnsi" w:cstheme="minorHAnsi"/>
          <w:noProof/>
          <w:color w:val="000000" w:themeColor="text1"/>
          <w:sz w:val="24"/>
          <w:szCs w:val="24"/>
        </w:rPr>
      </w:pPr>
      <w:r w:rsidRPr="0075660A">
        <w:rPr>
          <w:rFonts w:asciiTheme="minorHAnsi" w:hAnsiTheme="minorHAnsi" w:cstheme="minorHAnsi"/>
          <w:noProof/>
          <w:color w:val="000000" w:themeColor="text1"/>
          <w:sz w:val="24"/>
          <w:szCs w:val="24"/>
        </w:rPr>
        <w:t xml:space="preserve">Největší rozdíl v absolutní hodnotě nebo v procentuálním vyjádření byl zjištěn u léčiv pod </w:t>
      </w:r>
      <w:r w:rsidR="00107700">
        <w:rPr>
          <w:rFonts w:asciiTheme="minorHAnsi" w:hAnsiTheme="minorHAnsi" w:cstheme="minorHAnsi"/>
          <w:noProof/>
          <w:color w:val="000000" w:themeColor="text1"/>
          <w:sz w:val="24"/>
          <w:szCs w:val="24"/>
        </w:rPr>
        <w:br/>
      </w:r>
      <w:r w:rsidRPr="0075660A">
        <w:rPr>
          <w:rFonts w:asciiTheme="minorHAnsi" w:hAnsiTheme="minorHAnsi" w:cstheme="minorHAnsi"/>
          <w:noProof/>
          <w:color w:val="000000" w:themeColor="text1"/>
          <w:sz w:val="24"/>
          <w:szCs w:val="24"/>
        </w:rPr>
        <w:t>kódy SÚKL:</w:t>
      </w:r>
    </w:p>
    <w:p w14:paraId="765EE502" w14:textId="6E9B8FA8" w:rsidR="00BA23F7" w:rsidRPr="00D30C21" w:rsidRDefault="00533073" w:rsidP="00A4785F">
      <w:pPr>
        <w:pStyle w:val="Odstavecseseznamem"/>
        <w:widowControl/>
        <w:numPr>
          <w:ilvl w:val="0"/>
          <w:numId w:val="41"/>
        </w:numPr>
        <w:autoSpaceDE/>
        <w:autoSpaceDN/>
        <w:adjustRightInd/>
        <w:ind w:left="284" w:hanging="284"/>
        <w:jc w:val="both"/>
        <w:rPr>
          <w:rFonts w:asciiTheme="minorHAnsi" w:hAnsiTheme="minorHAnsi" w:cstheme="minorHAnsi"/>
          <w:noProof/>
          <w:color w:val="000000" w:themeColor="text1"/>
          <w:sz w:val="24"/>
          <w:szCs w:val="24"/>
        </w:rPr>
      </w:pPr>
      <w:r w:rsidRPr="0075660A">
        <w:rPr>
          <w:rFonts w:asciiTheme="minorHAnsi" w:hAnsiTheme="minorHAnsi" w:cstheme="minorHAnsi"/>
          <w:noProof/>
          <w:color w:val="000000" w:themeColor="text1"/>
          <w:sz w:val="24"/>
          <w:szCs w:val="24"/>
        </w:rPr>
        <w:t xml:space="preserve">0216704 (LINEZOLID KABI) v roce 2020 činil </w:t>
      </w:r>
      <w:r w:rsidR="00056B3D" w:rsidRPr="0075660A">
        <w:rPr>
          <w:rFonts w:asciiTheme="minorHAnsi" w:hAnsiTheme="minorHAnsi" w:cstheme="minorHAnsi"/>
          <w:noProof/>
          <w:color w:val="000000" w:themeColor="text1"/>
          <w:sz w:val="24"/>
          <w:szCs w:val="24"/>
        </w:rPr>
        <w:t xml:space="preserve">rozdíl </w:t>
      </w:r>
      <w:r w:rsidRPr="0075660A">
        <w:rPr>
          <w:rFonts w:asciiTheme="minorHAnsi" w:hAnsiTheme="minorHAnsi" w:cstheme="minorHAnsi"/>
          <w:noProof/>
          <w:color w:val="000000" w:themeColor="text1"/>
          <w:sz w:val="24"/>
          <w:szCs w:val="24"/>
        </w:rPr>
        <w:t>5 102,24</w:t>
      </w:r>
      <w:r w:rsidR="00056B3D" w:rsidRPr="0075660A">
        <w:rPr>
          <w:rFonts w:asciiTheme="minorHAnsi" w:hAnsiTheme="minorHAnsi" w:cstheme="minorHAnsi"/>
          <w:noProof/>
          <w:color w:val="000000" w:themeColor="text1"/>
          <w:sz w:val="24"/>
          <w:szCs w:val="24"/>
        </w:rPr>
        <w:t> </w:t>
      </w:r>
      <w:r w:rsidRPr="0075660A">
        <w:rPr>
          <w:rFonts w:asciiTheme="minorHAnsi" w:hAnsiTheme="minorHAnsi" w:cstheme="minorHAnsi"/>
          <w:noProof/>
          <w:color w:val="000000" w:themeColor="text1"/>
          <w:sz w:val="24"/>
          <w:szCs w:val="24"/>
        </w:rPr>
        <w:t>Kč (tj. 309,23 %), kdy FNUSA pořídila jedno balení za 1</w:t>
      </w:r>
      <w:r w:rsidR="0079113E" w:rsidRPr="0075660A">
        <w:rPr>
          <w:rFonts w:asciiTheme="minorHAnsi" w:hAnsiTheme="minorHAnsi" w:cstheme="minorHAnsi"/>
          <w:noProof/>
          <w:color w:val="000000" w:themeColor="text1"/>
          <w:sz w:val="24"/>
          <w:szCs w:val="24"/>
        </w:rPr>
        <w:t> </w:t>
      </w:r>
      <w:r w:rsidRPr="0075660A">
        <w:rPr>
          <w:rFonts w:asciiTheme="minorHAnsi" w:hAnsiTheme="minorHAnsi" w:cstheme="minorHAnsi"/>
          <w:noProof/>
          <w:color w:val="000000" w:themeColor="text1"/>
          <w:sz w:val="24"/>
          <w:szCs w:val="24"/>
        </w:rPr>
        <w:t xml:space="preserve">650 Kč a FNKV za 6 752,24 Kč. V roce 2021 činil </w:t>
      </w:r>
      <w:r w:rsidR="00056B3D" w:rsidRPr="0075660A">
        <w:rPr>
          <w:rFonts w:asciiTheme="minorHAnsi" w:hAnsiTheme="minorHAnsi" w:cstheme="minorHAnsi"/>
          <w:noProof/>
          <w:color w:val="000000" w:themeColor="text1"/>
          <w:sz w:val="24"/>
          <w:szCs w:val="24"/>
        </w:rPr>
        <w:t xml:space="preserve">rozdíl </w:t>
      </w:r>
      <w:r w:rsidRPr="0075660A">
        <w:rPr>
          <w:rFonts w:asciiTheme="minorHAnsi" w:hAnsiTheme="minorHAnsi" w:cstheme="minorHAnsi"/>
          <w:noProof/>
          <w:color w:val="000000" w:themeColor="text1"/>
          <w:sz w:val="24"/>
          <w:szCs w:val="24"/>
        </w:rPr>
        <w:t>1</w:t>
      </w:r>
      <w:r w:rsidR="001414F4" w:rsidRPr="0075660A">
        <w:rPr>
          <w:rFonts w:asciiTheme="minorHAnsi" w:hAnsiTheme="minorHAnsi" w:cstheme="minorHAnsi"/>
          <w:noProof/>
          <w:color w:val="000000" w:themeColor="text1"/>
          <w:sz w:val="24"/>
          <w:szCs w:val="24"/>
        </w:rPr>
        <w:t> </w:t>
      </w:r>
      <w:r w:rsidRPr="0075660A">
        <w:rPr>
          <w:rFonts w:asciiTheme="minorHAnsi" w:hAnsiTheme="minorHAnsi" w:cstheme="minorHAnsi"/>
          <w:noProof/>
          <w:color w:val="000000" w:themeColor="text1"/>
          <w:sz w:val="24"/>
          <w:szCs w:val="24"/>
        </w:rPr>
        <w:t>837</w:t>
      </w:r>
      <w:r w:rsidR="001414F4" w:rsidRPr="0075660A">
        <w:rPr>
          <w:rFonts w:asciiTheme="minorHAnsi" w:hAnsiTheme="minorHAnsi" w:cstheme="minorHAnsi"/>
          <w:noProof/>
          <w:color w:val="000000" w:themeColor="text1"/>
          <w:sz w:val="24"/>
          <w:szCs w:val="24"/>
        </w:rPr>
        <w:t> </w:t>
      </w:r>
      <w:r w:rsidRPr="0075660A">
        <w:rPr>
          <w:rFonts w:asciiTheme="minorHAnsi" w:hAnsiTheme="minorHAnsi" w:cstheme="minorHAnsi"/>
          <w:noProof/>
          <w:color w:val="000000" w:themeColor="text1"/>
          <w:sz w:val="24"/>
          <w:szCs w:val="24"/>
        </w:rPr>
        <w:t xml:space="preserve">Kč, kdy FNUSA pořídila jedno </w:t>
      </w:r>
      <w:r w:rsidRPr="00D30C21">
        <w:rPr>
          <w:rFonts w:asciiTheme="minorHAnsi" w:hAnsiTheme="minorHAnsi" w:cstheme="minorHAnsi"/>
          <w:noProof/>
          <w:color w:val="000000" w:themeColor="text1"/>
          <w:sz w:val="24"/>
          <w:szCs w:val="24"/>
        </w:rPr>
        <w:t>balení za 858</w:t>
      </w:r>
      <w:r w:rsidR="00056B3D" w:rsidRPr="00D30C21">
        <w:rPr>
          <w:rFonts w:asciiTheme="minorHAnsi" w:hAnsiTheme="minorHAnsi" w:cstheme="minorHAnsi"/>
          <w:noProof/>
          <w:color w:val="000000" w:themeColor="text1"/>
          <w:sz w:val="24"/>
          <w:szCs w:val="24"/>
        </w:rPr>
        <w:t> </w:t>
      </w:r>
      <w:r w:rsidRPr="00D30C21">
        <w:rPr>
          <w:rFonts w:asciiTheme="minorHAnsi" w:hAnsiTheme="minorHAnsi" w:cstheme="minorHAnsi"/>
          <w:noProof/>
          <w:color w:val="000000" w:themeColor="text1"/>
          <w:sz w:val="24"/>
          <w:szCs w:val="24"/>
        </w:rPr>
        <w:t xml:space="preserve">Kč a FNB za 2 695 Kč. </w:t>
      </w:r>
      <w:r w:rsidR="007B60A6" w:rsidRPr="00D30C21">
        <w:rPr>
          <w:rFonts w:asciiTheme="minorHAnsi" w:hAnsiTheme="minorHAnsi" w:cstheme="minorHAnsi"/>
          <w:noProof/>
          <w:color w:val="000000" w:themeColor="text1"/>
          <w:sz w:val="24"/>
          <w:szCs w:val="24"/>
        </w:rPr>
        <w:t>Výjimečně n</w:t>
      </w:r>
      <w:r w:rsidR="00404753" w:rsidRPr="00D30C21">
        <w:rPr>
          <w:rFonts w:asciiTheme="minorHAnsi" w:hAnsiTheme="minorHAnsi" w:cstheme="minorHAnsi"/>
          <w:noProof/>
          <w:color w:val="000000" w:themeColor="text1"/>
          <w:sz w:val="24"/>
          <w:szCs w:val="24"/>
        </w:rPr>
        <w:t>ízká nákupní cena FNB v roce 2019 byla z důvodu ojedinělého odběru tohoto léčivého přípravku s blížící se exspirací od jiné nemocnice.</w:t>
      </w:r>
      <w:r w:rsidRPr="00D30C21">
        <w:rPr>
          <w:rFonts w:asciiTheme="minorHAnsi" w:hAnsiTheme="minorHAnsi" w:cstheme="minorHAnsi"/>
          <w:noProof/>
          <w:color w:val="000000" w:themeColor="text1"/>
          <w:sz w:val="24"/>
          <w:szCs w:val="24"/>
        </w:rPr>
        <w:t xml:space="preserve"> </w:t>
      </w:r>
      <w:r w:rsidR="00404753" w:rsidRPr="00D30C21">
        <w:rPr>
          <w:rFonts w:asciiTheme="minorHAnsi" w:hAnsiTheme="minorHAnsi" w:cstheme="minorHAnsi"/>
          <w:noProof/>
          <w:color w:val="000000" w:themeColor="text1"/>
          <w:sz w:val="24"/>
          <w:szCs w:val="24"/>
        </w:rPr>
        <w:t>FNKV pořizovala toto léčivo bez zadávacího řízení od velkodistributora s okamžitým dodáním za vyšší jednotkovou cenu. FNB pořizovala toto léčivo na základě průzkumu trhu.</w:t>
      </w:r>
    </w:p>
    <w:p w14:paraId="011BFF0C" w14:textId="46494495" w:rsidR="00BA23F7" w:rsidRPr="00D30C21" w:rsidRDefault="00BA23F7" w:rsidP="00A4785F">
      <w:pPr>
        <w:pStyle w:val="Odstavecseseznamem"/>
        <w:widowControl/>
        <w:numPr>
          <w:ilvl w:val="0"/>
          <w:numId w:val="41"/>
        </w:numPr>
        <w:autoSpaceDE/>
        <w:autoSpaceDN/>
        <w:adjustRightInd/>
        <w:ind w:left="284" w:hanging="284"/>
        <w:jc w:val="both"/>
        <w:rPr>
          <w:rFonts w:asciiTheme="minorHAnsi" w:hAnsiTheme="minorHAnsi" w:cstheme="minorHAnsi"/>
          <w:noProof/>
          <w:color w:val="000000" w:themeColor="text1"/>
          <w:sz w:val="24"/>
          <w:szCs w:val="24"/>
        </w:rPr>
      </w:pPr>
      <w:r w:rsidRPr="00D30C21">
        <w:rPr>
          <w:rFonts w:asciiTheme="minorHAnsi" w:hAnsiTheme="minorHAnsi" w:cstheme="minorHAnsi"/>
          <w:noProof/>
          <w:color w:val="000000" w:themeColor="text1"/>
          <w:sz w:val="24"/>
          <w:szCs w:val="24"/>
        </w:rPr>
        <w:t>0113453 (PIPERACILLIN/TAZOBACTAM KABI) v roce 2019 činil rozdíl 1 622,93 Kč (tj.</w:t>
      </w:r>
      <w:r w:rsidR="00A4785F">
        <w:rPr>
          <w:rFonts w:asciiTheme="minorHAnsi" w:hAnsiTheme="minorHAnsi" w:cstheme="minorHAnsi"/>
          <w:noProof/>
          <w:color w:val="000000" w:themeColor="text1"/>
          <w:sz w:val="24"/>
          <w:szCs w:val="24"/>
        </w:rPr>
        <w:t> </w:t>
      </w:r>
      <w:r w:rsidRPr="00D30C21">
        <w:rPr>
          <w:rFonts w:asciiTheme="minorHAnsi" w:hAnsiTheme="minorHAnsi" w:cstheme="minorHAnsi"/>
          <w:noProof/>
          <w:color w:val="000000" w:themeColor="text1"/>
          <w:sz w:val="24"/>
          <w:szCs w:val="24"/>
        </w:rPr>
        <w:t>295,37</w:t>
      </w:r>
      <w:r w:rsidR="00A4785F">
        <w:rPr>
          <w:rFonts w:asciiTheme="minorHAnsi" w:hAnsiTheme="minorHAnsi" w:cstheme="minorHAnsi"/>
          <w:noProof/>
          <w:color w:val="000000" w:themeColor="text1"/>
          <w:sz w:val="24"/>
          <w:szCs w:val="24"/>
        </w:rPr>
        <w:t> </w:t>
      </w:r>
      <w:r w:rsidRPr="00D30C21">
        <w:rPr>
          <w:rFonts w:asciiTheme="minorHAnsi" w:hAnsiTheme="minorHAnsi" w:cstheme="minorHAnsi"/>
          <w:noProof/>
          <w:color w:val="000000" w:themeColor="text1"/>
          <w:sz w:val="24"/>
          <w:szCs w:val="24"/>
        </w:rPr>
        <w:t xml:space="preserve">%), kdy FNB pořídila jedno balení za 549,45 Kč a FNKV </w:t>
      </w:r>
      <w:r w:rsidR="004C20CF" w:rsidRPr="00D30C21">
        <w:rPr>
          <w:rFonts w:asciiTheme="minorHAnsi" w:hAnsiTheme="minorHAnsi" w:cstheme="minorHAnsi"/>
          <w:noProof/>
          <w:color w:val="000000" w:themeColor="text1"/>
          <w:sz w:val="24"/>
          <w:szCs w:val="24"/>
        </w:rPr>
        <w:t xml:space="preserve">za 2 172,38 Kč. V roce 2020 </w:t>
      </w:r>
      <w:r w:rsidR="0069336B" w:rsidRPr="00D30C21">
        <w:rPr>
          <w:rFonts w:asciiTheme="minorHAnsi" w:hAnsiTheme="minorHAnsi" w:cstheme="minorHAnsi"/>
          <w:noProof/>
          <w:color w:val="000000" w:themeColor="text1"/>
          <w:sz w:val="24"/>
          <w:szCs w:val="24"/>
        </w:rPr>
        <w:t>č</w:t>
      </w:r>
      <w:r w:rsidR="004C20CF" w:rsidRPr="00D30C21">
        <w:rPr>
          <w:rFonts w:asciiTheme="minorHAnsi" w:hAnsiTheme="minorHAnsi" w:cstheme="minorHAnsi"/>
          <w:noProof/>
          <w:color w:val="000000" w:themeColor="text1"/>
          <w:sz w:val="24"/>
          <w:szCs w:val="24"/>
        </w:rPr>
        <w:t>inil rozdíl 1 431,70 Kč (tj. 206,59 %), kdy FNUSA pořídila jedno balení za 693 Kč a FNKV za 2 124,70 Kč. V roce 2021 činil rozdíl 1 486,70 Kč</w:t>
      </w:r>
      <w:r w:rsidR="0069336B" w:rsidRPr="00D30C21">
        <w:rPr>
          <w:rFonts w:asciiTheme="minorHAnsi" w:hAnsiTheme="minorHAnsi" w:cstheme="minorHAnsi"/>
          <w:noProof/>
          <w:color w:val="000000" w:themeColor="text1"/>
          <w:sz w:val="24"/>
          <w:szCs w:val="24"/>
        </w:rPr>
        <w:t xml:space="preserve"> (tj. 2</w:t>
      </w:r>
      <w:r w:rsidR="00DF3DA7" w:rsidRPr="00D30C21">
        <w:rPr>
          <w:rFonts w:asciiTheme="minorHAnsi" w:hAnsiTheme="minorHAnsi" w:cstheme="minorHAnsi"/>
          <w:noProof/>
          <w:color w:val="000000" w:themeColor="text1"/>
          <w:sz w:val="24"/>
          <w:szCs w:val="24"/>
        </w:rPr>
        <w:t>33,03</w:t>
      </w:r>
      <w:r w:rsidR="0069336B" w:rsidRPr="00D30C21">
        <w:rPr>
          <w:rFonts w:asciiTheme="minorHAnsi" w:hAnsiTheme="minorHAnsi" w:cstheme="minorHAnsi"/>
          <w:noProof/>
          <w:color w:val="000000" w:themeColor="text1"/>
          <w:sz w:val="24"/>
          <w:szCs w:val="24"/>
        </w:rPr>
        <w:t xml:space="preserve"> %)</w:t>
      </w:r>
      <w:r w:rsidR="004C20CF" w:rsidRPr="00D30C21">
        <w:rPr>
          <w:rFonts w:asciiTheme="minorHAnsi" w:hAnsiTheme="minorHAnsi" w:cstheme="minorHAnsi"/>
          <w:noProof/>
          <w:color w:val="000000" w:themeColor="text1"/>
          <w:sz w:val="24"/>
          <w:szCs w:val="24"/>
        </w:rPr>
        <w:t>, kdy FNUSA pořídila jedno balení za 638 Kč a FNKV za 2 124,7</w:t>
      </w:r>
      <w:r w:rsidR="00DF3DA7" w:rsidRPr="00D30C21">
        <w:rPr>
          <w:rFonts w:asciiTheme="minorHAnsi" w:hAnsiTheme="minorHAnsi" w:cstheme="minorHAnsi"/>
          <w:noProof/>
          <w:color w:val="000000" w:themeColor="text1"/>
          <w:sz w:val="24"/>
          <w:szCs w:val="24"/>
        </w:rPr>
        <w:t>1</w:t>
      </w:r>
      <w:r w:rsidR="004C20CF" w:rsidRPr="00D30C21">
        <w:rPr>
          <w:rFonts w:asciiTheme="minorHAnsi" w:hAnsiTheme="minorHAnsi" w:cstheme="minorHAnsi"/>
          <w:noProof/>
          <w:color w:val="000000" w:themeColor="text1"/>
          <w:sz w:val="24"/>
          <w:szCs w:val="24"/>
        </w:rPr>
        <w:t xml:space="preserve"> Kč. </w:t>
      </w:r>
      <w:r w:rsidR="0069336B" w:rsidRPr="00D30C21">
        <w:rPr>
          <w:rFonts w:asciiTheme="minorHAnsi" w:hAnsiTheme="minorHAnsi" w:cstheme="minorHAnsi"/>
          <w:noProof/>
          <w:color w:val="000000" w:themeColor="text1"/>
          <w:sz w:val="24"/>
          <w:szCs w:val="24"/>
        </w:rPr>
        <w:t xml:space="preserve">Nárůst </w:t>
      </w:r>
      <w:r w:rsidR="003D0E0F" w:rsidRPr="00D30C21">
        <w:rPr>
          <w:rFonts w:asciiTheme="minorHAnsi" w:hAnsiTheme="minorHAnsi" w:cstheme="minorHAnsi"/>
          <w:noProof/>
          <w:color w:val="000000" w:themeColor="text1"/>
          <w:sz w:val="24"/>
          <w:szCs w:val="24"/>
        </w:rPr>
        <w:t xml:space="preserve">jednotkových nákupních cen </w:t>
      </w:r>
      <w:r w:rsidR="0069336B" w:rsidRPr="00D30C21">
        <w:rPr>
          <w:rFonts w:asciiTheme="minorHAnsi" w:hAnsiTheme="minorHAnsi" w:cstheme="minorHAnsi"/>
          <w:noProof/>
          <w:color w:val="000000" w:themeColor="text1"/>
          <w:sz w:val="24"/>
          <w:szCs w:val="24"/>
        </w:rPr>
        <w:t xml:space="preserve">v roce 2019 </w:t>
      </w:r>
      <w:r w:rsidR="003D0E0F" w:rsidRPr="00D30C21">
        <w:rPr>
          <w:rFonts w:asciiTheme="minorHAnsi" w:hAnsiTheme="minorHAnsi" w:cstheme="minorHAnsi"/>
          <w:noProof/>
          <w:color w:val="000000" w:themeColor="text1"/>
          <w:sz w:val="24"/>
          <w:szCs w:val="24"/>
        </w:rPr>
        <w:t>vznikl z důvodu nedostupnosti</w:t>
      </w:r>
      <w:r w:rsidR="00954F81">
        <w:rPr>
          <w:rFonts w:asciiTheme="minorHAnsi" w:hAnsiTheme="minorHAnsi" w:cstheme="minorHAnsi"/>
          <w:noProof/>
          <w:color w:val="000000" w:themeColor="text1"/>
          <w:sz w:val="24"/>
          <w:szCs w:val="24"/>
        </w:rPr>
        <w:t xml:space="preserve"> těchto léčiv</w:t>
      </w:r>
      <w:r w:rsidR="003D0E0F" w:rsidRPr="00D30C21">
        <w:rPr>
          <w:rFonts w:asciiTheme="minorHAnsi" w:hAnsiTheme="minorHAnsi" w:cstheme="minorHAnsi"/>
          <w:noProof/>
          <w:color w:val="000000" w:themeColor="text1"/>
          <w:sz w:val="24"/>
          <w:szCs w:val="24"/>
        </w:rPr>
        <w:t>.</w:t>
      </w:r>
      <w:r w:rsidR="00156F89" w:rsidRPr="00D30C21">
        <w:rPr>
          <w:rFonts w:asciiTheme="minorHAnsi" w:hAnsiTheme="minorHAnsi" w:cstheme="minorHAnsi"/>
          <w:noProof/>
          <w:color w:val="000000" w:themeColor="text1"/>
          <w:sz w:val="24"/>
          <w:szCs w:val="24"/>
        </w:rPr>
        <w:t xml:space="preserve"> FNKV </w:t>
      </w:r>
      <w:r w:rsidR="0069336B" w:rsidRPr="00D30C21">
        <w:rPr>
          <w:rFonts w:asciiTheme="minorHAnsi" w:hAnsiTheme="minorHAnsi" w:cstheme="minorHAnsi"/>
          <w:noProof/>
          <w:color w:val="000000" w:themeColor="text1"/>
          <w:sz w:val="24"/>
          <w:szCs w:val="24"/>
        </w:rPr>
        <w:t xml:space="preserve">v roce 2019 pořizovala </w:t>
      </w:r>
      <w:r w:rsidR="00D95702">
        <w:rPr>
          <w:rFonts w:asciiTheme="minorHAnsi" w:hAnsiTheme="minorHAnsi" w:cstheme="minorHAnsi"/>
          <w:noProof/>
          <w:color w:val="000000" w:themeColor="text1"/>
          <w:sz w:val="24"/>
          <w:szCs w:val="24"/>
        </w:rPr>
        <w:t>toto léčivo</w:t>
      </w:r>
      <w:r w:rsidR="0069336B" w:rsidRPr="00D30C21">
        <w:rPr>
          <w:rFonts w:asciiTheme="minorHAnsi" w:hAnsiTheme="minorHAnsi" w:cstheme="minorHAnsi"/>
          <w:noProof/>
          <w:color w:val="000000" w:themeColor="text1"/>
          <w:sz w:val="24"/>
          <w:szCs w:val="24"/>
        </w:rPr>
        <w:t xml:space="preserve"> na základě rámcové kupní smlouvy, kter</w:t>
      </w:r>
      <w:r w:rsidR="00133AAB" w:rsidRPr="00D30C21">
        <w:rPr>
          <w:rFonts w:asciiTheme="minorHAnsi" w:hAnsiTheme="minorHAnsi" w:cstheme="minorHAnsi"/>
          <w:noProof/>
          <w:color w:val="000000" w:themeColor="text1"/>
          <w:sz w:val="24"/>
          <w:szCs w:val="24"/>
        </w:rPr>
        <w:t xml:space="preserve">ou </w:t>
      </w:r>
      <w:r w:rsidR="0069336B" w:rsidRPr="00D30C21">
        <w:rPr>
          <w:rFonts w:asciiTheme="minorHAnsi" w:hAnsiTheme="minorHAnsi" w:cstheme="minorHAnsi"/>
          <w:noProof/>
          <w:color w:val="000000" w:themeColor="text1"/>
          <w:sz w:val="24"/>
          <w:szCs w:val="24"/>
        </w:rPr>
        <w:t>uzavře</w:t>
      </w:r>
      <w:r w:rsidR="00133AAB" w:rsidRPr="00D30C21">
        <w:rPr>
          <w:rFonts w:asciiTheme="minorHAnsi" w:hAnsiTheme="minorHAnsi" w:cstheme="minorHAnsi"/>
          <w:noProof/>
          <w:color w:val="000000" w:themeColor="text1"/>
          <w:sz w:val="24"/>
          <w:szCs w:val="24"/>
        </w:rPr>
        <w:t>la</w:t>
      </w:r>
      <w:r w:rsidR="0069336B" w:rsidRPr="00D30C21">
        <w:rPr>
          <w:rFonts w:asciiTheme="minorHAnsi" w:hAnsiTheme="minorHAnsi" w:cstheme="minorHAnsi"/>
          <w:noProof/>
          <w:color w:val="000000" w:themeColor="text1"/>
          <w:sz w:val="24"/>
          <w:szCs w:val="24"/>
        </w:rPr>
        <w:t xml:space="preserve"> přímo</w:t>
      </w:r>
      <w:r w:rsidR="00F56480">
        <w:rPr>
          <w:rFonts w:asciiTheme="minorHAnsi" w:hAnsiTheme="minorHAnsi" w:cstheme="minorHAnsi"/>
          <w:noProof/>
          <w:color w:val="000000" w:themeColor="text1"/>
          <w:sz w:val="24"/>
          <w:szCs w:val="24"/>
        </w:rPr>
        <w:t>,</w:t>
      </w:r>
      <w:r w:rsidR="0069336B" w:rsidRPr="00D30C21">
        <w:rPr>
          <w:rFonts w:asciiTheme="minorHAnsi" w:hAnsiTheme="minorHAnsi" w:cstheme="minorHAnsi"/>
          <w:noProof/>
          <w:color w:val="000000" w:themeColor="text1"/>
          <w:sz w:val="24"/>
          <w:szCs w:val="24"/>
        </w:rPr>
        <w:t xml:space="preserve"> a ne v některém z</w:t>
      </w:r>
      <w:r w:rsidR="00DF3DA7" w:rsidRPr="00D30C21">
        <w:rPr>
          <w:rFonts w:asciiTheme="minorHAnsi" w:hAnsiTheme="minorHAnsi" w:cstheme="minorHAnsi"/>
          <w:noProof/>
          <w:color w:val="000000" w:themeColor="text1"/>
          <w:sz w:val="24"/>
          <w:szCs w:val="24"/>
        </w:rPr>
        <w:t xml:space="preserve"> druhů</w:t>
      </w:r>
      <w:r w:rsidR="0069336B" w:rsidRPr="00D30C21">
        <w:rPr>
          <w:rFonts w:asciiTheme="minorHAnsi" w:hAnsiTheme="minorHAnsi" w:cstheme="minorHAnsi"/>
          <w:noProof/>
          <w:color w:val="000000" w:themeColor="text1"/>
          <w:sz w:val="24"/>
          <w:szCs w:val="24"/>
        </w:rPr>
        <w:t xml:space="preserve"> zadávací</w:t>
      </w:r>
      <w:r w:rsidR="00DF3DA7" w:rsidRPr="00D30C21">
        <w:rPr>
          <w:rFonts w:asciiTheme="minorHAnsi" w:hAnsiTheme="minorHAnsi" w:cstheme="minorHAnsi"/>
          <w:noProof/>
          <w:color w:val="000000" w:themeColor="text1"/>
          <w:sz w:val="24"/>
          <w:szCs w:val="24"/>
        </w:rPr>
        <w:t>ch</w:t>
      </w:r>
      <w:r w:rsidR="0069336B" w:rsidRPr="00D30C21">
        <w:rPr>
          <w:rFonts w:asciiTheme="minorHAnsi" w:hAnsiTheme="minorHAnsi" w:cstheme="minorHAnsi"/>
          <w:noProof/>
          <w:color w:val="000000" w:themeColor="text1"/>
          <w:sz w:val="24"/>
          <w:szCs w:val="24"/>
        </w:rPr>
        <w:t xml:space="preserve"> řízení. V letech 2020 a 2021 pořizovala </w:t>
      </w:r>
      <w:r w:rsidR="00A77254" w:rsidRPr="00D30C21">
        <w:rPr>
          <w:rFonts w:asciiTheme="minorHAnsi" w:hAnsiTheme="minorHAnsi" w:cstheme="minorHAnsi"/>
          <w:noProof/>
          <w:color w:val="000000" w:themeColor="text1"/>
          <w:sz w:val="24"/>
          <w:szCs w:val="24"/>
        </w:rPr>
        <w:t xml:space="preserve">FNKV </w:t>
      </w:r>
      <w:r w:rsidR="00D95702">
        <w:rPr>
          <w:rFonts w:asciiTheme="minorHAnsi" w:hAnsiTheme="minorHAnsi" w:cstheme="minorHAnsi"/>
          <w:noProof/>
          <w:color w:val="000000" w:themeColor="text1"/>
          <w:sz w:val="24"/>
          <w:szCs w:val="24"/>
        </w:rPr>
        <w:t>toto léčivo</w:t>
      </w:r>
      <w:r w:rsidR="0069336B" w:rsidRPr="00D30C21">
        <w:rPr>
          <w:rFonts w:asciiTheme="minorHAnsi" w:hAnsiTheme="minorHAnsi" w:cstheme="minorHAnsi"/>
          <w:noProof/>
          <w:color w:val="000000" w:themeColor="text1"/>
          <w:sz w:val="24"/>
          <w:szCs w:val="24"/>
        </w:rPr>
        <w:t xml:space="preserve"> na základě objednávky přímo dodavateli bez zadávacího řízení.</w:t>
      </w:r>
    </w:p>
    <w:p w14:paraId="1BAA3DF8" w14:textId="730DFF4A" w:rsidR="00466AD6" w:rsidRPr="00527E83" w:rsidRDefault="00E75C84" w:rsidP="00A4785F">
      <w:pPr>
        <w:widowControl/>
        <w:spacing w:before="120" w:after="120"/>
        <w:jc w:val="both"/>
        <w:rPr>
          <w:rFonts w:asciiTheme="minorHAnsi" w:hAnsiTheme="minorHAnsi" w:cstheme="minorHAnsi"/>
          <w:i/>
          <w:sz w:val="24"/>
          <w:szCs w:val="24"/>
        </w:rPr>
      </w:pPr>
      <w:r>
        <w:rPr>
          <w:rFonts w:asciiTheme="minorHAnsi" w:hAnsiTheme="minorHAnsi" w:cstheme="minorHAnsi"/>
          <w:b/>
          <w:color w:val="000000" w:themeColor="text1"/>
          <w:sz w:val="24"/>
          <w:szCs w:val="24"/>
        </w:rPr>
        <w:t>NKÚ zjistil m</w:t>
      </w:r>
      <w:r w:rsidR="00466AD6" w:rsidRPr="00527E83">
        <w:rPr>
          <w:rFonts w:asciiTheme="minorHAnsi" w:hAnsiTheme="minorHAnsi" w:cstheme="minorHAnsi"/>
          <w:b/>
          <w:color w:val="000000" w:themeColor="text1"/>
          <w:sz w:val="24"/>
          <w:szCs w:val="24"/>
        </w:rPr>
        <w:t>ezi FN významné cenové rozdíly v jednotkových nákupních cenách vybraného vzorku léčiv, často i od stejných dodavatelů</w:t>
      </w:r>
      <w:r w:rsidR="00466AD6" w:rsidRPr="00527E83">
        <w:rPr>
          <w:rFonts w:asciiTheme="minorHAnsi" w:hAnsiTheme="minorHAnsi" w:cstheme="minorHAnsi"/>
          <w:b/>
          <w:sz w:val="24"/>
          <w:szCs w:val="24"/>
        </w:rPr>
        <w:t>.</w:t>
      </w:r>
      <w:r w:rsidR="00466AD6" w:rsidRPr="00527E83">
        <w:rPr>
          <w:rFonts w:asciiTheme="minorHAnsi" w:hAnsiTheme="minorHAnsi" w:cstheme="minorHAnsi"/>
          <w:i/>
          <w:sz w:val="24"/>
          <w:szCs w:val="24"/>
        </w:rPr>
        <w:t xml:space="preserve"> </w:t>
      </w:r>
      <w:r w:rsidR="00466AD6" w:rsidRPr="00527E83">
        <w:rPr>
          <w:rFonts w:asciiTheme="minorHAnsi" w:hAnsiTheme="minorHAnsi" w:cstheme="minorHAnsi"/>
          <w:b/>
          <w:color w:val="000000" w:themeColor="text1"/>
          <w:sz w:val="24"/>
          <w:szCs w:val="24"/>
        </w:rPr>
        <w:t>Ve značných cenových rozdílech léčiv</w:t>
      </w:r>
      <w:r w:rsidR="00466AD6" w:rsidRPr="00527E83">
        <w:rPr>
          <w:rFonts w:asciiTheme="minorHAnsi" w:hAnsiTheme="minorHAnsi" w:cstheme="minorHAnsi"/>
          <w:color w:val="000000" w:themeColor="text1"/>
          <w:sz w:val="24"/>
          <w:szCs w:val="24"/>
        </w:rPr>
        <w:t xml:space="preserve"> </w:t>
      </w:r>
      <w:r w:rsidR="00466AD6" w:rsidRPr="00527E83">
        <w:rPr>
          <w:rFonts w:asciiTheme="minorHAnsi" w:hAnsiTheme="minorHAnsi" w:cstheme="minorHAnsi"/>
          <w:b/>
          <w:color w:val="000000" w:themeColor="text1"/>
          <w:sz w:val="24"/>
          <w:szCs w:val="24"/>
        </w:rPr>
        <w:t xml:space="preserve">NKÚ spatřuje prostor pro snižování nákladů, jak bylo zjištěno např. při porovnání cen u léčiva kód SÚKL </w:t>
      </w:r>
      <w:r w:rsidR="008E0793" w:rsidRPr="00527E83">
        <w:rPr>
          <w:rFonts w:asciiTheme="minorHAnsi" w:hAnsiTheme="minorHAnsi" w:cstheme="minorHAnsi"/>
          <w:b/>
          <w:color w:val="000000" w:themeColor="text1"/>
          <w:sz w:val="24"/>
          <w:szCs w:val="24"/>
        </w:rPr>
        <w:t>0219028 (CABOMETYX)</w:t>
      </w:r>
      <w:r w:rsidR="00E8667C" w:rsidRPr="00527E83">
        <w:rPr>
          <w:rFonts w:asciiTheme="minorHAnsi" w:hAnsiTheme="minorHAnsi" w:cstheme="minorHAnsi"/>
          <w:b/>
          <w:color w:val="000000" w:themeColor="text1"/>
          <w:sz w:val="24"/>
          <w:szCs w:val="24"/>
        </w:rPr>
        <w:t xml:space="preserve">, </w:t>
      </w:r>
      <w:r w:rsidR="00C5071D" w:rsidRPr="00527E83">
        <w:rPr>
          <w:rFonts w:asciiTheme="minorHAnsi" w:hAnsiTheme="minorHAnsi" w:cstheme="minorHAnsi"/>
          <w:b/>
          <w:color w:val="000000" w:themeColor="text1"/>
          <w:sz w:val="24"/>
          <w:szCs w:val="24"/>
        </w:rPr>
        <w:t xml:space="preserve">kód SÚKL 0209097 (HUMIRA) </w:t>
      </w:r>
      <w:r w:rsidR="00466AD6" w:rsidRPr="00527E83">
        <w:rPr>
          <w:rFonts w:asciiTheme="minorHAnsi" w:hAnsiTheme="minorHAnsi" w:cstheme="minorHAnsi"/>
          <w:b/>
          <w:color w:val="000000" w:themeColor="text1"/>
          <w:sz w:val="24"/>
          <w:szCs w:val="24"/>
        </w:rPr>
        <w:t xml:space="preserve">a kód SÚKL </w:t>
      </w:r>
      <w:r w:rsidR="00C5071D" w:rsidRPr="00527E83">
        <w:rPr>
          <w:rFonts w:asciiTheme="minorHAnsi" w:hAnsiTheme="minorHAnsi" w:cstheme="minorHAnsi"/>
          <w:b/>
          <w:color w:val="000000" w:themeColor="text1"/>
          <w:sz w:val="24"/>
          <w:szCs w:val="24"/>
        </w:rPr>
        <w:t>0194345</w:t>
      </w:r>
      <w:r w:rsidR="00466AD6" w:rsidRPr="00527E83">
        <w:rPr>
          <w:rFonts w:asciiTheme="minorHAnsi" w:hAnsiTheme="minorHAnsi" w:cstheme="minorHAnsi"/>
          <w:b/>
          <w:color w:val="000000" w:themeColor="text1"/>
          <w:sz w:val="24"/>
          <w:szCs w:val="24"/>
        </w:rPr>
        <w:t xml:space="preserve"> (</w:t>
      </w:r>
      <w:r w:rsidR="00C5071D" w:rsidRPr="00527E83">
        <w:rPr>
          <w:rFonts w:asciiTheme="minorHAnsi" w:hAnsiTheme="minorHAnsi" w:cstheme="minorHAnsi"/>
          <w:b/>
          <w:color w:val="000000" w:themeColor="text1"/>
          <w:sz w:val="24"/>
          <w:szCs w:val="24"/>
        </w:rPr>
        <w:t>REMSIMA</w:t>
      </w:r>
      <w:r w:rsidR="00466AD6" w:rsidRPr="00527E83">
        <w:rPr>
          <w:rFonts w:asciiTheme="minorHAnsi" w:hAnsiTheme="minorHAnsi" w:cstheme="minorHAnsi"/>
          <w:b/>
          <w:color w:val="000000" w:themeColor="text1"/>
          <w:sz w:val="24"/>
          <w:szCs w:val="24"/>
        </w:rPr>
        <w:t>), kdy byl</w:t>
      </w:r>
      <w:r w:rsidR="00636E48" w:rsidRPr="00527E83">
        <w:rPr>
          <w:rFonts w:asciiTheme="minorHAnsi" w:hAnsiTheme="minorHAnsi" w:cstheme="minorHAnsi"/>
          <w:b/>
          <w:color w:val="000000" w:themeColor="text1"/>
          <w:sz w:val="24"/>
          <w:szCs w:val="24"/>
        </w:rPr>
        <w:t>a</w:t>
      </w:r>
      <w:r w:rsidR="00466AD6" w:rsidRPr="00527E83">
        <w:rPr>
          <w:rFonts w:asciiTheme="minorHAnsi" w:hAnsiTheme="minorHAnsi" w:cstheme="minorHAnsi"/>
          <w:b/>
          <w:color w:val="000000" w:themeColor="text1"/>
          <w:sz w:val="24"/>
          <w:szCs w:val="24"/>
        </w:rPr>
        <w:t xml:space="preserve"> pořízen</w:t>
      </w:r>
      <w:r w:rsidR="00636E48" w:rsidRPr="00527E83">
        <w:rPr>
          <w:rFonts w:asciiTheme="minorHAnsi" w:hAnsiTheme="minorHAnsi" w:cstheme="minorHAnsi"/>
          <w:b/>
          <w:color w:val="000000" w:themeColor="text1"/>
          <w:sz w:val="24"/>
          <w:szCs w:val="24"/>
        </w:rPr>
        <w:t>a tato léčiva</w:t>
      </w:r>
      <w:r w:rsidR="00466AD6" w:rsidRPr="00527E83">
        <w:rPr>
          <w:rFonts w:asciiTheme="minorHAnsi" w:hAnsiTheme="minorHAnsi" w:cstheme="minorHAnsi"/>
          <w:b/>
          <w:color w:val="000000" w:themeColor="text1"/>
          <w:sz w:val="24"/>
          <w:szCs w:val="24"/>
        </w:rPr>
        <w:t xml:space="preserve"> </w:t>
      </w:r>
      <w:r w:rsidR="00E54A94">
        <w:rPr>
          <w:rFonts w:asciiTheme="minorHAnsi" w:hAnsiTheme="minorHAnsi" w:cstheme="minorHAnsi"/>
          <w:b/>
          <w:color w:val="000000" w:themeColor="text1"/>
          <w:sz w:val="24"/>
          <w:szCs w:val="24"/>
        </w:rPr>
        <w:t>l</w:t>
      </w:r>
      <w:r w:rsidR="00E54A94" w:rsidRPr="00527E83">
        <w:rPr>
          <w:rFonts w:asciiTheme="minorHAnsi" w:hAnsiTheme="minorHAnsi" w:cstheme="minorHAnsi"/>
          <w:b/>
          <w:color w:val="000000" w:themeColor="text1"/>
          <w:sz w:val="24"/>
          <w:szCs w:val="24"/>
        </w:rPr>
        <w:t xml:space="preserve">evněji </w:t>
      </w:r>
      <w:r w:rsidR="00466AD6" w:rsidRPr="00527E83">
        <w:rPr>
          <w:rFonts w:asciiTheme="minorHAnsi" w:hAnsiTheme="minorHAnsi" w:cstheme="minorHAnsi"/>
          <w:b/>
          <w:color w:val="000000" w:themeColor="text1"/>
          <w:sz w:val="24"/>
          <w:szCs w:val="24"/>
        </w:rPr>
        <w:t>na základě zadávacího řízení.</w:t>
      </w:r>
    </w:p>
    <w:p w14:paraId="444427FB" w14:textId="17710D76" w:rsidR="007F65D2" w:rsidRPr="00527E83" w:rsidRDefault="007F65D2" w:rsidP="00A4785F">
      <w:pPr>
        <w:keepNext/>
        <w:widowControl/>
        <w:spacing w:before="120" w:after="120"/>
        <w:jc w:val="both"/>
        <w:rPr>
          <w:rFonts w:asciiTheme="minorHAnsi" w:hAnsiTheme="minorHAnsi" w:cstheme="minorHAnsi"/>
          <w:b/>
          <w:sz w:val="24"/>
          <w:szCs w:val="24"/>
        </w:rPr>
      </w:pPr>
      <w:r w:rsidRPr="00527E83">
        <w:rPr>
          <w:rFonts w:asciiTheme="minorHAnsi" w:hAnsiTheme="minorHAnsi" w:cstheme="minorHAnsi"/>
          <w:b/>
          <w:sz w:val="24"/>
          <w:szCs w:val="24"/>
        </w:rPr>
        <w:t>Cenové rozdíly u zdravotnických prostředků</w:t>
      </w:r>
      <w:r w:rsidR="00FE20A1">
        <w:rPr>
          <w:rFonts w:asciiTheme="minorHAnsi" w:hAnsiTheme="minorHAnsi" w:cstheme="minorHAnsi"/>
          <w:b/>
          <w:sz w:val="24"/>
          <w:szCs w:val="24"/>
        </w:rPr>
        <w:t>, resp. SZM</w:t>
      </w:r>
    </w:p>
    <w:p w14:paraId="342B047C" w14:textId="7D962B52" w:rsidR="00231156" w:rsidRPr="0075660A" w:rsidRDefault="00231156" w:rsidP="00A4785F">
      <w:pPr>
        <w:widowControl/>
        <w:spacing w:before="120" w:after="120"/>
        <w:jc w:val="both"/>
        <w:rPr>
          <w:rFonts w:asciiTheme="minorHAnsi" w:hAnsiTheme="minorHAnsi" w:cstheme="minorHAnsi"/>
          <w:sz w:val="24"/>
          <w:szCs w:val="24"/>
        </w:rPr>
      </w:pPr>
      <w:r w:rsidRPr="00527E83">
        <w:rPr>
          <w:rFonts w:asciiTheme="minorHAnsi" w:hAnsiTheme="minorHAnsi" w:cstheme="minorHAnsi"/>
          <w:sz w:val="24"/>
          <w:szCs w:val="24"/>
        </w:rPr>
        <w:t xml:space="preserve">Na kontrolním vzorku devíti druhů </w:t>
      </w:r>
      <w:proofErr w:type="spellStart"/>
      <w:r w:rsidR="00636E48" w:rsidRPr="00527E83">
        <w:rPr>
          <w:rFonts w:asciiTheme="minorHAnsi" w:hAnsiTheme="minorHAnsi" w:cstheme="minorHAnsi"/>
          <w:sz w:val="24"/>
          <w:szCs w:val="24"/>
        </w:rPr>
        <w:t>ZPr</w:t>
      </w:r>
      <w:proofErr w:type="spellEnd"/>
      <w:r w:rsidRPr="00527E83">
        <w:rPr>
          <w:rFonts w:asciiTheme="minorHAnsi" w:hAnsiTheme="minorHAnsi" w:cstheme="minorHAnsi"/>
          <w:sz w:val="24"/>
          <w:szCs w:val="24"/>
        </w:rPr>
        <w:t xml:space="preserve">, které pořizovaly v období 2019 až 2021 </w:t>
      </w:r>
      <w:r w:rsidR="00C50BC6">
        <w:rPr>
          <w:rFonts w:asciiTheme="minorHAnsi" w:hAnsiTheme="minorHAnsi" w:cstheme="minorHAnsi"/>
          <w:sz w:val="24"/>
          <w:szCs w:val="24"/>
        </w:rPr>
        <w:t>kontrolované</w:t>
      </w:r>
      <w:r w:rsidRPr="00527E83">
        <w:rPr>
          <w:rFonts w:asciiTheme="minorHAnsi" w:hAnsiTheme="minorHAnsi" w:cstheme="minorHAnsi"/>
          <w:sz w:val="24"/>
          <w:szCs w:val="24"/>
        </w:rPr>
        <w:t xml:space="preserve"> FN a</w:t>
      </w:r>
      <w:r w:rsidR="00636E48" w:rsidRPr="00527E83">
        <w:rPr>
          <w:rFonts w:asciiTheme="minorHAnsi" w:hAnsiTheme="minorHAnsi" w:cstheme="minorHAnsi"/>
          <w:sz w:val="24"/>
          <w:szCs w:val="24"/>
        </w:rPr>
        <w:t> </w:t>
      </w:r>
      <w:r w:rsidRPr="00527E83">
        <w:rPr>
          <w:rFonts w:asciiTheme="minorHAnsi" w:hAnsiTheme="minorHAnsi" w:cstheme="minorHAnsi"/>
          <w:sz w:val="24"/>
          <w:szCs w:val="24"/>
        </w:rPr>
        <w:t xml:space="preserve">jednoho druhu </w:t>
      </w:r>
      <w:r w:rsidR="00F76D5A">
        <w:rPr>
          <w:rFonts w:asciiTheme="minorHAnsi" w:hAnsiTheme="minorHAnsi" w:cstheme="minorHAnsi"/>
          <w:sz w:val="24"/>
          <w:szCs w:val="24"/>
        </w:rPr>
        <w:t>SZM</w:t>
      </w:r>
      <w:r w:rsidRPr="00527E83">
        <w:rPr>
          <w:rFonts w:asciiTheme="minorHAnsi" w:hAnsiTheme="minorHAnsi" w:cstheme="minorHAnsi"/>
          <w:sz w:val="24"/>
          <w:szCs w:val="24"/>
        </w:rPr>
        <w:t xml:space="preserve"> u dvou FN, </w:t>
      </w:r>
      <w:r w:rsidRPr="002178C7">
        <w:rPr>
          <w:rFonts w:asciiTheme="minorHAnsi" w:hAnsiTheme="minorHAnsi" w:cstheme="minorHAnsi"/>
          <w:sz w:val="24"/>
          <w:szCs w:val="24"/>
        </w:rPr>
        <w:t>NKÚ zjistil při porovnání jednotkových cen za jeden kus v</w:t>
      </w:r>
      <w:r w:rsidR="00C14586" w:rsidRPr="002178C7">
        <w:rPr>
          <w:rFonts w:asciiTheme="minorHAnsi" w:hAnsiTheme="minorHAnsi" w:cstheme="minorHAnsi"/>
          <w:sz w:val="24"/>
          <w:szCs w:val="24"/>
        </w:rPr>
        <w:t> </w:t>
      </w:r>
      <w:r w:rsidRPr="002178C7">
        <w:rPr>
          <w:rFonts w:asciiTheme="minorHAnsi" w:hAnsiTheme="minorHAnsi" w:cstheme="minorHAnsi"/>
          <w:sz w:val="24"/>
          <w:szCs w:val="24"/>
        </w:rPr>
        <w:t xml:space="preserve">jednotlivých </w:t>
      </w:r>
      <w:r w:rsidRPr="0075660A">
        <w:rPr>
          <w:rFonts w:asciiTheme="minorHAnsi" w:hAnsiTheme="minorHAnsi" w:cstheme="minorHAnsi"/>
          <w:sz w:val="24"/>
          <w:szCs w:val="24"/>
        </w:rPr>
        <w:t>letech rozdíly</w:t>
      </w:r>
      <w:r w:rsidR="002178C7" w:rsidRPr="0075660A">
        <w:rPr>
          <w:rFonts w:asciiTheme="minorHAnsi" w:hAnsiTheme="minorHAnsi" w:cstheme="minorHAnsi"/>
          <w:sz w:val="24"/>
          <w:szCs w:val="24"/>
        </w:rPr>
        <w:t>. Tyto rozdíly</w:t>
      </w:r>
      <w:r w:rsidR="00F6270D">
        <w:rPr>
          <w:rFonts w:asciiTheme="minorHAnsi" w:hAnsiTheme="minorHAnsi" w:cstheme="minorHAnsi"/>
          <w:sz w:val="24"/>
          <w:szCs w:val="24"/>
          <w:vertAlign w:val="superscript"/>
        </w:rPr>
        <w:t>4</w:t>
      </w:r>
      <w:r w:rsidR="00CE26B2">
        <w:rPr>
          <w:rFonts w:asciiTheme="minorHAnsi" w:hAnsiTheme="minorHAnsi" w:cstheme="minorHAnsi"/>
          <w:sz w:val="24"/>
          <w:szCs w:val="24"/>
          <w:vertAlign w:val="superscript"/>
        </w:rPr>
        <w:t>4</w:t>
      </w:r>
      <w:r w:rsidR="00F6270D">
        <w:rPr>
          <w:rFonts w:asciiTheme="minorHAnsi" w:hAnsiTheme="minorHAnsi" w:cstheme="minorHAnsi"/>
          <w:sz w:val="24"/>
          <w:szCs w:val="24"/>
          <w:vertAlign w:val="superscript"/>
        </w:rPr>
        <w:t xml:space="preserve"> </w:t>
      </w:r>
      <w:r w:rsidRPr="0075660A">
        <w:rPr>
          <w:rFonts w:asciiTheme="minorHAnsi" w:hAnsiTheme="minorHAnsi" w:cstheme="minorHAnsi"/>
          <w:sz w:val="24"/>
          <w:szCs w:val="24"/>
        </w:rPr>
        <w:t xml:space="preserve">se v procentuálním vyjádření pohybovaly </w:t>
      </w:r>
      <w:r w:rsidR="00636E48" w:rsidRPr="0075660A">
        <w:rPr>
          <w:rFonts w:asciiTheme="minorHAnsi" w:hAnsiTheme="minorHAnsi" w:cstheme="minorHAnsi"/>
          <w:sz w:val="24"/>
          <w:szCs w:val="24"/>
        </w:rPr>
        <w:t xml:space="preserve">v rozmezí </w:t>
      </w:r>
      <w:r w:rsidRPr="0075660A">
        <w:rPr>
          <w:rFonts w:asciiTheme="minorHAnsi" w:hAnsiTheme="minorHAnsi" w:cstheme="minorHAnsi"/>
          <w:sz w:val="24"/>
          <w:szCs w:val="24"/>
        </w:rPr>
        <w:t>od 0 % do 252,63</w:t>
      </w:r>
      <w:r w:rsidR="00AC372C" w:rsidRPr="0075660A">
        <w:rPr>
          <w:rStyle w:val="Znakapoznpodarou"/>
          <w:rFonts w:asciiTheme="minorHAnsi" w:hAnsiTheme="minorHAnsi"/>
          <w:sz w:val="24"/>
          <w:szCs w:val="24"/>
        </w:rPr>
        <w:footnoteReference w:id="47"/>
      </w:r>
      <w:r w:rsidRPr="0075660A">
        <w:rPr>
          <w:rFonts w:asciiTheme="minorHAnsi" w:hAnsiTheme="minorHAnsi" w:cstheme="minorHAnsi"/>
          <w:sz w:val="24"/>
          <w:szCs w:val="24"/>
        </w:rPr>
        <w:t xml:space="preserve"> % a v absolutním vyjádření </w:t>
      </w:r>
      <w:r w:rsidR="003C31BA" w:rsidRPr="0075660A">
        <w:rPr>
          <w:rFonts w:asciiTheme="minorHAnsi" w:hAnsiTheme="minorHAnsi" w:cstheme="minorHAnsi"/>
          <w:sz w:val="24"/>
          <w:szCs w:val="24"/>
        </w:rPr>
        <w:t xml:space="preserve">se </w:t>
      </w:r>
      <w:r w:rsidRPr="0075660A">
        <w:rPr>
          <w:rFonts w:asciiTheme="minorHAnsi" w:hAnsiTheme="minorHAnsi" w:cstheme="minorHAnsi"/>
          <w:sz w:val="24"/>
          <w:szCs w:val="24"/>
        </w:rPr>
        <w:t xml:space="preserve">pohybovaly </w:t>
      </w:r>
      <w:r w:rsidR="00636E48" w:rsidRPr="0075660A">
        <w:rPr>
          <w:rFonts w:asciiTheme="minorHAnsi" w:hAnsiTheme="minorHAnsi" w:cstheme="minorHAnsi"/>
          <w:sz w:val="24"/>
          <w:szCs w:val="24"/>
        </w:rPr>
        <w:t xml:space="preserve">v rozmezí </w:t>
      </w:r>
      <w:r w:rsidRPr="0075660A">
        <w:rPr>
          <w:rFonts w:asciiTheme="minorHAnsi" w:hAnsiTheme="minorHAnsi" w:cstheme="minorHAnsi"/>
          <w:sz w:val="24"/>
          <w:szCs w:val="24"/>
        </w:rPr>
        <w:t>od 0 Kč do 88 122,65</w:t>
      </w:r>
      <w:r w:rsidR="000668D1" w:rsidRPr="0075660A">
        <w:rPr>
          <w:rFonts w:asciiTheme="minorHAnsi" w:hAnsiTheme="minorHAnsi" w:cstheme="minorHAnsi"/>
          <w:sz w:val="24"/>
          <w:szCs w:val="24"/>
        </w:rPr>
        <w:t> </w:t>
      </w:r>
      <w:r w:rsidRPr="0075660A">
        <w:rPr>
          <w:rFonts w:asciiTheme="minorHAnsi" w:hAnsiTheme="minorHAnsi" w:cstheme="minorHAnsi"/>
          <w:sz w:val="24"/>
          <w:szCs w:val="24"/>
        </w:rPr>
        <w:t>Kč. Všechny zjištěné rozdíly jsou uvedeny v</w:t>
      </w:r>
      <w:r w:rsidR="000F0A41" w:rsidRPr="0075660A">
        <w:rPr>
          <w:rFonts w:asciiTheme="minorHAnsi" w:hAnsiTheme="minorHAnsi" w:cstheme="minorHAnsi"/>
          <w:sz w:val="24"/>
          <w:szCs w:val="24"/>
        </w:rPr>
        <w:t> </w:t>
      </w:r>
      <w:r w:rsidRPr="0075660A">
        <w:rPr>
          <w:rFonts w:asciiTheme="minorHAnsi" w:hAnsiTheme="minorHAnsi" w:cstheme="minorHAnsi"/>
          <w:sz w:val="24"/>
          <w:szCs w:val="24"/>
        </w:rPr>
        <w:t xml:space="preserve">příloze č. </w:t>
      </w:r>
      <w:r w:rsidR="00F56DF7" w:rsidRPr="0075660A">
        <w:rPr>
          <w:rFonts w:asciiTheme="minorHAnsi" w:hAnsiTheme="minorHAnsi" w:cstheme="minorHAnsi"/>
          <w:sz w:val="24"/>
          <w:szCs w:val="24"/>
        </w:rPr>
        <w:t>4</w:t>
      </w:r>
      <w:r w:rsidRPr="0075660A">
        <w:rPr>
          <w:rFonts w:asciiTheme="minorHAnsi" w:hAnsiTheme="minorHAnsi" w:cstheme="minorHAnsi"/>
          <w:sz w:val="24"/>
          <w:szCs w:val="24"/>
        </w:rPr>
        <w:t xml:space="preserve"> tohoto kontrolního závěru. </w:t>
      </w:r>
    </w:p>
    <w:p w14:paraId="7157C908" w14:textId="11C9E3FE" w:rsidR="00231156" w:rsidRPr="0075660A" w:rsidRDefault="00231156" w:rsidP="00476369">
      <w:pPr>
        <w:widowControl/>
        <w:jc w:val="both"/>
        <w:rPr>
          <w:rFonts w:asciiTheme="minorHAnsi" w:hAnsiTheme="minorHAnsi" w:cstheme="minorHAnsi"/>
          <w:sz w:val="24"/>
          <w:szCs w:val="24"/>
        </w:rPr>
      </w:pPr>
      <w:r w:rsidRPr="0075660A">
        <w:rPr>
          <w:rFonts w:asciiTheme="minorHAnsi" w:hAnsiTheme="minorHAnsi" w:cstheme="minorHAnsi"/>
          <w:sz w:val="24"/>
          <w:szCs w:val="24"/>
        </w:rPr>
        <w:t xml:space="preserve">Největší rozdíl v absolutní hodnotě nebo v procentuálním vyjádření byl zjištěn u </w:t>
      </w:r>
      <w:proofErr w:type="spellStart"/>
      <w:r w:rsidRPr="0075660A">
        <w:rPr>
          <w:rFonts w:asciiTheme="minorHAnsi" w:hAnsiTheme="minorHAnsi" w:cstheme="minorHAnsi"/>
          <w:sz w:val="24"/>
          <w:szCs w:val="24"/>
        </w:rPr>
        <w:t>ZPr</w:t>
      </w:r>
      <w:proofErr w:type="spellEnd"/>
      <w:r w:rsidRPr="0075660A">
        <w:rPr>
          <w:rFonts w:asciiTheme="minorHAnsi" w:hAnsiTheme="minorHAnsi" w:cstheme="minorHAnsi"/>
          <w:sz w:val="24"/>
          <w:szCs w:val="24"/>
        </w:rPr>
        <w:t xml:space="preserve"> pod </w:t>
      </w:r>
      <w:r w:rsidR="00A4785F">
        <w:rPr>
          <w:rFonts w:asciiTheme="minorHAnsi" w:hAnsiTheme="minorHAnsi" w:cstheme="minorHAnsi"/>
          <w:sz w:val="24"/>
          <w:szCs w:val="24"/>
        </w:rPr>
        <w:br/>
      </w:r>
      <w:r w:rsidRPr="0075660A">
        <w:rPr>
          <w:rFonts w:asciiTheme="minorHAnsi" w:hAnsiTheme="minorHAnsi" w:cstheme="minorHAnsi"/>
          <w:sz w:val="24"/>
          <w:szCs w:val="24"/>
        </w:rPr>
        <w:t>kódy ZP</w:t>
      </w:r>
      <w:r w:rsidR="000F0A41" w:rsidRPr="0075660A">
        <w:rPr>
          <w:rStyle w:val="Znakapoznpodarou"/>
          <w:rFonts w:asciiTheme="minorHAnsi" w:hAnsiTheme="minorHAnsi"/>
          <w:sz w:val="24"/>
          <w:szCs w:val="24"/>
        </w:rPr>
        <w:footnoteReference w:id="48"/>
      </w:r>
      <w:r w:rsidRPr="0075660A">
        <w:rPr>
          <w:rFonts w:asciiTheme="minorHAnsi" w:hAnsiTheme="minorHAnsi" w:cstheme="minorHAnsi"/>
          <w:sz w:val="24"/>
          <w:szCs w:val="24"/>
        </w:rPr>
        <w:t>:</w:t>
      </w:r>
    </w:p>
    <w:p w14:paraId="4FC83CC1" w14:textId="796AE8A6" w:rsidR="00231156" w:rsidRPr="0075660A" w:rsidRDefault="000E324C" w:rsidP="00A4785F">
      <w:pPr>
        <w:pStyle w:val="Odstavecseseznamem"/>
        <w:widowControl/>
        <w:numPr>
          <w:ilvl w:val="0"/>
          <w:numId w:val="42"/>
        </w:numPr>
        <w:autoSpaceDE/>
        <w:adjustRightInd/>
        <w:ind w:left="284" w:hanging="284"/>
        <w:jc w:val="both"/>
        <w:rPr>
          <w:rFonts w:asciiTheme="minorHAnsi" w:hAnsiTheme="minorHAnsi" w:cstheme="minorHAnsi"/>
          <w:noProof/>
          <w:color w:val="000000" w:themeColor="text1"/>
          <w:sz w:val="24"/>
          <w:szCs w:val="24"/>
        </w:rPr>
      </w:pPr>
      <w:r w:rsidRPr="0075660A">
        <w:rPr>
          <w:rFonts w:asciiTheme="minorHAnsi" w:hAnsiTheme="minorHAnsi" w:cstheme="minorHAnsi"/>
          <w:noProof/>
          <w:color w:val="000000" w:themeColor="text1"/>
          <w:sz w:val="24"/>
          <w:szCs w:val="24"/>
        </w:rPr>
        <w:t xml:space="preserve">0070460 (NÁHR. KYČELNÍ HLAVIČKA FEM. MODUL. PR. 36 MM) </w:t>
      </w:r>
      <w:r w:rsidR="00231156" w:rsidRPr="0075660A">
        <w:rPr>
          <w:rFonts w:asciiTheme="minorHAnsi" w:hAnsiTheme="minorHAnsi" w:cstheme="minorHAnsi"/>
          <w:noProof/>
          <w:color w:val="000000" w:themeColor="text1"/>
          <w:sz w:val="24"/>
          <w:szCs w:val="24"/>
        </w:rPr>
        <w:t xml:space="preserve">v roce 2019 činil rozdíl 9 794,55 Kč (tj. 94,63 %), kdy FNB pořídila jeden kus za 10 350 Kč a FNKV a FNUSA za </w:t>
      </w:r>
      <w:r w:rsidR="00AC4E8C" w:rsidRPr="0075660A">
        <w:rPr>
          <w:rFonts w:asciiTheme="minorHAnsi" w:hAnsiTheme="minorHAnsi" w:cstheme="minorHAnsi"/>
          <w:noProof/>
          <w:color w:val="000000" w:themeColor="text1"/>
          <w:sz w:val="24"/>
          <w:szCs w:val="24"/>
        </w:rPr>
        <w:t>2</w:t>
      </w:r>
      <w:r w:rsidR="00231156" w:rsidRPr="0075660A">
        <w:rPr>
          <w:rFonts w:asciiTheme="minorHAnsi" w:hAnsiTheme="minorHAnsi" w:cstheme="minorHAnsi"/>
          <w:noProof/>
          <w:color w:val="000000" w:themeColor="text1"/>
          <w:sz w:val="24"/>
          <w:szCs w:val="24"/>
        </w:rPr>
        <w:t xml:space="preserve">0 144,55 Kč. V roce 2020 i 2021 činil rozdíl 9 794,55 Kč (tj. 94,63 %), kdy FNB pořídila jeden kus za 10 350 Kč a FNKV za 20 144,55 Kč. Všechny dodávky byly </w:t>
      </w:r>
      <w:r w:rsidR="00BD073A" w:rsidRPr="0075660A">
        <w:rPr>
          <w:rFonts w:asciiTheme="minorHAnsi" w:hAnsiTheme="minorHAnsi" w:cstheme="minorHAnsi"/>
          <w:noProof/>
          <w:color w:val="000000" w:themeColor="text1"/>
          <w:sz w:val="24"/>
          <w:szCs w:val="24"/>
        </w:rPr>
        <w:t xml:space="preserve">pořízeny </w:t>
      </w:r>
      <w:r w:rsidR="00231156" w:rsidRPr="0075660A">
        <w:rPr>
          <w:rFonts w:asciiTheme="minorHAnsi" w:hAnsiTheme="minorHAnsi" w:cstheme="minorHAnsi"/>
          <w:noProof/>
          <w:color w:val="000000" w:themeColor="text1"/>
          <w:sz w:val="24"/>
          <w:szCs w:val="24"/>
        </w:rPr>
        <w:t>od</w:t>
      </w:r>
      <w:r w:rsidR="00C417C1" w:rsidRPr="0075660A">
        <w:rPr>
          <w:rFonts w:asciiTheme="minorHAnsi" w:hAnsiTheme="minorHAnsi" w:cstheme="minorHAnsi"/>
          <w:noProof/>
          <w:color w:val="000000" w:themeColor="text1"/>
          <w:sz w:val="24"/>
          <w:szCs w:val="24"/>
        </w:rPr>
        <w:t> j</w:t>
      </w:r>
      <w:r w:rsidR="00231156" w:rsidRPr="0075660A">
        <w:rPr>
          <w:rFonts w:asciiTheme="minorHAnsi" w:hAnsiTheme="minorHAnsi" w:cstheme="minorHAnsi"/>
          <w:noProof/>
          <w:color w:val="000000" w:themeColor="text1"/>
          <w:sz w:val="24"/>
          <w:szCs w:val="24"/>
        </w:rPr>
        <w:t>ednoho dodavatele přes konsignační sklady bez zadávacího řízení.</w:t>
      </w:r>
    </w:p>
    <w:p w14:paraId="4FCF93E6" w14:textId="06EF0933" w:rsidR="00231156" w:rsidRDefault="000E324C" w:rsidP="00A4785F">
      <w:pPr>
        <w:pStyle w:val="Odstavecseseznamem"/>
        <w:widowControl/>
        <w:numPr>
          <w:ilvl w:val="0"/>
          <w:numId w:val="42"/>
        </w:numPr>
        <w:autoSpaceDE/>
        <w:adjustRightInd/>
        <w:ind w:left="284" w:hanging="284"/>
        <w:jc w:val="both"/>
        <w:rPr>
          <w:rFonts w:asciiTheme="minorHAnsi" w:hAnsiTheme="minorHAnsi" w:cstheme="minorHAnsi"/>
          <w:noProof/>
          <w:color w:val="000000" w:themeColor="text1"/>
          <w:sz w:val="24"/>
          <w:szCs w:val="24"/>
        </w:rPr>
      </w:pPr>
      <w:r w:rsidRPr="00527E83">
        <w:rPr>
          <w:rFonts w:asciiTheme="minorHAnsi" w:hAnsiTheme="minorHAnsi" w:cstheme="minorHAnsi"/>
          <w:noProof/>
          <w:color w:val="000000" w:themeColor="text1"/>
          <w:sz w:val="24"/>
          <w:szCs w:val="24"/>
        </w:rPr>
        <w:t xml:space="preserve">0070459 (NÁHR. KYČELNÍ HLAVIČKA FEM. MODUL. PR. 28 A 32 MM) </w:t>
      </w:r>
      <w:r w:rsidR="00231156" w:rsidRPr="00527E83">
        <w:rPr>
          <w:rFonts w:asciiTheme="minorHAnsi" w:hAnsiTheme="minorHAnsi" w:cstheme="minorHAnsi"/>
          <w:noProof/>
          <w:color w:val="000000" w:themeColor="text1"/>
          <w:sz w:val="24"/>
          <w:szCs w:val="24"/>
        </w:rPr>
        <w:t>v roce 2019 činil rozdíl 9 049,35 Kč (tj. 88,42 %), kdy FNKV pořídila jeden kus za 10 235 Kč a FNKV a</w:t>
      </w:r>
      <w:r w:rsidRPr="00527E83">
        <w:rPr>
          <w:rFonts w:asciiTheme="minorHAnsi" w:hAnsiTheme="minorHAnsi" w:cstheme="minorHAnsi"/>
          <w:noProof/>
          <w:color w:val="000000" w:themeColor="text1"/>
          <w:sz w:val="24"/>
          <w:szCs w:val="24"/>
        </w:rPr>
        <w:t> </w:t>
      </w:r>
      <w:r w:rsidR="00231156" w:rsidRPr="00527E83">
        <w:rPr>
          <w:rFonts w:asciiTheme="minorHAnsi" w:hAnsiTheme="minorHAnsi" w:cstheme="minorHAnsi"/>
          <w:noProof/>
          <w:color w:val="000000" w:themeColor="text1"/>
          <w:sz w:val="24"/>
          <w:szCs w:val="24"/>
        </w:rPr>
        <w:t>FNUSA za 19 284,35 Kč. V roce 2020 i 2021 činil rozdíl 8 934,35 Kč (tj. 86,32 %), kdy FNB pořídila jeden kus za 10 350 Kč a FNKV 19 284,35 Kč.</w:t>
      </w:r>
      <w:r w:rsidR="00C417C1">
        <w:rPr>
          <w:rFonts w:asciiTheme="minorHAnsi" w:hAnsiTheme="minorHAnsi" w:cstheme="minorHAnsi"/>
          <w:noProof/>
          <w:color w:val="000000" w:themeColor="text1"/>
          <w:sz w:val="24"/>
          <w:szCs w:val="24"/>
        </w:rPr>
        <w:t xml:space="preserve"> </w:t>
      </w:r>
      <w:r w:rsidR="00231156" w:rsidRPr="00527E83">
        <w:rPr>
          <w:rFonts w:asciiTheme="minorHAnsi" w:hAnsiTheme="minorHAnsi" w:cstheme="minorHAnsi"/>
          <w:noProof/>
          <w:color w:val="000000" w:themeColor="text1"/>
          <w:sz w:val="24"/>
          <w:szCs w:val="24"/>
        </w:rPr>
        <w:t xml:space="preserve">Všechny dodávky byly </w:t>
      </w:r>
      <w:r w:rsidR="00BD073A" w:rsidRPr="00527E83">
        <w:rPr>
          <w:rFonts w:asciiTheme="minorHAnsi" w:hAnsiTheme="minorHAnsi" w:cstheme="minorHAnsi"/>
          <w:noProof/>
          <w:color w:val="000000" w:themeColor="text1"/>
          <w:sz w:val="24"/>
          <w:szCs w:val="24"/>
        </w:rPr>
        <w:t xml:space="preserve">pořízeny </w:t>
      </w:r>
      <w:r w:rsidR="00231156" w:rsidRPr="00527E83">
        <w:rPr>
          <w:rFonts w:asciiTheme="minorHAnsi" w:hAnsiTheme="minorHAnsi" w:cstheme="minorHAnsi"/>
          <w:noProof/>
          <w:color w:val="000000" w:themeColor="text1"/>
          <w:sz w:val="24"/>
          <w:szCs w:val="24"/>
        </w:rPr>
        <w:t>od jednoho dodavatele přes konsignační sklady bez uskutečnění zadávacího řízení.</w:t>
      </w:r>
    </w:p>
    <w:p w14:paraId="31F00F77" w14:textId="30FD48CE" w:rsidR="00231156" w:rsidRPr="0075660A" w:rsidRDefault="00AC3EA2" w:rsidP="00A4785F">
      <w:pPr>
        <w:widowControl/>
        <w:spacing w:before="120" w:after="120"/>
        <w:jc w:val="both"/>
        <w:rPr>
          <w:rFonts w:asciiTheme="minorHAnsi" w:hAnsiTheme="minorHAnsi" w:cstheme="minorHAnsi"/>
          <w:b/>
          <w:sz w:val="24"/>
          <w:szCs w:val="24"/>
        </w:rPr>
      </w:pPr>
      <w:r>
        <w:rPr>
          <w:rFonts w:asciiTheme="minorHAnsi" w:hAnsiTheme="minorHAnsi" w:cstheme="minorHAnsi"/>
          <w:b/>
          <w:sz w:val="24"/>
          <w:szCs w:val="24"/>
        </w:rPr>
        <w:t>NKÚ zjistil m</w:t>
      </w:r>
      <w:r w:rsidR="00231156" w:rsidRPr="0075660A">
        <w:rPr>
          <w:rFonts w:asciiTheme="minorHAnsi" w:hAnsiTheme="minorHAnsi" w:cstheme="minorHAnsi"/>
          <w:b/>
          <w:sz w:val="24"/>
          <w:szCs w:val="24"/>
        </w:rPr>
        <w:t>ezi FN významné cenové rozdíly v jednotkových nákupních cenách vybraného vzorku zdravotnických prostředků, často i od stejných dodavatelů.</w:t>
      </w:r>
      <w:r w:rsidR="008B1973">
        <w:rPr>
          <w:rFonts w:asciiTheme="minorHAnsi" w:hAnsiTheme="minorHAnsi" w:cstheme="minorHAnsi"/>
          <w:b/>
          <w:sz w:val="24"/>
          <w:szCs w:val="24"/>
        </w:rPr>
        <w:t xml:space="preserve"> </w:t>
      </w:r>
      <w:r w:rsidR="00231156" w:rsidRPr="0075660A">
        <w:rPr>
          <w:rFonts w:asciiTheme="minorHAnsi" w:hAnsiTheme="minorHAnsi" w:cstheme="minorHAnsi"/>
          <w:b/>
          <w:sz w:val="24"/>
          <w:szCs w:val="24"/>
        </w:rPr>
        <w:t>Ve značných cenových rozdílech zdravotnických prostředků NKÚ spatřuje prostor pro snižování nákladů.</w:t>
      </w:r>
      <w:r w:rsidR="002840F9" w:rsidRPr="002840F9">
        <w:rPr>
          <w:rFonts w:asciiTheme="minorHAnsi" w:hAnsiTheme="minorHAnsi" w:cstheme="minorHAnsi"/>
          <w:b/>
          <w:sz w:val="24"/>
          <w:szCs w:val="24"/>
        </w:rPr>
        <w:t xml:space="preserve"> </w:t>
      </w:r>
      <w:r w:rsidR="002840F9" w:rsidRPr="0075660A">
        <w:rPr>
          <w:rFonts w:asciiTheme="minorHAnsi" w:hAnsiTheme="minorHAnsi" w:cstheme="minorHAnsi"/>
          <w:b/>
          <w:sz w:val="24"/>
          <w:szCs w:val="24"/>
        </w:rPr>
        <w:t>FN jsou jako veřejní zadavatelé povinny postupovat podle zákona o zadávání</w:t>
      </w:r>
      <w:r w:rsidR="00F56480">
        <w:rPr>
          <w:rFonts w:asciiTheme="minorHAnsi" w:hAnsiTheme="minorHAnsi" w:cstheme="minorHAnsi"/>
          <w:b/>
          <w:sz w:val="24"/>
          <w:szCs w:val="24"/>
        </w:rPr>
        <w:t xml:space="preserve"> </w:t>
      </w:r>
      <w:r w:rsidR="002840F9" w:rsidRPr="0075660A">
        <w:rPr>
          <w:rFonts w:asciiTheme="minorHAnsi" w:hAnsiTheme="minorHAnsi" w:cstheme="minorHAnsi"/>
          <w:b/>
          <w:sz w:val="24"/>
          <w:szCs w:val="24"/>
        </w:rPr>
        <w:t>veřejných zakázek</w:t>
      </w:r>
      <w:r w:rsidR="002840F9">
        <w:rPr>
          <w:rFonts w:asciiTheme="minorHAnsi" w:hAnsiTheme="minorHAnsi" w:cstheme="minorHAnsi"/>
          <w:b/>
          <w:sz w:val="24"/>
          <w:szCs w:val="24"/>
        </w:rPr>
        <w:t>.</w:t>
      </w:r>
    </w:p>
    <w:p w14:paraId="63CB0287" w14:textId="5F7F3805" w:rsidR="00BE3736" w:rsidRPr="0075660A" w:rsidRDefault="00BE3736" w:rsidP="00A4785F">
      <w:pPr>
        <w:pStyle w:val="Odstavecseseznamem"/>
        <w:keepNext/>
        <w:widowControl/>
        <w:spacing w:before="120" w:after="120"/>
        <w:ind w:left="0"/>
        <w:contextualSpacing w:val="0"/>
        <w:rPr>
          <w:rFonts w:asciiTheme="minorHAnsi" w:hAnsiTheme="minorHAnsi" w:cstheme="minorHAnsi"/>
          <w:b/>
          <w:noProof/>
          <w:color w:val="000000" w:themeColor="text1"/>
          <w:sz w:val="24"/>
          <w:szCs w:val="24"/>
        </w:rPr>
      </w:pPr>
      <w:r w:rsidRPr="0075660A">
        <w:rPr>
          <w:rFonts w:asciiTheme="minorHAnsi" w:hAnsiTheme="minorHAnsi" w:cstheme="minorHAnsi"/>
          <w:b/>
          <w:noProof/>
          <w:color w:val="000000" w:themeColor="text1"/>
          <w:sz w:val="24"/>
          <w:szCs w:val="24"/>
        </w:rPr>
        <w:t>Veřejné zakázky na nákup léčivých přípravků</w:t>
      </w:r>
    </w:p>
    <w:p w14:paraId="6D71160D" w14:textId="77777777" w:rsidR="00755CCF" w:rsidRPr="0075660A" w:rsidRDefault="00BE3736" w:rsidP="00A4785F">
      <w:pPr>
        <w:widowControl/>
        <w:shd w:val="clear" w:color="auto" w:fill="FFFFFF"/>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NKÚ na vybraném kontrolním vzorku shodných léčiv používaných </w:t>
      </w:r>
      <w:r w:rsidR="00520872" w:rsidRPr="0075660A">
        <w:rPr>
          <w:rFonts w:asciiTheme="minorHAnsi" w:hAnsiTheme="minorHAnsi" w:cstheme="minorHAnsi"/>
          <w:sz w:val="24"/>
          <w:szCs w:val="24"/>
        </w:rPr>
        <w:t>FN</w:t>
      </w:r>
      <w:r w:rsidRPr="0075660A">
        <w:rPr>
          <w:rFonts w:asciiTheme="minorHAnsi" w:hAnsiTheme="minorHAnsi" w:cstheme="minorHAnsi"/>
          <w:sz w:val="24"/>
          <w:szCs w:val="24"/>
        </w:rPr>
        <w:t xml:space="preserve"> v celkové hodnotě 122</w:t>
      </w:r>
      <w:r w:rsidR="00520872" w:rsidRPr="0075660A">
        <w:rPr>
          <w:rFonts w:asciiTheme="minorHAnsi" w:hAnsiTheme="minorHAnsi" w:cstheme="minorHAnsi"/>
          <w:sz w:val="24"/>
          <w:szCs w:val="24"/>
        </w:rPr>
        <w:t> </w:t>
      </w:r>
      <w:r w:rsidRPr="0075660A">
        <w:rPr>
          <w:rFonts w:asciiTheme="minorHAnsi" w:hAnsiTheme="minorHAnsi" w:cstheme="minorHAnsi"/>
          <w:sz w:val="24"/>
          <w:szCs w:val="24"/>
        </w:rPr>
        <w:t>829 977,59 Kč vč. DPH</w:t>
      </w:r>
      <w:r w:rsidR="00231221" w:rsidRPr="0075660A">
        <w:rPr>
          <w:rStyle w:val="Znakapoznpodarou"/>
          <w:rFonts w:asciiTheme="minorHAnsi" w:hAnsiTheme="minorHAnsi"/>
          <w:sz w:val="24"/>
          <w:szCs w:val="24"/>
        </w:rPr>
        <w:footnoteReference w:id="49"/>
      </w:r>
      <w:r w:rsidRPr="0075660A">
        <w:rPr>
          <w:rFonts w:asciiTheme="minorHAnsi" w:hAnsiTheme="minorHAnsi" w:cstheme="minorHAnsi"/>
          <w:sz w:val="24"/>
          <w:szCs w:val="24"/>
        </w:rPr>
        <w:t xml:space="preserve"> za roky 2019 až 2021 ověřil způsob jejich pořizování. Kontrolní vzorek vybraných 15 druhů </w:t>
      </w:r>
      <w:proofErr w:type="spellStart"/>
      <w:r w:rsidRPr="0075660A">
        <w:rPr>
          <w:rFonts w:asciiTheme="minorHAnsi" w:hAnsiTheme="minorHAnsi" w:cstheme="minorHAnsi"/>
          <w:sz w:val="24"/>
          <w:szCs w:val="24"/>
        </w:rPr>
        <w:t>centrových</w:t>
      </w:r>
      <w:proofErr w:type="spellEnd"/>
      <w:r w:rsidRPr="0075660A">
        <w:rPr>
          <w:rFonts w:asciiTheme="minorHAnsi" w:hAnsiTheme="minorHAnsi" w:cstheme="minorHAnsi"/>
          <w:sz w:val="24"/>
          <w:szCs w:val="24"/>
        </w:rPr>
        <w:t xml:space="preserve"> léků byl v celkové hodnotě 90 827 905,25 Kč vč. DPH. Kontrolní vzorek 15 druhů vybraných léčiv ze skupiny ATC</w:t>
      </w:r>
      <w:r w:rsidR="00865464" w:rsidRPr="0075660A">
        <w:rPr>
          <w:rFonts w:asciiTheme="minorHAnsi" w:hAnsiTheme="minorHAnsi" w:cstheme="minorHAnsi"/>
          <w:sz w:val="24"/>
          <w:szCs w:val="24"/>
        </w:rPr>
        <w:t xml:space="preserve"> </w:t>
      </w:r>
      <w:r w:rsidRPr="0075660A">
        <w:rPr>
          <w:rFonts w:asciiTheme="minorHAnsi" w:hAnsiTheme="minorHAnsi" w:cstheme="minorHAnsi"/>
          <w:sz w:val="24"/>
          <w:szCs w:val="24"/>
        </w:rPr>
        <w:t>–</w:t>
      </w:r>
      <w:r w:rsidR="00865464" w:rsidRPr="0075660A">
        <w:rPr>
          <w:rFonts w:asciiTheme="minorHAnsi" w:hAnsiTheme="minorHAnsi" w:cstheme="minorHAnsi"/>
          <w:sz w:val="24"/>
          <w:szCs w:val="24"/>
        </w:rPr>
        <w:t xml:space="preserve"> </w:t>
      </w:r>
      <w:r w:rsidRPr="0075660A">
        <w:rPr>
          <w:rFonts w:asciiTheme="minorHAnsi" w:hAnsiTheme="minorHAnsi" w:cstheme="minorHAnsi"/>
          <w:sz w:val="24"/>
          <w:szCs w:val="24"/>
        </w:rPr>
        <w:t>J byl v celkové hodnotě 32</w:t>
      </w:r>
      <w:r w:rsidR="00527E83" w:rsidRPr="0075660A">
        <w:rPr>
          <w:rFonts w:asciiTheme="minorHAnsi" w:hAnsiTheme="minorHAnsi" w:cstheme="minorHAnsi"/>
          <w:sz w:val="24"/>
          <w:szCs w:val="24"/>
        </w:rPr>
        <w:t> </w:t>
      </w:r>
      <w:r w:rsidRPr="0075660A">
        <w:rPr>
          <w:rFonts w:asciiTheme="minorHAnsi" w:hAnsiTheme="minorHAnsi" w:cstheme="minorHAnsi"/>
          <w:sz w:val="24"/>
          <w:szCs w:val="24"/>
        </w:rPr>
        <w:t>002</w:t>
      </w:r>
      <w:r w:rsidR="00527E83" w:rsidRPr="0075660A">
        <w:rPr>
          <w:rFonts w:asciiTheme="minorHAnsi" w:hAnsiTheme="minorHAnsi" w:cstheme="minorHAnsi"/>
          <w:sz w:val="24"/>
          <w:szCs w:val="24"/>
        </w:rPr>
        <w:t> </w:t>
      </w:r>
      <w:r w:rsidRPr="0075660A">
        <w:rPr>
          <w:rFonts w:asciiTheme="minorHAnsi" w:hAnsiTheme="minorHAnsi" w:cstheme="minorHAnsi"/>
          <w:sz w:val="24"/>
          <w:szCs w:val="24"/>
        </w:rPr>
        <w:t>072,34 Kč vč. DPH. Způsob jejich pořízení je uveden v následující tabulce</w:t>
      </w:r>
      <w:r w:rsidR="00527E83" w:rsidRPr="0075660A">
        <w:rPr>
          <w:rFonts w:asciiTheme="minorHAnsi" w:hAnsiTheme="minorHAnsi" w:cstheme="minorHAnsi"/>
          <w:sz w:val="24"/>
          <w:szCs w:val="24"/>
        </w:rPr>
        <w:t>.</w:t>
      </w:r>
    </w:p>
    <w:p w14:paraId="19BE721E" w14:textId="4BFF91DE" w:rsidR="00BE3736" w:rsidRPr="00527E83" w:rsidRDefault="00BE3736" w:rsidP="00A4785F">
      <w:pPr>
        <w:shd w:val="clear" w:color="auto" w:fill="FFFFFF"/>
        <w:spacing w:before="120" w:after="40"/>
        <w:jc w:val="both"/>
        <w:rPr>
          <w:rFonts w:asciiTheme="minorHAnsi" w:hAnsiTheme="minorHAnsi" w:cstheme="minorHAnsi"/>
          <w:b/>
          <w:sz w:val="24"/>
          <w:szCs w:val="24"/>
        </w:rPr>
      </w:pPr>
      <w:r w:rsidRPr="0075660A">
        <w:rPr>
          <w:rFonts w:asciiTheme="minorHAnsi" w:hAnsiTheme="minorHAnsi" w:cstheme="minorHAnsi"/>
          <w:b/>
          <w:sz w:val="24"/>
          <w:szCs w:val="24"/>
        </w:rPr>
        <w:t xml:space="preserve">Tabulka č. </w:t>
      </w:r>
      <w:r w:rsidR="003C7EA5">
        <w:rPr>
          <w:rFonts w:asciiTheme="minorHAnsi" w:hAnsiTheme="minorHAnsi" w:cstheme="minorHAnsi"/>
          <w:b/>
          <w:sz w:val="24"/>
          <w:szCs w:val="24"/>
        </w:rPr>
        <w:t>6</w:t>
      </w:r>
      <w:r w:rsidRPr="0075660A">
        <w:rPr>
          <w:rFonts w:asciiTheme="minorHAnsi" w:hAnsiTheme="minorHAnsi" w:cstheme="minorHAnsi"/>
          <w:b/>
          <w:sz w:val="24"/>
          <w:szCs w:val="24"/>
        </w:rPr>
        <w:t xml:space="preserve">: Veřejné zakázky na </w:t>
      </w:r>
      <w:r w:rsidR="00CC55EB" w:rsidRPr="0075660A">
        <w:rPr>
          <w:rFonts w:asciiTheme="minorHAnsi" w:hAnsiTheme="minorHAnsi" w:cstheme="minorHAnsi"/>
          <w:b/>
          <w:sz w:val="24"/>
          <w:szCs w:val="24"/>
        </w:rPr>
        <w:t>léčivé přípravky</w:t>
      </w:r>
      <w:r w:rsidRPr="0075660A">
        <w:rPr>
          <w:rFonts w:asciiTheme="minorHAnsi" w:hAnsiTheme="minorHAnsi" w:cstheme="minorHAnsi"/>
          <w:b/>
          <w:sz w:val="24"/>
          <w:szCs w:val="24"/>
        </w:rPr>
        <w:t xml:space="preserve"> na shodném kontrolním vzorku</w:t>
      </w:r>
    </w:p>
    <w:tbl>
      <w:tblPr>
        <w:tblW w:w="9013" w:type="dxa"/>
        <w:jc w:val="center"/>
        <w:tblLayout w:type="fixed"/>
        <w:tblCellMar>
          <w:left w:w="0" w:type="dxa"/>
          <w:right w:w="0" w:type="dxa"/>
        </w:tblCellMar>
        <w:tblLook w:val="04A0" w:firstRow="1" w:lastRow="0" w:firstColumn="1" w:lastColumn="0" w:noHBand="0" w:noVBand="1"/>
      </w:tblPr>
      <w:tblGrid>
        <w:gridCol w:w="1020"/>
        <w:gridCol w:w="1984"/>
        <w:gridCol w:w="2551"/>
        <w:gridCol w:w="2438"/>
        <w:gridCol w:w="1020"/>
      </w:tblGrid>
      <w:tr w:rsidR="00EA7FC9" w:rsidRPr="00A4785F" w14:paraId="4C901612" w14:textId="77777777" w:rsidTr="00EA7FC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3A2CB5DA" w14:textId="54EBA7D1" w:rsidR="00BE3736" w:rsidRPr="00A4785F" w:rsidRDefault="00004E36" w:rsidP="00EA7FC9">
            <w:pPr>
              <w:jc w:val="center"/>
              <w:rPr>
                <w:rFonts w:ascii="Calibri" w:hAnsi="Calibri" w:cs="Calibri"/>
                <w:b/>
                <w:bCs/>
                <w:color w:val="000000"/>
              </w:rPr>
            </w:pPr>
            <w:r w:rsidRPr="00A4785F">
              <w:rPr>
                <w:rFonts w:ascii="Calibri" w:hAnsi="Calibri" w:cs="Calibri"/>
                <w:b/>
                <w:bCs/>
                <w:color w:val="000000"/>
              </w:rPr>
              <w:t>FN</w:t>
            </w:r>
          </w:p>
        </w:tc>
        <w:tc>
          <w:tcPr>
            <w:tcW w:w="1984" w:type="dxa"/>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60493493" w14:textId="77777777" w:rsidR="00BE3736" w:rsidRPr="00A4785F" w:rsidRDefault="00BE3736" w:rsidP="00EA7FC9">
            <w:pPr>
              <w:jc w:val="center"/>
              <w:rPr>
                <w:rFonts w:ascii="Calibri" w:hAnsi="Calibri" w:cs="Calibri"/>
                <w:b/>
                <w:bCs/>
                <w:color w:val="000000"/>
              </w:rPr>
            </w:pPr>
            <w:r w:rsidRPr="00A4785F">
              <w:rPr>
                <w:rFonts w:ascii="Calibri" w:hAnsi="Calibri" w:cs="Calibri"/>
                <w:b/>
                <w:bCs/>
                <w:color w:val="000000"/>
              </w:rPr>
              <w:t>Kontrolované položky</w:t>
            </w:r>
          </w:p>
        </w:tc>
        <w:tc>
          <w:tcPr>
            <w:tcW w:w="2551" w:type="dxa"/>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7372D712" w14:textId="77777777" w:rsidR="00BE3736" w:rsidRPr="00A4785F" w:rsidRDefault="00BE3736" w:rsidP="00EA7FC9">
            <w:pPr>
              <w:jc w:val="center"/>
              <w:rPr>
                <w:rFonts w:ascii="Calibri" w:hAnsi="Calibri" w:cs="Calibri"/>
                <w:b/>
                <w:bCs/>
                <w:color w:val="000000"/>
              </w:rPr>
            </w:pPr>
            <w:r w:rsidRPr="00A4785F">
              <w:rPr>
                <w:rFonts w:ascii="Calibri" w:hAnsi="Calibri" w:cs="Calibri"/>
                <w:b/>
                <w:bCs/>
                <w:color w:val="000000"/>
              </w:rPr>
              <w:t>Kontrolovaný objem (v Kč)</w:t>
            </w:r>
          </w:p>
        </w:tc>
        <w:tc>
          <w:tcPr>
            <w:tcW w:w="2438" w:type="dxa"/>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17B1CE6B" w14:textId="77777777" w:rsidR="00BE3736" w:rsidRPr="00A4785F" w:rsidRDefault="00BE3736" w:rsidP="00EA7FC9">
            <w:pPr>
              <w:jc w:val="center"/>
              <w:rPr>
                <w:rFonts w:ascii="Calibri" w:hAnsi="Calibri" w:cs="Calibri"/>
                <w:b/>
                <w:bCs/>
                <w:color w:val="000000"/>
              </w:rPr>
            </w:pPr>
            <w:r w:rsidRPr="00A4785F">
              <w:rPr>
                <w:rFonts w:ascii="Calibri" w:hAnsi="Calibri" w:cs="Calibri"/>
                <w:b/>
                <w:bCs/>
                <w:color w:val="000000"/>
              </w:rPr>
              <w:t>Způsob výběru dodavatele</w:t>
            </w:r>
          </w:p>
        </w:tc>
        <w:tc>
          <w:tcPr>
            <w:tcW w:w="1020" w:type="dxa"/>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1B48A289" w14:textId="77777777" w:rsidR="00BE3736" w:rsidRPr="00A4785F" w:rsidRDefault="00BE3736" w:rsidP="00EA7FC9">
            <w:pPr>
              <w:jc w:val="center"/>
              <w:rPr>
                <w:rFonts w:ascii="Calibri" w:hAnsi="Calibri" w:cs="Calibri"/>
                <w:b/>
                <w:bCs/>
                <w:color w:val="000000"/>
              </w:rPr>
            </w:pPr>
            <w:r w:rsidRPr="00A4785F">
              <w:rPr>
                <w:rFonts w:ascii="Calibri" w:hAnsi="Calibri" w:cs="Calibri"/>
                <w:b/>
                <w:bCs/>
                <w:color w:val="000000"/>
              </w:rPr>
              <w:t>%</w:t>
            </w:r>
          </w:p>
        </w:tc>
      </w:tr>
      <w:tr w:rsidR="00EA7FC9" w:rsidRPr="00A4785F" w14:paraId="3EC79899" w14:textId="77777777" w:rsidTr="00EA7FC9">
        <w:trPr>
          <w:trHeight w:val="283"/>
          <w:jc w:val="center"/>
        </w:trPr>
        <w:tc>
          <w:tcPr>
            <w:tcW w:w="1020" w:type="dxa"/>
            <w:vMerge w:val="restart"/>
            <w:tcBorders>
              <w:top w:val="nil"/>
              <w:left w:val="single" w:sz="4" w:space="0" w:color="auto"/>
              <w:bottom w:val="single" w:sz="4" w:space="0" w:color="000000"/>
              <w:right w:val="single" w:sz="4" w:space="0" w:color="auto"/>
            </w:tcBorders>
            <w:vAlign w:val="center"/>
            <w:hideMark/>
          </w:tcPr>
          <w:p w14:paraId="4EAB8223"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FNB</w:t>
            </w:r>
          </w:p>
        </w:tc>
        <w:tc>
          <w:tcPr>
            <w:tcW w:w="19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4AC4B23" w14:textId="77777777" w:rsidR="00BE3736" w:rsidRPr="00A4785F" w:rsidRDefault="00BE3736" w:rsidP="00755CCF">
            <w:pPr>
              <w:jc w:val="center"/>
              <w:rPr>
                <w:rFonts w:ascii="Calibri" w:hAnsi="Calibri" w:cs="Calibri"/>
                <w:color w:val="000000"/>
              </w:rPr>
            </w:pPr>
            <w:proofErr w:type="spellStart"/>
            <w:r w:rsidRPr="00A4785F">
              <w:rPr>
                <w:rFonts w:ascii="Calibri" w:hAnsi="Calibri" w:cs="Calibri"/>
                <w:color w:val="000000"/>
              </w:rPr>
              <w:t>Centrové</w:t>
            </w:r>
            <w:proofErr w:type="spellEnd"/>
            <w:r w:rsidRPr="00A4785F">
              <w:rPr>
                <w:rFonts w:ascii="Calibri" w:hAnsi="Calibri" w:cs="Calibri"/>
                <w:color w:val="000000"/>
              </w:rPr>
              <w:t xml:space="preserve"> léky</w:t>
            </w:r>
          </w:p>
        </w:tc>
        <w:tc>
          <w:tcPr>
            <w:tcW w:w="255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0CB5011" w14:textId="77777777" w:rsidR="00BE3736" w:rsidRPr="00A4785F" w:rsidRDefault="00BE3736" w:rsidP="00EA7FC9">
            <w:pPr>
              <w:ind w:right="300"/>
              <w:jc w:val="right"/>
              <w:rPr>
                <w:rFonts w:ascii="Calibri" w:hAnsi="Calibri" w:cs="Calibri"/>
                <w:color w:val="000000"/>
              </w:rPr>
            </w:pPr>
            <w:r w:rsidRPr="00A4785F">
              <w:rPr>
                <w:rFonts w:ascii="Calibri" w:hAnsi="Calibri" w:cs="Calibri"/>
                <w:color w:val="000000"/>
              </w:rPr>
              <w:t>23 973 628,66</w:t>
            </w: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B4132"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Zadávací řízení</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0C44E"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49,26</w:t>
            </w:r>
          </w:p>
        </w:tc>
      </w:tr>
      <w:tr w:rsidR="00EA7FC9" w:rsidRPr="00A4785F" w14:paraId="276428DE"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0A3606E1" w14:textId="77777777" w:rsidR="00BE3736" w:rsidRPr="00A4785F" w:rsidRDefault="00BE3736" w:rsidP="00EA7FC9">
            <w:pPr>
              <w:jc w:val="center"/>
              <w:rPr>
                <w:rFonts w:ascii="Calibri" w:hAnsi="Calibri" w:cs="Calibri"/>
                <w:color w:val="000000"/>
              </w:rPr>
            </w:pPr>
          </w:p>
        </w:tc>
        <w:tc>
          <w:tcPr>
            <w:tcW w:w="1984" w:type="dxa"/>
            <w:vMerge/>
            <w:tcBorders>
              <w:top w:val="nil"/>
              <w:left w:val="single" w:sz="4" w:space="0" w:color="auto"/>
              <w:bottom w:val="single" w:sz="4" w:space="0" w:color="000000"/>
              <w:right w:val="single" w:sz="4" w:space="0" w:color="auto"/>
            </w:tcBorders>
            <w:vAlign w:val="center"/>
            <w:hideMark/>
          </w:tcPr>
          <w:p w14:paraId="55B2A713" w14:textId="77777777" w:rsidR="00BE3736" w:rsidRPr="00A4785F" w:rsidRDefault="00BE3736" w:rsidP="00755CCF">
            <w:pPr>
              <w:jc w:val="center"/>
              <w:rPr>
                <w:rFonts w:ascii="Calibri" w:hAnsi="Calibri" w:cs="Calibri"/>
                <w:color w:val="000000"/>
              </w:rPr>
            </w:pPr>
          </w:p>
        </w:tc>
        <w:tc>
          <w:tcPr>
            <w:tcW w:w="2551" w:type="dxa"/>
            <w:vMerge/>
            <w:tcBorders>
              <w:top w:val="nil"/>
              <w:left w:val="single" w:sz="4" w:space="0" w:color="auto"/>
              <w:bottom w:val="single" w:sz="4" w:space="0" w:color="000000"/>
              <w:right w:val="single" w:sz="4" w:space="0" w:color="auto"/>
            </w:tcBorders>
            <w:vAlign w:val="center"/>
            <w:hideMark/>
          </w:tcPr>
          <w:p w14:paraId="41C06CBA" w14:textId="77777777" w:rsidR="00BE3736" w:rsidRPr="00A4785F" w:rsidRDefault="00BE3736" w:rsidP="00EA7FC9">
            <w:pPr>
              <w:ind w:right="300"/>
              <w:jc w:val="right"/>
              <w:rPr>
                <w:rFonts w:ascii="Calibri" w:hAnsi="Calibri" w:cs="Calibri"/>
                <w:color w:val="000000"/>
              </w:rPr>
            </w:pP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7F9D5" w14:textId="0A411E2E" w:rsidR="00BE3736" w:rsidRPr="00A4785F" w:rsidRDefault="00BE3736" w:rsidP="00EA7FC9">
            <w:pPr>
              <w:jc w:val="center"/>
              <w:rPr>
                <w:rFonts w:ascii="Calibri" w:hAnsi="Calibri" w:cs="Calibri"/>
                <w:color w:val="000000"/>
              </w:rPr>
            </w:pPr>
            <w:r w:rsidRPr="00A4785F">
              <w:rPr>
                <w:rFonts w:ascii="Calibri" w:hAnsi="Calibri" w:cs="Calibri"/>
                <w:color w:val="000000"/>
              </w:rPr>
              <w:t>Ostatní</w:t>
            </w:r>
            <w:r w:rsidR="0031061F" w:rsidRPr="00A4785F">
              <w:rPr>
                <w:rFonts w:ascii="Calibri" w:hAnsi="Calibri" w:cs="Calibri"/>
                <w:color w:val="000000"/>
              </w:rPr>
              <w:t>*</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82730"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50,74</w:t>
            </w:r>
          </w:p>
        </w:tc>
      </w:tr>
      <w:tr w:rsidR="00EA7FC9" w:rsidRPr="00A4785F" w14:paraId="2816A988"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48808A9D" w14:textId="77777777" w:rsidR="00BE3736" w:rsidRPr="00A4785F" w:rsidRDefault="00BE3736" w:rsidP="00EA7FC9">
            <w:pPr>
              <w:jc w:val="center"/>
              <w:rPr>
                <w:rFonts w:ascii="Calibri" w:hAnsi="Calibri" w:cs="Calibri"/>
                <w:color w:val="000000"/>
              </w:rPr>
            </w:pPr>
          </w:p>
        </w:tc>
        <w:tc>
          <w:tcPr>
            <w:tcW w:w="19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6528B32" w14:textId="77777777" w:rsidR="00BE3736" w:rsidRPr="00A4785F" w:rsidRDefault="00BE3736" w:rsidP="00755CCF">
            <w:pPr>
              <w:jc w:val="center"/>
              <w:rPr>
                <w:rFonts w:ascii="Calibri" w:hAnsi="Calibri" w:cs="Calibri"/>
                <w:color w:val="000000"/>
              </w:rPr>
            </w:pPr>
            <w:r w:rsidRPr="00A4785F">
              <w:rPr>
                <w:rFonts w:ascii="Calibri" w:hAnsi="Calibri" w:cs="Calibri"/>
                <w:color w:val="000000"/>
              </w:rPr>
              <w:t>ATC – J</w:t>
            </w:r>
          </w:p>
        </w:tc>
        <w:tc>
          <w:tcPr>
            <w:tcW w:w="255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7B2AEB2" w14:textId="77777777" w:rsidR="00BE3736" w:rsidRPr="00A4785F" w:rsidRDefault="00BE3736" w:rsidP="00EA7FC9">
            <w:pPr>
              <w:ind w:right="300"/>
              <w:jc w:val="right"/>
              <w:rPr>
                <w:rFonts w:ascii="Calibri" w:hAnsi="Calibri" w:cs="Calibri"/>
                <w:color w:val="000000"/>
              </w:rPr>
            </w:pPr>
            <w:r w:rsidRPr="00A4785F">
              <w:rPr>
                <w:rFonts w:ascii="Calibri" w:hAnsi="Calibri" w:cs="Calibri"/>
                <w:color w:val="000000"/>
              </w:rPr>
              <w:t>4 018 223,72</w:t>
            </w: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4989E"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Zadávací řízení</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BF907C"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23,84</w:t>
            </w:r>
          </w:p>
        </w:tc>
      </w:tr>
      <w:tr w:rsidR="00EA7FC9" w:rsidRPr="00A4785F" w14:paraId="1AF93065"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0872A100" w14:textId="77777777" w:rsidR="00BE3736" w:rsidRPr="00A4785F" w:rsidRDefault="00BE3736" w:rsidP="00EA7FC9">
            <w:pPr>
              <w:jc w:val="center"/>
              <w:rPr>
                <w:rFonts w:ascii="Calibri" w:hAnsi="Calibri" w:cs="Calibri"/>
                <w:color w:val="000000"/>
              </w:rPr>
            </w:pPr>
          </w:p>
        </w:tc>
        <w:tc>
          <w:tcPr>
            <w:tcW w:w="1984" w:type="dxa"/>
            <w:vMerge/>
            <w:tcBorders>
              <w:top w:val="nil"/>
              <w:left w:val="single" w:sz="4" w:space="0" w:color="auto"/>
              <w:bottom w:val="single" w:sz="4" w:space="0" w:color="000000"/>
              <w:right w:val="single" w:sz="4" w:space="0" w:color="auto"/>
            </w:tcBorders>
            <w:vAlign w:val="center"/>
            <w:hideMark/>
          </w:tcPr>
          <w:p w14:paraId="30972144" w14:textId="77777777" w:rsidR="00BE3736" w:rsidRPr="00A4785F" w:rsidRDefault="00BE3736" w:rsidP="00755CCF">
            <w:pPr>
              <w:jc w:val="center"/>
              <w:rPr>
                <w:rFonts w:ascii="Calibri" w:hAnsi="Calibri" w:cs="Calibri"/>
                <w:color w:val="000000"/>
              </w:rPr>
            </w:pPr>
          </w:p>
        </w:tc>
        <w:tc>
          <w:tcPr>
            <w:tcW w:w="2551" w:type="dxa"/>
            <w:vMerge/>
            <w:tcBorders>
              <w:top w:val="nil"/>
              <w:left w:val="single" w:sz="4" w:space="0" w:color="auto"/>
              <w:bottom w:val="single" w:sz="4" w:space="0" w:color="000000"/>
              <w:right w:val="single" w:sz="4" w:space="0" w:color="auto"/>
            </w:tcBorders>
            <w:vAlign w:val="center"/>
            <w:hideMark/>
          </w:tcPr>
          <w:p w14:paraId="30E4043F" w14:textId="77777777" w:rsidR="00BE3736" w:rsidRPr="00A4785F" w:rsidRDefault="00BE3736" w:rsidP="00EA7FC9">
            <w:pPr>
              <w:ind w:right="300"/>
              <w:jc w:val="right"/>
              <w:rPr>
                <w:rFonts w:ascii="Calibri" w:hAnsi="Calibri" w:cs="Calibri"/>
                <w:color w:val="000000"/>
              </w:rPr>
            </w:pP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3B6DC" w14:textId="7F2F8082" w:rsidR="00BE3736" w:rsidRPr="00A4785F" w:rsidRDefault="00BE3736" w:rsidP="00EA7FC9">
            <w:pPr>
              <w:jc w:val="center"/>
              <w:rPr>
                <w:rFonts w:ascii="Calibri" w:hAnsi="Calibri" w:cs="Calibri"/>
                <w:color w:val="000000"/>
              </w:rPr>
            </w:pPr>
            <w:r w:rsidRPr="00A4785F">
              <w:rPr>
                <w:rFonts w:ascii="Calibri" w:hAnsi="Calibri" w:cs="Calibri"/>
                <w:color w:val="000000"/>
              </w:rPr>
              <w:t>Ostatní</w:t>
            </w:r>
            <w:r w:rsidR="0031061F" w:rsidRPr="00A4785F">
              <w:rPr>
                <w:rFonts w:ascii="Calibri" w:hAnsi="Calibri" w:cs="Calibri"/>
                <w:color w:val="000000"/>
              </w:rPr>
              <w:t>*</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0AE4D2"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76,16</w:t>
            </w:r>
          </w:p>
        </w:tc>
      </w:tr>
      <w:tr w:rsidR="00EA7FC9" w:rsidRPr="00A4785F" w14:paraId="366266A1" w14:textId="77777777" w:rsidTr="00EA7FC9">
        <w:trPr>
          <w:trHeight w:val="283"/>
          <w:jc w:val="center"/>
        </w:trPr>
        <w:tc>
          <w:tcPr>
            <w:tcW w:w="1020" w:type="dxa"/>
            <w:vMerge w:val="restart"/>
            <w:tcBorders>
              <w:top w:val="nil"/>
              <w:left w:val="single" w:sz="4" w:space="0" w:color="auto"/>
              <w:bottom w:val="single" w:sz="4" w:space="0" w:color="000000"/>
              <w:right w:val="single" w:sz="4" w:space="0" w:color="auto"/>
            </w:tcBorders>
            <w:vAlign w:val="center"/>
            <w:hideMark/>
          </w:tcPr>
          <w:p w14:paraId="64C25FF1"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FNKV</w:t>
            </w:r>
          </w:p>
        </w:tc>
        <w:tc>
          <w:tcPr>
            <w:tcW w:w="19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FE784CF" w14:textId="77777777" w:rsidR="00BE3736" w:rsidRPr="00A4785F" w:rsidRDefault="00BE3736" w:rsidP="00755CCF">
            <w:pPr>
              <w:jc w:val="center"/>
              <w:rPr>
                <w:rFonts w:ascii="Calibri" w:hAnsi="Calibri" w:cs="Calibri"/>
                <w:color w:val="000000"/>
              </w:rPr>
            </w:pPr>
            <w:proofErr w:type="spellStart"/>
            <w:r w:rsidRPr="00A4785F">
              <w:rPr>
                <w:rFonts w:ascii="Calibri" w:hAnsi="Calibri" w:cs="Calibri"/>
                <w:color w:val="000000"/>
              </w:rPr>
              <w:t>Centrové</w:t>
            </w:r>
            <w:proofErr w:type="spellEnd"/>
            <w:r w:rsidRPr="00A4785F">
              <w:rPr>
                <w:rFonts w:ascii="Calibri" w:hAnsi="Calibri" w:cs="Calibri"/>
                <w:color w:val="000000"/>
              </w:rPr>
              <w:t xml:space="preserve"> léky</w:t>
            </w:r>
          </w:p>
        </w:tc>
        <w:tc>
          <w:tcPr>
            <w:tcW w:w="255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FDEAE06" w14:textId="01A93017" w:rsidR="00BE3736" w:rsidRPr="00A4785F" w:rsidRDefault="001723A5" w:rsidP="00EA7FC9">
            <w:pPr>
              <w:ind w:right="300"/>
              <w:jc w:val="right"/>
              <w:rPr>
                <w:rFonts w:ascii="Calibri" w:hAnsi="Calibri" w:cs="Calibri"/>
                <w:color w:val="000000"/>
              </w:rPr>
            </w:pPr>
            <w:r w:rsidRPr="00A4785F">
              <w:rPr>
                <w:rFonts w:ascii="Calibri" w:hAnsi="Calibri" w:cs="Calibri"/>
                <w:color w:val="000000"/>
              </w:rPr>
              <w:t>25 882 823,04</w:t>
            </w: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6F831"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Zadávací řízení</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C4BBD" w14:textId="4AB3C01C" w:rsidR="00BE3736" w:rsidRPr="00A4785F" w:rsidRDefault="001723A5" w:rsidP="00EA7FC9">
            <w:pPr>
              <w:ind w:right="174"/>
              <w:jc w:val="right"/>
              <w:rPr>
                <w:rFonts w:ascii="Calibri" w:hAnsi="Calibri" w:cs="Calibri"/>
                <w:color w:val="000000"/>
              </w:rPr>
            </w:pPr>
            <w:r w:rsidRPr="00A4785F">
              <w:rPr>
                <w:rFonts w:ascii="Calibri" w:hAnsi="Calibri" w:cs="Calibri"/>
                <w:color w:val="000000"/>
              </w:rPr>
              <w:t>1,65</w:t>
            </w:r>
          </w:p>
        </w:tc>
      </w:tr>
      <w:tr w:rsidR="00EA7FC9" w:rsidRPr="00A4785F" w14:paraId="0C02BDB6"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78080793" w14:textId="77777777" w:rsidR="00BE3736" w:rsidRPr="00A4785F" w:rsidRDefault="00BE3736" w:rsidP="00EA7FC9">
            <w:pPr>
              <w:jc w:val="center"/>
              <w:rPr>
                <w:rFonts w:ascii="Calibri" w:hAnsi="Calibri" w:cs="Calibri"/>
                <w:color w:val="000000"/>
              </w:rPr>
            </w:pPr>
          </w:p>
        </w:tc>
        <w:tc>
          <w:tcPr>
            <w:tcW w:w="1984" w:type="dxa"/>
            <w:vMerge/>
            <w:tcBorders>
              <w:top w:val="nil"/>
              <w:left w:val="single" w:sz="4" w:space="0" w:color="auto"/>
              <w:bottom w:val="single" w:sz="4" w:space="0" w:color="000000"/>
              <w:right w:val="single" w:sz="4" w:space="0" w:color="auto"/>
            </w:tcBorders>
            <w:vAlign w:val="center"/>
            <w:hideMark/>
          </w:tcPr>
          <w:p w14:paraId="6717917B" w14:textId="77777777" w:rsidR="00BE3736" w:rsidRPr="00A4785F" w:rsidRDefault="00BE3736" w:rsidP="00755CCF">
            <w:pPr>
              <w:jc w:val="center"/>
              <w:rPr>
                <w:rFonts w:ascii="Calibri" w:hAnsi="Calibri" w:cs="Calibri"/>
                <w:color w:val="000000"/>
              </w:rPr>
            </w:pPr>
          </w:p>
        </w:tc>
        <w:tc>
          <w:tcPr>
            <w:tcW w:w="2551" w:type="dxa"/>
            <w:vMerge/>
            <w:tcBorders>
              <w:top w:val="nil"/>
              <w:left w:val="single" w:sz="4" w:space="0" w:color="auto"/>
              <w:bottom w:val="single" w:sz="4" w:space="0" w:color="000000"/>
              <w:right w:val="single" w:sz="4" w:space="0" w:color="auto"/>
            </w:tcBorders>
            <w:vAlign w:val="center"/>
            <w:hideMark/>
          </w:tcPr>
          <w:p w14:paraId="0E34F7EC" w14:textId="77777777" w:rsidR="00BE3736" w:rsidRPr="00A4785F" w:rsidRDefault="00BE3736" w:rsidP="00EA7FC9">
            <w:pPr>
              <w:ind w:right="300"/>
              <w:jc w:val="right"/>
              <w:rPr>
                <w:rFonts w:ascii="Calibri" w:hAnsi="Calibri" w:cs="Calibri"/>
                <w:color w:val="000000"/>
              </w:rPr>
            </w:pP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7E337" w14:textId="5C61E519" w:rsidR="00BE3736" w:rsidRPr="00A4785F" w:rsidRDefault="00BE3736" w:rsidP="00EA7FC9">
            <w:pPr>
              <w:jc w:val="center"/>
              <w:rPr>
                <w:rFonts w:ascii="Calibri" w:hAnsi="Calibri" w:cs="Calibri"/>
                <w:color w:val="000000"/>
              </w:rPr>
            </w:pPr>
            <w:r w:rsidRPr="00A4785F">
              <w:rPr>
                <w:rFonts w:ascii="Calibri" w:hAnsi="Calibri" w:cs="Calibri"/>
                <w:color w:val="000000"/>
              </w:rPr>
              <w:t>Ostatní</w:t>
            </w:r>
            <w:r w:rsidR="0031061F" w:rsidRPr="00A4785F">
              <w:rPr>
                <w:rFonts w:ascii="Calibri" w:hAnsi="Calibri" w:cs="Calibri"/>
                <w:color w:val="000000"/>
              </w:rPr>
              <w:t>*</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47D96" w14:textId="773A3EEE" w:rsidR="00BE3736" w:rsidRPr="00A4785F" w:rsidRDefault="001723A5" w:rsidP="00EA7FC9">
            <w:pPr>
              <w:ind w:right="174"/>
              <w:jc w:val="right"/>
              <w:rPr>
                <w:rFonts w:ascii="Calibri" w:hAnsi="Calibri" w:cs="Calibri"/>
                <w:color w:val="000000"/>
              </w:rPr>
            </w:pPr>
            <w:r w:rsidRPr="00A4785F">
              <w:rPr>
                <w:rFonts w:ascii="Calibri" w:hAnsi="Calibri" w:cs="Calibri"/>
                <w:color w:val="000000"/>
              </w:rPr>
              <w:t>98,35</w:t>
            </w:r>
          </w:p>
        </w:tc>
      </w:tr>
      <w:tr w:rsidR="00EA7FC9" w:rsidRPr="00A4785F" w14:paraId="127D5666"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603496E7" w14:textId="77777777" w:rsidR="00BE3736" w:rsidRPr="00A4785F" w:rsidRDefault="00BE3736" w:rsidP="00EA7FC9">
            <w:pPr>
              <w:jc w:val="center"/>
              <w:rPr>
                <w:rFonts w:ascii="Calibri" w:hAnsi="Calibri" w:cs="Calibri"/>
                <w:color w:val="000000"/>
              </w:rPr>
            </w:pPr>
          </w:p>
        </w:tc>
        <w:tc>
          <w:tcPr>
            <w:tcW w:w="19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C8E0710" w14:textId="77777777" w:rsidR="00BE3736" w:rsidRPr="00A4785F" w:rsidRDefault="00BE3736" w:rsidP="00755CCF">
            <w:pPr>
              <w:jc w:val="center"/>
              <w:rPr>
                <w:rFonts w:ascii="Calibri" w:hAnsi="Calibri" w:cs="Calibri"/>
                <w:color w:val="000000"/>
              </w:rPr>
            </w:pPr>
            <w:r w:rsidRPr="00A4785F">
              <w:rPr>
                <w:rFonts w:ascii="Calibri" w:hAnsi="Calibri" w:cs="Calibri"/>
                <w:color w:val="000000"/>
              </w:rPr>
              <w:t>ATC – J</w:t>
            </w:r>
          </w:p>
        </w:tc>
        <w:tc>
          <w:tcPr>
            <w:tcW w:w="255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FB1E746" w14:textId="77777777" w:rsidR="00BE3736" w:rsidRPr="00A4785F" w:rsidRDefault="00BE3736" w:rsidP="00EA7FC9">
            <w:pPr>
              <w:ind w:right="300"/>
              <w:jc w:val="right"/>
              <w:rPr>
                <w:rFonts w:ascii="Calibri" w:hAnsi="Calibri" w:cs="Calibri"/>
                <w:color w:val="000000"/>
              </w:rPr>
            </w:pPr>
            <w:r w:rsidRPr="00A4785F">
              <w:rPr>
                <w:rFonts w:ascii="Calibri" w:hAnsi="Calibri" w:cs="Calibri"/>
                <w:color w:val="000000"/>
              </w:rPr>
              <w:t>8 656 151,39</w:t>
            </w: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248EF"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Zadávací řízení</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4F73B"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0,44</w:t>
            </w:r>
          </w:p>
        </w:tc>
      </w:tr>
      <w:tr w:rsidR="00EA7FC9" w:rsidRPr="00A4785F" w14:paraId="0A0A9E30"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6D6830DD" w14:textId="77777777" w:rsidR="00BE3736" w:rsidRPr="00A4785F" w:rsidRDefault="00BE3736" w:rsidP="00EA7FC9">
            <w:pPr>
              <w:jc w:val="center"/>
              <w:rPr>
                <w:rFonts w:ascii="Calibri" w:hAnsi="Calibri" w:cs="Calibri"/>
                <w:color w:val="000000"/>
              </w:rPr>
            </w:pPr>
          </w:p>
        </w:tc>
        <w:tc>
          <w:tcPr>
            <w:tcW w:w="1984" w:type="dxa"/>
            <w:vMerge/>
            <w:tcBorders>
              <w:top w:val="nil"/>
              <w:left w:val="single" w:sz="4" w:space="0" w:color="auto"/>
              <w:bottom w:val="single" w:sz="4" w:space="0" w:color="000000"/>
              <w:right w:val="single" w:sz="4" w:space="0" w:color="auto"/>
            </w:tcBorders>
            <w:vAlign w:val="center"/>
            <w:hideMark/>
          </w:tcPr>
          <w:p w14:paraId="512775C3" w14:textId="77777777" w:rsidR="00BE3736" w:rsidRPr="00A4785F" w:rsidRDefault="00BE3736" w:rsidP="00755CCF">
            <w:pPr>
              <w:jc w:val="center"/>
              <w:rPr>
                <w:rFonts w:ascii="Calibri" w:hAnsi="Calibri" w:cs="Calibri"/>
                <w:color w:val="000000"/>
              </w:rPr>
            </w:pPr>
          </w:p>
        </w:tc>
        <w:tc>
          <w:tcPr>
            <w:tcW w:w="2551" w:type="dxa"/>
            <w:vMerge/>
            <w:tcBorders>
              <w:top w:val="nil"/>
              <w:left w:val="single" w:sz="4" w:space="0" w:color="auto"/>
              <w:bottom w:val="single" w:sz="4" w:space="0" w:color="000000"/>
              <w:right w:val="single" w:sz="4" w:space="0" w:color="auto"/>
            </w:tcBorders>
            <w:vAlign w:val="center"/>
            <w:hideMark/>
          </w:tcPr>
          <w:p w14:paraId="71DD8DD5" w14:textId="77777777" w:rsidR="00BE3736" w:rsidRPr="00A4785F" w:rsidRDefault="00BE3736" w:rsidP="00EA7FC9">
            <w:pPr>
              <w:ind w:right="300"/>
              <w:jc w:val="right"/>
              <w:rPr>
                <w:rFonts w:ascii="Calibri" w:hAnsi="Calibri" w:cs="Calibri"/>
                <w:color w:val="000000"/>
              </w:rPr>
            </w:pP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715F8" w14:textId="329EE33F" w:rsidR="00BE3736" w:rsidRPr="00A4785F" w:rsidRDefault="00BE3736" w:rsidP="00EA7FC9">
            <w:pPr>
              <w:jc w:val="center"/>
              <w:rPr>
                <w:rFonts w:ascii="Calibri" w:hAnsi="Calibri" w:cs="Calibri"/>
                <w:color w:val="000000"/>
              </w:rPr>
            </w:pPr>
            <w:r w:rsidRPr="00A4785F">
              <w:rPr>
                <w:rFonts w:ascii="Calibri" w:hAnsi="Calibri" w:cs="Calibri"/>
                <w:color w:val="000000"/>
              </w:rPr>
              <w:t>Ostatní</w:t>
            </w:r>
            <w:r w:rsidR="0031061F" w:rsidRPr="00A4785F">
              <w:rPr>
                <w:rFonts w:ascii="Calibri" w:hAnsi="Calibri" w:cs="Calibri"/>
                <w:color w:val="000000"/>
              </w:rPr>
              <w:t>*</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2B305"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99,56</w:t>
            </w:r>
          </w:p>
        </w:tc>
      </w:tr>
      <w:tr w:rsidR="00EA7FC9" w:rsidRPr="00A4785F" w14:paraId="3146DD72" w14:textId="77777777" w:rsidTr="00EA7FC9">
        <w:trPr>
          <w:trHeight w:val="283"/>
          <w:jc w:val="center"/>
        </w:trPr>
        <w:tc>
          <w:tcPr>
            <w:tcW w:w="1020" w:type="dxa"/>
            <w:vMerge w:val="restart"/>
            <w:tcBorders>
              <w:top w:val="nil"/>
              <w:left w:val="single" w:sz="4" w:space="0" w:color="auto"/>
              <w:bottom w:val="single" w:sz="4" w:space="0" w:color="000000"/>
              <w:right w:val="single" w:sz="4" w:space="0" w:color="auto"/>
            </w:tcBorders>
            <w:vAlign w:val="center"/>
            <w:hideMark/>
          </w:tcPr>
          <w:p w14:paraId="546342F8"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FNUSA</w:t>
            </w:r>
          </w:p>
        </w:tc>
        <w:tc>
          <w:tcPr>
            <w:tcW w:w="19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F0D1262" w14:textId="77777777" w:rsidR="00BE3736" w:rsidRPr="00A4785F" w:rsidRDefault="00BE3736" w:rsidP="00755CCF">
            <w:pPr>
              <w:jc w:val="center"/>
              <w:rPr>
                <w:rFonts w:ascii="Calibri" w:hAnsi="Calibri" w:cs="Calibri"/>
                <w:color w:val="000000"/>
              </w:rPr>
            </w:pPr>
            <w:proofErr w:type="spellStart"/>
            <w:r w:rsidRPr="00A4785F">
              <w:rPr>
                <w:rFonts w:ascii="Calibri" w:hAnsi="Calibri" w:cs="Calibri"/>
                <w:color w:val="000000"/>
              </w:rPr>
              <w:t>Centrové</w:t>
            </w:r>
            <w:proofErr w:type="spellEnd"/>
            <w:r w:rsidRPr="00A4785F">
              <w:rPr>
                <w:rFonts w:ascii="Calibri" w:hAnsi="Calibri" w:cs="Calibri"/>
                <w:color w:val="000000"/>
              </w:rPr>
              <w:t xml:space="preserve"> léky</w:t>
            </w:r>
          </w:p>
        </w:tc>
        <w:tc>
          <w:tcPr>
            <w:tcW w:w="255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3874831" w14:textId="77777777" w:rsidR="00BE3736" w:rsidRPr="00A4785F" w:rsidRDefault="00BE3736" w:rsidP="00EA7FC9">
            <w:pPr>
              <w:ind w:right="300"/>
              <w:jc w:val="right"/>
              <w:rPr>
                <w:rFonts w:ascii="Calibri" w:hAnsi="Calibri" w:cs="Calibri"/>
                <w:color w:val="000000"/>
              </w:rPr>
            </w:pPr>
            <w:r w:rsidRPr="00A4785F">
              <w:rPr>
                <w:rFonts w:ascii="Calibri" w:hAnsi="Calibri" w:cs="Calibri"/>
                <w:color w:val="000000"/>
              </w:rPr>
              <w:t>48 141 594,67</w:t>
            </w: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94CC0"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Zadávací řízení</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2507E"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31,41</w:t>
            </w:r>
          </w:p>
        </w:tc>
      </w:tr>
      <w:tr w:rsidR="00EA7FC9" w:rsidRPr="00A4785F" w14:paraId="1B6E6253"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06AA3902" w14:textId="77777777" w:rsidR="00BE3736" w:rsidRPr="00A4785F" w:rsidRDefault="00BE3736" w:rsidP="00755CCF">
            <w:pPr>
              <w:rPr>
                <w:rFonts w:ascii="Calibri" w:hAnsi="Calibri" w:cs="Calibri"/>
                <w:color w:val="000000"/>
              </w:rPr>
            </w:pPr>
          </w:p>
        </w:tc>
        <w:tc>
          <w:tcPr>
            <w:tcW w:w="1984" w:type="dxa"/>
            <w:vMerge/>
            <w:tcBorders>
              <w:top w:val="nil"/>
              <w:left w:val="single" w:sz="4" w:space="0" w:color="auto"/>
              <w:bottom w:val="single" w:sz="4" w:space="0" w:color="000000"/>
              <w:right w:val="single" w:sz="4" w:space="0" w:color="auto"/>
            </w:tcBorders>
            <w:vAlign w:val="center"/>
            <w:hideMark/>
          </w:tcPr>
          <w:p w14:paraId="4B59A5FE" w14:textId="77777777" w:rsidR="00BE3736" w:rsidRPr="00A4785F" w:rsidRDefault="00BE3736" w:rsidP="00755CCF">
            <w:pPr>
              <w:jc w:val="center"/>
              <w:rPr>
                <w:rFonts w:ascii="Calibri" w:hAnsi="Calibri" w:cs="Calibri"/>
                <w:color w:val="000000"/>
              </w:rPr>
            </w:pPr>
          </w:p>
        </w:tc>
        <w:tc>
          <w:tcPr>
            <w:tcW w:w="2551" w:type="dxa"/>
            <w:vMerge/>
            <w:tcBorders>
              <w:top w:val="nil"/>
              <w:left w:val="single" w:sz="4" w:space="0" w:color="auto"/>
              <w:bottom w:val="single" w:sz="4" w:space="0" w:color="000000"/>
              <w:right w:val="single" w:sz="4" w:space="0" w:color="auto"/>
            </w:tcBorders>
            <w:vAlign w:val="center"/>
            <w:hideMark/>
          </w:tcPr>
          <w:p w14:paraId="4941D7D1" w14:textId="77777777" w:rsidR="00BE3736" w:rsidRPr="00A4785F" w:rsidRDefault="00BE3736" w:rsidP="00EA7FC9">
            <w:pPr>
              <w:ind w:right="300"/>
              <w:jc w:val="right"/>
              <w:rPr>
                <w:rFonts w:ascii="Calibri" w:hAnsi="Calibri" w:cs="Calibri"/>
                <w:color w:val="000000"/>
              </w:rPr>
            </w:pP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13EE5" w14:textId="1480C8B2" w:rsidR="00BE3736" w:rsidRPr="00A4785F" w:rsidRDefault="00BE3736" w:rsidP="00EA7FC9">
            <w:pPr>
              <w:jc w:val="center"/>
              <w:rPr>
                <w:rFonts w:ascii="Calibri" w:hAnsi="Calibri" w:cs="Calibri"/>
                <w:color w:val="000000"/>
              </w:rPr>
            </w:pPr>
            <w:r w:rsidRPr="00A4785F">
              <w:rPr>
                <w:rFonts w:ascii="Calibri" w:hAnsi="Calibri" w:cs="Calibri"/>
                <w:color w:val="000000"/>
              </w:rPr>
              <w:t>Ostatní</w:t>
            </w:r>
            <w:r w:rsidR="0031061F" w:rsidRPr="00A4785F">
              <w:rPr>
                <w:rFonts w:ascii="Calibri" w:hAnsi="Calibri" w:cs="Calibri"/>
                <w:color w:val="000000"/>
              </w:rPr>
              <w:t>*</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6CC75"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68,59</w:t>
            </w:r>
          </w:p>
        </w:tc>
      </w:tr>
      <w:tr w:rsidR="00EA7FC9" w:rsidRPr="00A4785F" w14:paraId="16F87548" w14:textId="77777777" w:rsidTr="00EA7FC9">
        <w:trPr>
          <w:trHeight w:val="283"/>
          <w:jc w:val="center"/>
        </w:trPr>
        <w:tc>
          <w:tcPr>
            <w:tcW w:w="1020" w:type="dxa"/>
            <w:vMerge/>
            <w:tcBorders>
              <w:top w:val="nil"/>
              <w:left w:val="single" w:sz="4" w:space="0" w:color="auto"/>
              <w:bottom w:val="single" w:sz="4" w:space="0" w:color="000000"/>
              <w:right w:val="single" w:sz="4" w:space="0" w:color="auto"/>
            </w:tcBorders>
            <w:vAlign w:val="center"/>
            <w:hideMark/>
          </w:tcPr>
          <w:p w14:paraId="74BEB801" w14:textId="77777777" w:rsidR="00BE3736" w:rsidRPr="00A4785F" w:rsidRDefault="00BE3736" w:rsidP="00755CCF">
            <w:pPr>
              <w:rPr>
                <w:rFonts w:ascii="Calibri" w:hAnsi="Calibri" w:cs="Calibri"/>
                <w:color w:val="000000"/>
              </w:rPr>
            </w:pPr>
          </w:p>
        </w:tc>
        <w:tc>
          <w:tcPr>
            <w:tcW w:w="19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3A604DC" w14:textId="77777777" w:rsidR="00BE3736" w:rsidRPr="00A4785F" w:rsidRDefault="00BE3736" w:rsidP="00755CCF">
            <w:pPr>
              <w:jc w:val="center"/>
              <w:rPr>
                <w:rFonts w:ascii="Calibri" w:hAnsi="Calibri" w:cs="Calibri"/>
                <w:color w:val="000000"/>
              </w:rPr>
            </w:pPr>
            <w:r w:rsidRPr="00A4785F">
              <w:rPr>
                <w:rFonts w:ascii="Calibri" w:hAnsi="Calibri" w:cs="Calibri"/>
                <w:color w:val="000000"/>
              </w:rPr>
              <w:t>ATC – J</w:t>
            </w:r>
          </w:p>
        </w:tc>
        <w:tc>
          <w:tcPr>
            <w:tcW w:w="255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3154790" w14:textId="77777777" w:rsidR="00BE3736" w:rsidRPr="00A4785F" w:rsidRDefault="00BE3736" w:rsidP="00EA7FC9">
            <w:pPr>
              <w:ind w:right="300"/>
              <w:jc w:val="right"/>
              <w:rPr>
                <w:rFonts w:ascii="Calibri" w:hAnsi="Calibri" w:cs="Calibri"/>
                <w:color w:val="000000"/>
              </w:rPr>
            </w:pPr>
            <w:r w:rsidRPr="00A4785F">
              <w:rPr>
                <w:rFonts w:ascii="Calibri" w:hAnsi="Calibri" w:cs="Calibri"/>
                <w:color w:val="000000"/>
              </w:rPr>
              <w:t>19 327 697,23</w:t>
            </w: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71869" w14:textId="77777777" w:rsidR="00BE3736" w:rsidRPr="00A4785F" w:rsidRDefault="00BE3736" w:rsidP="00EA7FC9">
            <w:pPr>
              <w:jc w:val="center"/>
              <w:rPr>
                <w:rFonts w:ascii="Calibri" w:hAnsi="Calibri" w:cs="Calibri"/>
                <w:color w:val="000000"/>
              </w:rPr>
            </w:pPr>
            <w:r w:rsidRPr="00A4785F">
              <w:rPr>
                <w:rFonts w:ascii="Calibri" w:hAnsi="Calibri" w:cs="Calibri"/>
                <w:color w:val="000000"/>
              </w:rPr>
              <w:t>Zadávací řízení</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0375B"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36,52</w:t>
            </w:r>
          </w:p>
        </w:tc>
      </w:tr>
      <w:tr w:rsidR="00EA7FC9" w:rsidRPr="00A4785F" w14:paraId="5CCB9494" w14:textId="77777777" w:rsidTr="00EA7FC9">
        <w:trPr>
          <w:trHeight w:val="283"/>
          <w:jc w:val="center"/>
        </w:trPr>
        <w:tc>
          <w:tcPr>
            <w:tcW w:w="1020" w:type="dxa"/>
            <w:vMerge/>
            <w:tcBorders>
              <w:top w:val="nil"/>
              <w:left w:val="single" w:sz="4" w:space="0" w:color="auto"/>
              <w:bottom w:val="single" w:sz="4" w:space="0" w:color="auto"/>
              <w:right w:val="single" w:sz="4" w:space="0" w:color="auto"/>
            </w:tcBorders>
            <w:vAlign w:val="center"/>
            <w:hideMark/>
          </w:tcPr>
          <w:p w14:paraId="54B7FFC1" w14:textId="77777777" w:rsidR="00BE3736" w:rsidRPr="00A4785F" w:rsidRDefault="00BE3736" w:rsidP="00755CCF">
            <w:pPr>
              <w:rPr>
                <w:rFonts w:ascii="Calibri" w:hAnsi="Calibri" w:cs="Calibri"/>
                <w:color w:val="000000"/>
              </w:rPr>
            </w:pPr>
          </w:p>
        </w:tc>
        <w:tc>
          <w:tcPr>
            <w:tcW w:w="1984" w:type="dxa"/>
            <w:vMerge/>
            <w:tcBorders>
              <w:top w:val="nil"/>
              <w:left w:val="single" w:sz="4" w:space="0" w:color="auto"/>
              <w:bottom w:val="single" w:sz="4" w:space="0" w:color="auto"/>
              <w:right w:val="single" w:sz="4" w:space="0" w:color="auto"/>
            </w:tcBorders>
            <w:vAlign w:val="center"/>
            <w:hideMark/>
          </w:tcPr>
          <w:p w14:paraId="31DB7C96" w14:textId="77777777" w:rsidR="00BE3736" w:rsidRPr="00A4785F" w:rsidRDefault="00BE3736" w:rsidP="00755CCF">
            <w:pPr>
              <w:rPr>
                <w:rFonts w:ascii="Calibri" w:hAnsi="Calibri" w:cs="Calibri"/>
                <w:color w:val="000000"/>
              </w:rPr>
            </w:pPr>
          </w:p>
        </w:tc>
        <w:tc>
          <w:tcPr>
            <w:tcW w:w="2551" w:type="dxa"/>
            <w:vMerge/>
            <w:tcBorders>
              <w:top w:val="nil"/>
              <w:left w:val="single" w:sz="4" w:space="0" w:color="auto"/>
              <w:bottom w:val="single" w:sz="4" w:space="0" w:color="auto"/>
              <w:right w:val="single" w:sz="4" w:space="0" w:color="auto"/>
            </w:tcBorders>
            <w:vAlign w:val="center"/>
            <w:hideMark/>
          </w:tcPr>
          <w:p w14:paraId="4C47486E" w14:textId="77777777" w:rsidR="00BE3736" w:rsidRPr="00A4785F" w:rsidRDefault="00BE3736" w:rsidP="00755CCF">
            <w:pPr>
              <w:rPr>
                <w:rFonts w:ascii="Calibri" w:hAnsi="Calibri" w:cs="Calibri"/>
                <w:color w:val="000000"/>
              </w:rPr>
            </w:pPr>
          </w:p>
        </w:tc>
        <w:tc>
          <w:tcPr>
            <w:tcW w:w="24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277CE" w14:textId="2BA02237" w:rsidR="00BE3736" w:rsidRPr="00A4785F" w:rsidRDefault="00BE3736" w:rsidP="00EA7FC9">
            <w:pPr>
              <w:jc w:val="center"/>
              <w:rPr>
                <w:rFonts w:ascii="Calibri" w:hAnsi="Calibri" w:cs="Calibri"/>
                <w:color w:val="000000"/>
              </w:rPr>
            </w:pPr>
            <w:r w:rsidRPr="00A4785F">
              <w:rPr>
                <w:rFonts w:ascii="Calibri" w:hAnsi="Calibri" w:cs="Calibri"/>
                <w:color w:val="000000"/>
              </w:rPr>
              <w:t>Ostatní</w:t>
            </w:r>
            <w:r w:rsidR="0031061F" w:rsidRPr="00A4785F">
              <w:rPr>
                <w:rFonts w:ascii="Calibri" w:hAnsi="Calibri" w:cs="Calibri"/>
                <w:color w:val="000000"/>
              </w:rPr>
              <w:t>*</w:t>
            </w:r>
          </w:p>
        </w:tc>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AFD7F" w14:textId="77777777" w:rsidR="00BE3736" w:rsidRPr="00A4785F" w:rsidRDefault="00BE3736" w:rsidP="00EA7FC9">
            <w:pPr>
              <w:ind w:right="174"/>
              <w:jc w:val="right"/>
              <w:rPr>
                <w:rFonts w:ascii="Calibri" w:hAnsi="Calibri" w:cs="Calibri"/>
                <w:color w:val="000000"/>
              </w:rPr>
            </w:pPr>
            <w:r w:rsidRPr="00A4785F">
              <w:rPr>
                <w:rFonts w:ascii="Calibri" w:hAnsi="Calibri" w:cs="Calibri"/>
                <w:color w:val="000000"/>
              </w:rPr>
              <w:t>63,48</w:t>
            </w:r>
          </w:p>
        </w:tc>
      </w:tr>
    </w:tbl>
    <w:p w14:paraId="090FC863" w14:textId="780A4897" w:rsidR="00BE3736" w:rsidRPr="0075660A" w:rsidRDefault="00BE3736" w:rsidP="00EA7FC9">
      <w:pPr>
        <w:pStyle w:val="Zdroj"/>
        <w:widowControl w:val="0"/>
        <w:spacing w:before="40"/>
        <w:ind w:left="567" w:hanging="567"/>
        <w:rPr>
          <w:rFonts w:asciiTheme="minorHAnsi" w:hAnsiTheme="minorHAnsi" w:cstheme="minorHAnsi"/>
          <w:i w:val="0"/>
          <w:szCs w:val="20"/>
        </w:rPr>
      </w:pPr>
      <w:r w:rsidRPr="0075660A">
        <w:rPr>
          <w:rFonts w:asciiTheme="minorHAnsi" w:hAnsiTheme="minorHAnsi" w:cstheme="minorHAnsi"/>
          <w:b/>
          <w:i w:val="0"/>
          <w:szCs w:val="20"/>
        </w:rPr>
        <w:t>Zdroj:</w:t>
      </w:r>
      <w:r w:rsidRPr="0075660A">
        <w:rPr>
          <w:rFonts w:asciiTheme="minorHAnsi" w:hAnsiTheme="minorHAnsi" w:cstheme="minorHAnsi"/>
          <w:i w:val="0"/>
          <w:szCs w:val="20"/>
        </w:rPr>
        <w:t xml:space="preserve"> kontrolní protokoly FN; sdělení kontrolovaných FN.</w:t>
      </w:r>
    </w:p>
    <w:p w14:paraId="3D8FC529" w14:textId="7415A511" w:rsidR="0031061F" w:rsidRPr="00527E83" w:rsidRDefault="0031061F" w:rsidP="00EA7FC9">
      <w:pPr>
        <w:pStyle w:val="Zdroj"/>
        <w:widowControl w:val="0"/>
        <w:spacing w:before="40" w:after="120"/>
        <w:ind w:left="142" w:hanging="142"/>
        <w:rPr>
          <w:rFonts w:asciiTheme="minorHAnsi" w:hAnsiTheme="minorHAnsi" w:cstheme="minorHAnsi"/>
          <w:i w:val="0"/>
          <w:szCs w:val="20"/>
        </w:rPr>
      </w:pPr>
      <w:r w:rsidRPr="0075660A">
        <w:rPr>
          <w:rFonts w:asciiTheme="minorHAnsi" w:hAnsiTheme="minorHAnsi" w:cstheme="minorHAnsi"/>
          <w:i w:val="0"/>
          <w:szCs w:val="20"/>
        </w:rPr>
        <w:t>*</w:t>
      </w:r>
      <w:r w:rsidR="00107700">
        <w:rPr>
          <w:rFonts w:asciiTheme="minorHAnsi" w:hAnsiTheme="minorHAnsi" w:cstheme="minorHAnsi"/>
          <w:i w:val="0"/>
          <w:szCs w:val="20"/>
        </w:rPr>
        <w:tab/>
      </w:r>
      <w:r w:rsidRPr="0075660A">
        <w:rPr>
          <w:rFonts w:asciiTheme="minorHAnsi" w:hAnsiTheme="minorHAnsi" w:cstheme="minorHAnsi"/>
          <w:i w:val="0"/>
          <w:szCs w:val="20"/>
        </w:rPr>
        <w:t>Ostatní způsob</w:t>
      </w:r>
      <w:r w:rsidR="009D75E4">
        <w:rPr>
          <w:rFonts w:asciiTheme="minorHAnsi" w:hAnsiTheme="minorHAnsi" w:cstheme="minorHAnsi"/>
          <w:i w:val="0"/>
          <w:szCs w:val="20"/>
        </w:rPr>
        <w:t>y</w:t>
      </w:r>
      <w:r w:rsidRPr="0075660A">
        <w:rPr>
          <w:rFonts w:asciiTheme="minorHAnsi" w:hAnsiTheme="minorHAnsi" w:cstheme="minorHAnsi"/>
          <w:i w:val="0"/>
          <w:szCs w:val="20"/>
        </w:rPr>
        <w:t xml:space="preserve"> výběru dodavatele j</w:t>
      </w:r>
      <w:r w:rsidR="003C31BA" w:rsidRPr="0075660A">
        <w:rPr>
          <w:rFonts w:asciiTheme="minorHAnsi" w:hAnsiTheme="minorHAnsi" w:cstheme="minorHAnsi"/>
          <w:i w:val="0"/>
          <w:szCs w:val="20"/>
        </w:rPr>
        <w:t>sou</w:t>
      </w:r>
      <w:r w:rsidRPr="0075660A">
        <w:rPr>
          <w:rFonts w:asciiTheme="minorHAnsi" w:hAnsiTheme="minorHAnsi" w:cstheme="minorHAnsi"/>
          <w:i w:val="0"/>
          <w:szCs w:val="20"/>
        </w:rPr>
        <w:t xml:space="preserve"> </w:t>
      </w:r>
      <w:r w:rsidR="00E87039" w:rsidRPr="005805C2">
        <w:rPr>
          <w:rFonts w:asciiTheme="minorHAnsi" w:hAnsiTheme="minorHAnsi" w:cstheme="minorHAnsi"/>
          <w:szCs w:val="20"/>
        </w:rPr>
        <w:t xml:space="preserve">direct to </w:t>
      </w:r>
      <w:proofErr w:type="spellStart"/>
      <w:r w:rsidR="00E87039" w:rsidRPr="005805C2">
        <w:rPr>
          <w:rFonts w:asciiTheme="minorHAnsi" w:hAnsiTheme="minorHAnsi" w:cstheme="minorHAnsi"/>
          <w:szCs w:val="20"/>
        </w:rPr>
        <w:t>pharmacy</w:t>
      </w:r>
      <w:proofErr w:type="spellEnd"/>
      <w:r w:rsidR="00F42DBB" w:rsidRPr="0075660A">
        <w:rPr>
          <w:rStyle w:val="Znakapoznpodarou"/>
          <w:rFonts w:asciiTheme="minorHAnsi" w:hAnsiTheme="minorHAnsi"/>
          <w:i w:val="0"/>
          <w:szCs w:val="20"/>
        </w:rPr>
        <w:footnoteReference w:id="50"/>
      </w:r>
      <w:r w:rsidRPr="0075660A">
        <w:rPr>
          <w:rFonts w:asciiTheme="minorHAnsi" w:hAnsiTheme="minorHAnsi" w:cstheme="minorHAnsi"/>
          <w:i w:val="0"/>
          <w:szCs w:val="20"/>
        </w:rPr>
        <w:t xml:space="preserve"> kanály, nahodilé nákupy a přímé nákupy.</w:t>
      </w:r>
    </w:p>
    <w:p w14:paraId="3D87308B" w14:textId="2CB5D553" w:rsidR="00BE3736" w:rsidRPr="0075660A" w:rsidRDefault="00BE3736" w:rsidP="00B32E66">
      <w:pPr>
        <w:shd w:val="clear" w:color="auto" w:fill="FFFFFF"/>
        <w:jc w:val="both"/>
        <w:rPr>
          <w:rFonts w:asciiTheme="minorHAnsi" w:hAnsiTheme="minorHAnsi" w:cstheme="minorHAnsi"/>
          <w:sz w:val="24"/>
          <w:szCs w:val="24"/>
        </w:rPr>
      </w:pPr>
      <w:r w:rsidRPr="00527E83">
        <w:rPr>
          <w:rFonts w:asciiTheme="minorHAnsi" w:hAnsiTheme="minorHAnsi" w:cstheme="minorHAnsi"/>
          <w:sz w:val="24"/>
          <w:szCs w:val="24"/>
        </w:rPr>
        <w:t xml:space="preserve">Na kontrolním vzorku za období </w:t>
      </w:r>
      <w:r w:rsidRPr="0075660A">
        <w:rPr>
          <w:rFonts w:asciiTheme="minorHAnsi" w:hAnsiTheme="minorHAnsi" w:cstheme="minorHAnsi"/>
          <w:sz w:val="24"/>
          <w:szCs w:val="24"/>
        </w:rPr>
        <w:t>2019 až 2021 NKÚ zjistil, že:</w:t>
      </w:r>
    </w:p>
    <w:p w14:paraId="065E0F47" w14:textId="26D0AF8A" w:rsidR="00BE3736" w:rsidRPr="0075660A" w:rsidRDefault="00BE3736" w:rsidP="00EA7FC9">
      <w:pPr>
        <w:pStyle w:val="Odstavecseseznamem"/>
        <w:widowControl/>
        <w:numPr>
          <w:ilvl w:val="0"/>
          <w:numId w:val="43"/>
        </w:numPr>
        <w:shd w:val="clear" w:color="auto" w:fill="FFFFFF"/>
        <w:autoSpaceDE/>
        <w:autoSpaceDN/>
        <w:adjustRightInd/>
        <w:ind w:left="284" w:hanging="284"/>
        <w:contextualSpacing w:val="0"/>
        <w:jc w:val="both"/>
        <w:rPr>
          <w:rFonts w:asciiTheme="minorHAnsi" w:hAnsiTheme="minorHAnsi" w:cstheme="minorHAnsi"/>
          <w:sz w:val="24"/>
          <w:szCs w:val="24"/>
        </w:rPr>
      </w:pPr>
      <w:proofErr w:type="spellStart"/>
      <w:r w:rsidRPr="0075660A">
        <w:rPr>
          <w:rFonts w:asciiTheme="minorHAnsi" w:hAnsiTheme="minorHAnsi" w:cstheme="minorHAnsi"/>
          <w:sz w:val="24"/>
          <w:szCs w:val="24"/>
        </w:rPr>
        <w:t>centrové</w:t>
      </w:r>
      <w:proofErr w:type="spellEnd"/>
      <w:r w:rsidRPr="0075660A">
        <w:rPr>
          <w:rFonts w:asciiTheme="minorHAnsi" w:hAnsiTheme="minorHAnsi" w:cstheme="minorHAnsi"/>
          <w:sz w:val="24"/>
          <w:szCs w:val="24"/>
        </w:rPr>
        <w:t xml:space="preserve"> léky pořizovaly </w:t>
      </w:r>
      <w:r w:rsidR="00121A65" w:rsidRPr="0075660A">
        <w:rPr>
          <w:rFonts w:asciiTheme="minorHAnsi" w:hAnsiTheme="minorHAnsi" w:cstheme="minorHAnsi"/>
          <w:sz w:val="24"/>
          <w:szCs w:val="24"/>
        </w:rPr>
        <w:t>FN</w:t>
      </w:r>
      <w:r w:rsidRPr="0075660A">
        <w:rPr>
          <w:rFonts w:asciiTheme="minorHAnsi" w:hAnsiTheme="minorHAnsi" w:cstheme="minorHAnsi"/>
          <w:sz w:val="24"/>
          <w:szCs w:val="24"/>
        </w:rPr>
        <w:t xml:space="preserve"> na základě zadávacího řízení v rozmezí od </w:t>
      </w:r>
      <w:r w:rsidR="001723A5" w:rsidRPr="0075660A">
        <w:rPr>
          <w:rFonts w:asciiTheme="minorHAnsi" w:hAnsiTheme="minorHAnsi" w:cstheme="minorHAnsi"/>
          <w:sz w:val="24"/>
          <w:szCs w:val="24"/>
        </w:rPr>
        <w:t>1,65</w:t>
      </w:r>
      <w:r w:rsidRPr="0075660A">
        <w:rPr>
          <w:rFonts w:asciiTheme="minorHAnsi" w:hAnsiTheme="minorHAnsi" w:cstheme="minorHAnsi"/>
          <w:sz w:val="24"/>
          <w:szCs w:val="24"/>
        </w:rPr>
        <w:t> % do 49,26</w:t>
      </w:r>
      <w:r w:rsidR="002D6BED" w:rsidRPr="0075660A">
        <w:rPr>
          <w:rFonts w:asciiTheme="minorHAnsi" w:hAnsiTheme="minorHAnsi" w:cstheme="minorHAnsi"/>
          <w:sz w:val="24"/>
          <w:szCs w:val="24"/>
        </w:rPr>
        <w:t> </w:t>
      </w:r>
      <w:r w:rsidRPr="0075660A">
        <w:rPr>
          <w:rFonts w:asciiTheme="minorHAnsi" w:hAnsiTheme="minorHAnsi" w:cstheme="minorHAnsi"/>
          <w:sz w:val="24"/>
          <w:szCs w:val="24"/>
        </w:rPr>
        <w:t xml:space="preserve">% (FNB 49,26 %, FNKV </w:t>
      </w:r>
      <w:r w:rsidR="001723A5" w:rsidRPr="0075660A">
        <w:rPr>
          <w:rFonts w:asciiTheme="minorHAnsi" w:hAnsiTheme="minorHAnsi" w:cstheme="minorHAnsi"/>
          <w:sz w:val="24"/>
          <w:szCs w:val="24"/>
        </w:rPr>
        <w:t>1,65</w:t>
      </w:r>
      <w:r w:rsidRPr="0075660A">
        <w:rPr>
          <w:rFonts w:asciiTheme="minorHAnsi" w:hAnsiTheme="minorHAnsi" w:cstheme="minorHAnsi"/>
          <w:sz w:val="24"/>
          <w:szCs w:val="24"/>
        </w:rPr>
        <w:t xml:space="preserve"> % a FNUSA 31,41 %);</w:t>
      </w:r>
    </w:p>
    <w:p w14:paraId="617CD4E8" w14:textId="1D10F395" w:rsidR="00BE3736" w:rsidRPr="0075660A" w:rsidRDefault="00BE3736" w:rsidP="00EA7FC9">
      <w:pPr>
        <w:pStyle w:val="Odstavecseseznamem"/>
        <w:widowControl/>
        <w:numPr>
          <w:ilvl w:val="0"/>
          <w:numId w:val="43"/>
        </w:numPr>
        <w:shd w:val="clear" w:color="auto" w:fill="FFFFFF"/>
        <w:autoSpaceDE/>
        <w:autoSpaceDN/>
        <w:adjustRightInd/>
        <w:ind w:left="284" w:hanging="284"/>
        <w:contextualSpacing w:val="0"/>
        <w:jc w:val="both"/>
        <w:rPr>
          <w:rFonts w:asciiTheme="minorHAnsi" w:hAnsiTheme="minorHAnsi" w:cstheme="minorHAnsi"/>
          <w:sz w:val="24"/>
          <w:szCs w:val="24"/>
        </w:rPr>
      </w:pPr>
      <w:r w:rsidRPr="0075660A">
        <w:rPr>
          <w:rFonts w:asciiTheme="minorHAnsi" w:hAnsiTheme="minorHAnsi" w:cstheme="minorHAnsi"/>
          <w:sz w:val="24"/>
          <w:szCs w:val="24"/>
        </w:rPr>
        <w:t xml:space="preserve">léčivé přípravky skupiny ATC – J pořizovaly </w:t>
      </w:r>
      <w:r w:rsidR="00FA74ED" w:rsidRPr="0075660A">
        <w:rPr>
          <w:rFonts w:asciiTheme="minorHAnsi" w:hAnsiTheme="minorHAnsi" w:cstheme="minorHAnsi"/>
          <w:sz w:val="24"/>
          <w:szCs w:val="24"/>
        </w:rPr>
        <w:t>FN</w:t>
      </w:r>
      <w:r w:rsidRPr="0075660A">
        <w:rPr>
          <w:rFonts w:asciiTheme="minorHAnsi" w:hAnsiTheme="minorHAnsi" w:cstheme="minorHAnsi"/>
          <w:sz w:val="24"/>
          <w:szCs w:val="24"/>
        </w:rPr>
        <w:t xml:space="preserve"> na základě zadávacího řízení v rozmezí od 0,44 % do 36,52 % (FNB 23,84 %, FNKV 0,44 % a FNUSA 36,52 %).</w:t>
      </w:r>
    </w:p>
    <w:p w14:paraId="0D00B861" w14:textId="1CA5A783" w:rsidR="00BE3736" w:rsidRPr="0075660A" w:rsidRDefault="00BE3736" w:rsidP="00EA7FC9">
      <w:pPr>
        <w:shd w:val="clear" w:color="auto" w:fill="FFFFFF"/>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V následujícím textu jsou uvedeny ostatní způsoby výběru dodavatelů při nákupu léčivých přípravků</w:t>
      </w:r>
      <w:r w:rsidR="00F554F4" w:rsidRPr="0075660A">
        <w:rPr>
          <w:rFonts w:asciiTheme="minorHAnsi" w:hAnsiTheme="minorHAnsi" w:cstheme="minorHAnsi"/>
          <w:sz w:val="24"/>
          <w:szCs w:val="24"/>
        </w:rPr>
        <w:t xml:space="preserve"> představující kontrolní vzorek</w:t>
      </w:r>
      <w:r w:rsidRPr="0075660A">
        <w:rPr>
          <w:rFonts w:asciiTheme="minorHAnsi" w:hAnsiTheme="minorHAnsi" w:cstheme="minorHAnsi"/>
          <w:sz w:val="24"/>
          <w:szCs w:val="24"/>
        </w:rPr>
        <w:t>.</w:t>
      </w:r>
    </w:p>
    <w:p w14:paraId="6FAE0A85" w14:textId="53051E41" w:rsidR="00BE3736" w:rsidRPr="0075660A" w:rsidRDefault="00BE3736" w:rsidP="00EA7FC9">
      <w:pPr>
        <w:shd w:val="clear" w:color="auto" w:fill="FFFFFF"/>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FNB pořídila </w:t>
      </w:r>
      <w:proofErr w:type="spellStart"/>
      <w:r w:rsidRPr="0075660A">
        <w:rPr>
          <w:rFonts w:asciiTheme="minorHAnsi" w:hAnsiTheme="minorHAnsi" w:cstheme="minorHAnsi"/>
          <w:sz w:val="24"/>
          <w:szCs w:val="24"/>
        </w:rPr>
        <w:t>centrové</w:t>
      </w:r>
      <w:proofErr w:type="spellEnd"/>
      <w:r w:rsidRPr="0075660A">
        <w:rPr>
          <w:rFonts w:asciiTheme="minorHAnsi" w:hAnsiTheme="minorHAnsi" w:cstheme="minorHAnsi"/>
          <w:sz w:val="24"/>
          <w:szCs w:val="24"/>
        </w:rPr>
        <w:t xml:space="preserve"> léky z důvodu přímé distribuce prostřednictvím DTP </w:t>
      </w:r>
      <w:r w:rsidR="001E2DE2">
        <w:rPr>
          <w:rFonts w:asciiTheme="minorHAnsi" w:hAnsiTheme="minorHAnsi" w:cstheme="minorHAnsi"/>
          <w:sz w:val="24"/>
          <w:szCs w:val="24"/>
        </w:rPr>
        <w:t xml:space="preserve">kanálů </w:t>
      </w:r>
      <w:r w:rsidRPr="0075660A">
        <w:rPr>
          <w:rFonts w:asciiTheme="minorHAnsi" w:hAnsiTheme="minorHAnsi" w:cstheme="minorHAnsi"/>
          <w:sz w:val="24"/>
          <w:szCs w:val="24"/>
        </w:rPr>
        <w:t>ve výši 9</w:t>
      </w:r>
      <w:r w:rsidR="001E2DE2">
        <w:rPr>
          <w:rFonts w:asciiTheme="minorHAnsi" w:hAnsiTheme="minorHAnsi" w:cstheme="minorHAnsi"/>
          <w:sz w:val="24"/>
          <w:szCs w:val="24"/>
        </w:rPr>
        <w:t> </w:t>
      </w:r>
      <w:r w:rsidRPr="0075660A">
        <w:rPr>
          <w:rFonts w:asciiTheme="minorHAnsi" w:hAnsiTheme="minorHAnsi" w:cstheme="minorHAnsi"/>
          <w:sz w:val="24"/>
          <w:szCs w:val="24"/>
        </w:rPr>
        <w:t>108</w:t>
      </w:r>
      <w:r w:rsidR="001E2DE2">
        <w:rPr>
          <w:rFonts w:asciiTheme="minorHAnsi" w:hAnsiTheme="minorHAnsi" w:cstheme="minorHAnsi"/>
          <w:sz w:val="24"/>
          <w:szCs w:val="24"/>
        </w:rPr>
        <w:t> </w:t>
      </w:r>
      <w:r w:rsidRPr="0075660A">
        <w:rPr>
          <w:rFonts w:asciiTheme="minorHAnsi" w:hAnsiTheme="minorHAnsi" w:cstheme="minorHAnsi"/>
          <w:sz w:val="24"/>
          <w:szCs w:val="24"/>
        </w:rPr>
        <w:t xml:space="preserve">378,40 Kč, což představuje 37,99 % hodnoty kontrolního vzorku, FNKV pořídila </w:t>
      </w:r>
      <w:proofErr w:type="spellStart"/>
      <w:r w:rsidR="001E2DE2" w:rsidRPr="0075660A">
        <w:rPr>
          <w:rFonts w:asciiTheme="minorHAnsi" w:hAnsiTheme="minorHAnsi" w:cstheme="minorHAnsi"/>
          <w:sz w:val="24"/>
          <w:szCs w:val="24"/>
        </w:rPr>
        <w:t>centrové</w:t>
      </w:r>
      <w:proofErr w:type="spellEnd"/>
      <w:r w:rsidR="001E2DE2" w:rsidRPr="0075660A">
        <w:rPr>
          <w:rFonts w:asciiTheme="minorHAnsi" w:hAnsiTheme="minorHAnsi" w:cstheme="minorHAnsi"/>
          <w:sz w:val="24"/>
          <w:szCs w:val="24"/>
        </w:rPr>
        <w:t xml:space="preserve"> léky </w:t>
      </w:r>
      <w:r w:rsidRPr="0075660A">
        <w:rPr>
          <w:rFonts w:asciiTheme="minorHAnsi" w:hAnsiTheme="minorHAnsi" w:cstheme="minorHAnsi"/>
          <w:sz w:val="24"/>
          <w:szCs w:val="24"/>
        </w:rPr>
        <w:t>přes DTP kanály ve výši 12 433 142,35 Kč vč. DPH, tj. 48 % hodnoty kontrolního vzorku</w:t>
      </w:r>
      <w:r w:rsidR="006074B7">
        <w:rPr>
          <w:rFonts w:asciiTheme="minorHAnsi" w:hAnsiTheme="minorHAnsi" w:cstheme="minorHAnsi"/>
          <w:sz w:val="24"/>
          <w:szCs w:val="24"/>
        </w:rPr>
        <w:t>,</w:t>
      </w:r>
      <w:r w:rsidRPr="0075660A">
        <w:rPr>
          <w:rFonts w:asciiTheme="minorHAnsi" w:hAnsiTheme="minorHAnsi" w:cstheme="minorHAnsi"/>
          <w:sz w:val="24"/>
          <w:szCs w:val="24"/>
        </w:rPr>
        <w:t xml:space="preserve"> a</w:t>
      </w:r>
      <w:r w:rsidR="001E2DE2">
        <w:rPr>
          <w:rFonts w:asciiTheme="minorHAnsi" w:hAnsiTheme="minorHAnsi" w:cstheme="minorHAnsi"/>
          <w:sz w:val="24"/>
          <w:szCs w:val="24"/>
        </w:rPr>
        <w:t> </w:t>
      </w:r>
      <w:r w:rsidRPr="0075660A">
        <w:rPr>
          <w:rFonts w:asciiTheme="minorHAnsi" w:hAnsiTheme="minorHAnsi" w:cstheme="minorHAnsi"/>
          <w:sz w:val="24"/>
          <w:szCs w:val="24"/>
        </w:rPr>
        <w:t xml:space="preserve">FNUSA pořídila </w:t>
      </w:r>
      <w:proofErr w:type="spellStart"/>
      <w:r w:rsidRPr="0075660A">
        <w:rPr>
          <w:rFonts w:asciiTheme="minorHAnsi" w:hAnsiTheme="minorHAnsi" w:cstheme="minorHAnsi"/>
          <w:sz w:val="24"/>
          <w:szCs w:val="24"/>
        </w:rPr>
        <w:t>centrové</w:t>
      </w:r>
      <w:proofErr w:type="spellEnd"/>
      <w:r w:rsidRPr="0075660A">
        <w:rPr>
          <w:rFonts w:asciiTheme="minorHAnsi" w:hAnsiTheme="minorHAnsi" w:cstheme="minorHAnsi"/>
          <w:sz w:val="24"/>
          <w:szCs w:val="24"/>
        </w:rPr>
        <w:t xml:space="preserve"> léky přes DTP kanály ve výši 14 918 996,61 Kč, tj. 30,99 %.</w:t>
      </w:r>
    </w:p>
    <w:p w14:paraId="7CEEAA93" w14:textId="579A47DA" w:rsidR="00BE3736" w:rsidRPr="0075660A" w:rsidRDefault="00BE3736" w:rsidP="00EA7FC9">
      <w:pPr>
        <w:widowControl/>
        <w:shd w:val="clear" w:color="auto" w:fill="FFFFFF"/>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FNB pořídila léčivé přípravky skupiny ATC</w:t>
      </w:r>
      <w:r w:rsidR="005D41B1" w:rsidRPr="0075660A">
        <w:rPr>
          <w:rFonts w:asciiTheme="minorHAnsi" w:hAnsiTheme="minorHAnsi" w:cstheme="minorHAnsi"/>
          <w:sz w:val="24"/>
          <w:szCs w:val="24"/>
        </w:rPr>
        <w:t xml:space="preserve"> </w:t>
      </w:r>
      <w:r w:rsidR="00B32E66" w:rsidRPr="0075660A">
        <w:rPr>
          <w:rFonts w:asciiTheme="minorHAnsi" w:hAnsiTheme="minorHAnsi" w:cstheme="minorHAnsi"/>
          <w:sz w:val="24"/>
          <w:szCs w:val="24"/>
        </w:rPr>
        <w:t>—</w:t>
      </w:r>
      <w:r w:rsidR="005D41B1" w:rsidRPr="0075660A">
        <w:rPr>
          <w:rFonts w:asciiTheme="minorHAnsi" w:hAnsiTheme="minorHAnsi" w:cstheme="minorHAnsi"/>
          <w:sz w:val="24"/>
          <w:szCs w:val="24"/>
        </w:rPr>
        <w:t xml:space="preserve"> </w:t>
      </w:r>
      <w:r w:rsidRPr="0075660A">
        <w:rPr>
          <w:rFonts w:asciiTheme="minorHAnsi" w:hAnsiTheme="minorHAnsi" w:cstheme="minorHAnsi"/>
          <w:sz w:val="24"/>
          <w:szCs w:val="24"/>
        </w:rPr>
        <w:t xml:space="preserve">J z kontrolního vzorku přes DTP kanály ve výši 1 177 808,87 Kč, tj. 29,31 %, FNKV je přes DTP kanály nepořizovala, FNUSA </w:t>
      </w:r>
      <w:r w:rsidR="00EA4BE0">
        <w:rPr>
          <w:rFonts w:asciiTheme="minorHAnsi" w:hAnsiTheme="minorHAnsi" w:cstheme="minorHAnsi"/>
          <w:sz w:val="24"/>
          <w:szCs w:val="24"/>
        </w:rPr>
        <w:t xml:space="preserve">je pořídila přes DTP kanály </w:t>
      </w:r>
      <w:r w:rsidRPr="0075660A">
        <w:rPr>
          <w:rFonts w:asciiTheme="minorHAnsi" w:hAnsiTheme="minorHAnsi" w:cstheme="minorHAnsi"/>
          <w:sz w:val="24"/>
          <w:szCs w:val="24"/>
        </w:rPr>
        <w:t>ve výši 7 422 707,60 Kč, tj. 38,41 %.</w:t>
      </w:r>
      <w:r w:rsidR="00EA4BE0">
        <w:rPr>
          <w:rFonts w:asciiTheme="minorHAnsi" w:hAnsiTheme="minorHAnsi" w:cstheme="minorHAnsi"/>
          <w:sz w:val="24"/>
          <w:szCs w:val="24"/>
        </w:rPr>
        <w:t xml:space="preserve"> </w:t>
      </w:r>
      <w:r w:rsidRPr="0075660A">
        <w:rPr>
          <w:rFonts w:asciiTheme="minorHAnsi" w:hAnsiTheme="minorHAnsi" w:cstheme="minorHAnsi"/>
          <w:sz w:val="24"/>
          <w:szCs w:val="24"/>
        </w:rPr>
        <w:t>Tím, že je v případě DTP kanálu jediný výrobce či distributo</w:t>
      </w:r>
      <w:r w:rsidR="001E2DE2">
        <w:rPr>
          <w:rFonts w:asciiTheme="minorHAnsi" w:hAnsiTheme="minorHAnsi" w:cstheme="minorHAnsi"/>
          <w:sz w:val="24"/>
          <w:szCs w:val="24"/>
        </w:rPr>
        <w:t>r léčivého přípravku</w:t>
      </w:r>
      <w:r w:rsidRPr="0075660A">
        <w:rPr>
          <w:rFonts w:asciiTheme="minorHAnsi" w:hAnsiTheme="minorHAnsi" w:cstheme="minorHAnsi"/>
          <w:sz w:val="24"/>
          <w:szCs w:val="24"/>
        </w:rPr>
        <w:t xml:space="preserve">, zaniká konkurenční prostředí, tzn. možnost </w:t>
      </w:r>
      <w:r w:rsidR="001E2DE2">
        <w:rPr>
          <w:rFonts w:asciiTheme="minorHAnsi" w:hAnsiTheme="minorHAnsi" w:cstheme="minorHAnsi"/>
          <w:sz w:val="24"/>
          <w:szCs w:val="24"/>
        </w:rPr>
        <w:t xml:space="preserve">jejich </w:t>
      </w:r>
      <w:r w:rsidRPr="0075660A">
        <w:rPr>
          <w:rFonts w:asciiTheme="minorHAnsi" w:hAnsiTheme="minorHAnsi" w:cstheme="minorHAnsi"/>
          <w:sz w:val="24"/>
          <w:szCs w:val="24"/>
        </w:rPr>
        <w:t xml:space="preserve">nákupu za výhodnějších podmínek. </w:t>
      </w:r>
    </w:p>
    <w:p w14:paraId="6B12BF57" w14:textId="646EF592" w:rsidR="00BE3736" w:rsidRPr="0075660A" w:rsidRDefault="00BE3736" w:rsidP="00EA7FC9">
      <w:pPr>
        <w:widowControl/>
        <w:shd w:val="clear" w:color="auto" w:fill="FFFFFF"/>
        <w:spacing w:before="120" w:after="120"/>
        <w:jc w:val="both"/>
        <w:rPr>
          <w:rFonts w:asciiTheme="minorHAnsi" w:hAnsiTheme="minorHAnsi" w:cstheme="minorHAnsi"/>
          <w:strike/>
          <w:sz w:val="24"/>
          <w:szCs w:val="24"/>
        </w:rPr>
      </w:pPr>
      <w:r w:rsidRPr="0075660A">
        <w:rPr>
          <w:rFonts w:asciiTheme="minorHAnsi" w:hAnsiTheme="minorHAnsi" w:cstheme="minorHAnsi"/>
          <w:sz w:val="24"/>
          <w:szCs w:val="24"/>
        </w:rPr>
        <w:t xml:space="preserve">Zbývající část nákupů </w:t>
      </w:r>
      <w:proofErr w:type="spellStart"/>
      <w:r w:rsidRPr="0075660A">
        <w:rPr>
          <w:rFonts w:asciiTheme="minorHAnsi" w:hAnsiTheme="minorHAnsi" w:cstheme="minorHAnsi"/>
          <w:sz w:val="24"/>
          <w:szCs w:val="24"/>
        </w:rPr>
        <w:t>centrových</w:t>
      </w:r>
      <w:proofErr w:type="spellEnd"/>
      <w:r w:rsidRPr="0075660A">
        <w:rPr>
          <w:rFonts w:asciiTheme="minorHAnsi" w:hAnsiTheme="minorHAnsi" w:cstheme="minorHAnsi"/>
          <w:sz w:val="24"/>
          <w:szCs w:val="24"/>
        </w:rPr>
        <w:t xml:space="preserve"> léků bez zadávacího řízení představovaly zejména </w:t>
      </w:r>
      <w:r w:rsidR="005F57E7" w:rsidRPr="0075660A">
        <w:rPr>
          <w:rFonts w:asciiTheme="minorHAnsi" w:hAnsiTheme="minorHAnsi" w:cstheme="minorHAnsi"/>
          <w:sz w:val="24"/>
          <w:szCs w:val="24"/>
        </w:rPr>
        <w:t xml:space="preserve">přímé nákupy, které obsahovaly i </w:t>
      </w:r>
      <w:r w:rsidRPr="0075660A">
        <w:rPr>
          <w:rFonts w:asciiTheme="minorHAnsi" w:hAnsiTheme="minorHAnsi" w:cstheme="minorHAnsi"/>
          <w:sz w:val="24"/>
          <w:szCs w:val="24"/>
        </w:rPr>
        <w:t>nahodilé nákupy</w:t>
      </w:r>
      <w:r w:rsidR="00F6270D" w:rsidRPr="00F6270D">
        <w:rPr>
          <w:rFonts w:asciiTheme="minorHAnsi" w:hAnsiTheme="minorHAnsi" w:cstheme="minorHAnsi"/>
          <w:sz w:val="24"/>
          <w:szCs w:val="24"/>
          <w:vertAlign w:val="superscript"/>
        </w:rPr>
        <w:t>4</w:t>
      </w:r>
      <w:r w:rsidR="00602F60">
        <w:rPr>
          <w:rFonts w:asciiTheme="minorHAnsi" w:hAnsiTheme="minorHAnsi" w:cstheme="minorHAnsi"/>
          <w:sz w:val="24"/>
          <w:szCs w:val="24"/>
          <w:vertAlign w:val="superscript"/>
        </w:rPr>
        <w:t>2</w:t>
      </w:r>
      <w:r w:rsidR="00AC3EA2">
        <w:rPr>
          <w:rFonts w:asciiTheme="minorHAnsi" w:hAnsiTheme="minorHAnsi" w:cstheme="minorHAnsi"/>
          <w:sz w:val="24"/>
          <w:szCs w:val="24"/>
        </w:rPr>
        <w:t xml:space="preserve"> bez splnění </w:t>
      </w:r>
      <w:r w:rsidR="005F57E7" w:rsidRPr="0075660A">
        <w:rPr>
          <w:rFonts w:asciiTheme="minorHAnsi" w:hAnsiTheme="minorHAnsi" w:cstheme="minorHAnsi"/>
          <w:sz w:val="24"/>
          <w:szCs w:val="24"/>
        </w:rPr>
        <w:t>podmín</w:t>
      </w:r>
      <w:r w:rsidR="00AC3EA2">
        <w:rPr>
          <w:rFonts w:asciiTheme="minorHAnsi" w:hAnsiTheme="minorHAnsi" w:cstheme="minorHAnsi"/>
          <w:sz w:val="24"/>
          <w:szCs w:val="24"/>
        </w:rPr>
        <w:t>e</w:t>
      </w:r>
      <w:r w:rsidR="005F57E7" w:rsidRPr="0075660A">
        <w:rPr>
          <w:rFonts w:asciiTheme="minorHAnsi" w:hAnsiTheme="minorHAnsi" w:cstheme="minorHAnsi"/>
          <w:sz w:val="24"/>
          <w:szCs w:val="24"/>
        </w:rPr>
        <w:t>k pro nahodilý nákup.</w:t>
      </w:r>
    </w:p>
    <w:p w14:paraId="494359C7" w14:textId="6682FCAC" w:rsidR="00BE3736" w:rsidRPr="00527E83" w:rsidRDefault="00BE3736" w:rsidP="00EA7FC9">
      <w:pPr>
        <w:widowControl/>
        <w:shd w:val="clear" w:color="auto" w:fill="FFFFFF"/>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FNB pořídila léčivé přípravky skupiny ATC</w:t>
      </w:r>
      <w:r w:rsidR="00865464" w:rsidRPr="0075660A">
        <w:rPr>
          <w:rFonts w:asciiTheme="minorHAnsi" w:hAnsiTheme="minorHAnsi" w:cstheme="minorHAnsi"/>
          <w:sz w:val="24"/>
          <w:szCs w:val="24"/>
        </w:rPr>
        <w:t xml:space="preserve"> — </w:t>
      </w:r>
      <w:r w:rsidRPr="0075660A">
        <w:rPr>
          <w:rFonts w:asciiTheme="minorHAnsi" w:hAnsiTheme="minorHAnsi" w:cstheme="minorHAnsi"/>
          <w:sz w:val="24"/>
          <w:szCs w:val="24"/>
        </w:rPr>
        <w:t>J z kontrolního vzorku bez zadávacího řízení</w:t>
      </w:r>
      <w:r w:rsidRPr="006900AA">
        <w:rPr>
          <w:rFonts w:asciiTheme="minorHAnsi" w:hAnsiTheme="minorHAnsi" w:cstheme="minorHAnsi"/>
          <w:sz w:val="24"/>
          <w:szCs w:val="24"/>
        </w:rPr>
        <w:t xml:space="preserve">, kdy nepředložila provedení výběru dodavatele dle zásad v souladu se zákonem </w:t>
      </w:r>
      <w:r w:rsidR="003C31BA" w:rsidRPr="006900AA">
        <w:rPr>
          <w:rFonts w:asciiTheme="minorHAnsi" w:hAnsiTheme="minorHAnsi" w:cstheme="minorHAnsi"/>
          <w:sz w:val="24"/>
          <w:szCs w:val="24"/>
        </w:rPr>
        <w:t>o zadávání veřejných zakázek</w:t>
      </w:r>
      <w:r w:rsidRPr="006900AA">
        <w:rPr>
          <w:rFonts w:asciiTheme="minorHAnsi" w:hAnsiTheme="minorHAnsi" w:cstheme="minorHAnsi"/>
          <w:sz w:val="24"/>
          <w:szCs w:val="24"/>
        </w:rPr>
        <w:t xml:space="preserve"> ve výši 1 882 666,51 Kč, tj. 46,85 %, FNKV pořídila tyto léčivé přípravky na základě rámcových kupních smluv bez zadávacího řízení ve výši 3 305 275,76 Kč, tj. 38,20 %</w:t>
      </w:r>
      <w:r w:rsidR="00F56480">
        <w:rPr>
          <w:rFonts w:asciiTheme="minorHAnsi" w:hAnsiTheme="minorHAnsi" w:cstheme="minorHAnsi"/>
          <w:sz w:val="24"/>
          <w:szCs w:val="24"/>
        </w:rPr>
        <w:t>,</w:t>
      </w:r>
      <w:r w:rsidRPr="006900AA">
        <w:rPr>
          <w:rFonts w:asciiTheme="minorHAnsi" w:hAnsiTheme="minorHAnsi" w:cstheme="minorHAnsi"/>
          <w:sz w:val="24"/>
          <w:szCs w:val="24"/>
        </w:rPr>
        <w:t xml:space="preserve"> a</w:t>
      </w:r>
      <w:r w:rsidR="003C31BA" w:rsidRPr="006900AA">
        <w:rPr>
          <w:rFonts w:asciiTheme="minorHAnsi" w:hAnsiTheme="minorHAnsi" w:cstheme="minorHAnsi"/>
          <w:sz w:val="24"/>
          <w:szCs w:val="24"/>
        </w:rPr>
        <w:t> </w:t>
      </w:r>
      <w:r w:rsidRPr="006900AA">
        <w:rPr>
          <w:rFonts w:asciiTheme="minorHAnsi" w:hAnsiTheme="minorHAnsi" w:cstheme="minorHAnsi"/>
          <w:sz w:val="24"/>
          <w:szCs w:val="24"/>
        </w:rPr>
        <w:t>ve výši 5 311 929,63 Kč, tj. 61,36 %</w:t>
      </w:r>
      <w:r w:rsidR="00F56480">
        <w:rPr>
          <w:rFonts w:asciiTheme="minorHAnsi" w:hAnsiTheme="minorHAnsi" w:cstheme="minorHAnsi"/>
          <w:sz w:val="24"/>
          <w:szCs w:val="24"/>
        </w:rPr>
        <w:t>,</w:t>
      </w:r>
      <w:r w:rsidRPr="006900AA">
        <w:rPr>
          <w:rFonts w:asciiTheme="minorHAnsi" w:hAnsiTheme="minorHAnsi" w:cstheme="minorHAnsi"/>
          <w:sz w:val="24"/>
          <w:szCs w:val="24"/>
        </w:rPr>
        <w:t xml:space="preserve"> jako nahodilé nákupy a FNUSA ve výši 4 847 416,33 Kč, tj. 25,07 %</w:t>
      </w:r>
      <w:r w:rsidR="00F56480">
        <w:rPr>
          <w:rFonts w:asciiTheme="minorHAnsi" w:hAnsiTheme="minorHAnsi" w:cstheme="minorHAnsi"/>
          <w:sz w:val="24"/>
          <w:szCs w:val="24"/>
        </w:rPr>
        <w:t>,</w:t>
      </w:r>
      <w:r w:rsidRPr="006900AA">
        <w:rPr>
          <w:rFonts w:asciiTheme="minorHAnsi" w:hAnsiTheme="minorHAnsi" w:cstheme="minorHAnsi"/>
          <w:sz w:val="24"/>
          <w:szCs w:val="24"/>
        </w:rPr>
        <w:t xml:space="preserve"> jako nahodilé nákupy.</w:t>
      </w:r>
    </w:p>
    <w:p w14:paraId="37D7F3CC" w14:textId="7D6A7F53" w:rsidR="00BE3736" w:rsidRPr="009007FA" w:rsidRDefault="00BE3736" w:rsidP="00EA7FC9">
      <w:pPr>
        <w:widowControl/>
        <w:spacing w:before="120" w:after="120"/>
        <w:jc w:val="both"/>
        <w:rPr>
          <w:rFonts w:asciiTheme="minorHAnsi" w:hAnsiTheme="minorHAnsi" w:cstheme="minorHAnsi"/>
          <w:b/>
          <w:sz w:val="24"/>
          <w:szCs w:val="24"/>
        </w:rPr>
      </w:pPr>
      <w:r w:rsidRPr="00527E83">
        <w:rPr>
          <w:rFonts w:asciiTheme="minorHAnsi" w:hAnsiTheme="minorHAnsi" w:cstheme="minorHAnsi"/>
          <w:b/>
          <w:sz w:val="24"/>
          <w:szCs w:val="24"/>
        </w:rPr>
        <w:t xml:space="preserve">Na kontrolním vzorku </w:t>
      </w:r>
      <w:proofErr w:type="spellStart"/>
      <w:r w:rsidR="009007FA" w:rsidRPr="00527E83">
        <w:rPr>
          <w:rFonts w:asciiTheme="minorHAnsi" w:hAnsiTheme="minorHAnsi" w:cstheme="minorHAnsi"/>
          <w:b/>
          <w:sz w:val="24"/>
          <w:szCs w:val="24"/>
        </w:rPr>
        <w:t>centrových</w:t>
      </w:r>
      <w:proofErr w:type="spellEnd"/>
      <w:r w:rsidR="009007FA" w:rsidRPr="00527E83">
        <w:rPr>
          <w:rFonts w:asciiTheme="minorHAnsi" w:hAnsiTheme="minorHAnsi" w:cstheme="minorHAnsi"/>
          <w:b/>
          <w:sz w:val="24"/>
          <w:szCs w:val="24"/>
        </w:rPr>
        <w:t xml:space="preserve"> léků a léčiv skupiny ATC – J </w:t>
      </w:r>
      <w:r w:rsidRPr="00527E83">
        <w:rPr>
          <w:rFonts w:asciiTheme="minorHAnsi" w:hAnsiTheme="minorHAnsi" w:cstheme="minorHAnsi"/>
          <w:b/>
          <w:sz w:val="24"/>
          <w:szCs w:val="24"/>
        </w:rPr>
        <w:t>zjistil</w:t>
      </w:r>
      <w:r w:rsidR="009007FA" w:rsidRPr="009007FA">
        <w:rPr>
          <w:rFonts w:asciiTheme="minorHAnsi" w:hAnsiTheme="minorHAnsi" w:cstheme="minorHAnsi"/>
          <w:b/>
          <w:sz w:val="24"/>
          <w:szCs w:val="24"/>
        </w:rPr>
        <w:t xml:space="preserve"> </w:t>
      </w:r>
      <w:r w:rsidR="009007FA" w:rsidRPr="00527E83">
        <w:rPr>
          <w:rFonts w:asciiTheme="minorHAnsi" w:hAnsiTheme="minorHAnsi" w:cstheme="minorHAnsi"/>
          <w:b/>
          <w:sz w:val="24"/>
          <w:szCs w:val="24"/>
        </w:rPr>
        <w:t>NKÚ</w:t>
      </w:r>
      <w:r w:rsidRPr="00527E83">
        <w:rPr>
          <w:rFonts w:asciiTheme="minorHAnsi" w:hAnsiTheme="minorHAnsi" w:cstheme="minorHAnsi"/>
          <w:b/>
          <w:sz w:val="24"/>
          <w:szCs w:val="24"/>
        </w:rPr>
        <w:t xml:space="preserve">, že podíl </w:t>
      </w:r>
      <w:r w:rsidR="009007FA">
        <w:rPr>
          <w:rFonts w:asciiTheme="minorHAnsi" w:hAnsiTheme="minorHAnsi" w:cstheme="minorHAnsi"/>
          <w:b/>
          <w:sz w:val="24"/>
          <w:szCs w:val="24"/>
        </w:rPr>
        <w:t xml:space="preserve">jejich </w:t>
      </w:r>
      <w:r w:rsidRPr="00527E83">
        <w:rPr>
          <w:rFonts w:asciiTheme="minorHAnsi" w:hAnsiTheme="minorHAnsi" w:cstheme="minorHAnsi"/>
          <w:b/>
          <w:sz w:val="24"/>
          <w:szCs w:val="24"/>
        </w:rPr>
        <w:t xml:space="preserve">dodávek mimo zadávací </w:t>
      </w:r>
      <w:r w:rsidRPr="0075660A">
        <w:rPr>
          <w:rFonts w:asciiTheme="minorHAnsi" w:hAnsiTheme="minorHAnsi" w:cstheme="minorHAnsi"/>
          <w:b/>
          <w:sz w:val="24"/>
          <w:szCs w:val="24"/>
        </w:rPr>
        <w:t>řízení je značný</w:t>
      </w:r>
      <w:r w:rsidR="000377D6" w:rsidRPr="0075660A">
        <w:rPr>
          <w:rFonts w:asciiTheme="minorHAnsi" w:hAnsiTheme="minorHAnsi" w:cstheme="minorHAnsi"/>
          <w:b/>
          <w:sz w:val="24"/>
          <w:szCs w:val="24"/>
        </w:rPr>
        <w:t>, tj. v rozmezí od 50,74 % do 99,56 %</w:t>
      </w:r>
      <w:r w:rsidR="00727B71">
        <w:rPr>
          <w:rFonts w:asciiTheme="minorHAnsi" w:hAnsiTheme="minorHAnsi" w:cstheme="minorHAnsi"/>
          <w:b/>
          <w:sz w:val="24"/>
          <w:szCs w:val="24"/>
        </w:rPr>
        <w:t>.</w:t>
      </w:r>
      <w:r w:rsidR="000F1225">
        <w:rPr>
          <w:rFonts w:asciiTheme="minorHAnsi" w:hAnsiTheme="minorHAnsi" w:cstheme="minorHAnsi"/>
          <w:b/>
          <w:sz w:val="24"/>
          <w:szCs w:val="24"/>
        </w:rPr>
        <w:t xml:space="preserve"> NKÚ zde spatřuje</w:t>
      </w:r>
      <w:r w:rsidR="000F1225" w:rsidRPr="0075660A">
        <w:rPr>
          <w:rFonts w:asciiTheme="minorHAnsi" w:hAnsiTheme="minorHAnsi" w:cstheme="minorHAnsi"/>
          <w:b/>
          <w:sz w:val="24"/>
          <w:szCs w:val="24"/>
        </w:rPr>
        <w:t xml:space="preserve"> </w:t>
      </w:r>
      <w:r w:rsidR="000F1225" w:rsidRPr="0075660A">
        <w:rPr>
          <w:rFonts w:asciiTheme="minorHAnsi" w:hAnsiTheme="minorHAnsi" w:cstheme="minorHAnsi"/>
          <w:b/>
          <w:color w:val="000000" w:themeColor="text1"/>
          <w:sz w:val="24"/>
          <w:szCs w:val="24"/>
        </w:rPr>
        <w:t>prostor pro snižování nákladů.</w:t>
      </w:r>
      <w:r w:rsidR="000F1225">
        <w:rPr>
          <w:rFonts w:asciiTheme="minorHAnsi" w:hAnsiTheme="minorHAnsi" w:cstheme="minorHAnsi"/>
          <w:b/>
          <w:color w:val="000000" w:themeColor="text1"/>
          <w:sz w:val="24"/>
          <w:szCs w:val="24"/>
        </w:rPr>
        <w:t xml:space="preserve"> </w:t>
      </w:r>
      <w:r w:rsidRPr="0075660A">
        <w:rPr>
          <w:rFonts w:asciiTheme="minorHAnsi" w:hAnsiTheme="minorHAnsi" w:cstheme="minorHAnsi"/>
          <w:b/>
          <w:sz w:val="24"/>
          <w:szCs w:val="24"/>
        </w:rPr>
        <w:t>FN jsou jako veřejní zadavatelé povinny postupovat podle zákona o zadávání</w:t>
      </w:r>
      <w:r w:rsidR="00E26A85">
        <w:rPr>
          <w:rFonts w:asciiTheme="minorHAnsi" w:hAnsiTheme="minorHAnsi" w:cstheme="minorHAnsi"/>
          <w:b/>
          <w:sz w:val="24"/>
          <w:szCs w:val="24"/>
        </w:rPr>
        <w:t xml:space="preserve"> </w:t>
      </w:r>
      <w:r w:rsidRPr="0075660A">
        <w:rPr>
          <w:rFonts w:asciiTheme="minorHAnsi" w:hAnsiTheme="minorHAnsi" w:cstheme="minorHAnsi"/>
          <w:b/>
          <w:sz w:val="24"/>
          <w:szCs w:val="24"/>
        </w:rPr>
        <w:t>veřejných zakázek</w:t>
      </w:r>
      <w:r w:rsidR="00EA4BE0">
        <w:rPr>
          <w:rFonts w:asciiTheme="minorHAnsi" w:hAnsiTheme="minorHAnsi" w:cstheme="minorHAnsi"/>
          <w:b/>
          <w:sz w:val="24"/>
          <w:szCs w:val="24"/>
        </w:rPr>
        <w:t>.</w:t>
      </w:r>
    </w:p>
    <w:p w14:paraId="72B09E0A" w14:textId="15EA5595" w:rsidR="00BE3736" w:rsidRPr="0075660A" w:rsidRDefault="00BE3736" w:rsidP="00EA7FC9">
      <w:pPr>
        <w:keepNext/>
        <w:widowControl/>
        <w:spacing w:before="120" w:after="120"/>
        <w:jc w:val="both"/>
        <w:rPr>
          <w:rFonts w:asciiTheme="minorHAnsi" w:hAnsiTheme="minorHAnsi" w:cstheme="minorHAnsi"/>
          <w:b/>
          <w:noProof/>
          <w:color w:val="000000" w:themeColor="text1"/>
          <w:sz w:val="24"/>
          <w:szCs w:val="24"/>
        </w:rPr>
      </w:pPr>
      <w:r w:rsidRPr="0075660A">
        <w:rPr>
          <w:rFonts w:asciiTheme="minorHAnsi" w:hAnsiTheme="minorHAnsi" w:cstheme="minorHAnsi"/>
          <w:b/>
          <w:noProof/>
          <w:color w:val="000000" w:themeColor="text1"/>
          <w:sz w:val="24"/>
          <w:szCs w:val="24"/>
        </w:rPr>
        <w:t>Veřejné zakázky na nákup zdravotnických prostředků</w:t>
      </w:r>
      <w:r w:rsidR="004D07B1" w:rsidRPr="0075660A">
        <w:rPr>
          <w:rFonts w:asciiTheme="minorHAnsi" w:hAnsiTheme="minorHAnsi" w:cstheme="minorHAnsi"/>
          <w:b/>
          <w:noProof/>
          <w:color w:val="000000" w:themeColor="text1"/>
          <w:sz w:val="24"/>
          <w:szCs w:val="24"/>
        </w:rPr>
        <w:t xml:space="preserve">, </w:t>
      </w:r>
      <w:r w:rsidR="00B32E66" w:rsidRPr="0075660A">
        <w:rPr>
          <w:rFonts w:asciiTheme="minorHAnsi" w:hAnsiTheme="minorHAnsi" w:cstheme="minorHAnsi"/>
          <w:b/>
          <w:noProof/>
          <w:color w:val="000000" w:themeColor="text1"/>
          <w:sz w:val="24"/>
          <w:szCs w:val="24"/>
        </w:rPr>
        <w:t>resp. SZM</w:t>
      </w:r>
    </w:p>
    <w:p w14:paraId="7CABEA07" w14:textId="40F32F57" w:rsidR="00BE3736" w:rsidRPr="00527E83" w:rsidRDefault="00BE3736" w:rsidP="00EA7FC9">
      <w:pPr>
        <w:widowControl/>
        <w:shd w:val="clear" w:color="auto" w:fill="FFFFFF"/>
        <w:spacing w:before="120" w:after="120"/>
        <w:jc w:val="both"/>
        <w:rPr>
          <w:rFonts w:asciiTheme="minorHAnsi" w:hAnsiTheme="minorHAnsi" w:cstheme="minorHAnsi"/>
          <w:sz w:val="24"/>
          <w:szCs w:val="24"/>
        </w:rPr>
      </w:pPr>
      <w:r w:rsidRPr="00206849">
        <w:rPr>
          <w:rFonts w:asciiTheme="minorHAnsi" w:hAnsiTheme="minorHAnsi" w:cstheme="minorHAnsi"/>
          <w:sz w:val="24"/>
          <w:szCs w:val="24"/>
        </w:rPr>
        <w:t xml:space="preserve">NKÚ na vybraném kontrolním vzorku </w:t>
      </w:r>
      <w:r w:rsidR="00206849" w:rsidRPr="00206849">
        <w:rPr>
          <w:rFonts w:asciiTheme="minorHAnsi" w:hAnsiTheme="minorHAnsi" w:cstheme="minorHAnsi"/>
          <w:sz w:val="24"/>
          <w:szCs w:val="24"/>
        </w:rPr>
        <w:t xml:space="preserve">devíti druhů </w:t>
      </w:r>
      <w:proofErr w:type="spellStart"/>
      <w:r w:rsidR="00206849" w:rsidRPr="00206849">
        <w:rPr>
          <w:rFonts w:asciiTheme="minorHAnsi" w:hAnsiTheme="minorHAnsi" w:cstheme="minorHAnsi"/>
          <w:sz w:val="24"/>
          <w:szCs w:val="24"/>
        </w:rPr>
        <w:t>ZPr</w:t>
      </w:r>
      <w:proofErr w:type="spellEnd"/>
      <w:r w:rsidR="00206849" w:rsidRPr="00206849">
        <w:rPr>
          <w:rFonts w:asciiTheme="minorHAnsi" w:hAnsiTheme="minorHAnsi" w:cstheme="minorHAnsi"/>
          <w:sz w:val="24"/>
          <w:szCs w:val="24"/>
        </w:rPr>
        <w:t xml:space="preserve">, které pořizovaly v období 2019 až 2021 kontrolované FN a jednoho druhu SZM </w:t>
      </w:r>
      <w:r w:rsidR="001A6033" w:rsidRPr="00206849">
        <w:rPr>
          <w:rFonts w:asciiTheme="minorHAnsi" w:hAnsiTheme="minorHAnsi" w:cstheme="minorHAnsi"/>
          <w:sz w:val="24"/>
          <w:szCs w:val="24"/>
        </w:rPr>
        <w:t xml:space="preserve">ověřil </w:t>
      </w:r>
      <w:r w:rsidRPr="00206849">
        <w:rPr>
          <w:rFonts w:asciiTheme="minorHAnsi" w:hAnsiTheme="minorHAnsi" w:cstheme="minorHAnsi"/>
          <w:sz w:val="24"/>
          <w:szCs w:val="24"/>
        </w:rPr>
        <w:t xml:space="preserve">způsob jejich pořizování. Kontrolní vzorek zdravotnických prostředků obsahoval zvlášť účtovaný materiál </w:t>
      </w:r>
      <w:r w:rsidRPr="00206849">
        <w:rPr>
          <w:rFonts w:asciiTheme="minorHAnsi" w:hAnsiTheme="minorHAnsi" w:cstheme="minorHAnsi"/>
          <w:color w:val="000000"/>
          <w:spacing w:val="-2"/>
          <w:sz w:val="24"/>
          <w:szCs w:val="24"/>
        </w:rPr>
        <w:t xml:space="preserve">s pořizovací hodnotou vyšší než 10 tis. Kč za kus (balení) </w:t>
      </w:r>
      <w:r w:rsidRPr="00206849">
        <w:rPr>
          <w:rFonts w:asciiTheme="minorHAnsi" w:hAnsiTheme="minorHAnsi" w:cstheme="minorHAnsi"/>
          <w:sz w:val="24"/>
          <w:szCs w:val="24"/>
        </w:rPr>
        <w:t>v celkové hodnotě 3 449 167,06 Kč vč. DPH.</w:t>
      </w:r>
      <w:r w:rsidRPr="00527E83">
        <w:rPr>
          <w:rFonts w:asciiTheme="minorHAnsi" w:hAnsiTheme="minorHAnsi" w:cstheme="minorHAnsi"/>
          <w:sz w:val="24"/>
          <w:szCs w:val="24"/>
        </w:rPr>
        <w:t xml:space="preserve"> </w:t>
      </w:r>
    </w:p>
    <w:p w14:paraId="6A3E0D3F" w14:textId="01D9D220" w:rsidR="00BE3736" w:rsidRPr="0075660A" w:rsidRDefault="00BE3736" w:rsidP="00EA7FC9">
      <w:pPr>
        <w:widowControl/>
        <w:shd w:val="clear" w:color="auto" w:fill="FFFFFF"/>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Na kontrolním vzorku nákupů </w:t>
      </w:r>
      <w:proofErr w:type="spellStart"/>
      <w:r w:rsidRPr="0075660A">
        <w:rPr>
          <w:rFonts w:asciiTheme="minorHAnsi" w:hAnsiTheme="minorHAnsi" w:cstheme="minorHAnsi"/>
          <w:sz w:val="24"/>
          <w:szCs w:val="24"/>
        </w:rPr>
        <w:t>ZPr</w:t>
      </w:r>
      <w:proofErr w:type="spellEnd"/>
      <w:r w:rsidR="009F6C4A" w:rsidRPr="0075660A">
        <w:rPr>
          <w:rFonts w:asciiTheme="minorHAnsi" w:hAnsiTheme="minorHAnsi" w:cstheme="minorHAnsi"/>
          <w:sz w:val="24"/>
          <w:szCs w:val="24"/>
        </w:rPr>
        <w:t xml:space="preserve">, </w:t>
      </w:r>
      <w:r w:rsidR="00B32E66" w:rsidRPr="0075660A">
        <w:rPr>
          <w:rFonts w:asciiTheme="minorHAnsi" w:hAnsiTheme="minorHAnsi" w:cstheme="minorHAnsi"/>
          <w:sz w:val="24"/>
          <w:szCs w:val="24"/>
        </w:rPr>
        <w:t>resp. SZM</w:t>
      </w:r>
      <w:r w:rsidR="00A034C1">
        <w:rPr>
          <w:rFonts w:asciiTheme="minorHAnsi" w:hAnsiTheme="minorHAnsi" w:cstheme="minorHAnsi"/>
          <w:sz w:val="24"/>
          <w:szCs w:val="24"/>
        </w:rPr>
        <w:t>,</w:t>
      </w:r>
      <w:r w:rsidRPr="0075660A">
        <w:rPr>
          <w:rFonts w:asciiTheme="minorHAnsi" w:hAnsiTheme="minorHAnsi" w:cstheme="minorHAnsi"/>
          <w:sz w:val="24"/>
          <w:szCs w:val="24"/>
        </w:rPr>
        <w:t xml:space="preserve"> provedených v letech 2019 až 2021 tvořily nákupy realizované na základě zadávacího řízení dle zákona o zadávání veřejných zakázek u</w:t>
      </w:r>
      <w:r w:rsidR="00B32E66" w:rsidRPr="0075660A">
        <w:rPr>
          <w:rFonts w:asciiTheme="minorHAnsi" w:hAnsiTheme="minorHAnsi" w:cstheme="minorHAnsi"/>
          <w:sz w:val="24"/>
          <w:szCs w:val="24"/>
        </w:rPr>
        <w:t> </w:t>
      </w:r>
      <w:r w:rsidRPr="0075660A">
        <w:rPr>
          <w:rFonts w:asciiTheme="minorHAnsi" w:hAnsiTheme="minorHAnsi" w:cstheme="minorHAnsi"/>
          <w:sz w:val="24"/>
          <w:szCs w:val="24"/>
        </w:rPr>
        <w:t>FNB 22,0 % (</w:t>
      </w:r>
      <w:r w:rsidR="0049023D" w:rsidRPr="0075660A">
        <w:rPr>
          <w:rFonts w:asciiTheme="minorHAnsi" w:hAnsiTheme="minorHAnsi" w:cstheme="minorHAnsi"/>
          <w:sz w:val="24"/>
          <w:szCs w:val="24"/>
        </w:rPr>
        <w:t>vč. průzkumu trhu</w:t>
      </w:r>
      <w:r w:rsidR="007E2E9F" w:rsidRPr="0075660A">
        <w:rPr>
          <w:rFonts w:asciiTheme="minorHAnsi" w:hAnsiTheme="minorHAnsi" w:cstheme="minorHAnsi"/>
          <w:sz w:val="24"/>
          <w:szCs w:val="24"/>
        </w:rPr>
        <w:t>, kdy oslovila více dodavatelů</w:t>
      </w:r>
      <w:r w:rsidRPr="0075660A">
        <w:rPr>
          <w:rFonts w:asciiTheme="minorHAnsi" w:hAnsiTheme="minorHAnsi" w:cstheme="minorHAnsi"/>
          <w:sz w:val="24"/>
          <w:szCs w:val="24"/>
        </w:rPr>
        <w:t>), u FNKV 0 % a</w:t>
      </w:r>
      <w:r w:rsidR="001D6F30" w:rsidRPr="0075660A">
        <w:rPr>
          <w:rFonts w:asciiTheme="minorHAnsi" w:hAnsiTheme="minorHAnsi" w:cstheme="minorHAnsi"/>
          <w:sz w:val="24"/>
          <w:szCs w:val="24"/>
        </w:rPr>
        <w:t> </w:t>
      </w:r>
      <w:r w:rsidRPr="0075660A">
        <w:rPr>
          <w:rFonts w:asciiTheme="minorHAnsi" w:hAnsiTheme="minorHAnsi" w:cstheme="minorHAnsi"/>
          <w:sz w:val="24"/>
          <w:szCs w:val="24"/>
        </w:rPr>
        <w:t>FNUSA 5,57 %.</w:t>
      </w:r>
    </w:p>
    <w:p w14:paraId="2F74BDE6" w14:textId="4748D259" w:rsidR="00BE3736" w:rsidRPr="0075660A" w:rsidRDefault="00BE3736" w:rsidP="00EA7FC9">
      <w:pPr>
        <w:widowControl/>
        <w:spacing w:before="120" w:after="120"/>
        <w:rPr>
          <w:rFonts w:asciiTheme="minorHAnsi" w:hAnsiTheme="minorHAnsi" w:cstheme="minorHAnsi"/>
          <w:sz w:val="24"/>
          <w:szCs w:val="24"/>
        </w:rPr>
      </w:pPr>
      <w:r w:rsidRPr="0075660A">
        <w:rPr>
          <w:rFonts w:asciiTheme="minorHAnsi" w:hAnsiTheme="minorHAnsi" w:cstheme="minorHAnsi"/>
          <w:sz w:val="24"/>
          <w:szCs w:val="24"/>
        </w:rPr>
        <w:t xml:space="preserve">V následující tabulce je uveden způsob pořízení </w:t>
      </w:r>
      <w:proofErr w:type="spellStart"/>
      <w:r w:rsidRPr="0075660A">
        <w:rPr>
          <w:rFonts w:asciiTheme="minorHAnsi" w:hAnsiTheme="minorHAnsi" w:cstheme="minorHAnsi"/>
          <w:sz w:val="24"/>
          <w:szCs w:val="24"/>
        </w:rPr>
        <w:t>ZPr</w:t>
      </w:r>
      <w:proofErr w:type="spellEnd"/>
      <w:r w:rsidR="009F6C4A" w:rsidRPr="0075660A">
        <w:rPr>
          <w:rFonts w:asciiTheme="minorHAnsi" w:hAnsiTheme="minorHAnsi" w:cstheme="minorHAnsi"/>
          <w:sz w:val="24"/>
          <w:szCs w:val="24"/>
        </w:rPr>
        <w:t xml:space="preserve">, </w:t>
      </w:r>
      <w:r w:rsidR="00B32E66" w:rsidRPr="0075660A">
        <w:rPr>
          <w:rFonts w:asciiTheme="minorHAnsi" w:hAnsiTheme="minorHAnsi" w:cstheme="minorHAnsi"/>
          <w:sz w:val="24"/>
          <w:szCs w:val="24"/>
        </w:rPr>
        <w:t xml:space="preserve">resp. SZM </w:t>
      </w:r>
      <w:r w:rsidRPr="0075660A">
        <w:rPr>
          <w:rFonts w:asciiTheme="minorHAnsi" w:hAnsiTheme="minorHAnsi" w:cstheme="minorHAnsi"/>
          <w:sz w:val="24"/>
          <w:szCs w:val="24"/>
        </w:rPr>
        <w:t>zjištěný na kontrolním vzorku v období 2019 až 2021.</w:t>
      </w:r>
    </w:p>
    <w:p w14:paraId="2CA5E32B" w14:textId="268BD874" w:rsidR="00BE3736" w:rsidRPr="00527E83" w:rsidRDefault="00BE3736" w:rsidP="00E26A85">
      <w:pPr>
        <w:keepNext/>
        <w:widowControl/>
        <w:shd w:val="clear" w:color="auto" w:fill="FFFFFF"/>
        <w:spacing w:before="120" w:after="40"/>
        <w:jc w:val="both"/>
        <w:rPr>
          <w:rFonts w:asciiTheme="minorHAnsi" w:hAnsiTheme="minorHAnsi" w:cstheme="minorHAnsi"/>
          <w:b/>
          <w:sz w:val="24"/>
          <w:szCs w:val="24"/>
        </w:rPr>
      </w:pPr>
      <w:r w:rsidRPr="0075660A">
        <w:rPr>
          <w:rFonts w:asciiTheme="minorHAnsi" w:hAnsiTheme="minorHAnsi" w:cstheme="minorHAnsi"/>
          <w:b/>
          <w:sz w:val="24"/>
          <w:szCs w:val="24"/>
        </w:rPr>
        <w:t xml:space="preserve">Tabulka č. </w:t>
      </w:r>
      <w:r w:rsidR="003C7EA5">
        <w:rPr>
          <w:rFonts w:asciiTheme="minorHAnsi" w:hAnsiTheme="minorHAnsi" w:cstheme="minorHAnsi"/>
          <w:b/>
          <w:sz w:val="24"/>
          <w:szCs w:val="24"/>
        </w:rPr>
        <w:t>7</w:t>
      </w:r>
      <w:r w:rsidRPr="0075660A">
        <w:rPr>
          <w:rFonts w:asciiTheme="minorHAnsi" w:hAnsiTheme="minorHAnsi" w:cstheme="minorHAnsi"/>
          <w:b/>
          <w:sz w:val="24"/>
          <w:szCs w:val="24"/>
        </w:rPr>
        <w:t xml:space="preserve">: Způsob pořízení </w:t>
      </w:r>
      <w:proofErr w:type="spellStart"/>
      <w:r w:rsidRPr="0075660A">
        <w:rPr>
          <w:rFonts w:asciiTheme="minorHAnsi" w:hAnsiTheme="minorHAnsi" w:cstheme="minorHAnsi"/>
          <w:b/>
          <w:sz w:val="24"/>
          <w:szCs w:val="24"/>
        </w:rPr>
        <w:t>ZPr</w:t>
      </w:r>
      <w:proofErr w:type="spellEnd"/>
      <w:r w:rsidRPr="0075660A">
        <w:rPr>
          <w:rFonts w:asciiTheme="minorHAnsi" w:hAnsiTheme="minorHAnsi" w:cstheme="minorHAnsi"/>
          <w:b/>
          <w:sz w:val="24"/>
          <w:szCs w:val="24"/>
        </w:rPr>
        <w:t xml:space="preserve"> </w:t>
      </w:r>
      <w:r w:rsidR="00B32E66" w:rsidRPr="0075660A">
        <w:rPr>
          <w:rFonts w:asciiTheme="minorHAnsi" w:hAnsiTheme="minorHAnsi" w:cstheme="minorHAnsi"/>
          <w:b/>
          <w:sz w:val="24"/>
          <w:szCs w:val="24"/>
        </w:rPr>
        <w:t xml:space="preserve">(resp. SZM) </w:t>
      </w:r>
      <w:r w:rsidRPr="0075660A">
        <w:rPr>
          <w:rFonts w:asciiTheme="minorHAnsi" w:hAnsiTheme="minorHAnsi" w:cstheme="minorHAnsi"/>
          <w:b/>
          <w:sz w:val="24"/>
          <w:szCs w:val="24"/>
        </w:rPr>
        <w:t>na shodném kontrolním vzorku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984"/>
        <w:gridCol w:w="2551"/>
        <w:gridCol w:w="2494"/>
        <w:gridCol w:w="850"/>
      </w:tblGrid>
      <w:tr w:rsidR="00BE3736" w:rsidRPr="00527E83" w14:paraId="6E24EC2B" w14:textId="77777777" w:rsidTr="00DD1927">
        <w:trPr>
          <w:trHeight w:val="255"/>
          <w:jc w:val="center"/>
        </w:trPr>
        <w:tc>
          <w:tcPr>
            <w:tcW w:w="1134" w:type="dxa"/>
            <w:shd w:val="clear" w:color="auto" w:fill="E5F1FF"/>
            <w:noWrap/>
            <w:tcMar>
              <w:top w:w="15" w:type="dxa"/>
              <w:left w:w="15" w:type="dxa"/>
              <w:bottom w:w="0" w:type="dxa"/>
              <w:right w:w="15" w:type="dxa"/>
            </w:tcMar>
            <w:vAlign w:val="center"/>
            <w:hideMark/>
          </w:tcPr>
          <w:p w14:paraId="7308AE74" w14:textId="73EBB3F9" w:rsidR="00BE3736" w:rsidRPr="00527E83" w:rsidRDefault="006D0076" w:rsidP="00E26A85">
            <w:pPr>
              <w:jc w:val="center"/>
              <w:rPr>
                <w:rFonts w:asciiTheme="minorHAnsi" w:hAnsiTheme="minorHAnsi" w:cstheme="minorHAnsi"/>
                <w:b/>
                <w:bCs/>
                <w:color w:val="000000"/>
                <w:szCs w:val="24"/>
              </w:rPr>
            </w:pPr>
            <w:r>
              <w:rPr>
                <w:rFonts w:asciiTheme="minorHAnsi" w:hAnsiTheme="minorHAnsi" w:cstheme="minorHAnsi"/>
                <w:b/>
                <w:bCs/>
                <w:color w:val="000000"/>
                <w:szCs w:val="24"/>
              </w:rPr>
              <w:t>FN</w:t>
            </w:r>
          </w:p>
        </w:tc>
        <w:tc>
          <w:tcPr>
            <w:tcW w:w="1984" w:type="dxa"/>
            <w:shd w:val="clear" w:color="auto" w:fill="E5F1FF"/>
            <w:noWrap/>
            <w:tcMar>
              <w:top w:w="15" w:type="dxa"/>
              <w:left w:w="15" w:type="dxa"/>
              <w:bottom w:w="0" w:type="dxa"/>
              <w:right w:w="15" w:type="dxa"/>
            </w:tcMar>
            <w:vAlign w:val="center"/>
            <w:hideMark/>
          </w:tcPr>
          <w:p w14:paraId="2F197D12" w14:textId="77777777" w:rsidR="00BE3736" w:rsidRPr="00527E83" w:rsidRDefault="00BE3736" w:rsidP="00E26A85">
            <w:pPr>
              <w:jc w:val="center"/>
              <w:rPr>
                <w:rFonts w:asciiTheme="minorHAnsi" w:hAnsiTheme="minorHAnsi" w:cstheme="minorHAnsi"/>
                <w:b/>
                <w:bCs/>
                <w:color w:val="000000"/>
                <w:szCs w:val="24"/>
              </w:rPr>
            </w:pPr>
            <w:r w:rsidRPr="00527E83">
              <w:rPr>
                <w:rFonts w:asciiTheme="minorHAnsi" w:hAnsiTheme="minorHAnsi" w:cstheme="minorHAnsi"/>
                <w:b/>
                <w:bCs/>
                <w:color w:val="000000"/>
                <w:szCs w:val="24"/>
              </w:rPr>
              <w:t>Kontrolované položky</w:t>
            </w:r>
          </w:p>
        </w:tc>
        <w:tc>
          <w:tcPr>
            <w:tcW w:w="2551" w:type="dxa"/>
            <w:shd w:val="clear" w:color="auto" w:fill="E5F1FF"/>
            <w:noWrap/>
            <w:tcMar>
              <w:top w:w="15" w:type="dxa"/>
              <w:left w:w="15" w:type="dxa"/>
              <w:bottom w:w="0" w:type="dxa"/>
              <w:right w:w="15" w:type="dxa"/>
            </w:tcMar>
            <w:vAlign w:val="center"/>
            <w:hideMark/>
          </w:tcPr>
          <w:p w14:paraId="7FDFE8C9" w14:textId="77777777" w:rsidR="00BE3736" w:rsidRPr="00527E83" w:rsidRDefault="00BE3736" w:rsidP="00E26A85">
            <w:pPr>
              <w:jc w:val="center"/>
              <w:rPr>
                <w:rFonts w:asciiTheme="minorHAnsi" w:hAnsiTheme="minorHAnsi" w:cstheme="minorHAnsi"/>
                <w:b/>
                <w:bCs/>
                <w:color w:val="000000"/>
                <w:szCs w:val="24"/>
              </w:rPr>
            </w:pPr>
            <w:r w:rsidRPr="00527E83">
              <w:rPr>
                <w:rFonts w:asciiTheme="minorHAnsi" w:hAnsiTheme="minorHAnsi" w:cstheme="minorHAnsi"/>
                <w:b/>
                <w:bCs/>
                <w:color w:val="000000"/>
                <w:szCs w:val="24"/>
              </w:rPr>
              <w:t>Kontrolovaný objem (v Kč)</w:t>
            </w:r>
          </w:p>
        </w:tc>
        <w:tc>
          <w:tcPr>
            <w:tcW w:w="2494" w:type="dxa"/>
            <w:shd w:val="clear" w:color="auto" w:fill="E5F1FF"/>
            <w:noWrap/>
            <w:tcMar>
              <w:top w:w="15" w:type="dxa"/>
              <w:left w:w="15" w:type="dxa"/>
              <w:bottom w:w="0" w:type="dxa"/>
              <w:right w:w="15" w:type="dxa"/>
            </w:tcMar>
            <w:vAlign w:val="center"/>
            <w:hideMark/>
          </w:tcPr>
          <w:p w14:paraId="4BF271A3" w14:textId="77777777" w:rsidR="00BE3736" w:rsidRPr="00527E83" w:rsidRDefault="00BE3736" w:rsidP="00E26A85">
            <w:pPr>
              <w:jc w:val="center"/>
              <w:rPr>
                <w:rFonts w:asciiTheme="minorHAnsi" w:hAnsiTheme="minorHAnsi" w:cstheme="minorHAnsi"/>
                <w:b/>
                <w:bCs/>
                <w:color w:val="000000"/>
                <w:szCs w:val="24"/>
              </w:rPr>
            </w:pPr>
            <w:r w:rsidRPr="00527E83">
              <w:rPr>
                <w:rFonts w:asciiTheme="minorHAnsi" w:hAnsiTheme="minorHAnsi" w:cstheme="minorHAnsi"/>
                <w:b/>
                <w:bCs/>
                <w:color w:val="000000"/>
                <w:szCs w:val="24"/>
              </w:rPr>
              <w:t>Způsob výběru dodavatele</w:t>
            </w:r>
          </w:p>
        </w:tc>
        <w:tc>
          <w:tcPr>
            <w:tcW w:w="850" w:type="dxa"/>
            <w:shd w:val="clear" w:color="auto" w:fill="E5F1FF"/>
            <w:noWrap/>
            <w:tcMar>
              <w:top w:w="15" w:type="dxa"/>
              <w:left w:w="15" w:type="dxa"/>
              <w:bottom w:w="0" w:type="dxa"/>
              <w:right w:w="15" w:type="dxa"/>
            </w:tcMar>
            <w:vAlign w:val="center"/>
            <w:hideMark/>
          </w:tcPr>
          <w:p w14:paraId="2EFE558E" w14:textId="77777777" w:rsidR="00BE3736" w:rsidRPr="00527E83" w:rsidRDefault="00BE3736" w:rsidP="00E26A85">
            <w:pPr>
              <w:jc w:val="center"/>
              <w:rPr>
                <w:rFonts w:asciiTheme="minorHAnsi" w:hAnsiTheme="minorHAnsi" w:cstheme="minorHAnsi"/>
                <w:b/>
                <w:bCs/>
                <w:color w:val="000000"/>
                <w:szCs w:val="24"/>
              </w:rPr>
            </w:pPr>
            <w:r w:rsidRPr="00527E83">
              <w:rPr>
                <w:rFonts w:asciiTheme="minorHAnsi" w:hAnsiTheme="minorHAnsi" w:cstheme="minorHAnsi"/>
                <w:b/>
                <w:bCs/>
                <w:color w:val="000000"/>
                <w:szCs w:val="24"/>
              </w:rPr>
              <w:t>%</w:t>
            </w:r>
          </w:p>
        </w:tc>
      </w:tr>
      <w:tr w:rsidR="00BE3736" w:rsidRPr="00527E83" w14:paraId="5997BE62" w14:textId="77777777" w:rsidTr="00DD1927">
        <w:trPr>
          <w:trHeight w:val="255"/>
          <w:jc w:val="center"/>
        </w:trPr>
        <w:tc>
          <w:tcPr>
            <w:tcW w:w="1134" w:type="dxa"/>
            <w:vMerge w:val="restart"/>
            <w:shd w:val="clear" w:color="auto" w:fill="auto"/>
            <w:noWrap/>
            <w:tcMar>
              <w:top w:w="15" w:type="dxa"/>
              <w:left w:w="15" w:type="dxa"/>
              <w:bottom w:w="0" w:type="dxa"/>
              <w:right w:w="15" w:type="dxa"/>
            </w:tcMar>
            <w:vAlign w:val="center"/>
            <w:hideMark/>
          </w:tcPr>
          <w:p w14:paraId="198527AF" w14:textId="77777777"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FNB</w:t>
            </w:r>
          </w:p>
        </w:tc>
        <w:tc>
          <w:tcPr>
            <w:tcW w:w="1984" w:type="dxa"/>
            <w:vMerge w:val="restart"/>
            <w:shd w:val="clear" w:color="auto" w:fill="auto"/>
            <w:noWrap/>
            <w:tcMar>
              <w:top w:w="15" w:type="dxa"/>
              <w:left w:w="15" w:type="dxa"/>
              <w:bottom w:w="0" w:type="dxa"/>
              <w:right w:w="15" w:type="dxa"/>
            </w:tcMar>
            <w:vAlign w:val="center"/>
            <w:hideMark/>
          </w:tcPr>
          <w:p w14:paraId="24501401" w14:textId="5A7A8632" w:rsidR="00BE3736" w:rsidRPr="00527E83" w:rsidRDefault="00BE3736" w:rsidP="00E26A85">
            <w:pPr>
              <w:jc w:val="center"/>
              <w:rPr>
                <w:rFonts w:asciiTheme="minorHAnsi" w:hAnsiTheme="minorHAnsi" w:cstheme="minorHAnsi"/>
                <w:color w:val="000000"/>
                <w:szCs w:val="24"/>
              </w:rPr>
            </w:pPr>
            <w:proofErr w:type="spellStart"/>
            <w:r w:rsidRPr="00527E83">
              <w:rPr>
                <w:rFonts w:asciiTheme="minorHAnsi" w:hAnsiTheme="minorHAnsi" w:cstheme="minorHAnsi"/>
                <w:color w:val="000000"/>
                <w:szCs w:val="24"/>
              </w:rPr>
              <w:t>ZPr</w:t>
            </w:r>
            <w:proofErr w:type="spellEnd"/>
            <w:r w:rsidR="009F6C4A">
              <w:rPr>
                <w:rFonts w:asciiTheme="minorHAnsi" w:hAnsiTheme="minorHAnsi" w:cstheme="minorHAnsi"/>
                <w:color w:val="000000"/>
                <w:szCs w:val="24"/>
              </w:rPr>
              <w:t xml:space="preserve">, </w:t>
            </w:r>
            <w:r w:rsidR="00B32E66" w:rsidRPr="00B32E66">
              <w:rPr>
                <w:rFonts w:asciiTheme="minorHAnsi" w:hAnsiTheme="minorHAnsi" w:cstheme="minorHAnsi"/>
                <w:color w:val="000000"/>
                <w:szCs w:val="24"/>
              </w:rPr>
              <w:t>resp. SZM</w:t>
            </w:r>
          </w:p>
        </w:tc>
        <w:tc>
          <w:tcPr>
            <w:tcW w:w="2551" w:type="dxa"/>
            <w:vMerge w:val="restart"/>
            <w:shd w:val="clear" w:color="auto" w:fill="auto"/>
            <w:noWrap/>
            <w:tcMar>
              <w:top w:w="15" w:type="dxa"/>
              <w:left w:w="15" w:type="dxa"/>
              <w:bottom w:w="0" w:type="dxa"/>
              <w:right w:w="15" w:type="dxa"/>
            </w:tcMar>
            <w:vAlign w:val="center"/>
            <w:hideMark/>
          </w:tcPr>
          <w:p w14:paraId="2F1C4361" w14:textId="77777777" w:rsidR="00BE3736" w:rsidRPr="00527E83" w:rsidRDefault="00BE3736" w:rsidP="00063D7C">
            <w:pPr>
              <w:ind w:right="553"/>
              <w:jc w:val="right"/>
              <w:rPr>
                <w:rFonts w:asciiTheme="minorHAnsi" w:hAnsiTheme="minorHAnsi" w:cstheme="minorHAnsi"/>
                <w:color w:val="000000"/>
                <w:szCs w:val="24"/>
              </w:rPr>
            </w:pPr>
            <w:r w:rsidRPr="00527E83">
              <w:rPr>
                <w:rFonts w:asciiTheme="minorHAnsi" w:hAnsiTheme="minorHAnsi" w:cstheme="minorHAnsi"/>
                <w:bCs/>
                <w:color w:val="000000"/>
                <w:szCs w:val="24"/>
              </w:rPr>
              <w:t>1 181 093,97</w:t>
            </w:r>
          </w:p>
        </w:tc>
        <w:tc>
          <w:tcPr>
            <w:tcW w:w="2494" w:type="dxa"/>
            <w:shd w:val="clear" w:color="auto" w:fill="auto"/>
            <w:noWrap/>
            <w:tcMar>
              <w:top w:w="15" w:type="dxa"/>
              <w:left w:w="15" w:type="dxa"/>
              <w:bottom w:w="0" w:type="dxa"/>
              <w:right w:w="15" w:type="dxa"/>
            </w:tcMar>
            <w:vAlign w:val="center"/>
            <w:hideMark/>
          </w:tcPr>
          <w:p w14:paraId="6A51B1FC" w14:textId="77777777"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Zadávací řízení</w:t>
            </w:r>
          </w:p>
        </w:tc>
        <w:tc>
          <w:tcPr>
            <w:tcW w:w="850" w:type="dxa"/>
            <w:shd w:val="clear" w:color="auto" w:fill="auto"/>
            <w:noWrap/>
            <w:tcMar>
              <w:top w:w="15" w:type="dxa"/>
              <w:left w:w="15" w:type="dxa"/>
              <w:bottom w:w="0" w:type="dxa"/>
              <w:right w:w="15" w:type="dxa"/>
            </w:tcMar>
            <w:vAlign w:val="center"/>
            <w:hideMark/>
          </w:tcPr>
          <w:p w14:paraId="5B25F0E7" w14:textId="77777777" w:rsidR="00BE3736" w:rsidRPr="00527E83" w:rsidRDefault="00BE3736" w:rsidP="00E26A85">
            <w:pPr>
              <w:ind w:right="57"/>
              <w:jc w:val="right"/>
              <w:rPr>
                <w:rFonts w:asciiTheme="minorHAnsi" w:hAnsiTheme="minorHAnsi" w:cstheme="minorHAnsi"/>
                <w:color w:val="000000"/>
                <w:szCs w:val="24"/>
              </w:rPr>
            </w:pPr>
            <w:r w:rsidRPr="00527E83">
              <w:rPr>
                <w:rFonts w:asciiTheme="minorHAnsi" w:hAnsiTheme="minorHAnsi" w:cstheme="minorHAnsi"/>
                <w:color w:val="000000"/>
                <w:szCs w:val="24"/>
              </w:rPr>
              <w:t>12,40</w:t>
            </w:r>
          </w:p>
        </w:tc>
      </w:tr>
      <w:tr w:rsidR="00BE3736" w:rsidRPr="00527E83" w14:paraId="1634B8D7" w14:textId="77777777" w:rsidTr="00DD1927">
        <w:trPr>
          <w:trHeight w:val="255"/>
          <w:jc w:val="center"/>
        </w:trPr>
        <w:tc>
          <w:tcPr>
            <w:tcW w:w="1134" w:type="dxa"/>
            <w:vMerge/>
            <w:shd w:val="clear" w:color="auto" w:fill="auto"/>
            <w:noWrap/>
            <w:tcMar>
              <w:top w:w="15" w:type="dxa"/>
              <w:left w:w="15" w:type="dxa"/>
              <w:bottom w:w="0" w:type="dxa"/>
              <w:right w:w="15" w:type="dxa"/>
            </w:tcMar>
            <w:vAlign w:val="center"/>
          </w:tcPr>
          <w:p w14:paraId="2D6FA818" w14:textId="77777777" w:rsidR="00BE3736" w:rsidRPr="00527E83" w:rsidRDefault="00BE3736" w:rsidP="00E26A85">
            <w:pPr>
              <w:jc w:val="center"/>
              <w:rPr>
                <w:rFonts w:asciiTheme="minorHAnsi" w:hAnsiTheme="minorHAnsi" w:cstheme="minorHAnsi"/>
                <w:color w:val="000000"/>
                <w:szCs w:val="24"/>
              </w:rPr>
            </w:pPr>
          </w:p>
        </w:tc>
        <w:tc>
          <w:tcPr>
            <w:tcW w:w="1984" w:type="dxa"/>
            <w:vMerge/>
            <w:shd w:val="clear" w:color="auto" w:fill="auto"/>
            <w:noWrap/>
            <w:tcMar>
              <w:top w:w="15" w:type="dxa"/>
              <w:left w:w="15" w:type="dxa"/>
              <w:bottom w:w="0" w:type="dxa"/>
              <w:right w:w="15" w:type="dxa"/>
            </w:tcMar>
            <w:vAlign w:val="center"/>
          </w:tcPr>
          <w:p w14:paraId="2F90692D" w14:textId="77777777" w:rsidR="00BE3736" w:rsidRPr="00527E83" w:rsidRDefault="00BE3736" w:rsidP="00E26A85">
            <w:pPr>
              <w:jc w:val="center"/>
              <w:rPr>
                <w:rFonts w:asciiTheme="minorHAnsi" w:hAnsiTheme="minorHAnsi" w:cstheme="minorHAnsi"/>
                <w:color w:val="000000"/>
                <w:szCs w:val="24"/>
              </w:rPr>
            </w:pPr>
          </w:p>
        </w:tc>
        <w:tc>
          <w:tcPr>
            <w:tcW w:w="2551" w:type="dxa"/>
            <w:vMerge/>
            <w:shd w:val="clear" w:color="auto" w:fill="auto"/>
            <w:noWrap/>
            <w:tcMar>
              <w:top w:w="15" w:type="dxa"/>
              <w:left w:w="15" w:type="dxa"/>
              <w:bottom w:w="0" w:type="dxa"/>
              <w:right w:w="15" w:type="dxa"/>
            </w:tcMar>
            <w:vAlign w:val="center"/>
          </w:tcPr>
          <w:p w14:paraId="521FAFA0" w14:textId="77777777" w:rsidR="00BE3736" w:rsidRPr="00527E83" w:rsidRDefault="00BE3736" w:rsidP="00063D7C">
            <w:pPr>
              <w:ind w:right="553"/>
              <w:jc w:val="right"/>
              <w:rPr>
                <w:rFonts w:asciiTheme="minorHAnsi" w:hAnsiTheme="minorHAnsi" w:cstheme="minorHAnsi"/>
                <w:bCs/>
                <w:color w:val="000000"/>
                <w:szCs w:val="24"/>
              </w:rPr>
            </w:pPr>
          </w:p>
        </w:tc>
        <w:tc>
          <w:tcPr>
            <w:tcW w:w="2494" w:type="dxa"/>
            <w:shd w:val="clear" w:color="auto" w:fill="auto"/>
            <w:noWrap/>
            <w:tcMar>
              <w:top w:w="15" w:type="dxa"/>
              <w:left w:w="15" w:type="dxa"/>
              <w:bottom w:w="0" w:type="dxa"/>
              <w:right w:w="15" w:type="dxa"/>
            </w:tcMar>
            <w:vAlign w:val="center"/>
          </w:tcPr>
          <w:p w14:paraId="24A16385" w14:textId="7A3595EC"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Průzkum trhu</w:t>
            </w:r>
          </w:p>
        </w:tc>
        <w:tc>
          <w:tcPr>
            <w:tcW w:w="850" w:type="dxa"/>
            <w:shd w:val="clear" w:color="auto" w:fill="auto"/>
            <w:noWrap/>
            <w:tcMar>
              <w:top w:w="15" w:type="dxa"/>
              <w:left w:w="15" w:type="dxa"/>
              <w:bottom w:w="0" w:type="dxa"/>
              <w:right w:w="15" w:type="dxa"/>
            </w:tcMar>
            <w:vAlign w:val="center"/>
          </w:tcPr>
          <w:p w14:paraId="5E73A95A" w14:textId="77777777" w:rsidR="00BE3736" w:rsidRPr="00527E83" w:rsidRDefault="00BE3736" w:rsidP="00E26A85">
            <w:pPr>
              <w:ind w:right="57"/>
              <w:jc w:val="right"/>
              <w:rPr>
                <w:rFonts w:asciiTheme="minorHAnsi" w:hAnsiTheme="minorHAnsi" w:cstheme="minorHAnsi"/>
                <w:color w:val="000000"/>
                <w:szCs w:val="24"/>
              </w:rPr>
            </w:pPr>
            <w:r w:rsidRPr="00527E83">
              <w:rPr>
                <w:rFonts w:asciiTheme="minorHAnsi" w:hAnsiTheme="minorHAnsi" w:cstheme="minorHAnsi"/>
                <w:color w:val="000000"/>
                <w:szCs w:val="24"/>
              </w:rPr>
              <w:t>9,60</w:t>
            </w:r>
          </w:p>
        </w:tc>
      </w:tr>
      <w:tr w:rsidR="00BE3736" w:rsidRPr="00527E83" w14:paraId="7DE6F343" w14:textId="77777777" w:rsidTr="00DD1927">
        <w:trPr>
          <w:trHeight w:val="255"/>
          <w:jc w:val="center"/>
        </w:trPr>
        <w:tc>
          <w:tcPr>
            <w:tcW w:w="1134" w:type="dxa"/>
            <w:vMerge/>
            <w:vAlign w:val="center"/>
            <w:hideMark/>
          </w:tcPr>
          <w:p w14:paraId="7FA3CD18" w14:textId="77777777" w:rsidR="00BE3736" w:rsidRPr="00527E83" w:rsidRDefault="00BE3736" w:rsidP="00E26A85">
            <w:pPr>
              <w:jc w:val="center"/>
              <w:rPr>
                <w:rFonts w:asciiTheme="minorHAnsi" w:hAnsiTheme="minorHAnsi" w:cstheme="minorHAnsi"/>
                <w:color w:val="000000"/>
                <w:szCs w:val="24"/>
              </w:rPr>
            </w:pPr>
          </w:p>
        </w:tc>
        <w:tc>
          <w:tcPr>
            <w:tcW w:w="1984" w:type="dxa"/>
            <w:vMerge/>
            <w:vAlign w:val="center"/>
            <w:hideMark/>
          </w:tcPr>
          <w:p w14:paraId="4A000C60" w14:textId="77777777" w:rsidR="00BE3736" w:rsidRPr="00527E83" w:rsidRDefault="00BE3736" w:rsidP="00E26A85">
            <w:pPr>
              <w:jc w:val="center"/>
              <w:rPr>
                <w:rFonts w:asciiTheme="minorHAnsi" w:hAnsiTheme="minorHAnsi" w:cstheme="minorHAnsi"/>
                <w:color w:val="000000"/>
                <w:szCs w:val="24"/>
              </w:rPr>
            </w:pPr>
          </w:p>
        </w:tc>
        <w:tc>
          <w:tcPr>
            <w:tcW w:w="2551" w:type="dxa"/>
            <w:vMerge/>
            <w:vAlign w:val="center"/>
            <w:hideMark/>
          </w:tcPr>
          <w:p w14:paraId="7EE7A60C" w14:textId="77777777" w:rsidR="00BE3736" w:rsidRPr="00527E83" w:rsidRDefault="00BE3736" w:rsidP="00063D7C">
            <w:pPr>
              <w:ind w:right="553"/>
              <w:jc w:val="right"/>
              <w:rPr>
                <w:rFonts w:asciiTheme="minorHAnsi" w:hAnsiTheme="minorHAnsi" w:cstheme="minorHAnsi"/>
                <w:color w:val="000000"/>
                <w:szCs w:val="24"/>
              </w:rPr>
            </w:pPr>
          </w:p>
        </w:tc>
        <w:tc>
          <w:tcPr>
            <w:tcW w:w="2494" w:type="dxa"/>
            <w:shd w:val="clear" w:color="auto" w:fill="auto"/>
            <w:noWrap/>
            <w:tcMar>
              <w:top w:w="15" w:type="dxa"/>
              <w:left w:w="15" w:type="dxa"/>
              <w:bottom w:w="0" w:type="dxa"/>
              <w:right w:w="15" w:type="dxa"/>
            </w:tcMar>
            <w:vAlign w:val="center"/>
            <w:hideMark/>
          </w:tcPr>
          <w:p w14:paraId="17DA1F23" w14:textId="79A3809F"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Ostatní</w:t>
            </w:r>
            <w:r w:rsidR="005965B0">
              <w:rPr>
                <w:rFonts w:asciiTheme="minorHAnsi" w:hAnsiTheme="minorHAnsi" w:cstheme="minorHAnsi"/>
                <w:color w:val="000000"/>
                <w:szCs w:val="24"/>
              </w:rPr>
              <w:t>*</w:t>
            </w:r>
          </w:p>
        </w:tc>
        <w:tc>
          <w:tcPr>
            <w:tcW w:w="850" w:type="dxa"/>
            <w:shd w:val="clear" w:color="auto" w:fill="auto"/>
            <w:noWrap/>
            <w:tcMar>
              <w:top w:w="15" w:type="dxa"/>
              <w:left w:w="15" w:type="dxa"/>
              <w:bottom w:w="0" w:type="dxa"/>
              <w:right w:w="15" w:type="dxa"/>
            </w:tcMar>
            <w:vAlign w:val="center"/>
            <w:hideMark/>
          </w:tcPr>
          <w:p w14:paraId="25E93019" w14:textId="77777777" w:rsidR="00BE3736" w:rsidRPr="00527E83" w:rsidRDefault="00BE3736" w:rsidP="00E26A85">
            <w:pPr>
              <w:ind w:right="57"/>
              <w:jc w:val="right"/>
              <w:rPr>
                <w:rFonts w:asciiTheme="minorHAnsi" w:hAnsiTheme="minorHAnsi" w:cstheme="minorHAnsi"/>
                <w:color w:val="000000"/>
                <w:szCs w:val="24"/>
              </w:rPr>
            </w:pPr>
            <w:r w:rsidRPr="00527E83">
              <w:rPr>
                <w:rFonts w:asciiTheme="minorHAnsi" w:hAnsiTheme="minorHAnsi" w:cstheme="minorHAnsi"/>
                <w:color w:val="000000"/>
                <w:szCs w:val="24"/>
              </w:rPr>
              <w:t>78,00</w:t>
            </w:r>
          </w:p>
        </w:tc>
      </w:tr>
      <w:tr w:rsidR="00BE3736" w:rsidRPr="00527E83" w14:paraId="757571E4" w14:textId="77777777" w:rsidTr="00DD1927">
        <w:trPr>
          <w:trHeight w:val="255"/>
          <w:jc w:val="center"/>
        </w:trPr>
        <w:tc>
          <w:tcPr>
            <w:tcW w:w="1134" w:type="dxa"/>
            <w:vMerge w:val="restart"/>
            <w:shd w:val="clear" w:color="auto" w:fill="auto"/>
            <w:noWrap/>
            <w:tcMar>
              <w:top w:w="15" w:type="dxa"/>
              <w:left w:w="15" w:type="dxa"/>
              <w:bottom w:w="0" w:type="dxa"/>
              <w:right w:w="15" w:type="dxa"/>
            </w:tcMar>
            <w:vAlign w:val="center"/>
            <w:hideMark/>
          </w:tcPr>
          <w:p w14:paraId="200F5CC9" w14:textId="77777777"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FNKV</w:t>
            </w:r>
          </w:p>
        </w:tc>
        <w:tc>
          <w:tcPr>
            <w:tcW w:w="1984" w:type="dxa"/>
            <w:vMerge w:val="restart"/>
            <w:shd w:val="clear" w:color="auto" w:fill="auto"/>
            <w:noWrap/>
            <w:tcMar>
              <w:top w:w="15" w:type="dxa"/>
              <w:left w:w="15" w:type="dxa"/>
              <w:bottom w:w="0" w:type="dxa"/>
              <w:right w:w="15" w:type="dxa"/>
            </w:tcMar>
            <w:vAlign w:val="center"/>
            <w:hideMark/>
          </w:tcPr>
          <w:p w14:paraId="08673FD9" w14:textId="3520F2D0" w:rsidR="00BE3736" w:rsidRPr="00527E83" w:rsidRDefault="00BE3736" w:rsidP="00E26A85">
            <w:pPr>
              <w:jc w:val="center"/>
              <w:rPr>
                <w:rFonts w:asciiTheme="minorHAnsi" w:hAnsiTheme="minorHAnsi" w:cstheme="minorHAnsi"/>
                <w:color w:val="000000"/>
                <w:szCs w:val="24"/>
              </w:rPr>
            </w:pPr>
            <w:proofErr w:type="spellStart"/>
            <w:r w:rsidRPr="00527E83">
              <w:rPr>
                <w:rFonts w:asciiTheme="minorHAnsi" w:hAnsiTheme="minorHAnsi" w:cstheme="minorHAnsi"/>
                <w:color w:val="000000"/>
                <w:szCs w:val="24"/>
              </w:rPr>
              <w:t>ZPr</w:t>
            </w:r>
            <w:proofErr w:type="spellEnd"/>
            <w:r w:rsidR="009F6C4A">
              <w:rPr>
                <w:rFonts w:asciiTheme="minorHAnsi" w:hAnsiTheme="minorHAnsi" w:cstheme="minorHAnsi"/>
                <w:color w:val="000000"/>
                <w:szCs w:val="24"/>
              </w:rPr>
              <w:t xml:space="preserve">, </w:t>
            </w:r>
            <w:r w:rsidR="00B32E66" w:rsidRPr="00B32E66">
              <w:rPr>
                <w:rFonts w:asciiTheme="minorHAnsi" w:hAnsiTheme="minorHAnsi" w:cstheme="minorHAnsi"/>
                <w:color w:val="000000"/>
                <w:szCs w:val="24"/>
              </w:rPr>
              <w:t>resp. SZM</w:t>
            </w:r>
          </w:p>
        </w:tc>
        <w:tc>
          <w:tcPr>
            <w:tcW w:w="2551" w:type="dxa"/>
            <w:vMerge w:val="restart"/>
            <w:shd w:val="clear" w:color="auto" w:fill="auto"/>
            <w:noWrap/>
            <w:tcMar>
              <w:top w:w="15" w:type="dxa"/>
              <w:left w:w="15" w:type="dxa"/>
              <w:bottom w:w="0" w:type="dxa"/>
              <w:right w:w="15" w:type="dxa"/>
            </w:tcMar>
            <w:vAlign w:val="center"/>
            <w:hideMark/>
          </w:tcPr>
          <w:p w14:paraId="7C091D7A" w14:textId="77777777" w:rsidR="00BE3736" w:rsidRPr="00527E83" w:rsidRDefault="00BE3736" w:rsidP="00063D7C">
            <w:pPr>
              <w:ind w:right="553"/>
              <w:jc w:val="right"/>
              <w:rPr>
                <w:rFonts w:asciiTheme="minorHAnsi" w:hAnsiTheme="minorHAnsi" w:cstheme="minorHAnsi"/>
                <w:color w:val="000000"/>
                <w:szCs w:val="24"/>
              </w:rPr>
            </w:pPr>
            <w:r w:rsidRPr="00527E83">
              <w:rPr>
                <w:rFonts w:asciiTheme="minorHAnsi" w:hAnsiTheme="minorHAnsi" w:cstheme="minorHAnsi"/>
                <w:color w:val="000000"/>
                <w:szCs w:val="24"/>
              </w:rPr>
              <w:t>953 217,19</w:t>
            </w:r>
          </w:p>
        </w:tc>
        <w:tc>
          <w:tcPr>
            <w:tcW w:w="2494" w:type="dxa"/>
            <w:shd w:val="clear" w:color="auto" w:fill="auto"/>
            <w:noWrap/>
            <w:tcMar>
              <w:top w:w="15" w:type="dxa"/>
              <w:left w:w="15" w:type="dxa"/>
              <w:bottom w:w="0" w:type="dxa"/>
              <w:right w:w="15" w:type="dxa"/>
            </w:tcMar>
            <w:vAlign w:val="center"/>
            <w:hideMark/>
          </w:tcPr>
          <w:p w14:paraId="04BCD3A0" w14:textId="77777777"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Zadávací řízení</w:t>
            </w:r>
          </w:p>
        </w:tc>
        <w:tc>
          <w:tcPr>
            <w:tcW w:w="850" w:type="dxa"/>
            <w:shd w:val="clear" w:color="auto" w:fill="auto"/>
            <w:noWrap/>
            <w:tcMar>
              <w:top w:w="15" w:type="dxa"/>
              <w:left w:w="15" w:type="dxa"/>
              <w:bottom w:w="0" w:type="dxa"/>
              <w:right w:w="15" w:type="dxa"/>
            </w:tcMar>
            <w:vAlign w:val="center"/>
            <w:hideMark/>
          </w:tcPr>
          <w:p w14:paraId="5B0F4FCE" w14:textId="77777777" w:rsidR="00BE3736" w:rsidRPr="00527E83" w:rsidRDefault="00BE3736" w:rsidP="00E26A85">
            <w:pPr>
              <w:ind w:right="57"/>
              <w:jc w:val="right"/>
              <w:rPr>
                <w:rFonts w:asciiTheme="minorHAnsi" w:hAnsiTheme="minorHAnsi" w:cstheme="minorHAnsi"/>
                <w:color w:val="000000"/>
                <w:szCs w:val="24"/>
              </w:rPr>
            </w:pPr>
            <w:r w:rsidRPr="00527E83">
              <w:rPr>
                <w:rFonts w:asciiTheme="minorHAnsi" w:hAnsiTheme="minorHAnsi" w:cstheme="minorHAnsi"/>
                <w:color w:val="000000"/>
                <w:szCs w:val="24"/>
              </w:rPr>
              <w:t>0,00</w:t>
            </w:r>
          </w:p>
        </w:tc>
      </w:tr>
      <w:tr w:rsidR="00BE3736" w:rsidRPr="00527E83" w14:paraId="47034054" w14:textId="77777777" w:rsidTr="00DD1927">
        <w:trPr>
          <w:trHeight w:val="255"/>
          <w:jc w:val="center"/>
        </w:trPr>
        <w:tc>
          <w:tcPr>
            <w:tcW w:w="1134" w:type="dxa"/>
            <w:vMerge/>
            <w:vAlign w:val="center"/>
            <w:hideMark/>
          </w:tcPr>
          <w:p w14:paraId="359F32C9" w14:textId="77777777" w:rsidR="00BE3736" w:rsidRPr="00527E83" w:rsidRDefault="00BE3736" w:rsidP="00E26A85">
            <w:pPr>
              <w:jc w:val="center"/>
              <w:rPr>
                <w:rFonts w:asciiTheme="minorHAnsi" w:hAnsiTheme="minorHAnsi" w:cstheme="minorHAnsi"/>
                <w:color w:val="000000"/>
                <w:szCs w:val="24"/>
              </w:rPr>
            </w:pPr>
          </w:p>
        </w:tc>
        <w:tc>
          <w:tcPr>
            <w:tcW w:w="1984" w:type="dxa"/>
            <w:vMerge/>
            <w:vAlign w:val="center"/>
            <w:hideMark/>
          </w:tcPr>
          <w:p w14:paraId="376C25B5" w14:textId="77777777" w:rsidR="00BE3736" w:rsidRPr="00527E83" w:rsidRDefault="00BE3736" w:rsidP="00E26A85">
            <w:pPr>
              <w:jc w:val="center"/>
              <w:rPr>
                <w:rFonts w:asciiTheme="minorHAnsi" w:hAnsiTheme="minorHAnsi" w:cstheme="minorHAnsi"/>
                <w:color w:val="000000"/>
                <w:szCs w:val="24"/>
              </w:rPr>
            </w:pPr>
          </w:p>
        </w:tc>
        <w:tc>
          <w:tcPr>
            <w:tcW w:w="2551" w:type="dxa"/>
            <w:vMerge/>
            <w:vAlign w:val="center"/>
            <w:hideMark/>
          </w:tcPr>
          <w:p w14:paraId="4AEF5EAE" w14:textId="77777777" w:rsidR="00BE3736" w:rsidRPr="00527E83" w:rsidRDefault="00BE3736" w:rsidP="00063D7C">
            <w:pPr>
              <w:ind w:right="553"/>
              <w:jc w:val="right"/>
              <w:rPr>
                <w:rFonts w:asciiTheme="minorHAnsi" w:hAnsiTheme="minorHAnsi" w:cstheme="minorHAnsi"/>
                <w:color w:val="000000"/>
                <w:szCs w:val="24"/>
              </w:rPr>
            </w:pPr>
          </w:p>
        </w:tc>
        <w:tc>
          <w:tcPr>
            <w:tcW w:w="2494" w:type="dxa"/>
            <w:shd w:val="clear" w:color="auto" w:fill="auto"/>
            <w:noWrap/>
            <w:tcMar>
              <w:top w:w="15" w:type="dxa"/>
              <w:left w:w="15" w:type="dxa"/>
              <w:bottom w:w="0" w:type="dxa"/>
              <w:right w:w="15" w:type="dxa"/>
            </w:tcMar>
            <w:vAlign w:val="center"/>
            <w:hideMark/>
          </w:tcPr>
          <w:p w14:paraId="5C100F74" w14:textId="22542B3F"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Ostatní</w:t>
            </w:r>
            <w:r w:rsidR="005965B0">
              <w:rPr>
                <w:rFonts w:asciiTheme="minorHAnsi" w:hAnsiTheme="minorHAnsi" w:cstheme="minorHAnsi"/>
                <w:color w:val="000000"/>
                <w:szCs w:val="24"/>
              </w:rPr>
              <w:t>*</w:t>
            </w:r>
          </w:p>
        </w:tc>
        <w:tc>
          <w:tcPr>
            <w:tcW w:w="850" w:type="dxa"/>
            <w:shd w:val="clear" w:color="auto" w:fill="auto"/>
            <w:noWrap/>
            <w:tcMar>
              <w:top w:w="15" w:type="dxa"/>
              <w:left w:w="15" w:type="dxa"/>
              <w:bottom w:w="0" w:type="dxa"/>
              <w:right w:w="15" w:type="dxa"/>
            </w:tcMar>
            <w:vAlign w:val="center"/>
            <w:hideMark/>
          </w:tcPr>
          <w:p w14:paraId="6F2DB199" w14:textId="77777777" w:rsidR="00BE3736" w:rsidRPr="00527E83" w:rsidRDefault="00BE3736" w:rsidP="00E26A85">
            <w:pPr>
              <w:ind w:right="57"/>
              <w:jc w:val="right"/>
              <w:rPr>
                <w:rFonts w:asciiTheme="minorHAnsi" w:hAnsiTheme="minorHAnsi" w:cstheme="minorHAnsi"/>
                <w:color w:val="000000"/>
                <w:szCs w:val="24"/>
              </w:rPr>
            </w:pPr>
            <w:r w:rsidRPr="00527E83">
              <w:rPr>
                <w:rFonts w:asciiTheme="minorHAnsi" w:hAnsiTheme="minorHAnsi" w:cstheme="minorHAnsi"/>
                <w:color w:val="000000"/>
                <w:szCs w:val="24"/>
              </w:rPr>
              <w:t>100,00</w:t>
            </w:r>
          </w:p>
        </w:tc>
      </w:tr>
      <w:tr w:rsidR="00BE3736" w:rsidRPr="00527E83" w14:paraId="4DB9EFAD" w14:textId="77777777" w:rsidTr="00DD1927">
        <w:trPr>
          <w:trHeight w:val="255"/>
          <w:jc w:val="center"/>
        </w:trPr>
        <w:tc>
          <w:tcPr>
            <w:tcW w:w="1134" w:type="dxa"/>
            <w:vMerge w:val="restart"/>
            <w:shd w:val="clear" w:color="auto" w:fill="auto"/>
            <w:noWrap/>
            <w:tcMar>
              <w:top w:w="15" w:type="dxa"/>
              <w:left w:w="15" w:type="dxa"/>
              <w:bottom w:w="0" w:type="dxa"/>
              <w:right w:w="15" w:type="dxa"/>
            </w:tcMar>
            <w:vAlign w:val="center"/>
            <w:hideMark/>
          </w:tcPr>
          <w:p w14:paraId="62C7B932" w14:textId="77777777"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FNUSA</w:t>
            </w:r>
          </w:p>
        </w:tc>
        <w:tc>
          <w:tcPr>
            <w:tcW w:w="1984" w:type="dxa"/>
            <w:vMerge w:val="restart"/>
            <w:shd w:val="clear" w:color="auto" w:fill="auto"/>
            <w:noWrap/>
            <w:tcMar>
              <w:top w:w="15" w:type="dxa"/>
              <w:left w:w="15" w:type="dxa"/>
              <w:bottom w:w="0" w:type="dxa"/>
              <w:right w:w="15" w:type="dxa"/>
            </w:tcMar>
            <w:vAlign w:val="center"/>
            <w:hideMark/>
          </w:tcPr>
          <w:p w14:paraId="23189579" w14:textId="66785F68" w:rsidR="00BE3736" w:rsidRPr="00527E83" w:rsidRDefault="00BE3736" w:rsidP="00E26A85">
            <w:pPr>
              <w:jc w:val="center"/>
              <w:rPr>
                <w:rFonts w:asciiTheme="minorHAnsi" w:hAnsiTheme="minorHAnsi" w:cstheme="minorHAnsi"/>
                <w:color w:val="000000"/>
                <w:szCs w:val="24"/>
              </w:rPr>
            </w:pPr>
            <w:proofErr w:type="spellStart"/>
            <w:r w:rsidRPr="00527E83">
              <w:rPr>
                <w:rFonts w:asciiTheme="minorHAnsi" w:hAnsiTheme="minorHAnsi" w:cstheme="minorHAnsi"/>
                <w:color w:val="000000"/>
                <w:szCs w:val="24"/>
              </w:rPr>
              <w:t>ZPr</w:t>
            </w:r>
            <w:proofErr w:type="spellEnd"/>
            <w:r w:rsidR="009F6C4A">
              <w:rPr>
                <w:rFonts w:asciiTheme="minorHAnsi" w:hAnsiTheme="minorHAnsi" w:cstheme="minorHAnsi"/>
                <w:color w:val="000000"/>
                <w:szCs w:val="24"/>
              </w:rPr>
              <w:t xml:space="preserve">, </w:t>
            </w:r>
            <w:r w:rsidR="00B32E66" w:rsidRPr="00B32E66">
              <w:rPr>
                <w:rFonts w:asciiTheme="minorHAnsi" w:hAnsiTheme="minorHAnsi" w:cstheme="minorHAnsi"/>
                <w:color w:val="000000"/>
                <w:szCs w:val="24"/>
              </w:rPr>
              <w:t>resp. SZM</w:t>
            </w:r>
          </w:p>
        </w:tc>
        <w:tc>
          <w:tcPr>
            <w:tcW w:w="2551" w:type="dxa"/>
            <w:vMerge w:val="restart"/>
            <w:shd w:val="clear" w:color="auto" w:fill="auto"/>
            <w:noWrap/>
            <w:tcMar>
              <w:top w:w="15" w:type="dxa"/>
              <w:left w:w="15" w:type="dxa"/>
              <w:bottom w:w="0" w:type="dxa"/>
              <w:right w:w="15" w:type="dxa"/>
            </w:tcMar>
            <w:vAlign w:val="center"/>
            <w:hideMark/>
          </w:tcPr>
          <w:p w14:paraId="012B026D" w14:textId="77777777" w:rsidR="00BE3736" w:rsidRPr="00527E83" w:rsidRDefault="00BE3736" w:rsidP="00063D7C">
            <w:pPr>
              <w:ind w:right="553"/>
              <w:jc w:val="right"/>
              <w:rPr>
                <w:rFonts w:asciiTheme="minorHAnsi" w:hAnsiTheme="minorHAnsi" w:cstheme="minorHAnsi"/>
                <w:color w:val="000000"/>
                <w:szCs w:val="24"/>
              </w:rPr>
            </w:pPr>
            <w:r w:rsidRPr="00527E83">
              <w:rPr>
                <w:rFonts w:asciiTheme="minorHAnsi" w:hAnsiTheme="minorHAnsi" w:cstheme="minorHAnsi"/>
                <w:color w:val="000000"/>
                <w:szCs w:val="24"/>
              </w:rPr>
              <w:t>1 314 855,90</w:t>
            </w:r>
          </w:p>
        </w:tc>
        <w:tc>
          <w:tcPr>
            <w:tcW w:w="2494" w:type="dxa"/>
            <w:shd w:val="clear" w:color="auto" w:fill="auto"/>
            <w:noWrap/>
            <w:tcMar>
              <w:top w:w="15" w:type="dxa"/>
              <w:left w:w="15" w:type="dxa"/>
              <w:bottom w:w="0" w:type="dxa"/>
              <w:right w:w="15" w:type="dxa"/>
            </w:tcMar>
            <w:vAlign w:val="center"/>
            <w:hideMark/>
          </w:tcPr>
          <w:p w14:paraId="6A08BD4D" w14:textId="77777777"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Zadávací řízení</w:t>
            </w:r>
          </w:p>
        </w:tc>
        <w:tc>
          <w:tcPr>
            <w:tcW w:w="850" w:type="dxa"/>
            <w:shd w:val="clear" w:color="auto" w:fill="auto"/>
            <w:noWrap/>
            <w:tcMar>
              <w:top w:w="15" w:type="dxa"/>
              <w:left w:w="15" w:type="dxa"/>
              <w:bottom w:w="0" w:type="dxa"/>
              <w:right w:w="15" w:type="dxa"/>
            </w:tcMar>
            <w:vAlign w:val="center"/>
            <w:hideMark/>
          </w:tcPr>
          <w:p w14:paraId="6C532B88" w14:textId="77777777" w:rsidR="00BE3736" w:rsidRPr="00527E83" w:rsidRDefault="00BE3736" w:rsidP="00E26A85">
            <w:pPr>
              <w:ind w:right="57"/>
              <w:jc w:val="right"/>
              <w:rPr>
                <w:rFonts w:asciiTheme="minorHAnsi" w:hAnsiTheme="minorHAnsi" w:cstheme="minorHAnsi"/>
                <w:color w:val="000000"/>
                <w:szCs w:val="24"/>
              </w:rPr>
            </w:pPr>
            <w:r w:rsidRPr="00527E83">
              <w:rPr>
                <w:rFonts w:asciiTheme="minorHAnsi" w:hAnsiTheme="minorHAnsi" w:cstheme="minorHAnsi"/>
                <w:color w:val="000000"/>
                <w:szCs w:val="24"/>
              </w:rPr>
              <w:t>5,57</w:t>
            </w:r>
          </w:p>
        </w:tc>
      </w:tr>
      <w:tr w:rsidR="00BE3736" w:rsidRPr="00527E83" w14:paraId="249C82FC" w14:textId="77777777" w:rsidTr="00DD1927">
        <w:trPr>
          <w:trHeight w:val="255"/>
          <w:jc w:val="center"/>
        </w:trPr>
        <w:tc>
          <w:tcPr>
            <w:tcW w:w="1134" w:type="dxa"/>
            <w:vMerge/>
            <w:vAlign w:val="center"/>
            <w:hideMark/>
          </w:tcPr>
          <w:p w14:paraId="712C8FA5" w14:textId="77777777" w:rsidR="00BE3736" w:rsidRPr="00527E83" w:rsidRDefault="00BE3736" w:rsidP="00E26A85">
            <w:pPr>
              <w:jc w:val="center"/>
              <w:rPr>
                <w:rFonts w:asciiTheme="minorHAnsi" w:hAnsiTheme="minorHAnsi" w:cstheme="minorHAnsi"/>
                <w:color w:val="000000"/>
                <w:szCs w:val="24"/>
              </w:rPr>
            </w:pPr>
          </w:p>
        </w:tc>
        <w:tc>
          <w:tcPr>
            <w:tcW w:w="1984" w:type="dxa"/>
            <w:vMerge/>
            <w:vAlign w:val="center"/>
            <w:hideMark/>
          </w:tcPr>
          <w:p w14:paraId="558F97F0" w14:textId="77777777" w:rsidR="00BE3736" w:rsidRPr="00527E83" w:rsidRDefault="00BE3736" w:rsidP="00E26A85">
            <w:pPr>
              <w:jc w:val="center"/>
              <w:rPr>
                <w:rFonts w:asciiTheme="minorHAnsi" w:hAnsiTheme="minorHAnsi" w:cstheme="minorHAnsi"/>
                <w:color w:val="000000"/>
                <w:szCs w:val="24"/>
              </w:rPr>
            </w:pPr>
          </w:p>
        </w:tc>
        <w:tc>
          <w:tcPr>
            <w:tcW w:w="2551" w:type="dxa"/>
            <w:vMerge/>
            <w:vAlign w:val="center"/>
            <w:hideMark/>
          </w:tcPr>
          <w:p w14:paraId="00C4BAB7" w14:textId="77777777" w:rsidR="00BE3736" w:rsidRPr="00527E83" w:rsidRDefault="00BE3736" w:rsidP="00BE3736">
            <w:pPr>
              <w:jc w:val="both"/>
              <w:rPr>
                <w:rFonts w:asciiTheme="minorHAnsi" w:hAnsiTheme="minorHAnsi" w:cstheme="minorHAnsi"/>
                <w:color w:val="000000"/>
                <w:szCs w:val="24"/>
              </w:rPr>
            </w:pPr>
          </w:p>
        </w:tc>
        <w:tc>
          <w:tcPr>
            <w:tcW w:w="2494" w:type="dxa"/>
            <w:shd w:val="clear" w:color="auto" w:fill="auto"/>
            <w:noWrap/>
            <w:tcMar>
              <w:top w:w="15" w:type="dxa"/>
              <w:left w:w="15" w:type="dxa"/>
              <w:bottom w:w="0" w:type="dxa"/>
              <w:right w:w="15" w:type="dxa"/>
            </w:tcMar>
            <w:vAlign w:val="center"/>
            <w:hideMark/>
          </w:tcPr>
          <w:p w14:paraId="163BC0DF" w14:textId="120BCBC2" w:rsidR="00BE3736" w:rsidRPr="00527E83" w:rsidRDefault="00BE3736" w:rsidP="00E26A85">
            <w:pPr>
              <w:jc w:val="center"/>
              <w:rPr>
                <w:rFonts w:asciiTheme="minorHAnsi" w:hAnsiTheme="minorHAnsi" w:cstheme="minorHAnsi"/>
                <w:color w:val="000000"/>
                <w:szCs w:val="24"/>
              </w:rPr>
            </w:pPr>
            <w:r w:rsidRPr="00527E83">
              <w:rPr>
                <w:rFonts w:asciiTheme="minorHAnsi" w:hAnsiTheme="minorHAnsi" w:cstheme="minorHAnsi"/>
                <w:color w:val="000000"/>
                <w:szCs w:val="24"/>
              </w:rPr>
              <w:t>Ostatní</w:t>
            </w:r>
            <w:r w:rsidR="005965B0">
              <w:rPr>
                <w:rFonts w:asciiTheme="minorHAnsi" w:hAnsiTheme="minorHAnsi" w:cstheme="minorHAnsi"/>
                <w:color w:val="000000"/>
                <w:szCs w:val="24"/>
              </w:rPr>
              <w:t>*</w:t>
            </w:r>
          </w:p>
        </w:tc>
        <w:tc>
          <w:tcPr>
            <w:tcW w:w="850" w:type="dxa"/>
            <w:shd w:val="clear" w:color="auto" w:fill="auto"/>
            <w:noWrap/>
            <w:tcMar>
              <w:top w:w="15" w:type="dxa"/>
              <w:left w:w="15" w:type="dxa"/>
              <w:bottom w:w="0" w:type="dxa"/>
              <w:right w:w="15" w:type="dxa"/>
            </w:tcMar>
            <w:vAlign w:val="center"/>
            <w:hideMark/>
          </w:tcPr>
          <w:p w14:paraId="0D62DBF2" w14:textId="77777777" w:rsidR="00BE3736" w:rsidRPr="00527E83" w:rsidRDefault="00BE3736" w:rsidP="00E26A85">
            <w:pPr>
              <w:ind w:right="57"/>
              <w:jc w:val="right"/>
              <w:rPr>
                <w:rFonts w:asciiTheme="minorHAnsi" w:hAnsiTheme="minorHAnsi" w:cstheme="minorHAnsi"/>
                <w:color w:val="000000"/>
                <w:szCs w:val="24"/>
              </w:rPr>
            </w:pPr>
            <w:r w:rsidRPr="00527E83">
              <w:rPr>
                <w:rFonts w:asciiTheme="minorHAnsi" w:hAnsiTheme="minorHAnsi" w:cstheme="minorHAnsi"/>
                <w:color w:val="000000"/>
                <w:szCs w:val="24"/>
              </w:rPr>
              <w:t>94,43</w:t>
            </w:r>
          </w:p>
        </w:tc>
      </w:tr>
    </w:tbl>
    <w:p w14:paraId="2359B1E3" w14:textId="1B8FC19D" w:rsidR="00BE3736" w:rsidRPr="006900AA" w:rsidRDefault="00BE3736" w:rsidP="00E26A85">
      <w:pPr>
        <w:pStyle w:val="Zdroj"/>
        <w:spacing w:before="40"/>
        <w:rPr>
          <w:rFonts w:asciiTheme="minorHAnsi" w:hAnsiTheme="minorHAnsi" w:cstheme="minorHAnsi"/>
          <w:i w:val="0"/>
          <w:szCs w:val="24"/>
        </w:rPr>
      </w:pPr>
      <w:r w:rsidRPr="006900AA">
        <w:rPr>
          <w:rFonts w:asciiTheme="minorHAnsi" w:hAnsiTheme="minorHAnsi" w:cstheme="minorHAnsi"/>
          <w:b/>
          <w:i w:val="0"/>
          <w:szCs w:val="24"/>
        </w:rPr>
        <w:t>Zdroj:</w:t>
      </w:r>
      <w:r w:rsidRPr="006900AA">
        <w:rPr>
          <w:rFonts w:asciiTheme="minorHAnsi" w:hAnsiTheme="minorHAnsi" w:cstheme="minorHAnsi"/>
          <w:i w:val="0"/>
          <w:szCs w:val="24"/>
        </w:rPr>
        <w:t xml:space="preserve"> kontrolní protokol</w:t>
      </w:r>
      <w:r w:rsidR="00CB5153">
        <w:rPr>
          <w:rFonts w:asciiTheme="minorHAnsi" w:hAnsiTheme="minorHAnsi" w:cstheme="minorHAnsi"/>
          <w:i w:val="0"/>
          <w:szCs w:val="24"/>
        </w:rPr>
        <w:t>y</w:t>
      </w:r>
      <w:r w:rsidRPr="006900AA">
        <w:rPr>
          <w:rFonts w:asciiTheme="minorHAnsi" w:hAnsiTheme="minorHAnsi" w:cstheme="minorHAnsi"/>
          <w:i w:val="0"/>
          <w:szCs w:val="24"/>
        </w:rPr>
        <w:t xml:space="preserve"> FN; sdělení kontrolovaných FN.</w:t>
      </w:r>
    </w:p>
    <w:p w14:paraId="0B2EACD2" w14:textId="2231E59B" w:rsidR="0048095C" w:rsidRPr="006900AA" w:rsidRDefault="0048095C" w:rsidP="00E26A85">
      <w:pPr>
        <w:pStyle w:val="Zdroj"/>
        <w:spacing w:before="40" w:after="120"/>
        <w:ind w:left="142" w:hanging="142"/>
        <w:rPr>
          <w:rFonts w:asciiTheme="minorHAnsi" w:hAnsiTheme="minorHAnsi" w:cstheme="minorHAnsi"/>
          <w:i w:val="0"/>
          <w:szCs w:val="20"/>
        </w:rPr>
      </w:pPr>
      <w:r w:rsidRPr="006900AA">
        <w:rPr>
          <w:rFonts w:asciiTheme="minorHAnsi" w:hAnsiTheme="minorHAnsi" w:cstheme="minorHAnsi"/>
          <w:i w:val="0"/>
          <w:szCs w:val="20"/>
        </w:rPr>
        <w:t>*</w:t>
      </w:r>
      <w:r w:rsidR="00107700">
        <w:rPr>
          <w:rFonts w:asciiTheme="minorHAnsi" w:hAnsiTheme="minorHAnsi" w:cstheme="minorHAnsi"/>
          <w:i w:val="0"/>
          <w:szCs w:val="20"/>
        </w:rPr>
        <w:tab/>
      </w:r>
      <w:r w:rsidRPr="006900AA">
        <w:rPr>
          <w:rFonts w:asciiTheme="minorHAnsi" w:hAnsiTheme="minorHAnsi" w:cstheme="minorHAnsi"/>
          <w:i w:val="0"/>
          <w:szCs w:val="20"/>
        </w:rPr>
        <w:t>Ostatní způsob</w:t>
      </w:r>
      <w:r w:rsidR="008907EE">
        <w:rPr>
          <w:rFonts w:asciiTheme="minorHAnsi" w:hAnsiTheme="minorHAnsi" w:cstheme="minorHAnsi"/>
          <w:i w:val="0"/>
          <w:szCs w:val="20"/>
        </w:rPr>
        <w:t>y</w:t>
      </w:r>
      <w:r w:rsidRPr="006900AA">
        <w:rPr>
          <w:rFonts w:asciiTheme="minorHAnsi" w:hAnsiTheme="minorHAnsi" w:cstheme="minorHAnsi"/>
          <w:i w:val="0"/>
          <w:szCs w:val="20"/>
        </w:rPr>
        <w:t xml:space="preserve"> výběru dodavatele jsou nahodilé nákupy a nákupy přes konsignační sklady bez zadávacího řízení.</w:t>
      </w:r>
    </w:p>
    <w:p w14:paraId="3C89992E" w14:textId="5889A0D6" w:rsidR="001D6F30" w:rsidRPr="0075660A" w:rsidRDefault="00BE3736" w:rsidP="00E26A85">
      <w:pPr>
        <w:pStyle w:val="Default"/>
        <w:spacing w:before="120" w:after="120"/>
        <w:jc w:val="both"/>
        <w:rPr>
          <w:rFonts w:asciiTheme="minorHAnsi" w:hAnsiTheme="minorHAnsi" w:cstheme="minorHAnsi"/>
          <w:color w:val="auto"/>
        </w:rPr>
      </w:pPr>
      <w:r w:rsidRPr="006900AA">
        <w:rPr>
          <w:rFonts w:asciiTheme="minorHAnsi" w:hAnsiTheme="minorHAnsi" w:cstheme="minorHAnsi"/>
          <w:spacing w:val="-2"/>
        </w:rPr>
        <w:t xml:space="preserve">FN pořídily </w:t>
      </w:r>
      <w:proofErr w:type="spellStart"/>
      <w:r w:rsidRPr="006900AA">
        <w:rPr>
          <w:rFonts w:asciiTheme="minorHAnsi" w:hAnsiTheme="minorHAnsi" w:cstheme="minorHAnsi"/>
          <w:spacing w:val="-2"/>
        </w:rPr>
        <w:t>ZPr</w:t>
      </w:r>
      <w:proofErr w:type="spellEnd"/>
      <w:r w:rsidR="009F6C4A">
        <w:rPr>
          <w:rFonts w:asciiTheme="minorHAnsi" w:hAnsiTheme="minorHAnsi" w:cstheme="minorHAnsi"/>
          <w:spacing w:val="-2"/>
        </w:rPr>
        <w:t xml:space="preserve">, </w:t>
      </w:r>
      <w:r w:rsidR="00B32E66" w:rsidRPr="0075660A">
        <w:rPr>
          <w:rFonts w:asciiTheme="minorHAnsi" w:hAnsiTheme="minorHAnsi" w:cstheme="minorHAnsi"/>
          <w:spacing w:val="-2"/>
        </w:rPr>
        <w:t>resp. SZM</w:t>
      </w:r>
      <w:r w:rsidR="00A034C1">
        <w:rPr>
          <w:rFonts w:asciiTheme="minorHAnsi" w:hAnsiTheme="minorHAnsi" w:cstheme="minorHAnsi"/>
          <w:spacing w:val="-2"/>
        </w:rPr>
        <w:t>,</w:t>
      </w:r>
      <w:r w:rsidR="00B32E66" w:rsidRPr="0075660A">
        <w:rPr>
          <w:rFonts w:asciiTheme="minorHAnsi" w:hAnsiTheme="minorHAnsi" w:cstheme="minorHAnsi"/>
          <w:spacing w:val="-2"/>
        </w:rPr>
        <w:t xml:space="preserve"> </w:t>
      </w:r>
      <w:r w:rsidR="00B1013D" w:rsidRPr="0075660A">
        <w:rPr>
          <w:rFonts w:asciiTheme="minorHAnsi" w:hAnsiTheme="minorHAnsi" w:cstheme="minorHAnsi"/>
          <w:spacing w:val="-2"/>
        </w:rPr>
        <w:t>na základě rámcov</w:t>
      </w:r>
      <w:r w:rsidR="000463E9" w:rsidRPr="0075660A">
        <w:rPr>
          <w:rFonts w:asciiTheme="minorHAnsi" w:hAnsiTheme="minorHAnsi" w:cstheme="minorHAnsi"/>
          <w:spacing w:val="-2"/>
        </w:rPr>
        <w:t>ý</w:t>
      </w:r>
      <w:r w:rsidR="00B1013D" w:rsidRPr="0075660A">
        <w:rPr>
          <w:rFonts w:asciiTheme="minorHAnsi" w:hAnsiTheme="minorHAnsi" w:cstheme="minorHAnsi"/>
          <w:spacing w:val="-2"/>
        </w:rPr>
        <w:t xml:space="preserve">ch smluv, které byly uzavřeny </w:t>
      </w:r>
      <w:r w:rsidRPr="0075660A">
        <w:rPr>
          <w:rFonts w:asciiTheme="minorHAnsi" w:hAnsiTheme="minorHAnsi" w:cstheme="minorHAnsi"/>
          <w:spacing w:val="-2"/>
        </w:rPr>
        <w:t xml:space="preserve">bez </w:t>
      </w:r>
      <w:r w:rsidR="000463E9" w:rsidRPr="0075660A">
        <w:rPr>
          <w:rFonts w:asciiTheme="minorHAnsi" w:hAnsiTheme="minorHAnsi" w:cstheme="minorHAnsi"/>
          <w:spacing w:val="-2"/>
        </w:rPr>
        <w:t xml:space="preserve">provedení </w:t>
      </w:r>
      <w:r w:rsidRPr="0075660A">
        <w:rPr>
          <w:rFonts w:asciiTheme="minorHAnsi" w:hAnsiTheme="minorHAnsi" w:cstheme="minorHAnsi"/>
          <w:spacing w:val="-2"/>
        </w:rPr>
        <w:t>zadávacího řízení, prostřednictvím konsignačních skladů, přímo na základě objednávky či jako nahodilý nákup.</w:t>
      </w:r>
      <w:r w:rsidR="001D6F30" w:rsidRPr="0075660A">
        <w:rPr>
          <w:rFonts w:asciiTheme="minorHAnsi" w:hAnsiTheme="minorHAnsi" w:cstheme="minorHAnsi"/>
          <w:spacing w:val="-2"/>
        </w:rPr>
        <w:t xml:space="preserve"> </w:t>
      </w:r>
      <w:r w:rsidR="001D6F30" w:rsidRPr="0075660A">
        <w:rPr>
          <w:rFonts w:asciiTheme="minorHAnsi" w:hAnsiTheme="minorHAnsi" w:cstheme="minorHAnsi"/>
          <w:color w:val="auto"/>
        </w:rPr>
        <w:t xml:space="preserve">V některých případech FN porušily zásady </w:t>
      </w:r>
      <w:r w:rsidR="001018FB" w:rsidRPr="0075660A">
        <w:rPr>
          <w:rFonts w:asciiTheme="minorHAnsi" w:hAnsiTheme="minorHAnsi" w:cstheme="minorHAnsi"/>
          <w:color w:val="auto"/>
        </w:rPr>
        <w:t>zadávání veřejných zakázek</w:t>
      </w:r>
      <w:r w:rsidR="00266299">
        <w:rPr>
          <w:rFonts w:asciiTheme="minorHAnsi" w:hAnsiTheme="minorHAnsi" w:cstheme="minorHAnsi"/>
          <w:color w:val="auto"/>
          <w:vertAlign w:val="superscript"/>
        </w:rPr>
        <w:t>18</w:t>
      </w:r>
      <w:r w:rsidR="001D6F30" w:rsidRPr="0075660A">
        <w:rPr>
          <w:rFonts w:asciiTheme="minorHAnsi" w:hAnsiTheme="minorHAnsi" w:cstheme="minorHAnsi"/>
          <w:color w:val="auto"/>
        </w:rPr>
        <w:t xml:space="preserve">, tím že při pořizování </w:t>
      </w:r>
      <w:r w:rsidR="00C557EC" w:rsidRPr="0075660A">
        <w:rPr>
          <w:rFonts w:asciiTheme="minorHAnsi" w:hAnsiTheme="minorHAnsi" w:cstheme="minorHAnsi"/>
          <w:color w:val="auto"/>
        </w:rPr>
        <w:t>zdravotn</w:t>
      </w:r>
      <w:r w:rsidR="008F36C7">
        <w:rPr>
          <w:rFonts w:asciiTheme="minorHAnsi" w:hAnsiTheme="minorHAnsi" w:cstheme="minorHAnsi"/>
          <w:color w:val="auto"/>
        </w:rPr>
        <w:t>ických</w:t>
      </w:r>
      <w:r w:rsidR="00C557EC" w:rsidRPr="0075660A">
        <w:rPr>
          <w:rFonts w:asciiTheme="minorHAnsi" w:hAnsiTheme="minorHAnsi" w:cstheme="minorHAnsi"/>
          <w:color w:val="auto"/>
        </w:rPr>
        <w:t xml:space="preserve"> prostředků</w:t>
      </w:r>
      <w:r w:rsidR="001D6F30" w:rsidRPr="0075660A">
        <w:rPr>
          <w:rFonts w:asciiTheme="minorHAnsi" w:hAnsiTheme="minorHAnsi" w:cstheme="minorHAnsi"/>
          <w:color w:val="auto"/>
        </w:rPr>
        <w:t xml:space="preserve"> neoslovily několik dodavatelů a</w:t>
      </w:r>
      <w:r w:rsidR="001018FB" w:rsidRPr="0075660A">
        <w:rPr>
          <w:rFonts w:asciiTheme="minorHAnsi" w:hAnsiTheme="minorHAnsi" w:cstheme="minorHAnsi"/>
          <w:color w:val="auto"/>
        </w:rPr>
        <w:t> </w:t>
      </w:r>
      <w:r w:rsidR="001D6F30" w:rsidRPr="0075660A">
        <w:rPr>
          <w:rFonts w:asciiTheme="minorHAnsi" w:hAnsiTheme="minorHAnsi" w:cstheme="minorHAnsi"/>
          <w:color w:val="auto"/>
        </w:rPr>
        <w:t xml:space="preserve">nezadaly tak řádně veřejnou zakázku v režimu VZMR. </w:t>
      </w:r>
    </w:p>
    <w:p w14:paraId="0F185F8B" w14:textId="32EC054A" w:rsidR="009007FA" w:rsidRPr="0075660A" w:rsidRDefault="009007FA" w:rsidP="00E26A85">
      <w:pPr>
        <w:widowControl/>
        <w:spacing w:before="120" w:after="120"/>
        <w:jc w:val="both"/>
        <w:rPr>
          <w:rFonts w:asciiTheme="minorHAnsi" w:hAnsiTheme="minorHAnsi" w:cstheme="minorHAnsi"/>
          <w:b/>
          <w:sz w:val="24"/>
          <w:szCs w:val="24"/>
        </w:rPr>
      </w:pPr>
      <w:r w:rsidRPr="0075660A">
        <w:rPr>
          <w:rFonts w:asciiTheme="minorHAnsi" w:hAnsiTheme="minorHAnsi" w:cstheme="minorHAnsi"/>
          <w:b/>
          <w:sz w:val="24"/>
          <w:szCs w:val="24"/>
        </w:rPr>
        <w:t xml:space="preserve">Na kontrolním vzorku </w:t>
      </w:r>
      <w:proofErr w:type="spellStart"/>
      <w:r w:rsidRPr="0075660A">
        <w:rPr>
          <w:rFonts w:asciiTheme="minorHAnsi" w:hAnsiTheme="minorHAnsi" w:cstheme="minorHAnsi"/>
          <w:b/>
          <w:sz w:val="24"/>
          <w:szCs w:val="24"/>
        </w:rPr>
        <w:t>ZPr</w:t>
      </w:r>
      <w:proofErr w:type="spellEnd"/>
      <w:r w:rsidRPr="0075660A">
        <w:rPr>
          <w:rFonts w:asciiTheme="minorHAnsi" w:hAnsiTheme="minorHAnsi" w:cstheme="minorHAnsi"/>
          <w:b/>
          <w:sz w:val="24"/>
          <w:szCs w:val="24"/>
        </w:rPr>
        <w:t>, resp. SZM</w:t>
      </w:r>
      <w:r w:rsidR="00A034C1">
        <w:rPr>
          <w:rFonts w:asciiTheme="minorHAnsi" w:hAnsiTheme="minorHAnsi" w:cstheme="minorHAnsi"/>
          <w:b/>
          <w:sz w:val="24"/>
          <w:szCs w:val="24"/>
        </w:rPr>
        <w:t>,</w:t>
      </w:r>
      <w:r w:rsidRPr="0075660A">
        <w:rPr>
          <w:rFonts w:asciiTheme="minorHAnsi" w:hAnsiTheme="minorHAnsi" w:cstheme="minorHAnsi"/>
          <w:b/>
          <w:sz w:val="24"/>
          <w:szCs w:val="24"/>
        </w:rPr>
        <w:t xml:space="preserve"> zjistil NKÚ, že </w:t>
      </w:r>
      <w:r w:rsidRPr="00527E83">
        <w:rPr>
          <w:rFonts w:asciiTheme="minorHAnsi" w:hAnsiTheme="minorHAnsi" w:cstheme="minorHAnsi"/>
          <w:b/>
          <w:sz w:val="24"/>
          <w:szCs w:val="24"/>
        </w:rPr>
        <w:t xml:space="preserve">podíl </w:t>
      </w:r>
      <w:r>
        <w:rPr>
          <w:rFonts w:asciiTheme="minorHAnsi" w:hAnsiTheme="minorHAnsi" w:cstheme="minorHAnsi"/>
          <w:b/>
          <w:sz w:val="24"/>
          <w:szCs w:val="24"/>
        </w:rPr>
        <w:t xml:space="preserve">jejich </w:t>
      </w:r>
      <w:r w:rsidRPr="00527E83">
        <w:rPr>
          <w:rFonts w:asciiTheme="minorHAnsi" w:hAnsiTheme="minorHAnsi" w:cstheme="minorHAnsi"/>
          <w:b/>
          <w:sz w:val="24"/>
          <w:szCs w:val="24"/>
        </w:rPr>
        <w:t xml:space="preserve">dodávek mimo zadávací </w:t>
      </w:r>
      <w:r w:rsidRPr="0075660A">
        <w:rPr>
          <w:rFonts w:asciiTheme="minorHAnsi" w:hAnsiTheme="minorHAnsi" w:cstheme="minorHAnsi"/>
          <w:b/>
          <w:sz w:val="24"/>
          <w:szCs w:val="24"/>
        </w:rPr>
        <w:t>řízení je značný</w:t>
      </w:r>
      <w:r>
        <w:rPr>
          <w:rFonts w:asciiTheme="minorHAnsi" w:hAnsiTheme="minorHAnsi" w:cstheme="minorHAnsi"/>
          <w:b/>
          <w:sz w:val="24"/>
          <w:szCs w:val="24"/>
        </w:rPr>
        <w:t>,</w:t>
      </w:r>
      <w:r w:rsidRPr="002B0798">
        <w:rPr>
          <w:rFonts w:asciiTheme="minorHAnsi" w:hAnsiTheme="minorHAnsi" w:cstheme="minorHAnsi"/>
          <w:b/>
          <w:sz w:val="24"/>
          <w:szCs w:val="24"/>
        </w:rPr>
        <w:t xml:space="preserve"> </w:t>
      </w:r>
      <w:r w:rsidRPr="0075660A">
        <w:rPr>
          <w:rFonts w:asciiTheme="minorHAnsi" w:hAnsiTheme="minorHAnsi" w:cstheme="minorHAnsi"/>
          <w:b/>
          <w:sz w:val="24"/>
          <w:szCs w:val="24"/>
        </w:rPr>
        <w:t xml:space="preserve">tj. v rozmezí od </w:t>
      </w:r>
      <w:r>
        <w:rPr>
          <w:rFonts w:asciiTheme="minorHAnsi" w:hAnsiTheme="minorHAnsi" w:cstheme="minorHAnsi"/>
          <w:b/>
          <w:sz w:val="24"/>
          <w:szCs w:val="24"/>
        </w:rPr>
        <w:t>78</w:t>
      </w:r>
      <w:r w:rsidRPr="0075660A">
        <w:rPr>
          <w:rFonts w:asciiTheme="minorHAnsi" w:hAnsiTheme="minorHAnsi" w:cstheme="minorHAnsi"/>
          <w:b/>
          <w:sz w:val="24"/>
          <w:szCs w:val="24"/>
        </w:rPr>
        <w:t xml:space="preserve"> % do </w:t>
      </w:r>
      <w:r>
        <w:rPr>
          <w:rFonts w:asciiTheme="minorHAnsi" w:hAnsiTheme="minorHAnsi" w:cstheme="minorHAnsi"/>
          <w:b/>
          <w:sz w:val="24"/>
          <w:szCs w:val="24"/>
        </w:rPr>
        <w:t>100</w:t>
      </w:r>
      <w:r w:rsidRPr="0075660A">
        <w:rPr>
          <w:rFonts w:asciiTheme="minorHAnsi" w:hAnsiTheme="minorHAnsi" w:cstheme="minorHAnsi"/>
          <w:b/>
          <w:sz w:val="24"/>
          <w:szCs w:val="24"/>
        </w:rPr>
        <w:t xml:space="preserve"> %</w:t>
      </w:r>
      <w:r w:rsidR="00A034C1">
        <w:rPr>
          <w:rFonts w:asciiTheme="minorHAnsi" w:hAnsiTheme="minorHAnsi" w:cstheme="minorHAnsi"/>
          <w:b/>
          <w:sz w:val="24"/>
          <w:szCs w:val="24"/>
        </w:rPr>
        <w:t>.</w:t>
      </w:r>
      <w:r>
        <w:rPr>
          <w:rFonts w:asciiTheme="minorHAnsi" w:hAnsiTheme="minorHAnsi" w:cstheme="minorHAnsi"/>
          <w:b/>
          <w:sz w:val="24"/>
          <w:szCs w:val="24"/>
        </w:rPr>
        <w:t xml:space="preserve"> NKÚ zde spatřuje</w:t>
      </w:r>
      <w:r w:rsidRPr="0075660A">
        <w:rPr>
          <w:rFonts w:asciiTheme="minorHAnsi" w:hAnsiTheme="minorHAnsi" w:cstheme="minorHAnsi"/>
          <w:b/>
          <w:sz w:val="24"/>
          <w:szCs w:val="24"/>
        </w:rPr>
        <w:t xml:space="preserve"> </w:t>
      </w:r>
      <w:r w:rsidRPr="0075660A">
        <w:rPr>
          <w:rFonts w:asciiTheme="minorHAnsi" w:hAnsiTheme="minorHAnsi" w:cstheme="minorHAnsi"/>
          <w:b/>
          <w:color w:val="000000" w:themeColor="text1"/>
          <w:sz w:val="24"/>
          <w:szCs w:val="24"/>
        </w:rPr>
        <w:t xml:space="preserve">prostor pro snižování nákladů. </w:t>
      </w:r>
      <w:r w:rsidRPr="0075660A">
        <w:rPr>
          <w:rFonts w:asciiTheme="minorHAnsi" w:hAnsiTheme="minorHAnsi" w:cstheme="minorHAnsi"/>
          <w:b/>
          <w:sz w:val="24"/>
          <w:szCs w:val="24"/>
        </w:rPr>
        <w:t>FN jsou jako veřejní zadavatelé povinny postupovat podle zákona o zadávání veřejných zakázek</w:t>
      </w:r>
      <w:r w:rsidR="00EA4BE0">
        <w:rPr>
          <w:rFonts w:asciiTheme="minorHAnsi" w:hAnsiTheme="minorHAnsi" w:cstheme="minorHAnsi"/>
          <w:b/>
          <w:sz w:val="24"/>
          <w:szCs w:val="24"/>
        </w:rPr>
        <w:t>.</w:t>
      </w:r>
    </w:p>
    <w:p w14:paraId="66A8B820" w14:textId="2393AFAB" w:rsidR="000E64BD" w:rsidRPr="0075660A" w:rsidRDefault="000E64BD" w:rsidP="00E26A85">
      <w:pPr>
        <w:keepNext/>
        <w:widowControl/>
        <w:spacing w:before="240" w:after="120"/>
        <w:jc w:val="both"/>
        <w:rPr>
          <w:rFonts w:asciiTheme="minorHAnsi" w:hAnsiTheme="minorHAnsi" w:cstheme="minorHAnsi"/>
          <w:b/>
          <w:sz w:val="24"/>
          <w:szCs w:val="24"/>
        </w:rPr>
      </w:pPr>
      <w:r w:rsidRPr="0075660A">
        <w:rPr>
          <w:rFonts w:asciiTheme="minorHAnsi" w:hAnsiTheme="minorHAnsi" w:cstheme="minorHAnsi"/>
          <w:b/>
          <w:sz w:val="24"/>
          <w:szCs w:val="24"/>
        </w:rPr>
        <w:t>5</w:t>
      </w:r>
      <w:r w:rsidR="00A22D79">
        <w:rPr>
          <w:rFonts w:asciiTheme="minorHAnsi" w:hAnsiTheme="minorHAnsi" w:cstheme="minorHAnsi"/>
          <w:b/>
          <w:sz w:val="24"/>
          <w:szCs w:val="24"/>
        </w:rPr>
        <w:t>.</w:t>
      </w:r>
      <w:r w:rsidRPr="0075660A">
        <w:rPr>
          <w:rFonts w:asciiTheme="minorHAnsi" w:hAnsiTheme="minorHAnsi" w:cstheme="minorHAnsi"/>
          <w:b/>
          <w:sz w:val="24"/>
          <w:szCs w:val="24"/>
        </w:rPr>
        <w:t xml:space="preserve"> Registr smluv</w:t>
      </w:r>
    </w:p>
    <w:p w14:paraId="5272D398" w14:textId="0F735A0D" w:rsidR="00880377" w:rsidRPr="0075660A" w:rsidRDefault="00880377" w:rsidP="00E26A85">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FN neuveřejňovaly </w:t>
      </w:r>
      <w:r w:rsidR="00BD6E09">
        <w:rPr>
          <w:rFonts w:asciiTheme="minorHAnsi" w:hAnsiTheme="minorHAnsi" w:cstheme="minorHAnsi"/>
          <w:sz w:val="24"/>
          <w:szCs w:val="24"/>
        </w:rPr>
        <w:t>některé</w:t>
      </w:r>
      <w:r w:rsidR="005C2DA7" w:rsidRPr="0075660A">
        <w:rPr>
          <w:rFonts w:asciiTheme="minorHAnsi" w:hAnsiTheme="minorHAnsi" w:cstheme="minorHAnsi"/>
          <w:sz w:val="24"/>
          <w:szCs w:val="24"/>
        </w:rPr>
        <w:t xml:space="preserve"> </w:t>
      </w:r>
      <w:r w:rsidRPr="0075660A">
        <w:rPr>
          <w:rFonts w:asciiTheme="minorHAnsi" w:hAnsiTheme="minorHAnsi" w:cstheme="minorHAnsi"/>
          <w:sz w:val="24"/>
          <w:szCs w:val="24"/>
        </w:rPr>
        <w:t xml:space="preserve">smlouvy prostřednictvím registru smluv </w:t>
      </w:r>
      <w:r w:rsidRPr="00316209">
        <w:rPr>
          <w:rFonts w:asciiTheme="minorHAnsi" w:hAnsiTheme="minorHAnsi" w:cstheme="minorHAnsi"/>
          <w:sz w:val="24"/>
          <w:szCs w:val="24"/>
        </w:rPr>
        <w:t>dle zákona o registru smluv</w:t>
      </w:r>
      <w:r w:rsidR="009D4956" w:rsidRPr="00316209">
        <w:rPr>
          <w:rFonts w:asciiTheme="minorHAnsi" w:hAnsiTheme="minorHAnsi" w:cstheme="minorHAnsi"/>
          <w:sz w:val="24"/>
          <w:szCs w:val="24"/>
        </w:rPr>
        <w:t>.</w:t>
      </w:r>
      <w:r w:rsidRPr="0075660A">
        <w:rPr>
          <w:rFonts w:asciiTheme="minorHAnsi" w:hAnsiTheme="minorHAnsi" w:cstheme="minorHAnsi"/>
          <w:sz w:val="24"/>
          <w:szCs w:val="24"/>
        </w:rPr>
        <w:t xml:space="preserve"> </w:t>
      </w:r>
    </w:p>
    <w:p w14:paraId="1A2C449D" w14:textId="77777777" w:rsidR="00880377" w:rsidRPr="0075660A" w:rsidRDefault="00880377" w:rsidP="00DD1927">
      <w:pPr>
        <w:pStyle w:val="Odstavecseseznamem"/>
        <w:keepNext/>
        <w:widowControl/>
        <w:numPr>
          <w:ilvl w:val="0"/>
          <w:numId w:val="2"/>
        </w:numPr>
        <w:spacing w:before="120" w:after="120"/>
        <w:ind w:left="284" w:hanging="284"/>
        <w:contextualSpacing w:val="0"/>
        <w:jc w:val="both"/>
        <w:rPr>
          <w:rFonts w:asciiTheme="minorHAnsi" w:hAnsiTheme="minorHAnsi" w:cstheme="minorHAnsi"/>
          <w:sz w:val="24"/>
          <w:szCs w:val="24"/>
        </w:rPr>
      </w:pPr>
      <w:r w:rsidRPr="0075660A">
        <w:rPr>
          <w:rFonts w:asciiTheme="minorHAnsi" w:hAnsiTheme="minorHAnsi" w:cstheme="minorHAnsi"/>
          <w:sz w:val="24"/>
          <w:szCs w:val="24"/>
        </w:rPr>
        <w:t>FNB</w:t>
      </w:r>
    </w:p>
    <w:p w14:paraId="2F50FF12" w14:textId="309A8C7B" w:rsidR="00880377" w:rsidRDefault="00880377" w:rsidP="00E26A85">
      <w:pPr>
        <w:widowControl/>
        <w:spacing w:before="120" w:after="120"/>
        <w:jc w:val="both"/>
        <w:rPr>
          <w:rFonts w:asciiTheme="minorHAnsi" w:hAnsiTheme="minorHAnsi" w:cstheme="minorHAnsi"/>
          <w:sz w:val="24"/>
          <w:szCs w:val="24"/>
        </w:rPr>
      </w:pPr>
      <w:r w:rsidRPr="0075660A">
        <w:rPr>
          <w:rFonts w:asciiTheme="minorHAnsi" w:hAnsiTheme="minorHAnsi" w:cstheme="minorHAnsi"/>
          <w:sz w:val="24"/>
          <w:szCs w:val="24"/>
        </w:rPr>
        <w:t xml:space="preserve">FNB neuveřejnila </w:t>
      </w:r>
      <w:r w:rsidR="001E4EDB" w:rsidRPr="0075660A">
        <w:rPr>
          <w:rFonts w:asciiTheme="minorHAnsi" w:hAnsiTheme="minorHAnsi" w:cstheme="minorHAnsi"/>
          <w:sz w:val="24"/>
          <w:szCs w:val="24"/>
        </w:rPr>
        <w:t xml:space="preserve">22 smluv </w:t>
      </w:r>
      <w:r w:rsidRPr="0075660A">
        <w:rPr>
          <w:rFonts w:asciiTheme="minorHAnsi" w:hAnsiTheme="minorHAnsi" w:cstheme="minorHAnsi"/>
          <w:sz w:val="24"/>
          <w:szCs w:val="24"/>
        </w:rPr>
        <w:t>prostřednictvím registru smluv v požadovaném rozsahu</w:t>
      </w:r>
      <w:r w:rsidR="00810B19">
        <w:rPr>
          <w:rFonts w:asciiTheme="minorHAnsi" w:hAnsiTheme="minorHAnsi" w:cstheme="minorHAnsi"/>
          <w:sz w:val="24"/>
          <w:szCs w:val="24"/>
          <w:vertAlign w:val="superscript"/>
        </w:rPr>
        <w:t>2</w:t>
      </w:r>
      <w:r w:rsidR="002C1E4D">
        <w:rPr>
          <w:rFonts w:asciiTheme="minorHAnsi" w:hAnsiTheme="minorHAnsi" w:cstheme="minorHAnsi"/>
          <w:sz w:val="24"/>
          <w:szCs w:val="24"/>
          <w:vertAlign w:val="superscript"/>
        </w:rPr>
        <w:t>4</w:t>
      </w:r>
      <w:r w:rsidRPr="0075660A">
        <w:rPr>
          <w:rFonts w:asciiTheme="minorHAnsi" w:hAnsiTheme="minorHAnsi" w:cstheme="minorHAnsi"/>
          <w:sz w:val="24"/>
          <w:szCs w:val="24"/>
        </w:rPr>
        <w:t xml:space="preserve">, </w:t>
      </w:r>
      <w:r w:rsidR="006074B7">
        <w:rPr>
          <w:rFonts w:asciiTheme="minorHAnsi" w:hAnsiTheme="minorHAnsi" w:cstheme="minorHAnsi"/>
          <w:sz w:val="24"/>
          <w:szCs w:val="24"/>
        </w:rPr>
        <w:t>takže</w:t>
      </w:r>
      <w:r w:rsidRPr="0075660A">
        <w:rPr>
          <w:rFonts w:asciiTheme="minorHAnsi" w:hAnsiTheme="minorHAnsi" w:cstheme="minorHAnsi"/>
          <w:sz w:val="24"/>
          <w:szCs w:val="24"/>
        </w:rPr>
        <w:t xml:space="preserve"> elektronický obraz textového obsahu smlouvy v otevřeném a strojově čitelném formátu neodpovídal originálu</w:t>
      </w:r>
      <w:r w:rsidR="00125006" w:rsidRPr="0075660A">
        <w:rPr>
          <w:rFonts w:asciiTheme="minorHAnsi" w:hAnsiTheme="minorHAnsi" w:cstheme="minorHAnsi"/>
          <w:sz w:val="24"/>
          <w:szCs w:val="24"/>
        </w:rPr>
        <w:t>,</w:t>
      </w:r>
      <w:r w:rsidRPr="0075660A">
        <w:rPr>
          <w:rFonts w:asciiTheme="minorHAnsi" w:hAnsiTheme="minorHAnsi" w:cstheme="minorHAnsi"/>
          <w:sz w:val="24"/>
          <w:szCs w:val="24"/>
        </w:rPr>
        <w:t xml:space="preserve"> např. nebyly uveřejněny přílohy smluv nebo části textu smlouvy. </w:t>
      </w:r>
      <w:r w:rsidRPr="0075660A">
        <w:rPr>
          <w:rFonts w:asciiTheme="minorHAnsi" w:hAnsiTheme="minorHAnsi" w:cstheme="minorHAnsi"/>
          <w:b/>
          <w:sz w:val="24"/>
          <w:szCs w:val="24"/>
        </w:rPr>
        <w:t>Tři z nich byly zrušeny od počátku</w:t>
      </w:r>
      <w:r w:rsidR="00CF2969" w:rsidRPr="0075660A">
        <w:rPr>
          <w:rFonts w:asciiTheme="minorHAnsi" w:hAnsiTheme="minorHAnsi" w:cstheme="minorHAnsi"/>
          <w:b/>
          <w:sz w:val="24"/>
          <w:szCs w:val="24"/>
          <w:vertAlign w:val="superscript"/>
        </w:rPr>
        <w:t>2</w:t>
      </w:r>
      <w:r w:rsidR="002C1E4D">
        <w:rPr>
          <w:rFonts w:asciiTheme="minorHAnsi" w:hAnsiTheme="minorHAnsi" w:cstheme="minorHAnsi"/>
          <w:b/>
          <w:sz w:val="24"/>
          <w:szCs w:val="24"/>
          <w:vertAlign w:val="superscript"/>
        </w:rPr>
        <w:t>6</w:t>
      </w:r>
      <w:r w:rsidR="00A034C1">
        <w:rPr>
          <w:rFonts w:asciiTheme="minorHAnsi" w:hAnsiTheme="minorHAnsi" w:cstheme="minorHAnsi"/>
          <w:b/>
          <w:sz w:val="24"/>
          <w:szCs w:val="24"/>
        </w:rPr>
        <w:t>;</w:t>
      </w:r>
      <w:r w:rsidR="00CF2969" w:rsidRPr="0075660A">
        <w:rPr>
          <w:rFonts w:asciiTheme="minorHAnsi" w:hAnsiTheme="minorHAnsi" w:cstheme="minorHAnsi"/>
          <w:b/>
          <w:sz w:val="24"/>
          <w:szCs w:val="24"/>
        </w:rPr>
        <w:t xml:space="preserve"> jedná se o skutečnosti nasvědčující porušení rozpočtové kázně</w:t>
      </w:r>
      <w:r w:rsidR="002C1E4D">
        <w:rPr>
          <w:rFonts w:asciiTheme="minorHAnsi" w:hAnsiTheme="minorHAnsi" w:cstheme="minorHAnsi"/>
          <w:b/>
          <w:sz w:val="24"/>
          <w:szCs w:val="24"/>
          <w:vertAlign w:val="superscript"/>
        </w:rPr>
        <w:t>19</w:t>
      </w:r>
      <w:r w:rsidRPr="0075660A">
        <w:rPr>
          <w:rFonts w:asciiTheme="minorHAnsi" w:hAnsiTheme="minorHAnsi" w:cstheme="minorHAnsi"/>
          <w:b/>
          <w:sz w:val="24"/>
          <w:szCs w:val="24"/>
        </w:rPr>
        <w:t xml:space="preserve"> minimálně ve výši 1 835 947,52 Kč za období 2020 až 2022</w:t>
      </w:r>
      <w:r w:rsidR="00CD34C3" w:rsidRPr="005805C2">
        <w:rPr>
          <w:rFonts w:asciiTheme="minorHAnsi" w:hAnsiTheme="minorHAnsi" w:cstheme="minorHAnsi"/>
          <w:b/>
          <w:sz w:val="24"/>
          <w:szCs w:val="24"/>
        </w:rPr>
        <w:t>.</w:t>
      </w:r>
      <w:r w:rsidRPr="0075660A">
        <w:rPr>
          <w:rFonts w:asciiTheme="minorHAnsi" w:hAnsiTheme="minorHAnsi" w:cstheme="minorHAnsi"/>
          <w:sz w:val="24"/>
          <w:szCs w:val="24"/>
        </w:rPr>
        <w:t xml:space="preserve"> </w:t>
      </w:r>
    </w:p>
    <w:p w14:paraId="51562CAE" w14:textId="77777777" w:rsidR="00880377" w:rsidRPr="00527E83" w:rsidRDefault="00880377" w:rsidP="00DD1927">
      <w:pPr>
        <w:pStyle w:val="Odstavecseseznamem"/>
        <w:keepNext/>
        <w:widowControl/>
        <w:numPr>
          <w:ilvl w:val="0"/>
          <w:numId w:val="2"/>
        </w:numPr>
        <w:spacing w:before="120" w:after="120"/>
        <w:ind w:left="284" w:hanging="284"/>
        <w:contextualSpacing w:val="0"/>
        <w:jc w:val="both"/>
        <w:rPr>
          <w:rFonts w:asciiTheme="minorHAnsi" w:hAnsiTheme="minorHAnsi" w:cstheme="minorHAnsi"/>
          <w:sz w:val="24"/>
          <w:szCs w:val="24"/>
        </w:rPr>
      </w:pPr>
      <w:r w:rsidRPr="00527E83">
        <w:rPr>
          <w:rFonts w:asciiTheme="minorHAnsi" w:hAnsiTheme="minorHAnsi" w:cstheme="minorHAnsi"/>
          <w:sz w:val="24"/>
          <w:szCs w:val="24"/>
        </w:rPr>
        <w:t>FNKV</w:t>
      </w:r>
    </w:p>
    <w:p w14:paraId="71FCF290" w14:textId="4BE32CD2" w:rsidR="00880377" w:rsidRPr="00B83B42" w:rsidRDefault="00880377" w:rsidP="00E26A85">
      <w:pPr>
        <w:widowControl/>
        <w:spacing w:before="120" w:after="120"/>
        <w:jc w:val="both"/>
        <w:rPr>
          <w:rFonts w:asciiTheme="minorHAnsi" w:hAnsiTheme="minorHAnsi" w:cstheme="minorHAnsi"/>
          <w:sz w:val="24"/>
          <w:szCs w:val="24"/>
        </w:rPr>
      </w:pPr>
      <w:r w:rsidRPr="00527E83">
        <w:rPr>
          <w:rFonts w:asciiTheme="minorHAnsi" w:hAnsiTheme="minorHAnsi" w:cstheme="minorHAnsi"/>
          <w:sz w:val="24"/>
          <w:szCs w:val="24"/>
        </w:rPr>
        <w:t xml:space="preserve">FNKV neuveřejnila </w:t>
      </w:r>
      <w:r w:rsidR="001E4EDB" w:rsidRPr="00527E83">
        <w:rPr>
          <w:rFonts w:asciiTheme="minorHAnsi" w:hAnsiTheme="minorHAnsi" w:cstheme="minorHAnsi"/>
          <w:sz w:val="24"/>
          <w:szCs w:val="24"/>
        </w:rPr>
        <w:t xml:space="preserve">76 smluv </w:t>
      </w:r>
      <w:r w:rsidRPr="00527E83">
        <w:rPr>
          <w:rFonts w:asciiTheme="minorHAnsi" w:hAnsiTheme="minorHAnsi" w:cstheme="minorHAnsi"/>
          <w:sz w:val="24"/>
          <w:szCs w:val="24"/>
        </w:rPr>
        <w:t>prostřednictvím registru smluv v požadovaném rozsahu</w:t>
      </w:r>
      <w:r w:rsidR="00CF2969" w:rsidRPr="00CF2969">
        <w:rPr>
          <w:rFonts w:asciiTheme="minorHAnsi" w:hAnsiTheme="minorHAnsi" w:cstheme="minorHAnsi"/>
          <w:sz w:val="24"/>
          <w:szCs w:val="24"/>
          <w:vertAlign w:val="superscript"/>
        </w:rPr>
        <w:t>2</w:t>
      </w:r>
      <w:r w:rsidR="002C1E4D">
        <w:rPr>
          <w:rFonts w:asciiTheme="minorHAnsi" w:hAnsiTheme="minorHAnsi" w:cstheme="minorHAnsi"/>
          <w:sz w:val="24"/>
          <w:szCs w:val="24"/>
          <w:vertAlign w:val="superscript"/>
        </w:rPr>
        <w:t>4</w:t>
      </w:r>
      <w:r w:rsidRPr="00527E83">
        <w:rPr>
          <w:rFonts w:asciiTheme="minorHAnsi" w:hAnsiTheme="minorHAnsi" w:cstheme="minorHAnsi"/>
          <w:sz w:val="24"/>
          <w:szCs w:val="24"/>
        </w:rPr>
        <w:t xml:space="preserve"> nebo ve stanovené lhůtě</w:t>
      </w:r>
      <w:r w:rsidR="00CF2969">
        <w:rPr>
          <w:rFonts w:asciiTheme="minorHAnsi" w:hAnsiTheme="minorHAnsi" w:cstheme="minorHAnsi"/>
          <w:sz w:val="24"/>
          <w:szCs w:val="24"/>
          <w:vertAlign w:val="superscript"/>
        </w:rPr>
        <w:t>2</w:t>
      </w:r>
      <w:r w:rsidR="00CE26B2">
        <w:rPr>
          <w:rFonts w:asciiTheme="minorHAnsi" w:hAnsiTheme="minorHAnsi" w:cstheme="minorHAnsi"/>
          <w:sz w:val="24"/>
          <w:szCs w:val="24"/>
          <w:vertAlign w:val="superscript"/>
        </w:rPr>
        <w:t>5</w:t>
      </w:r>
      <w:r w:rsidR="00295372" w:rsidRPr="00527E83">
        <w:rPr>
          <w:rFonts w:asciiTheme="minorHAnsi" w:hAnsiTheme="minorHAnsi" w:cstheme="minorHAnsi"/>
          <w:sz w:val="24"/>
          <w:szCs w:val="24"/>
        </w:rPr>
        <w:t xml:space="preserve">, </w:t>
      </w:r>
      <w:r w:rsidR="006074B7">
        <w:rPr>
          <w:rFonts w:asciiTheme="minorHAnsi" w:hAnsiTheme="minorHAnsi" w:cstheme="minorHAnsi"/>
          <w:sz w:val="24"/>
          <w:szCs w:val="24"/>
        </w:rPr>
        <w:t>takže</w:t>
      </w:r>
      <w:r w:rsidR="00295372" w:rsidRPr="00527E83">
        <w:rPr>
          <w:rFonts w:asciiTheme="minorHAnsi" w:hAnsiTheme="minorHAnsi" w:cstheme="minorHAnsi"/>
          <w:sz w:val="24"/>
          <w:szCs w:val="24"/>
        </w:rPr>
        <w:t xml:space="preserve"> elektronický obraz textového obsahu smlouvy v otevřeném a</w:t>
      </w:r>
      <w:r w:rsidR="0091422F" w:rsidRPr="00527E83">
        <w:rPr>
          <w:rFonts w:asciiTheme="minorHAnsi" w:hAnsiTheme="minorHAnsi" w:cstheme="minorHAnsi"/>
          <w:sz w:val="24"/>
          <w:szCs w:val="24"/>
        </w:rPr>
        <w:t> </w:t>
      </w:r>
      <w:r w:rsidR="00295372" w:rsidRPr="00527E83">
        <w:rPr>
          <w:rFonts w:asciiTheme="minorHAnsi" w:hAnsiTheme="minorHAnsi" w:cstheme="minorHAnsi"/>
          <w:sz w:val="24"/>
          <w:szCs w:val="24"/>
        </w:rPr>
        <w:t>strojově čitelném formátu neodpovídal originálu</w:t>
      </w:r>
      <w:r w:rsidR="00125006">
        <w:rPr>
          <w:rFonts w:asciiTheme="minorHAnsi" w:hAnsiTheme="minorHAnsi" w:cstheme="minorHAnsi"/>
          <w:sz w:val="24"/>
          <w:szCs w:val="24"/>
        </w:rPr>
        <w:t>,</w:t>
      </w:r>
      <w:r w:rsidR="00295372" w:rsidRPr="00527E83">
        <w:rPr>
          <w:rFonts w:asciiTheme="minorHAnsi" w:hAnsiTheme="minorHAnsi" w:cstheme="minorHAnsi"/>
          <w:sz w:val="24"/>
          <w:szCs w:val="24"/>
        </w:rPr>
        <w:t xml:space="preserve"> např. nebyly </w:t>
      </w:r>
      <w:r w:rsidR="00295372" w:rsidRPr="00B83B42">
        <w:rPr>
          <w:rFonts w:asciiTheme="minorHAnsi" w:hAnsiTheme="minorHAnsi" w:cstheme="minorHAnsi"/>
          <w:sz w:val="24"/>
          <w:szCs w:val="24"/>
        </w:rPr>
        <w:t>uveřejněny přílohy smluv nebo znečitelnila číslo bankovního účtu</w:t>
      </w:r>
      <w:r w:rsidRPr="00B83B42">
        <w:rPr>
          <w:rFonts w:asciiTheme="minorHAnsi" w:hAnsiTheme="minorHAnsi" w:cstheme="minorHAnsi"/>
          <w:sz w:val="24"/>
          <w:szCs w:val="24"/>
        </w:rPr>
        <w:t xml:space="preserve">. </w:t>
      </w:r>
      <w:r w:rsidRPr="00B83B42">
        <w:rPr>
          <w:rFonts w:asciiTheme="minorHAnsi" w:hAnsiTheme="minorHAnsi" w:cstheme="minorHAnsi"/>
          <w:b/>
          <w:sz w:val="24"/>
          <w:szCs w:val="24"/>
        </w:rPr>
        <w:t>Osm z nich bylo zrušeno od počátku</w:t>
      </w:r>
      <w:r w:rsidR="00CF2969" w:rsidRPr="00B83B42">
        <w:rPr>
          <w:rFonts w:asciiTheme="minorHAnsi" w:hAnsiTheme="minorHAnsi" w:cstheme="minorHAnsi"/>
          <w:b/>
          <w:sz w:val="24"/>
          <w:szCs w:val="24"/>
          <w:vertAlign w:val="superscript"/>
        </w:rPr>
        <w:t>2</w:t>
      </w:r>
      <w:r w:rsidR="005D48BC">
        <w:rPr>
          <w:rFonts w:asciiTheme="minorHAnsi" w:hAnsiTheme="minorHAnsi" w:cstheme="minorHAnsi"/>
          <w:b/>
          <w:sz w:val="24"/>
          <w:szCs w:val="24"/>
          <w:vertAlign w:val="superscript"/>
        </w:rPr>
        <w:t>6</w:t>
      </w:r>
      <w:r w:rsidR="00A034C1">
        <w:rPr>
          <w:rFonts w:asciiTheme="minorHAnsi" w:hAnsiTheme="minorHAnsi" w:cstheme="minorHAnsi"/>
          <w:b/>
          <w:sz w:val="24"/>
          <w:szCs w:val="24"/>
        </w:rPr>
        <w:t>;</w:t>
      </w:r>
      <w:r w:rsidR="00AB119B" w:rsidRPr="005805C2">
        <w:rPr>
          <w:rFonts w:asciiTheme="minorHAnsi" w:hAnsiTheme="minorHAnsi" w:cstheme="minorHAnsi"/>
          <w:b/>
          <w:sz w:val="24"/>
          <w:szCs w:val="24"/>
        </w:rPr>
        <w:t xml:space="preserve"> </w:t>
      </w:r>
      <w:r w:rsidR="00CF2969" w:rsidRPr="00B83B42">
        <w:rPr>
          <w:rFonts w:asciiTheme="minorHAnsi" w:hAnsiTheme="minorHAnsi" w:cstheme="minorHAnsi"/>
          <w:b/>
          <w:sz w:val="24"/>
          <w:szCs w:val="24"/>
        </w:rPr>
        <w:t>jedná se o</w:t>
      </w:r>
      <w:r w:rsidR="00ED5D40" w:rsidRPr="00B83B42">
        <w:rPr>
          <w:rFonts w:asciiTheme="minorHAnsi" w:hAnsiTheme="minorHAnsi" w:cstheme="minorHAnsi"/>
          <w:b/>
          <w:sz w:val="24"/>
          <w:szCs w:val="24"/>
        </w:rPr>
        <w:t> </w:t>
      </w:r>
      <w:r w:rsidR="00CF2969" w:rsidRPr="00B83B42">
        <w:rPr>
          <w:rFonts w:asciiTheme="minorHAnsi" w:hAnsiTheme="minorHAnsi" w:cstheme="minorHAnsi"/>
          <w:b/>
          <w:sz w:val="24"/>
          <w:szCs w:val="24"/>
        </w:rPr>
        <w:t>skutečnosti nasvědčující porušení rozpočtové kázně</w:t>
      </w:r>
      <w:r w:rsidR="002C1E4D">
        <w:rPr>
          <w:rFonts w:asciiTheme="minorHAnsi" w:hAnsiTheme="minorHAnsi" w:cstheme="minorHAnsi"/>
          <w:b/>
          <w:sz w:val="24"/>
          <w:szCs w:val="24"/>
          <w:vertAlign w:val="superscript"/>
        </w:rPr>
        <w:t>19</w:t>
      </w:r>
      <w:r w:rsidRPr="00B83B42">
        <w:rPr>
          <w:rFonts w:asciiTheme="minorHAnsi" w:hAnsiTheme="minorHAnsi" w:cstheme="minorHAnsi"/>
          <w:b/>
          <w:sz w:val="24"/>
          <w:szCs w:val="24"/>
        </w:rPr>
        <w:t xml:space="preserve"> minimálně ve výši 322 465 Kč za období 2019 až 2020</w:t>
      </w:r>
      <w:r w:rsidR="00757632">
        <w:rPr>
          <w:rFonts w:asciiTheme="minorHAnsi" w:hAnsiTheme="minorHAnsi" w:cstheme="minorHAnsi"/>
          <w:b/>
          <w:sz w:val="24"/>
          <w:szCs w:val="24"/>
        </w:rPr>
        <w:t>.</w:t>
      </w:r>
      <w:r w:rsidR="00295372" w:rsidRPr="00B83B42">
        <w:rPr>
          <w:rFonts w:asciiTheme="minorHAnsi" w:hAnsiTheme="minorHAnsi" w:cstheme="minorHAnsi"/>
          <w:sz w:val="24"/>
          <w:szCs w:val="24"/>
        </w:rPr>
        <w:t xml:space="preserve"> </w:t>
      </w:r>
      <w:r w:rsidR="00757632">
        <w:rPr>
          <w:rFonts w:asciiTheme="minorHAnsi" w:hAnsiTheme="minorHAnsi" w:cstheme="minorHAnsi"/>
          <w:sz w:val="24"/>
          <w:szCs w:val="24"/>
        </w:rPr>
        <w:t>T</w:t>
      </w:r>
      <w:r w:rsidR="00295372" w:rsidRPr="00B83B42">
        <w:rPr>
          <w:rFonts w:asciiTheme="minorHAnsi" w:hAnsiTheme="minorHAnsi" w:cstheme="minorHAnsi"/>
          <w:sz w:val="24"/>
          <w:szCs w:val="24"/>
        </w:rPr>
        <w:t>yto smlouvy nebyly uveřejněny vůbec.</w:t>
      </w:r>
    </w:p>
    <w:p w14:paraId="0FF278F9" w14:textId="77777777" w:rsidR="00880377" w:rsidRPr="00B83B42" w:rsidRDefault="00880377" w:rsidP="00DD1927">
      <w:pPr>
        <w:pStyle w:val="Odstavecseseznamem"/>
        <w:keepNext/>
        <w:widowControl/>
        <w:numPr>
          <w:ilvl w:val="0"/>
          <w:numId w:val="2"/>
        </w:numPr>
        <w:spacing w:before="120" w:after="120"/>
        <w:ind w:left="284" w:hanging="284"/>
        <w:contextualSpacing w:val="0"/>
        <w:jc w:val="both"/>
        <w:rPr>
          <w:rFonts w:asciiTheme="minorHAnsi" w:hAnsiTheme="minorHAnsi" w:cstheme="minorHAnsi"/>
          <w:sz w:val="24"/>
          <w:szCs w:val="24"/>
        </w:rPr>
      </w:pPr>
      <w:r w:rsidRPr="00B83B42">
        <w:rPr>
          <w:rFonts w:asciiTheme="minorHAnsi" w:hAnsiTheme="minorHAnsi" w:cstheme="minorHAnsi"/>
          <w:sz w:val="24"/>
          <w:szCs w:val="24"/>
        </w:rPr>
        <w:t>FNUSA</w:t>
      </w:r>
    </w:p>
    <w:p w14:paraId="4FC049B5" w14:textId="31955E1D" w:rsidR="005C2DA7" w:rsidRPr="00E557D3" w:rsidRDefault="00AE7DF9" w:rsidP="00E26A85">
      <w:pPr>
        <w:widowControl/>
        <w:spacing w:before="120" w:after="480"/>
        <w:jc w:val="both"/>
        <w:rPr>
          <w:rFonts w:asciiTheme="minorHAnsi" w:hAnsiTheme="minorHAnsi" w:cstheme="minorHAnsi"/>
          <w:sz w:val="24"/>
          <w:szCs w:val="24"/>
        </w:rPr>
      </w:pPr>
      <w:r w:rsidRPr="00B83B42">
        <w:rPr>
          <w:rFonts w:asciiTheme="minorHAnsi" w:hAnsiTheme="minorHAnsi" w:cstheme="minorHAnsi"/>
          <w:sz w:val="24"/>
          <w:szCs w:val="24"/>
        </w:rPr>
        <w:t>FNUSA neuveřejnila 25 smluv prostřednictvím registru smluv v požadovaném rozsahu</w:t>
      </w:r>
      <w:r w:rsidR="0078521C" w:rsidRPr="00B83B42">
        <w:rPr>
          <w:rFonts w:asciiTheme="minorHAnsi" w:hAnsiTheme="minorHAnsi" w:cstheme="minorHAnsi"/>
          <w:sz w:val="24"/>
          <w:szCs w:val="24"/>
          <w:vertAlign w:val="superscript"/>
        </w:rPr>
        <w:t>2</w:t>
      </w:r>
      <w:r w:rsidR="002C1E4D">
        <w:rPr>
          <w:rFonts w:asciiTheme="minorHAnsi" w:hAnsiTheme="minorHAnsi" w:cstheme="minorHAnsi"/>
          <w:sz w:val="24"/>
          <w:szCs w:val="24"/>
          <w:vertAlign w:val="superscript"/>
        </w:rPr>
        <w:t>4</w:t>
      </w:r>
      <w:r w:rsidRPr="00B83B42">
        <w:rPr>
          <w:rFonts w:asciiTheme="minorHAnsi" w:hAnsiTheme="minorHAnsi" w:cstheme="minorHAnsi"/>
          <w:sz w:val="24"/>
          <w:szCs w:val="24"/>
        </w:rPr>
        <w:t xml:space="preserve"> nebo ve stanovené lhůtě</w:t>
      </w:r>
      <w:r w:rsidR="0078521C" w:rsidRPr="00B83B42">
        <w:rPr>
          <w:rFonts w:asciiTheme="minorHAnsi" w:hAnsiTheme="minorHAnsi" w:cstheme="minorHAnsi"/>
          <w:sz w:val="24"/>
          <w:szCs w:val="24"/>
          <w:vertAlign w:val="superscript"/>
        </w:rPr>
        <w:t>2</w:t>
      </w:r>
      <w:r w:rsidR="00F43267">
        <w:rPr>
          <w:rFonts w:asciiTheme="minorHAnsi" w:hAnsiTheme="minorHAnsi" w:cstheme="minorHAnsi"/>
          <w:sz w:val="24"/>
          <w:szCs w:val="24"/>
          <w:vertAlign w:val="superscript"/>
        </w:rPr>
        <w:t>5</w:t>
      </w:r>
      <w:r w:rsidRPr="00B83B42">
        <w:rPr>
          <w:rFonts w:asciiTheme="minorHAnsi" w:hAnsiTheme="minorHAnsi" w:cstheme="minorHAnsi"/>
          <w:sz w:val="24"/>
          <w:szCs w:val="24"/>
        </w:rPr>
        <w:t>, v</w:t>
      </w:r>
      <w:r w:rsidR="005C2DA7" w:rsidRPr="00B83B42">
        <w:rPr>
          <w:rFonts w:asciiTheme="minorHAnsi" w:hAnsiTheme="minorHAnsi" w:cstheme="minorHAnsi"/>
          <w:sz w:val="24"/>
          <w:szCs w:val="24"/>
        </w:rPr>
        <w:t>šech 25 smluv nebylo zveřejněno podle zákona o registru smluv</w:t>
      </w:r>
      <w:r w:rsidR="00757632">
        <w:rPr>
          <w:rFonts w:asciiTheme="minorHAnsi" w:hAnsiTheme="minorHAnsi" w:cstheme="minorHAnsi"/>
          <w:sz w:val="24"/>
          <w:szCs w:val="24"/>
        </w:rPr>
        <w:t>.</w:t>
      </w:r>
      <w:r w:rsidR="005C2DA7" w:rsidRPr="00B83B42">
        <w:rPr>
          <w:rFonts w:asciiTheme="minorHAnsi" w:hAnsiTheme="minorHAnsi" w:cstheme="minorHAnsi"/>
          <w:sz w:val="24"/>
          <w:szCs w:val="24"/>
        </w:rPr>
        <w:t xml:space="preserve"> </w:t>
      </w:r>
      <w:r w:rsidR="00757632">
        <w:rPr>
          <w:rFonts w:asciiTheme="minorHAnsi" w:hAnsiTheme="minorHAnsi" w:cstheme="minorHAnsi"/>
          <w:sz w:val="24"/>
          <w:szCs w:val="24"/>
        </w:rPr>
        <w:t>P</w:t>
      </w:r>
      <w:r w:rsidR="005C2DA7" w:rsidRPr="00B83B42">
        <w:rPr>
          <w:rFonts w:asciiTheme="minorHAnsi" w:hAnsiTheme="minorHAnsi" w:cstheme="minorHAnsi"/>
          <w:sz w:val="24"/>
          <w:szCs w:val="24"/>
        </w:rPr>
        <w:t>řestože některé nebyly uveřejněny vůbec, nebyly zrušeny od počátku, protože jejich předmětem byly léčivé přípravky nebo zdravotnické prostředky</w:t>
      </w:r>
      <w:r w:rsidR="005C2DA7" w:rsidRPr="00E557D3">
        <w:rPr>
          <w:rFonts w:asciiTheme="minorHAnsi" w:hAnsiTheme="minorHAnsi" w:cstheme="minorHAnsi"/>
          <w:sz w:val="24"/>
          <w:szCs w:val="24"/>
        </w:rPr>
        <w:t xml:space="preserve">. </w:t>
      </w:r>
    </w:p>
    <w:p w14:paraId="5EB81B29" w14:textId="4A485C7F" w:rsidR="00E60DD4" w:rsidRPr="00B83B42" w:rsidRDefault="00E60DD4" w:rsidP="0050413C">
      <w:pPr>
        <w:keepNext/>
        <w:widowControl/>
        <w:spacing w:before="600" w:after="120"/>
        <w:jc w:val="both"/>
        <w:rPr>
          <w:rFonts w:asciiTheme="minorHAnsi" w:eastAsiaTheme="minorHAnsi" w:hAnsiTheme="minorHAnsi" w:cstheme="minorHAnsi"/>
          <w:b/>
          <w:bCs/>
          <w:sz w:val="24"/>
          <w:szCs w:val="24"/>
          <w:lang w:eastAsia="en-US"/>
        </w:rPr>
      </w:pPr>
      <w:r w:rsidRPr="00B83B42">
        <w:rPr>
          <w:rFonts w:asciiTheme="minorHAnsi" w:eastAsiaTheme="minorHAnsi" w:hAnsiTheme="minorHAnsi" w:cstheme="minorHAnsi"/>
          <w:b/>
          <w:bCs/>
          <w:sz w:val="24"/>
          <w:szCs w:val="24"/>
          <w:lang w:eastAsia="en-US"/>
        </w:rPr>
        <w:t>Seznam zkratek</w:t>
      </w:r>
    </w:p>
    <w:p w14:paraId="6D4E895E" w14:textId="77777777"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ATC skupina</w:t>
      </w:r>
      <w:r w:rsidRPr="0050413C">
        <w:rPr>
          <w:rFonts w:ascii="Calibri" w:hAnsi="Calibri" w:cs="Calibri"/>
          <w:noProof/>
          <w:color w:val="000000" w:themeColor="text1"/>
          <w:sz w:val="24"/>
          <w:szCs w:val="24"/>
        </w:rPr>
        <w:tab/>
        <w:t>anatomicko-terapeuticko-chemická skupina (léčiv)</w:t>
      </w:r>
    </w:p>
    <w:p w14:paraId="7952537F" w14:textId="77777777"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číselník ZP</w:t>
      </w:r>
      <w:r w:rsidRPr="0050413C">
        <w:rPr>
          <w:rFonts w:ascii="Calibri" w:hAnsi="Calibri" w:cs="Calibri"/>
          <w:noProof/>
          <w:color w:val="000000" w:themeColor="text1"/>
          <w:sz w:val="24"/>
          <w:szCs w:val="24"/>
        </w:rPr>
        <w:tab/>
        <w:t>číselník zdravotnických prostředků (ZUM) – vydává VZP ČR</w:t>
      </w:r>
    </w:p>
    <w:p w14:paraId="665A322F" w14:textId="224DC7A9"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DPH</w:t>
      </w:r>
      <w:r w:rsidRPr="0050413C">
        <w:rPr>
          <w:rFonts w:ascii="Calibri" w:hAnsi="Calibri" w:cs="Calibri"/>
          <w:noProof/>
          <w:color w:val="000000" w:themeColor="text1"/>
          <w:sz w:val="24"/>
          <w:szCs w:val="24"/>
        </w:rPr>
        <w:tab/>
        <w:t>daň z přidané hodnoty</w:t>
      </w:r>
    </w:p>
    <w:p w14:paraId="1CF165F4" w14:textId="6C1711A4" w:rsidR="009D4956" w:rsidRPr="0050413C" w:rsidRDefault="009D4956"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DUZP</w:t>
      </w:r>
      <w:r w:rsidR="00AC4E8C" w:rsidRPr="0050413C">
        <w:rPr>
          <w:rFonts w:ascii="Calibri" w:hAnsi="Calibri" w:cs="Calibri"/>
          <w:noProof/>
          <w:color w:val="000000" w:themeColor="text1"/>
          <w:sz w:val="24"/>
          <w:szCs w:val="24"/>
        </w:rPr>
        <w:tab/>
      </w:r>
      <w:r w:rsidRPr="0050413C">
        <w:rPr>
          <w:rFonts w:ascii="Calibri" w:hAnsi="Calibri" w:cs="Calibri"/>
          <w:noProof/>
          <w:color w:val="000000" w:themeColor="text1"/>
          <w:sz w:val="24"/>
          <w:szCs w:val="24"/>
        </w:rPr>
        <w:t>datum uskutečnění zdanitelného plnění</w:t>
      </w:r>
    </w:p>
    <w:p w14:paraId="2D442970" w14:textId="77777777"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DTP kanál</w:t>
      </w:r>
      <w:r w:rsidRPr="0050413C">
        <w:rPr>
          <w:rFonts w:ascii="Calibri" w:hAnsi="Calibri" w:cs="Calibri"/>
          <w:noProof/>
          <w:color w:val="000000" w:themeColor="text1"/>
          <w:sz w:val="24"/>
          <w:szCs w:val="24"/>
        </w:rPr>
        <w:tab/>
        <w:t>způsob distribuce léčiva objednávaného přímo u výrobce a dodávaného výhradním distributorem</w:t>
      </w:r>
    </w:p>
    <w:p w14:paraId="2AF68AE6" w14:textId="5511456F"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FN</w:t>
      </w:r>
      <w:r w:rsidRPr="0050413C">
        <w:rPr>
          <w:rFonts w:ascii="Calibri" w:hAnsi="Calibri" w:cs="Calibri"/>
          <w:noProof/>
          <w:color w:val="000000" w:themeColor="text1"/>
          <w:sz w:val="24"/>
          <w:szCs w:val="24"/>
        </w:rPr>
        <w:tab/>
        <w:t xml:space="preserve">kontrolované </w:t>
      </w:r>
      <w:r w:rsidR="007548E6" w:rsidRPr="0050413C">
        <w:rPr>
          <w:rFonts w:ascii="Calibri" w:hAnsi="Calibri" w:cs="Calibri"/>
          <w:noProof/>
          <w:color w:val="000000" w:themeColor="text1"/>
          <w:sz w:val="24"/>
          <w:szCs w:val="24"/>
        </w:rPr>
        <w:t xml:space="preserve">fakultní </w:t>
      </w:r>
      <w:r w:rsidRPr="0050413C">
        <w:rPr>
          <w:rFonts w:ascii="Calibri" w:hAnsi="Calibri" w:cs="Calibri"/>
          <w:noProof/>
          <w:color w:val="000000" w:themeColor="text1"/>
          <w:sz w:val="24"/>
          <w:szCs w:val="24"/>
        </w:rPr>
        <w:t>nemocnice (FNB, FNKV a FNUSA)</w:t>
      </w:r>
    </w:p>
    <w:p w14:paraId="4F3B71E5" w14:textId="697C2763"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FNB</w:t>
      </w:r>
      <w:r w:rsidRPr="0050413C">
        <w:rPr>
          <w:rFonts w:ascii="Calibri" w:hAnsi="Calibri" w:cs="Calibri"/>
          <w:noProof/>
          <w:color w:val="000000" w:themeColor="text1"/>
          <w:sz w:val="24"/>
          <w:szCs w:val="24"/>
        </w:rPr>
        <w:tab/>
      </w:r>
      <w:r w:rsidR="007F7130" w:rsidRPr="0050413C">
        <w:rPr>
          <w:rFonts w:ascii="Calibri" w:hAnsi="Calibri" w:cs="Calibri"/>
          <w:noProof/>
          <w:color w:val="000000" w:themeColor="text1"/>
          <w:sz w:val="24"/>
          <w:szCs w:val="24"/>
        </w:rPr>
        <w:t>Fakultní nemocnice Bulovka</w:t>
      </w:r>
    </w:p>
    <w:p w14:paraId="351C5F25" w14:textId="0546522D" w:rsidR="000D7BC9" w:rsidRPr="0050413C" w:rsidRDefault="000D7BC9"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FNKV</w:t>
      </w:r>
      <w:r w:rsidR="007F7130" w:rsidRPr="0050413C">
        <w:rPr>
          <w:rFonts w:ascii="Calibri" w:hAnsi="Calibri" w:cs="Calibri"/>
          <w:noProof/>
          <w:color w:val="000000" w:themeColor="text1"/>
          <w:sz w:val="24"/>
          <w:szCs w:val="24"/>
        </w:rPr>
        <w:tab/>
        <w:t>Fakultní nemocnice Královské Vinohrady</w:t>
      </w:r>
    </w:p>
    <w:p w14:paraId="62BBE5D2" w14:textId="03CAD3BF" w:rsidR="000D7BC9" w:rsidRPr="0050413C" w:rsidRDefault="000D7BC9"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FNUSA</w:t>
      </w:r>
      <w:r w:rsidR="007F7130" w:rsidRPr="0050413C">
        <w:rPr>
          <w:rFonts w:ascii="Calibri" w:hAnsi="Calibri" w:cs="Calibri"/>
          <w:noProof/>
          <w:color w:val="000000" w:themeColor="text1"/>
          <w:sz w:val="24"/>
          <w:szCs w:val="24"/>
        </w:rPr>
        <w:tab/>
        <w:t>Fakultní nemocnice u sv. Anny v Brně</w:t>
      </w:r>
    </w:p>
    <w:p w14:paraId="0D542DFA" w14:textId="686A5356" w:rsidR="001F62E8" w:rsidRPr="0050413C" w:rsidRDefault="001F62E8"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KA</w:t>
      </w:r>
      <w:r w:rsidRPr="0050413C">
        <w:rPr>
          <w:rFonts w:ascii="Calibri" w:hAnsi="Calibri" w:cs="Calibri"/>
          <w:noProof/>
          <w:color w:val="000000" w:themeColor="text1"/>
          <w:sz w:val="24"/>
          <w:szCs w:val="24"/>
        </w:rPr>
        <w:tab/>
        <w:t>kontrolní akce</w:t>
      </w:r>
    </w:p>
    <w:p w14:paraId="5F37E7CC" w14:textId="77777777" w:rsidR="008A2993" w:rsidRDefault="008A2993" w:rsidP="008A2993">
      <w:pPr>
        <w:widowControl/>
        <w:spacing w:before="60" w:after="60"/>
        <w:ind w:left="3119" w:hanging="3119"/>
        <w:rPr>
          <w:rFonts w:ascii="Calibri" w:hAnsi="Calibri" w:cs="Calibri"/>
          <w:noProof/>
          <w:color w:val="000000" w:themeColor="text1"/>
          <w:sz w:val="24"/>
          <w:szCs w:val="24"/>
        </w:rPr>
      </w:pPr>
      <w:r>
        <w:rPr>
          <w:rFonts w:ascii="Calibri" w:hAnsi="Calibri" w:cs="Calibri"/>
          <w:noProof/>
          <w:color w:val="000000" w:themeColor="text1"/>
          <w:sz w:val="24"/>
          <w:szCs w:val="24"/>
        </w:rPr>
        <w:t>kompetenční zákon</w:t>
      </w:r>
      <w:r>
        <w:rPr>
          <w:rFonts w:ascii="Calibri" w:hAnsi="Calibri" w:cs="Calibri"/>
          <w:noProof/>
          <w:color w:val="000000" w:themeColor="text1"/>
          <w:sz w:val="24"/>
          <w:szCs w:val="24"/>
        </w:rPr>
        <w:tab/>
        <w:t>z</w:t>
      </w:r>
      <w:r w:rsidRPr="00683A25">
        <w:rPr>
          <w:rFonts w:ascii="Calibri" w:hAnsi="Calibri" w:cs="Calibri"/>
          <w:noProof/>
          <w:color w:val="000000" w:themeColor="text1"/>
          <w:sz w:val="24"/>
          <w:szCs w:val="24"/>
        </w:rPr>
        <w:t>ákon České národní rady č. 2/1969 Sb., o zřízení ministerstev a jiných ústředních orgánů státní správy České republiky</w:t>
      </w:r>
    </w:p>
    <w:p w14:paraId="31729AAD" w14:textId="63C0CC18" w:rsidR="001F62E8" w:rsidRPr="0050413C" w:rsidRDefault="001F62E8"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Léčivo, lék</w:t>
      </w:r>
      <w:r w:rsidRPr="0050413C">
        <w:rPr>
          <w:rFonts w:ascii="Calibri" w:hAnsi="Calibri" w:cs="Calibri"/>
          <w:noProof/>
          <w:color w:val="000000" w:themeColor="text1"/>
          <w:sz w:val="24"/>
          <w:szCs w:val="24"/>
        </w:rPr>
        <w:tab/>
        <w:t>léčivý přípravek</w:t>
      </w:r>
    </w:p>
    <w:p w14:paraId="4DDA53C6" w14:textId="7662B31F"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MZ</w:t>
      </w:r>
      <w:r w:rsidR="009714AD" w:rsidRPr="0050413C">
        <w:rPr>
          <w:rFonts w:ascii="Calibri" w:hAnsi="Calibri" w:cs="Calibri"/>
          <w:noProof/>
          <w:color w:val="000000" w:themeColor="text1"/>
          <w:sz w:val="24"/>
          <w:szCs w:val="24"/>
        </w:rPr>
        <w:t>d</w:t>
      </w:r>
      <w:r w:rsidRPr="0050413C">
        <w:rPr>
          <w:rFonts w:ascii="Calibri" w:hAnsi="Calibri" w:cs="Calibri"/>
          <w:noProof/>
          <w:color w:val="000000" w:themeColor="text1"/>
          <w:sz w:val="24"/>
          <w:szCs w:val="24"/>
        </w:rPr>
        <w:tab/>
        <w:t>Ministerstvo zdravotnictví</w:t>
      </w:r>
    </w:p>
    <w:p w14:paraId="084039E5" w14:textId="77777777"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NKÚ</w:t>
      </w:r>
      <w:r w:rsidRPr="0050413C">
        <w:rPr>
          <w:rFonts w:ascii="Calibri" w:hAnsi="Calibri" w:cs="Calibri"/>
          <w:noProof/>
          <w:color w:val="000000" w:themeColor="text1"/>
          <w:sz w:val="24"/>
          <w:szCs w:val="24"/>
        </w:rPr>
        <w:tab/>
        <w:t>Nejvyšší kontrolní úřad</w:t>
      </w:r>
    </w:p>
    <w:p w14:paraId="7F93D719" w14:textId="12A1903D" w:rsidR="00A91B73" w:rsidRPr="0050413C" w:rsidRDefault="00A91B73"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oddlužení</w:t>
      </w:r>
      <w:r w:rsidRPr="0050413C">
        <w:rPr>
          <w:rFonts w:ascii="Calibri" w:hAnsi="Calibri" w:cs="Calibri"/>
          <w:noProof/>
          <w:color w:val="000000" w:themeColor="text1"/>
          <w:sz w:val="24"/>
          <w:szCs w:val="24"/>
        </w:rPr>
        <w:tab/>
      </w:r>
      <w:r w:rsidR="0000375E">
        <w:rPr>
          <w:rFonts w:ascii="Calibri" w:hAnsi="Calibri" w:cs="Calibri"/>
          <w:noProof/>
          <w:color w:val="000000" w:themeColor="text1"/>
          <w:sz w:val="24"/>
          <w:szCs w:val="24"/>
        </w:rPr>
        <w:t xml:space="preserve">příspěvek </w:t>
      </w:r>
      <w:r w:rsidR="0000375E" w:rsidRPr="00E557D3">
        <w:rPr>
          <w:rFonts w:ascii="Calibri" w:hAnsi="Calibri" w:cs="Calibri"/>
          <w:noProof/>
          <w:color w:val="000000" w:themeColor="text1"/>
          <w:sz w:val="24"/>
          <w:szCs w:val="24"/>
        </w:rPr>
        <w:t>na úhradu závazků po splatnosti nebo závazků nad 60 dnů od data uskutečnění zdanitelného plnění a</w:t>
      </w:r>
      <w:r w:rsidR="0000375E">
        <w:rPr>
          <w:rFonts w:ascii="Calibri" w:hAnsi="Calibri" w:cs="Calibri"/>
          <w:noProof/>
          <w:color w:val="000000" w:themeColor="text1"/>
          <w:sz w:val="24"/>
          <w:szCs w:val="24"/>
        </w:rPr>
        <w:t> </w:t>
      </w:r>
      <w:r w:rsidR="0000375E" w:rsidRPr="00E557D3">
        <w:rPr>
          <w:rFonts w:ascii="Calibri" w:hAnsi="Calibri" w:cs="Calibri"/>
          <w:noProof/>
          <w:color w:val="000000" w:themeColor="text1"/>
          <w:sz w:val="24"/>
          <w:szCs w:val="24"/>
        </w:rPr>
        <w:t>přefinancovaných závazků</w:t>
      </w:r>
    </w:p>
    <w:p w14:paraId="1C595C4B" w14:textId="2D5BEEEF" w:rsidR="001F62E8" w:rsidRPr="0050413C" w:rsidRDefault="003C31BA"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o</w:t>
      </w:r>
      <w:r w:rsidR="001F62E8" w:rsidRPr="0050413C">
        <w:rPr>
          <w:rFonts w:ascii="Calibri" w:hAnsi="Calibri" w:cs="Calibri"/>
          <w:noProof/>
          <w:color w:val="000000" w:themeColor="text1"/>
          <w:sz w:val="24"/>
          <w:szCs w:val="24"/>
        </w:rPr>
        <w:t>dměny covid-19</w:t>
      </w:r>
      <w:r w:rsidR="009361D2" w:rsidRPr="0050413C">
        <w:rPr>
          <w:rFonts w:ascii="Calibri" w:hAnsi="Calibri" w:cs="Calibri"/>
          <w:noProof/>
          <w:color w:val="000000" w:themeColor="text1"/>
          <w:sz w:val="24"/>
          <w:szCs w:val="24"/>
        </w:rPr>
        <w:tab/>
      </w:r>
      <w:r w:rsidR="00A91B73" w:rsidRPr="0050413C">
        <w:rPr>
          <w:rFonts w:ascii="Calibri" w:hAnsi="Calibri" w:cs="Calibri"/>
          <w:noProof/>
          <w:color w:val="000000" w:themeColor="text1"/>
          <w:sz w:val="24"/>
          <w:szCs w:val="24"/>
        </w:rPr>
        <w:t xml:space="preserve">příspěvek na </w:t>
      </w:r>
      <w:r w:rsidR="009361D2" w:rsidRPr="0050413C">
        <w:rPr>
          <w:rFonts w:ascii="Calibri" w:hAnsi="Calibri" w:cs="Calibri"/>
          <w:noProof/>
          <w:color w:val="000000" w:themeColor="text1"/>
          <w:sz w:val="24"/>
          <w:szCs w:val="24"/>
        </w:rPr>
        <w:t>odměny pracovníkům vystaveným riziku onemocnění covid-19</w:t>
      </w:r>
    </w:p>
    <w:p w14:paraId="5A794DAE" w14:textId="22165E31" w:rsidR="00B26CB9" w:rsidRPr="0050413C" w:rsidRDefault="00B26CB9"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PNL</w:t>
      </w:r>
      <w:r w:rsidRPr="0050413C">
        <w:rPr>
          <w:rFonts w:ascii="Calibri" w:hAnsi="Calibri" w:cs="Calibri"/>
          <w:noProof/>
          <w:color w:val="000000" w:themeColor="text1"/>
          <w:sz w:val="24"/>
          <w:szCs w:val="24"/>
        </w:rPr>
        <w:tab/>
      </w:r>
      <w:r w:rsidR="00575BBB" w:rsidRPr="0050413C">
        <w:rPr>
          <w:rFonts w:ascii="Calibri" w:hAnsi="Calibri" w:cs="Calibri"/>
          <w:noProof/>
          <w:color w:val="000000" w:themeColor="text1"/>
          <w:sz w:val="24"/>
          <w:szCs w:val="24"/>
        </w:rPr>
        <w:t>p</w:t>
      </w:r>
      <w:r w:rsidRPr="0050413C">
        <w:rPr>
          <w:rFonts w:ascii="Calibri" w:hAnsi="Calibri" w:cs="Calibri"/>
          <w:noProof/>
          <w:color w:val="000000" w:themeColor="text1"/>
          <w:sz w:val="24"/>
          <w:szCs w:val="24"/>
        </w:rPr>
        <w:t>oln</w:t>
      </w:r>
      <w:r w:rsidR="00B32E66" w:rsidRPr="0050413C">
        <w:rPr>
          <w:rFonts w:ascii="Calibri" w:hAnsi="Calibri" w:cs="Calibri"/>
          <w:noProof/>
          <w:color w:val="000000" w:themeColor="text1"/>
          <w:sz w:val="24"/>
          <w:szCs w:val="24"/>
        </w:rPr>
        <w:t>í</w:t>
      </w:r>
      <w:r w:rsidRPr="0050413C">
        <w:rPr>
          <w:rFonts w:ascii="Calibri" w:hAnsi="Calibri" w:cs="Calibri"/>
          <w:noProof/>
          <w:color w:val="000000" w:themeColor="text1"/>
          <w:sz w:val="24"/>
          <w:szCs w:val="24"/>
        </w:rPr>
        <w:t xml:space="preserve"> nemocnice </w:t>
      </w:r>
      <w:r w:rsidR="00E347A3" w:rsidRPr="0050413C">
        <w:rPr>
          <w:rFonts w:ascii="Calibri" w:hAnsi="Calibri" w:cs="Calibri"/>
          <w:noProof/>
          <w:color w:val="000000" w:themeColor="text1"/>
          <w:sz w:val="24"/>
          <w:szCs w:val="24"/>
        </w:rPr>
        <w:t xml:space="preserve">v </w:t>
      </w:r>
      <w:r w:rsidRPr="0050413C">
        <w:rPr>
          <w:rFonts w:ascii="Calibri" w:hAnsi="Calibri" w:cs="Calibri"/>
          <w:noProof/>
          <w:color w:val="000000" w:themeColor="text1"/>
          <w:sz w:val="24"/>
          <w:szCs w:val="24"/>
        </w:rPr>
        <w:t>Letňan</w:t>
      </w:r>
      <w:r w:rsidR="00E347A3" w:rsidRPr="0050413C">
        <w:rPr>
          <w:rFonts w:ascii="Calibri" w:hAnsi="Calibri" w:cs="Calibri"/>
          <w:noProof/>
          <w:color w:val="000000" w:themeColor="text1"/>
          <w:sz w:val="24"/>
          <w:szCs w:val="24"/>
        </w:rPr>
        <w:t>ech</w:t>
      </w:r>
    </w:p>
    <w:p w14:paraId="6A6ED8E1" w14:textId="112D4085" w:rsidR="00255F4F" w:rsidRPr="0050413C" w:rsidRDefault="00255F4F"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SR</w:t>
      </w:r>
      <w:r w:rsidRPr="0050413C">
        <w:rPr>
          <w:rFonts w:ascii="Calibri" w:hAnsi="Calibri" w:cs="Calibri"/>
          <w:noProof/>
          <w:color w:val="000000" w:themeColor="text1"/>
          <w:sz w:val="24"/>
          <w:szCs w:val="24"/>
        </w:rPr>
        <w:tab/>
        <w:t>státní rozpočet</w:t>
      </w:r>
    </w:p>
    <w:p w14:paraId="22F9B71F" w14:textId="288DFEA5"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SÚKL</w:t>
      </w:r>
      <w:r w:rsidRPr="0050413C">
        <w:rPr>
          <w:rFonts w:ascii="Calibri" w:hAnsi="Calibri" w:cs="Calibri"/>
          <w:noProof/>
          <w:color w:val="000000" w:themeColor="text1"/>
          <w:sz w:val="24"/>
          <w:szCs w:val="24"/>
        </w:rPr>
        <w:tab/>
        <w:t>Státní ústav pro kontrolu léčiv</w:t>
      </w:r>
    </w:p>
    <w:p w14:paraId="28CCE894" w14:textId="5B2730A0" w:rsidR="000D7BC9" w:rsidRPr="0050413C" w:rsidRDefault="000D7BC9"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SZM</w:t>
      </w:r>
      <w:r w:rsidRPr="0050413C">
        <w:rPr>
          <w:rFonts w:ascii="Calibri" w:hAnsi="Calibri" w:cs="Calibri"/>
          <w:noProof/>
          <w:color w:val="000000" w:themeColor="text1"/>
          <w:sz w:val="24"/>
          <w:szCs w:val="24"/>
        </w:rPr>
        <w:tab/>
      </w:r>
      <w:r w:rsidR="00575BBB" w:rsidRPr="0050413C">
        <w:rPr>
          <w:rFonts w:ascii="Calibri" w:hAnsi="Calibri" w:cs="Calibri"/>
          <w:noProof/>
          <w:color w:val="000000" w:themeColor="text1"/>
          <w:sz w:val="24"/>
          <w:szCs w:val="24"/>
        </w:rPr>
        <w:t>s</w:t>
      </w:r>
      <w:r w:rsidRPr="0050413C">
        <w:rPr>
          <w:rFonts w:ascii="Calibri" w:hAnsi="Calibri" w:cs="Calibri"/>
          <w:noProof/>
          <w:color w:val="000000" w:themeColor="text1"/>
          <w:sz w:val="24"/>
          <w:szCs w:val="24"/>
        </w:rPr>
        <w:t xml:space="preserve">potřební zdravotnický </w:t>
      </w:r>
      <w:r w:rsidR="008011C7" w:rsidRPr="0050413C">
        <w:rPr>
          <w:rFonts w:ascii="Calibri" w:hAnsi="Calibri" w:cs="Calibri"/>
          <w:noProof/>
          <w:color w:val="000000" w:themeColor="text1"/>
          <w:sz w:val="24"/>
          <w:szCs w:val="24"/>
        </w:rPr>
        <w:t>materiál</w:t>
      </w:r>
    </w:p>
    <w:p w14:paraId="0B87EF1F" w14:textId="09815A5F" w:rsidR="00101A17" w:rsidRPr="0050413C" w:rsidRDefault="003D2A04"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u</w:t>
      </w:r>
      <w:r w:rsidR="00101A17" w:rsidRPr="0050413C">
        <w:rPr>
          <w:rFonts w:ascii="Calibri" w:hAnsi="Calibri" w:cs="Calibri"/>
          <w:noProof/>
          <w:color w:val="000000" w:themeColor="text1"/>
          <w:sz w:val="24"/>
          <w:szCs w:val="24"/>
        </w:rPr>
        <w:t>snesení vlád</w:t>
      </w:r>
      <w:r w:rsidR="00E347A3" w:rsidRPr="0050413C">
        <w:rPr>
          <w:rFonts w:ascii="Calibri" w:hAnsi="Calibri" w:cs="Calibri"/>
          <w:noProof/>
          <w:color w:val="000000" w:themeColor="text1"/>
          <w:sz w:val="24"/>
          <w:szCs w:val="24"/>
        </w:rPr>
        <w:t>y</w:t>
      </w:r>
      <w:r w:rsidR="00101A17" w:rsidRPr="0050413C">
        <w:rPr>
          <w:rFonts w:ascii="Calibri" w:hAnsi="Calibri" w:cs="Calibri"/>
          <w:noProof/>
          <w:color w:val="000000" w:themeColor="text1"/>
          <w:sz w:val="24"/>
          <w:szCs w:val="24"/>
        </w:rPr>
        <w:t xml:space="preserve"> č. 274</w:t>
      </w:r>
      <w:r w:rsidR="00F36AD9" w:rsidRPr="0050413C">
        <w:rPr>
          <w:rFonts w:ascii="Calibri" w:hAnsi="Calibri" w:cs="Calibri"/>
          <w:noProof/>
          <w:color w:val="000000" w:themeColor="text1"/>
          <w:sz w:val="24"/>
          <w:szCs w:val="24"/>
        </w:rPr>
        <w:tab/>
        <w:t xml:space="preserve">usnesení vlády České republiky ze dne 8. března 2021 č. 274, </w:t>
      </w:r>
      <w:r w:rsidR="00F36AD9" w:rsidRPr="005805C2">
        <w:rPr>
          <w:rFonts w:ascii="Calibri" w:hAnsi="Calibri" w:cs="Calibri"/>
          <w:i/>
          <w:noProof/>
          <w:color w:val="000000" w:themeColor="text1"/>
          <w:sz w:val="24"/>
          <w:szCs w:val="24"/>
        </w:rPr>
        <w:t>o návrhu dotačního programu na podporu mimořádného finančního ohodnocení zaměstnanců poskytovatelů lůžkové péče v</w:t>
      </w:r>
      <w:r w:rsidRPr="005805C2">
        <w:rPr>
          <w:rFonts w:ascii="Calibri" w:hAnsi="Calibri" w:cs="Calibri"/>
          <w:i/>
          <w:noProof/>
          <w:color w:val="000000" w:themeColor="text1"/>
          <w:sz w:val="24"/>
          <w:szCs w:val="24"/>
        </w:rPr>
        <w:t> </w:t>
      </w:r>
      <w:r w:rsidR="00F36AD9" w:rsidRPr="005805C2">
        <w:rPr>
          <w:rFonts w:ascii="Calibri" w:hAnsi="Calibri" w:cs="Calibri"/>
          <w:i/>
          <w:noProof/>
          <w:color w:val="000000" w:themeColor="text1"/>
          <w:sz w:val="24"/>
          <w:szCs w:val="24"/>
        </w:rPr>
        <w:t>souvislosti s epidemií COVID-19 pro rok 2021</w:t>
      </w:r>
    </w:p>
    <w:p w14:paraId="1D4B5EE6" w14:textId="4274A5BC" w:rsidR="00101A17" w:rsidRPr="0050413C" w:rsidRDefault="003D2A04"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u</w:t>
      </w:r>
      <w:r w:rsidR="00101A17" w:rsidRPr="0050413C">
        <w:rPr>
          <w:rFonts w:ascii="Calibri" w:hAnsi="Calibri" w:cs="Calibri"/>
          <w:noProof/>
          <w:color w:val="000000" w:themeColor="text1"/>
          <w:sz w:val="24"/>
          <w:szCs w:val="24"/>
        </w:rPr>
        <w:t>snesení vlády č. 417</w:t>
      </w:r>
      <w:r w:rsidR="00F36AD9" w:rsidRPr="0050413C">
        <w:rPr>
          <w:rFonts w:ascii="Calibri" w:hAnsi="Calibri" w:cs="Calibri"/>
          <w:noProof/>
          <w:color w:val="000000" w:themeColor="text1"/>
          <w:sz w:val="24"/>
          <w:szCs w:val="24"/>
        </w:rPr>
        <w:tab/>
        <w:t>usnesení vlády České republiky ze dne 26. dubna 2021 č.</w:t>
      </w:r>
      <w:r w:rsidR="00242A4A">
        <w:rPr>
          <w:rFonts w:ascii="Calibri" w:hAnsi="Calibri" w:cs="Calibri"/>
          <w:noProof/>
          <w:color w:val="000000" w:themeColor="text1"/>
          <w:sz w:val="24"/>
          <w:szCs w:val="24"/>
        </w:rPr>
        <w:t> </w:t>
      </w:r>
      <w:r w:rsidR="00F36AD9" w:rsidRPr="0050413C">
        <w:rPr>
          <w:rFonts w:ascii="Calibri" w:hAnsi="Calibri" w:cs="Calibri"/>
          <w:noProof/>
          <w:color w:val="000000" w:themeColor="text1"/>
          <w:sz w:val="24"/>
          <w:szCs w:val="24"/>
        </w:rPr>
        <w:t xml:space="preserve">417, </w:t>
      </w:r>
      <w:r w:rsidR="00F36AD9" w:rsidRPr="005805C2">
        <w:rPr>
          <w:rFonts w:ascii="Calibri" w:hAnsi="Calibri" w:cs="Calibri"/>
          <w:i/>
          <w:noProof/>
          <w:color w:val="000000" w:themeColor="text1"/>
          <w:sz w:val="24"/>
          <w:szCs w:val="24"/>
        </w:rPr>
        <w:t>o</w:t>
      </w:r>
      <w:r w:rsidR="006900AA" w:rsidRPr="005805C2">
        <w:rPr>
          <w:rFonts w:ascii="Calibri" w:hAnsi="Calibri" w:cs="Calibri"/>
          <w:i/>
          <w:noProof/>
          <w:color w:val="000000" w:themeColor="text1"/>
          <w:sz w:val="24"/>
          <w:szCs w:val="24"/>
        </w:rPr>
        <w:t> </w:t>
      </w:r>
      <w:r w:rsidR="00F36AD9" w:rsidRPr="005805C2">
        <w:rPr>
          <w:rFonts w:ascii="Calibri" w:hAnsi="Calibri" w:cs="Calibri"/>
          <w:i/>
          <w:noProof/>
          <w:color w:val="000000" w:themeColor="text1"/>
          <w:sz w:val="24"/>
          <w:szCs w:val="24"/>
        </w:rPr>
        <w:t>potřebných finančních prostředcích na odměny za období COVID-19 určené pro zaměstnance u poskytovatelů lůžkové péče v</w:t>
      </w:r>
      <w:r w:rsidR="00DD1927" w:rsidRPr="005805C2">
        <w:rPr>
          <w:rFonts w:ascii="Calibri" w:hAnsi="Calibri" w:cs="Calibri"/>
          <w:i/>
          <w:noProof/>
          <w:color w:val="000000" w:themeColor="text1"/>
          <w:sz w:val="24"/>
          <w:szCs w:val="24"/>
        </w:rPr>
        <w:t> </w:t>
      </w:r>
      <w:r w:rsidR="00F36AD9" w:rsidRPr="005805C2">
        <w:rPr>
          <w:rFonts w:ascii="Calibri" w:hAnsi="Calibri" w:cs="Calibri"/>
          <w:i/>
          <w:noProof/>
          <w:color w:val="000000" w:themeColor="text1"/>
          <w:sz w:val="24"/>
          <w:szCs w:val="24"/>
        </w:rPr>
        <w:t>roce 2021</w:t>
      </w:r>
    </w:p>
    <w:p w14:paraId="62106F13" w14:textId="7583340C" w:rsidR="002140AC" w:rsidRPr="0050413C" w:rsidRDefault="003D2A04"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u</w:t>
      </w:r>
      <w:r w:rsidR="002140AC" w:rsidRPr="0050413C">
        <w:rPr>
          <w:rFonts w:ascii="Calibri" w:hAnsi="Calibri" w:cs="Calibri"/>
          <w:noProof/>
          <w:color w:val="000000" w:themeColor="text1"/>
          <w:sz w:val="24"/>
          <w:szCs w:val="24"/>
        </w:rPr>
        <w:t>snesení vlády č. 480</w:t>
      </w:r>
      <w:r w:rsidR="002140AC" w:rsidRPr="0050413C">
        <w:rPr>
          <w:rFonts w:ascii="Calibri" w:hAnsi="Calibri" w:cs="Calibri"/>
          <w:noProof/>
          <w:color w:val="000000" w:themeColor="text1"/>
          <w:sz w:val="24"/>
          <w:szCs w:val="24"/>
        </w:rPr>
        <w:tab/>
      </w:r>
      <w:r w:rsidR="001C777E" w:rsidRPr="0050413C">
        <w:rPr>
          <w:rFonts w:ascii="Calibri" w:hAnsi="Calibri" w:cs="Calibri"/>
          <w:noProof/>
          <w:color w:val="000000" w:themeColor="text1"/>
          <w:sz w:val="24"/>
          <w:szCs w:val="24"/>
        </w:rPr>
        <w:t>u</w:t>
      </w:r>
      <w:r w:rsidR="002140AC" w:rsidRPr="0050413C">
        <w:rPr>
          <w:rFonts w:ascii="Calibri" w:hAnsi="Calibri" w:cs="Calibri"/>
          <w:noProof/>
          <w:color w:val="000000" w:themeColor="text1"/>
          <w:sz w:val="24"/>
          <w:szCs w:val="24"/>
        </w:rPr>
        <w:t>snesení vlády České republiky ze dne 27. dubna 2020 č.</w:t>
      </w:r>
      <w:r w:rsidR="006A5980">
        <w:rPr>
          <w:rFonts w:ascii="Calibri" w:hAnsi="Calibri" w:cs="Calibri"/>
          <w:noProof/>
          <w:color w:val="000000" w:themeColor="text1"/>
          <w:sz w:val="24"/>
          <w:szCs w:val="24"/>
        </w:rPr>
        <w:t> </w:t>
      </w:r>
      <w:r w:rsidR="002140AC" w:rsidRPr="0050413C">
        <w:rPr>
          <w:rFonts w:ascii="Calibri" w:hAnsi="Calibri" w:cs="Calibri"/>
          <w:noProof/>
          <w:color w:val="000000" w:themeColor="text1"/>
          <w:sz w:val="24"/>
          <w:szCs w:val="24"/>
        </w:rPr>
        <w:t xml:space="preserve">480, </w:t>
      </w:r>
      <w:r w:rsidR="002140AC" w:rsidRPr="005805C2">
        <w:rPr>
          <w:rFonts w:ascii="Calibri" w:hAnsi="Calibri" w:cs="Calibri"/>
          <w:i/>
          <w:noProof/>
          <w:color w:val="000000" w:themeColor="text1"/>
          <w:sz w:val="24"/>
          <w:szCs w:val="24"/>
        </w:rPr>
        <w:t>k</w:t>
      </w:r>
      <w:r w:rsidR="00813B0A" w:rsidRPr="005805C2">
        <w:rPr>
          <w:rFonts w:ascii="Calibri" w:hAnsi="Calibri" w:cs="Calibri"/>
          <w:i/>
          <w:noProof/>
          <w:color w:val="000000" w:themeColor="text1"/>
          <w:sz w:val="24"/>
          <w:szCs w:val="24"/>
        </w:rPr>
        <w:t> </w:t>
      </w:r>
      <w:r w:rsidR="002140AC" w:rsidRPr="005805C2">
        <w:rPr>
          <w:rFonts w:ascii="Calibri" w:hAnsi="Calibri" w:cs="Calibri"/>
          <w:i/>
          <w:noProof/>
          <w:color w:val="000000" w:themeColor="text1"/>
          <w:sz w:val="24"/>
          <w:szCs w:val="24"/>
        </w:rPr>
        <w:t>jednorázovému příspěvku zřizovatele vybraným nemocnicím na úhradu závazků po splatnosti nebo závazků nad 60 dnů od data uskutečnění zdanitelného plnění a</w:t>
      </w:r>
      <w:r w:rsidR="00242A4A">
        <w:rPr>
          <w:rFonts w:ascii="Calibri" w:hAnsi="Calibri" w:cs="Calibri"/>
          <w:i/>
          <w:noProof/>
          <w:color w:val="000000" w:themeColor="text1"/>
          <w:sz w:val="24"/>
          <w:szCs w:val="24"/>
        </w:rPr>
        <w:t> </w:t>
      </w:r>
      <w:r w:rsidR="002140AC" w:rsidRPr="005805C2">
        <w:rPr>
          <w:rFonts w:ascii="Calibri" w:hAnsi="Calibri" w:cs="Calibri"/>
          <w:i/>
          <w:noProof/>
          <w:color w:val="000000" w:themeColor="text1"/>
          <w:sz w:val="24"/>
          <w:szCs w:val="24"/>
        </w:rPr>
        <w:t>přefinancov</w:t>
      </w:r>
      <w:r w:rsidR="0075660A" w:rsidRPr="005805C2">
        <w:rPr>
          <w:rFonts w:ascii="Calibri" w:hAnsi="Calibri" w:cs="Calibri"/>
          <w:i/>
          <w:noProof/>
          <w:color w:val="000000" w:themeColor="text1"/>
          <w:sz w:val="24"/>
          <w:szCs w:val="24"/>
        </w:rPr>
        <w:t>a</w:t>
      </w:r>
      <w:r w:rsidR="002140AC" w:rsidRPr="005805C2">
        <w:rPr>
          <w:rFonts w:ascii="Calibri" w:hAnsi="Calibri" w:cs="Calibri"/>
          <w:i/>
          <w:noProof/>
          <w:color w:val="000000" w:themeColor="text1"/>
          <w:sz w:val="24"/>
          <w:szCs w:val="24"/>
        </w:rPr>
        <w:t>n</w:t>
      </w:r>
      <w:r w:rsidR="00F2517A" w:rsidRPr="005805C2">
        <w:rPr>
          <w:rFonts w:ascii="Calibri" w:hAnsi="Calibri" w:cs="Calibri"/>
          <w:i/>
          <w:noProof/>
          <w:color w:val="000000" w:themeColor="text1"/>
          <w:sz w:val="24"/>
          <w:szCs w:val="24"/>
        </w:rPr>
        <w:t>ých</w:t>
      </w:r>
      <w:r w:rsidR="002140AC" w:rsidRPr="005805C2">
        <w:rPr>
          <w:rFonts w:ascii="Calibri" w:hAnsi="Calibri" w:cs="Calibri"/>
          <w:i/>
          <w:noProof/>
          <w:color w:val="000000" w:themeColor="text1"/>
          <w:sz w:val="24"/>
          <w:szCs w:val="24"/>
        </w:rPr>
        <w:t xml:space="preserve"> závazků</w:t>
      </w:r>
    </w:p>
    <w:p w14:paraId="36482A21" w14:textId="4570B7AE" w:rsidR="002F7EC2" w:rsidRPr="0050413C" w:rsidRDefault="003D2A04" w:rsidP="00242A4A">
      <w:pPr>
        <w:pStyle w:val="Textpoznpodarou"/>
        <w:spacing w:before="60" w:after="60"/>
        <w:ind w:left="3119" w:hanging="3119"/>
        <w:jc w:val="left"/>
        <w:rPr>
          <w:rFonts w:cs="Calibri"/>
          <w:noProof/>
          <w:color w:val="000000" w:themeColor="text1"/>
          <w:sz w:val="24"/>
          <w:szCs w:val="24"/>
        </w:rPr>
      </w:pPr>
      <w:r w:rsidRPr="0050413C">
        <w:rPr>
          <w:rFonts w:cs="Calibri"/>
          <w:noProof/>
          <w:color w:val="000000" w:themeColor="text1"/>
          <w:sz w:val="24"/>
          <w:szCs w:val="24"/>
        </w:rPr>
        <w:t>u</w:t>
      </w:r>
      <w:r w:rsidR="002F7EC2" w:rsidRPr="0050413C">
        <w:rPr>
          <w:rFonts w:cs="Calibri"/>
          <w:noProof/>
          <w:color w:val="000000" w:themeColor="text1"/>
          <w:sz w:val="24"/>
          <w:szCs w:val="24"/>
        </w:rPr>
        <w:t>snesení vlády č. 675</w:t>
      </w:r>
      <w:r w:rsidR="002F7EC2" w:rsidRPr="0050413C">
        <w:rPr>
          <w:rFonts w:cs="Calibri"/>
          <w:noProof/>
          <w:color w:val="000000" w:themeColor="text1"/>
          <w:sz w:val="24"/>
          <w:szCs w:val="24"/>
        </w:rPr>
        <w:tab/>
        <w:t xml:space="preserve">usnesení vlády České republiky </w:t>
      </w:r>
      <w:r w:rsidR="00846E77" w:rsidRPr="0050413C">
        <w:rPr>
          <w:rFonts w:cs="Calibri"/>
          <w:noProof/>
          <w:color w:val="000000" w:themeColor="text1"/>
          <w:sz w:val="24"/>
          <w:szCs w:val="24"/>
        </w:rPr>
        <w:t>ze dne 30. září 2019 č. 675</w:t>
      </w:r>
      <w:r w:rsidRPr="0050413C">
        <w:rPr>
          <w:rFonts w:cs="Calibri"/>
          <w:noProof/>
          <w:color w:val="000000" w:themeColor="text1"/>
          <w:sz w:val="24"/>
          <w:szCs w:val="24"/>
        </w:rPr>
        <w:t>,</w:t>
      </w:r>
      <w:r w:rsidR="00846E77" w:rsidRPr="0050413C">
        <w:rPr>
          <w:rFonts w:cs="Calibri"/>
          <w:noProof/>
          <w:color w:val="000000" w:themeColor="text1"/>
          <w:sz w:val="24"/>
          <w:szCs w:val="24"/>
        </w:rPr>
        <w:t xml:space="preserve"> </w:t>
      </w:r>
      <w:r w:rsidR="002F7EC2" w:rsidRPr="005805C2">
        <w:rPr>
          <w:rFonts w:cs="Calibri"/>
          <w:i/>
          <w:noProof/>
          <w:color w:val="000000" w:themeColor="text1"/>
          <w:sz w:val="24"/>
          <w:szCs w:val="24"/>
        </w:rPr>
        <w:t>ke Kontrolnímu závěru Nejvyššího kontrolního úřadu z kontrolní akce č. 17/19</w:t>
      </w:r>
      <w:r w:rsidR="00846E77" w:rsidRPr="005805C2">
        <w:rPr>
          <w:rFonts w:cs="Calibri"/>
          <w:i/>
          <w:noProof/>
          <w:color w:val="000000" w:themeColor="text1"/>
          <w:sz w:val="24"/>
          <w:szCs w:val="24"/>
        </w:rPr>
        <w:t xml:space="preserve"> </w:t>
      </w:r>
      <w:r w:rsidR="002F7EC2" w:rsidRPr="005805C2">
        <w:rPr>
          <w:rFonts w:cs="Calibri"/>
          <w:i/>
          <w:noProof/>
          <w:color w:val="000000" w:themeColor="text1"/>
          <w:sz w:val="24"/>
          <w:szCs w:val="24"/>
        </w:rPr>
        <w:t>Peněžní prostředky vynakládané vybranými nemocnicemi na úhradu nákladů z činnosti</w:t>
      </w:r>
    </w:p>
    <w:p w14:paraId="2EF7FDBB" w14:textId="104369DA" w:rsidR="00101A17" w:rsidRPr="0050413C" w:rsidRDefault="003D2A04" w:rsidP="00242A4A">
      <w:pPr>
        <w:pStyle w:val="Textpoznpodarou"/>
        <w:spacing w:before="60" w:after="60"/>
        <w:ind w:left="3119" w:hanging="3119"/>
        <w:jc w:val="left"/>
        <w:rPr>
          <w:rFonts w:cs="Calibri"/>
          <w:noProof/>
          <w:color w:val="000000" w:themeColor="text1"/>
          <w:sz w:val="24"/>
          <w:szCs w:val="24"/>
        </w:rPr>
      </w:pPr>
      <w:r w:rsidRPr="0050413C">
        <w:rPr>
          <w:rFonts w:cs="Calibri"/>
          <w:noProof/>
          <w:color w:val="000000" w:themeColor="text1"/>
          <w:sz w:val="24"/>
          <w:szCs w:val="24"/>
        </w:rPr>
        <w:t>u</w:t>
      </w:r>
      <w:r w:rsidR="00101A17" w:rsidRPr="0050413C">
        <w:rPr>
          <w:rFonts w:cs="Calibri"/>
          <w:noProof/>
          <w:color w:val="000000" w:themeColor="text1"/>
          <w:sz w:val="24"/>
          <w:szCs w:val="24"/>
        </w:rPr>
        <w:t>snesení vlády č. 809</w:t>
      </w:r>
      <w:r w:rsidR="00F36AD9" w:rsidRPr="0050413C">
        <w:rPr>
          <w:rFonts w:cs="Calibri"/>
          <w:noProof/>
          <w:color w:val="000000" w:themeColor="text1"/>
          <w:sz w:val="24"/>
          <w:szCs w:val="24"/>
        </w:rPr>
        <w:tab/>
      </w:r>
      <w:r w:rsidR="001C777E" w:rsidRPr="0050413C">
        <w:rPr>
          <w:rFonts w:eastAsiaTheme="minorHAnsi" w:cs="Calibri"/>
          <w:bCs/>
          <w:sz w:val="24"/>
          <w:szCs w:val="24"/>
          <w:lang w:eastAsia="en-US"/>
        </w:rPr>
        <w:t>u</w:t>
      </w:r>
      <w:r w:rsidR="00F36AD9" w:rsidRPr="0050413C">
        <w:rPr>
          <w:rFonts w:eastAsiaTheme="minorHAnsi" w:cs="Calibri"/>
          <w:bCs/>
          <w:sz w:val="24"/>
          <w:szCs w:val="24"/>
          <w:lang w:eastAsia="en-US"/>
        </w:rPr>
        <w:t>snesení vlády České republiky ze dne 27. července 2020 č.</w:t>
      </w:r>
      <w:r w:rsidR="00242A4A">
        <w:rPr>
          <w:rFonts w:eastAsiaTheme="minorHAnsi" w:cs="Calibri"/>
          <w:bCs/>
          <w:sz w:val="24"/>
          <w:szCs w:val="24"/>
          <w:lang w:eastAsia="en-US"/>
        </w:rPr>
        <w:t> </w:t>
      </w:r>
      <w:r w:rsidR="00F36AD9" w:rsidRPr="0050413C">
        <w:rPr>
          <w:rFonts w:eastAsiaTheme="minorHAnsi" w:cs="Calibri"/>
          <w:bCs/>
          <w:sz w:val="24"/>
          <w:szCs w:val="24"/>
          <w:lang w:eastAsia="en-US"/>
        </w:rPr>
        <w:t xml:space="preserve">809, </w:t>
      </w:r>
      <w:r w:rsidR="00F36AD9" w:rsidRPr="005805C2">
        <w:rPr>
          <w:rFonts w:eastAsiaTheme="minorHAnsi" w:cs="Calibri"/>
          <w:bCs/>
          <w:i/>
          <w:sz w:val="24"/>
          <w:szCs w:val="24"/>
          <w:lang w:eastAsia="en-US"/>
        </w:rPr>
        <w:t>o</w:t>
      </w:r>
      <w:r w:rsidR="00DD1927" w:rsidRPr="005805C2">
        <w:rPr>
          <w:rFonts w:eastAsiaTheme="minorHAnsi" w:cs="Calibri"/>
          <w:bCs/>
          <w:i/>
          <w:sz w:val="24"/>
          <w:szCs w:val="24"/>
          <w:lang w:eastAsia="en-US"/>
        </w:rPr>
        <w:t> </w:t>
      </w:r>
      <w:r w:rsidR="00F36AD9" w:rsidRPr="005805C2">
        <w:rPr>
          <w:rFonts w:eastAsiaTheme="minorHAnsi" w:cs="Calibri"/>
          <w:bCs/>
          <w:i/>
          <w:sz w:val="24"/>
          <w:szCs w:val="24"/>
          <w:lang w:eastAsia="en-US"/>
        </w:rPr>
        <w:t>návrhu dotačního programu na podporu mimořádného finančního ohodnocení zaměstnanců poskytovatelů lůžkové péče v</w:t>
      </w:r>
      <w:r w:rsidRPr="005805C2">
        <w:rPr>
          <w:rFonts w:eastAsiaTheme="minorHAnsi" w:cs="Calibri"/>
          <w:bCs/>
          <w:i/>
          <w:sz w:val="24"/>
          <w:szCs w:val="24"/>
          <w:lang w:eastAsia="en-US"/>
        </w:rPr>
        <w:t> </w:t>
      </w:r>
      <w:r w:rsidR="00F36AD9" w:rsidRPr="005805C2">
        <w:rPr>
          <w:rFonts w:eastAsiaTheme="minorHAnsi" w:cs="Calibri"/>
          <w:bCs/>
          <w:i/>
          <w:sz w:val="24"/>
          <w:szCs w:val="24"/>
          <w:lang w:eastAsia="en-US"/>
        </w:rPr>
        <w:t>souvislosti s epidemií COVID</w:t>
      </w:r>
      <w:r w:rsidR="00E347A3" w:rsidRPr="005805C2">
        <w:rPr>
          <w:rFonts w:eastAsiaTheme="minorHAnsi" w:cs="Calibri"/>
          <w:bCs/>
          <w:i/>
          <w:sz w:val="24"/>
          <w:szCs w:val="24"/>
          <w:lang w:eastAsia="en-US"/>
        </w:rPr>
        <w:t>-</w:t>
      </w:r>
      <w:r w:rsidR="00F36AD9" w:rsidRPr="005805C2">
        <w:rPr>
          <w:rFonts w:eastAsiaTheme="minorHAnsi" w:cs="Calibri"/>
          <w:bCs/>
          <w:i/>
          <w:sz w:val="24"/>
          <w:szCs w:val="24"/>
          <w:lang w:eastAsia="en-US"/>
        </w:rPr>
        <w:t>19</w:t>
      </w:r>
    </w:p>
    <w:p w14:paraId="4CED926C" w14:textId="0540894B" w:rsidR="00101A17" w:rsidRPr="0050413C" w:rsidRDefault="003D2A04" w:rsidP="00242A4A">
      <w:pPr>
        <w:pStyle w:val="Textpoznpodarou"/>
        <w:spacing w:before="60" w:after="60"/>
        <w:ind w:left="3119" w:hanging="3119"/>
        <w:jc w:val="left"/>
        <w:rPr>
          <w:rFonts w:cs="Calibri"/>
          <w:noProof/>
          <w:color w:val="000000" w:themeColor="text1"/>
          <w:sz w:val="24"/>
          <w:szCs w:val="24"/>
        </w:rPr>
      </w:pPr>
      <w:r w:rsidRPr="0050413C">
        <w:rPr>
          <w:rFonts w:cs="Calibri"/>
          <w:noProof/>
          <w:color w:val="000000" w:themeColor="text1"/>
          <w:sz w:val="24"/>
          <w:szCs w:val="24"/>
        </w:rPr>
        <w:t>u</w:t>
      </w:r>
      <w:r w:rsidR="00101A17" w:rsidRPr="0050413C">
        <w:rPr>
          <w:rFonts w:cs="Calibri"/>
          <w:noProof/>
          <w:color w:val="000000" w:themeColor="text1"/>
          <w:sz w:val="24"/>
          <w:szCs w:val="24"/>
        </w:rPr>
        <w:t>snesení vlády č. 870</w:t>
      </w:r>
      <w:r w:rsidR="00F36AD9" w:rsidRPr="0050413C">
        <w:rPr>
          <w:rFonts w:cs="Calibri"/>
          <w:noProof/>
          <w:color w:val="000000" w:themeColor="text1"/>
          <w:sz w:val="24"/>
          <w:szCs w:val="24"/>
        </w:rPr>
        <w:tab/>
        <w:t xml:space="preserve">usnesení vlády České republiky ze dne 24. srpna 2020 č. 870, </w:t>
      </w:r>
      <w:r w:rsidR="00F36AD9" w:rsidRPr="005805C2">
        <w:rPr>
          <w:rFonts w:cs="Calibri"/>
          <w:i/>
          <w:noProof/>
          <w:color w:val="000000" w:themeColor="text1"/>
          <w:sz w:val="24"/>
          <w:szCs w:val="24"/>
        </w:rPr>
        <w:t>o změně usnesení vlády ze dne 27. července 2020 č. 809 a</w:t>
      </w:r>
      <w:r w:rsidR="00403BE5" w:rsidRPr="005805C2">
        <w:rPr>
          <w:rFonts w:cs="Calibri"/>
          <w:i/>
          <w:noProof/>
          <w:color w:val="000000" w:themeColor="text1"/>
          <w:sz w:val="24"/>
          <w:szCs w:val="24"/>
        </w:rPr>
        <w:t> </w:t>
      </w:r>
      <w:r w:rsidR="00F36AD9" w:rsidRPr="005805C2">
        <w:rPr>
          <w:rFonts w:cs="Calibri"/>
          <w:i/>
          <w:noProof/>
          <w:color w:val="000000" w:themeColor="text1"/>
          <w:sz w:val="24"/>
          <w:szCs w:val="24"/>
        </w:rPr>
        <w:t>usnesení vlády ze dne 25. května 2020 č. 581 ve znění usnesení vlády ze dne 1. června 2020 č. 60</w:t>
      </w:r>
      <w:r w:rsidR="00CE5076" w:rsidRPr="005805C2">
        <w:rPr>
          <w:rFonts w:cs="Calibri"/>
          <w:i/>
          <w:noProof/>
          <w:color w:val="000000" w:themeColor="text1"/>
          <w:sz w:val="24"/>
          <w:szCs w:val="24"/>
        </w:rPr>
        <w:t>4</w:t>
      </w:r>
    </w:p>
    <w:p w14:paraId="04D17882" w14:textId="17DFC576" w:rsidR="006301E8" w:rsidRPr="0050413C" w:rsidRDefault="003D2A04" w:rsidP="00242A4A">
      <w:pPr>
        <w:pStyle w:val="Textpoznpodarou"/>
        <w:spacing w:before="60" w:after="60"/>
        <w:ind w:left="3119" w:hanging="3119"/>
        <w:jc w:val="left"/>
        <w:rPr>
          <w:rFonts w:cs="Calibri"/>
          <w:noProof/>
          <w:color w:val="000000" w:themeColor="text1"/>
          <w:sz w:val="24"/>
          <w:szCs w:val="24"/>
        </w:rPr>
      </w:pPr>
      <w:r w:rsidRPr="0050413C">
        <w:rPr>
          <w:rFonts w:cs="Calibri"/>
          <w:noProof/>
          <w:color w:val="000000" w:themeColor="text1"/>
          <w:sz w:val="24"/>
          <w:szCs w:val="24"/>
        </w:rPr>
        <w:t>u</w:t>
      </w:r>
      <w:r w:rsidR="006301E8" w:rsidRPr="0050413C">
        <w:rPr>
          <w:rFonts w:cs="Calibri"/>
          <w:noProof/>
          <w:color w:val="000000" w:themeColor="text1"/>
          <w:sz w:val="24"/>
          <w:szCs w:val="24"/>
        </w:rPr>
        <w:t>snesení vlády č. 1043</w:t>
      </w:r>
      <w:r w:rsidR="006301E8" w:rsidRPr="0050413C">
        <w:rPr>
          <w:rFonts w:cs="Calibri"/>
          <w:noProof/>
          <w:color w:val="000000" w:themeColor="text1"/>
          <w:sz w:val="24"/>
          <w:szCs w:val="24"/>
        </w:rPr>
        <w:tab/>
      </w:r>
      <w:r w:rsidR="001C777E" w:rsidRPr="0050413C">
        <w:rPr>
          <w:rFonts w:cs="Calibri"/>
          <w:noProof/>
          <w:color w:val="000000" w:themeColor="text1"/>
          <w:sz w:val="24"/>
          <w:szCs w:val="24"/>
        </w:rPr>
        <w:t>u</w:t>
      </w:r>
      <w:r w:rsidR="006301E8" w:rsidRPr="0050413C">
        <w:rPr>
          <w:rFonts w:cs="Calibri"/>
          <w:noProof/>
          <w:color w:val="000000" w:themeColor="text1"/>
          <w:sz w:val="24"/>
          <w:szCs w:val="24"/>
        </w:rPr>
        <w:t xml:space="preserve">snesení vlády České republiky ze dne 16. října 2020 č. 1043, </w:t>
      </w:r>
      <w:r w:rsidR="006301E8" w:rsidRPr="005805C2">
        <w:rPr>
          <w:rFonts w:cs="Calibri"/>
          <w:i/>
          <w:noProof/>
          <w:color w:val="000000" w:themeColor="text1"/>
          <w:sz w:val="24"/>
          <w:szCs w:val="24"/>
        </w:rPr>
        <w:t>o</w:t>
      </w:r>
      <w:r w:rsidR="00721114" w:rsidRPr="005805C2">
        <w:rPr>
          <w:rFonts w:cs="Calibri"/>
          <w:i/>
          <w:noProof/>
          <w:color w:val="000000" w:themeColor="text1"/>
          <w:sz w:val="24"/>
          <w:szCs w:val="24"/>
        </w:rPr>
        <w:t> </w:t>
      </w:r>
      <w:r w:rsidR="006301E8" w:rsidRPr="005805C2">
        <w:rPr>
          <w:rFonts w:cs="Calibri"/>
          <w:i/>
          <w:noProof/>
          <w:color w:val="000000" w:themeColor="text1"/>
          <w:sz w:val="24"/>
          <w:szCs w:val="24"/>
        </w:rPr>
        <w:t>nařízení o použití Armády České republiky k záchranným pracím při ochraně obyvatelstva a prevenci šíření koronaviru SARS CoV-2 spočívající ve vybudování záložního zdravotnického zařízení a jeho částečné obsluze</w:t>
      </w:r>
    </w:p>
    <w:p w14:paraId="4D4EF2DB" w14:textId="23C6A2F4" w:rsidR="001F62E8" w:rsidRPr="0050413C" w:rsidRDefault="001F62E8"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Výzva 2020</w:t>
      </w:r>
      <w:r w:rsidR="00913D22" w:rsidRPr="0050413C">
        <w:rPr>
          <w:rFonts w:ascii="Calibri" w:hAnsi="Calibri" w:cs="Calibri"/>
          <w:noProof/>
          <w:color w:val="000000" w:themeColor="text1"/>
          <w:sz w:val="24"/>
          <w:szCs w:val="24"/>
        </w:rPr>
        <w:tab/>
      </w:r>
      <w:r w:rsidR="00913D22" w:rsidRPr="005805C2">
        <w:rPr>
          <w:rFonts w:ascii="Calibri" w:hAnsi="Calibri" w:cs="Calibri"/>
          <w:i/>
          <w:noProof/>
          <w:color w:val="000000" w:themeColor="text1"/>
          <w:sz w:val="24"/>
          <w:szCs w:val="24"/>
        </w:rPr>
        <w:t>Program podpory mimořádného finančního ohodnocení zaměstnanců přímo řízených poskytovatelů lůžkové péče v</w:t>
      </w:r>
      <w:r w:rsidR="00961CB2" w:rsidRPr="005805C2">
        <w:rPr>
          <w:rFonts w:ascii="Calibri" w:hAnsi="Calibri" w:cs="Calibri"/>
          <w:i/>
          <w:noProof/>
          <w:color w:val="000000" w:themeColor="text1"/>
          <w:sz w:val="24"/>
          <w:szCs w:val="24"/>
        </w:rPr>
        <w:t> </w:t>
      </w:r>
      <w:r w:rsidR="00913D22" w:rsidRPr="005805C2">
        <w:rPr>
          <w:rFonts w:ascii="Calibri" w:hAnsi="Calibri" w:cs="Calibri"/>
          <w:i/>
          <w:noProof/>
          <w:color w:val="000000" w:themeColor="text1"/>
          <w:sz w:val="24"/>
          <w:szCs w:val="24"/>
        </w:rPr>
        <w:t>souvislosti s epidemií COVID-19 formou mimořádného příspěvku zřizovatele</w:t>
      </w:r>
    </w:p>
    <w:p w14:paraId="151D5496" w14:textId="23A0BDB2" w:rsidR="001F62E8" w:rsidRPr="0050413C" w:rsidRDefault="001F62E8"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Výzva 2021</w:t>
      </w:r>
      <w:r w:rsidR="00913D22" w:rsidRPr="0050413C">
        <w:rPr>
          <w:rFonts w:ascii="Calibri" w:hAnsi="Calibri" w:cs="Calibri"/>
          <w:noProof/>
          <w:color w:val="000000" w:themeColor="text1"/>
          <w:sz w:val="24"/>
          <w:szCs w:val="24"/>
        </w:rPr>
        <w:tab/>
      </w:r>
      <w:r w:rsidR="00913D22" w:rsidRPr="005805C2">
        <w:rPr>
          <w:rFonts w:ascii="Calibri" w:hAnsi="Calibri" w:cs="Calibri"/>
          <w:i/>
          <w:noProof/>
          <w:color w:val="000000" w:themeColor="text1"/>
          <w:sz w:val="24"/>
          <w:szCs w:val="24"/>
        </w:rPr>
        <w:t>Podpora mimořádného finančního ohodnocení zaměstnanců poskytovatelů lůžkové péče v souvislosti s epidemií COVID-19 pro rok 2021</w:t>
      </w:r>
    </w:p>
    <w:p w14:paraId="65FB1C35" w14:textId="1A7BF231" w:rsidR="001C777E" w:rsidRPr="0050413C" w:rsidRDefault="001C777E"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VZMR</w:t>
      </w:r>
      <w:r w:rsidRPr="0050413C">
        <w:rPr>
          <w:rFonts w:ascii="Calibri" w:hAnsi="Calibri" w:cs="Calibri"/>
          <w:noProof/>
          <w:color w:val="000000" w:themeColor="text1"/>
          <w:sz w:val="24"/>
          <w:szCs w:val="24"/>
        </w:rPr>
        <w:tab/>
        <w:t>veřejná zakázka malého rozsahu</w:t>
      </w:r>
    </w:p>
    <w:p w14:paraId="3517CBEC" w14:textId="1CDC9F73" w:rsidR="00A4650C" w:rsidRDefault="00A4650C" w:rsidP="00242A4A">
      <w:pPr>
        <w:widowControl/>
        <w:spacing w:before="60" w:after="60"/>
        <w:ind w:left="3119" w:hanging="3119"/>
        <w:rPr>
          <w:rFonts w:ascii="Calibri" w:hAnsi="Calibri" w:cs="Calibri"/>
          <w:noProof/>
          <w:color w:val="000000" w:themeColor="text1"/>
          <w:sz w:val="24"/>
          <w:szCs w:val="24"/>
        </w:rPr>
      </w:pPr>
      <w:r>
        <w:rPr>
          <w:rFonts w:ascii="Calibri" w:hAnsi="Calibri" w:cs="Calibri"/>
          <w:noProof/>
          <w:color w:val="000000" w:themeColor="text1"/>
          <w:sz w:val="24"/>
          <w:szCs w:val="24"/>
        </w:rPr>
        <w:t>zákon o majetku státu</w:t>
      </w:r>
      <w:r>
        <w:rPr>
          <w:rFonts w:ascii="Calibri" w:hAnsi="Calibri" w:cs="Calibri"/>
          <w:noProof/>
          <w:color w:val="000000" w:themeColor="text1"/>
          <w:sz w:val="24"/>
          <w:szCs w:val="24"/>
        </w:rPr>
        <w:tab/>
        <w:t>z</w:t>
      </w:r>
      <w:r w:rsidRPr="00A4650C">
        <w:rPr>
          <w:rFonts w:ascii="Calibri" w:hAnsi="Calibri" w:cs="Calibri"/>
          <w:noProof/>
          <w:color w:val="000000" w:themeColor="text1"/>
          <w:sz w:val="24"/>
          <w:szCs w:val="24"/>
        </w:rPr>
        <w:t>ákon č. 219/2000 Sb., o majetku České republiky a jejím vystupování v právních vztazích</w:t>
      </w:r>
    </w:p>
    <w:p w14:paraId="39E9CD0C" w14:textId="10A8C199" w:rsidR="00601F8B" w:rsidRPr="0050413C" w:rsidRDefault="00601F8B"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ZPr</w:t>
      </w:r>
      <w:r w:rsidRPr="0050413C">
        <w:rPr>
          <w:rFonts w:ascii="Calibri" w:hAnsi="Calibri" w:cs="Calibri"/>
          <w:noProof/>
          <w:color w:val="000000" w:themeColor="text1"/>
          <w:sz w:val="24"/>
          <w:szCs w:val="24"/>
        </w:rPr>
        <w:tab/>
        <w:t>zdravotnický prostředek</w:t>
      </w:r>
    </w:p>
    <w:p w14:paraId="2A526392" w14:textId="5D871B78" w:rsidR="00DC475D" w:rsidRPr="0050413C" w:rsidRDefault="00DC475D" w:rsidP="00242A4A">
      <w:pPr>
        <w:widowControl/>
        <w:spacing w:before="60" w:after="60"/>
        <w:ind w:left="3119" w:hanging="3119"/>
        <w:rPr>
          <w:rFonts w:ascii="Calibri" w:hAnsi="Calibri" w:cs="Calibri"/>
          <w:noProof/>
          <w:color w:val="000000" w:themeColor="text1"/>
          <w:sz w:val="24"/>
          <w:szCs w:val="24"/>
        </w:rPr>
      </w:pPr>
      <w:r w:rsidRPr="0050413C">
        <w:rPr>
          <w:rFonts w:ascii="Calibri" w:hAnsi="Calibri" w:cs="Calibri"/>
          <w:noProof/>
          <w:color w:val="000000" w:themeColor="text1"/>
          <w:sz w:val="24"/>
          <w:szCs w:val="24"/>
        </w:rPr>
        <w:t>ZUM</w:t>
      </w:r>
      <w:r w:rsidRPr="0050413C">
        <w:rPr>
          <w:rFonts w:ascii="Calibri" w:hAnsi="Calibri" w:cs="Calibri"/>
          <w:noProof/>
          <w:color w:val="000000" w:themeColor="text1"/>
          <w:sz w:val="24"/>
          <w:szCs w:val="24"/>
        </w:rPr>
        <w:tab/>
        <w:t>zvlášť účtovaný materiál</w:t>
      </w:r>
    </w:p>
    <w:p w14:paraId="2961C62E" w14:textId="7EA6F0B8" w:rsidR="00E60DD4" w:rsidRPr="00527E83" w:rsidRDefault="00E60DD4" w:rsidP="00A4650C">
      <w:pPr>
        <w:keepNext/>
        <w:spacing w:before="600" w:after="240"/>
        <w:jc w:val="both"/>
        <w:rPr>
          <w:rFonts w:asciiTheme="minorHAnsi" w:eastAsiaTheme="minorHAnsi" w:hAnsiTheme="minorHAnsi" w:cstheme="minorHAnsi"/>
          <w:b/>
          <w:bCs/>
          <w:sz w:val="24"/>
          <w:szCs w:val="24"/>
          <w:lang w:eastAsia="en-US"/>
        </w:rPr>
      </w:pPr>
      <w:r w:rsidRPr="00527E83">
        <w:rPr>
          <w:rFonts w:asciiTheme="minorHAnsi" w:eastAsiaTheme="minorHAnsi" w:hAnsiTheme="minorHAnsi" w:cstheme="minorHAnsi"/>
          <w:b/>
          <w:bCs/>
          <w:sz w:val="24"/>
          <w:szCs w:val="24"/>
          <w:lang w:eastAsia="en-US"/>
        </w:rPr>
        <w:t>Seznam příloh</w:t>
      </w:r>
    </w:p>
    <w:p w14:paraId="18C143BA" w14:textId="04A8FFC7" w:rsidR="00F56DF7" w:rsidRPr="00527E83" w:rsidRDefault="00E60DD4" w:rsidP="00DD1927">
      <w:pPr>
        <w:keepLines/>
        <w:widowControl/>
        <w:ind w:left="1332" w:hanging="1332"/>
        <w:rPr>
          <w:rFonts w:asciiTheme="minorHAnsi" w:eastAsia="Times New Roman" w:hAnsiTheme="minorHAnsi" w:cstheme="minorHAnsi"/>
          <w:sz w:val="24"/>
          <w:szCs w:val="24"/>
          <w:lang w:eastAsia="en-US"/>
        </w:rPr>
      </w:pPr>
      <w:r w:rsidRPr="00527E83">
        <w:rPr>
          <w:rFonts w:asciiTheme="minorHAnsi" w:eastAsia="Times New Roman" w:hAnsiTheme="minorHAnsi" w:cstheme="minorHAnsi"/>
          <w:sz w:val="24"/>
          <w:szCs w:val="24"/>
          <w:lang w:eastAsia="en-US"/>
        </w:rPr>
        <w:t xml:space="preserve">Příloha č. 1 </w:t>
      </w:r>
      <w:r w:rsidR="00F56DF7" w:rsidRPr="00527E83">
        <w:rPr>
          <w:rFonts w:asciiTheme="minorHAnsi" w:eastAsia="Times New Roman" w:hAnsiTheme="minorHAnsi" w:cstheme="minorHAnsi"/>
          <w:sz w:val="24"/>
          <w:szCs w:val="24"/>
          <w:lang w:eastAsia="en-US"/>
        </w:rPr>
        <w:t>– Náklady na léčiva a na zdravotnické prostředky ve vztahu k celkovým nákladům</w:t>
      </w:r>
      <w:r w:rsidR="00266299">
        <w:rPr>
          <w:rFonts w:asciiTheme="minorHAnsi" w:eastAsia="Times New Roman" w:hAnsiTheme="minorHAnsi" w:cstheme="minorHAnsi"/>
          <w:sz w:val="24"/>
          <w:szCs w:val="24"/>
          <w:lang w:eastAsia="en-US"/>
        </w:rPr>
        <w:t xml:space="preserve"> FN</w:t>
      </w:r>
    </w:p>
    <w:p w14:paraId="26FC8BCF" w14:textId="29210F79" w:rsidR="00E60DD4" w:rsidRPr="00527E83" w:rsidRDefault="00F56DF7" w:rsidP="00DD1927">
      <w:pPr>
        <w:keepLines/>
        <w:widowControl/>
        <w:ind w:left="1332" w:hanging="1332"/>
        <w:rPr>
          <w:rFonts w:asciiTheme="minorHAnsi" w:eastAsia="Times New Roman" w:hAnsiTheme="minorHAnsi" w:cstheme="minorHAnsi"/>
          <w:sz w:val="24"/>
          <w:szCs w:val="24"/>
          <w:lang w:eastAsia="en-US"/>
        </w:rPr>
      </w:pPr>
      <w:r w:rsidRPr="00527E83">
        <w:rPr>
          <w:rFonts w:asciiTheme="minorHAnsi" w:eastAsia="Times New Roman" w:hAnsiTheme="minorHAnsi" w:cstheme="minorHAnsi"/>
          <w:sz w:val="24"/>
          <w:szCs w:val="24"/>
          <w:lang w:eastAsia="en-US"/>
        </w:rPr>
        <w:t xml:space="preserve">Příloha č. 2 </w:t>
      </w:r>
      <w:r w:rsidR="00BB14A4" w:rsidRPr="00527E83">
        <w:rPr>
          <w:rFonts w:asciiTheme="minorHAnsi" w:eastAsia="Times New Roman" w:hAnsiTheme="minorHAnsi" w:cstheme="minorHAnsi"/>
          <w:sz w:val="24"/>
          <w:szCs w:val="24"/>
          <w:lang w:eastAsia="en-US"/>
        </w:rPr>
        <w:t>–</w:t>
      </w:r>
      <w:r w:rsidR="00E60DD4" w:rsidRPr="00527E83">
        <w:rPr>
          <w:rFonts w:asciiTheme="minorHAnsi" w:eastAsia="Times New Roman" w:hAnsiTheme="minorHAnsi" w:cstheme="minorHAnsi"/>
          <w:sz w:val="24"/>
          <w:szCs w:val="24"/>
          <w:lang w:eastAsia="en-US"/>
        </w:rPr>
        <w:t xml:space="preserve"> </w:t>
      </w:r>
      <w:r w:rsidR="006F4114" w:rsidRPr="00527E83">
        <w:rPr>
          <w:rFonts w:asciiTheme="minorHAnsi" w:eastAsia="Times New Roman" w:hAnsiTheme="minorHAnsi" w:cstheme="minorHAnsi"/>
          <w:sz w:val="24"/>
          <w:szCs w:val="24"/>
          <w:lang w:eastAsia="en-US"/>
        </w:rPr>
        <w:tab/>
      </w:r>
      <w:r w:rsidR="000E64BD" w:rsidRPr="00527E83">
        <w:rPr>
          <w:rFonts w:asciiTheme="minorHAnsi" w:eastAsia="Times New Roman" w:hAnsiTheme="minorHAnsi" w:cstheme="minorHAnsi"/>
          <w:sz w:val="24"/>
          <w:szCs w:val="24"/>
          <w:lang w:eastAsia="en-US"/>
        </w:rPr>
        <w:t xml:space="preserve">Cenové rozdíly jednotkových cen </w:t>
      </w:r>
      <w:proofErr w:type="spellStart"/>
      <w:r w:rsidR="000E64BD" w:rsidRPr="00527E83">
        <w:rPr>
          <w:rFonts w:asciiTheme="minorHAnsi" w:eastAsia="Times New Roman" w:hAnsiTheme="minorHAnsi" w:cstheme="minorHAnsi"/>
          <w:sz w:val="24"/>
          <w:szCs w:val="24"/>
          <w:lang w:eastAsia="en-US"/>
        </w:rPr>
        <w:t>centrových</w:t>
      </w:r>
      <w:proofErr w:type="spellEnd"/>
      <w:r w:rsidR="000E64BD" w:rsidRPr="00527E83">
        <w:rPr>
          <w:rFonts w:asciiTheme="minorHAnsi" w:eastAsia="Times New Roman" w:hAnsiTheme="minorHAnsi" w:cstheme="minorHAnsi"/>
          <w:sz w:val="24"/>
          <w:szCs w:val="24"/>
          <w:lang w:eastAsia="en-US"/>
        </w:rPr>
        <w:t xml:space="preserve"> léků</w:t>
      </w:r>
      <w:r w:rsidR="00E557D3">
        <w:rPr>
          <w:rFonts w:asciiTheme="minorHAnsi" w:eastAsia="Times New Roman" w:hAnsiTheme="minorHAnsi" w:cstheme="minorHAnsi"/>
          <w:sz w:val="24"/>
          <w:szCs w:val="24"/>
          <w:lang w:eastAsia="en-US"/>
        </w:rPr>
        <w:t xml:space="preserve"> u FN</w:t>
      </w:r>
    </w:p>
    <w:p w14:paraId="418C4769" w14:textId="121D5C5A" w:rsidR="00E60DD4" w:rsidRPr="00527E83" w:rsidRDefault="00E60DD4" w:rsidP="00DD1927">
      <w:pPr>
        <w:keepLines/>
        <w:widowControl/>
        <w:autoSpaceDE/>
        <w:autoSpaceDN/>
        <w:adjustRightInd/>
        <w:ind w:left="1332" w:hanging="1332"/>
        <w:rPr>
          <w:rFonts w:asciiTheme="minorHAnsi" w:eastAsia="Times New Roman" w:hAnsiTheme="minorHAnsi" w:cstheme="minorHAnsi"/>
          <w:sz w:val="24"/>
          <w:szCs w:val="24"/>
          <w:lang w:eastAsia="en-US"/>
        </w:rPr>
      </w:pPr>
      <w:r w:rsidRPr="00527E83">
        <w:rPr>
          <w:rFonts w:asciiTheme="minorHAnsi" w:eastAsia="Times New Roman" w:hAnsiTheme="minorHAnsi" w:cstheme="minorHAnsi"/>
          <w:sz w:val="24"/>
          <w:szCs w:val="24"/>
          <w:lang w:eastAsia="en-US"/>
        </w:rPr>
        <w:t xml:space="preserve">Příloha č. </w:t>
      </w:r>
      <w:r w:rsidR="00F56DF7" w:rsidRPr="00527E83">
        <w:rPr>
          <w:rFonts w:asciiTheme="minorHAnsi" w:eastAsia="Times New Roman" w:hAnsiTheme="minorHAnsi" w:cstheme="minorHAnsi"/>
          <w:sz w:val="24"/>
          <w:szCs w:val="24"/>
          <w:lang w:eastAsia="en-US"/>
        </w:rPr>
        <w:t>3</w:t>
      </w:r>
      <w:r w:rsidRPr="00527E83">
        <w:rPr>
          <w:rFonts w:asciiTheme="minorHAnsi" w:eastAsia="Times New Roman" w:hAnsiTheme="minorHAnsi" w:cstheme="minorHAnsi"/>
          <w:sz w:val="24"/>
          <w:szCs w:val="24"/>
          <w:lang w:eastAsia="en-US"/>
        </w:rPr>
        <w:t xml:space="preserve"> </w:t>
      </w:r>
      <w:r w:rsidR="00BB14A4" w:rsidRPr="00527E83">
        <w:rPr>
          <w:rFonts w:asciiTheme="minorHAnsi" w:eastAsia="Times New Roman" w:hAnsiTheme="minorHAnsi" w:cstheme="minorHAnsi"/>
          <w:sz w:val="24"/>
          <w:szCs w:val="24"/>
          <w:lang w:eastAsia="en-US"/>
        </w:rPr>
        <w:t>–</w:t>
      </w:r>
      <w:r w:rsidRPr="00527E83">
        <w:rPr>
          <w:rFonts w:asciiTheme="minorHAnsi" w:eastAsia="Times New Roman" w:hAnsiTheme="minorHAnsi" w:cstheme="minorHAnsi"/>
          <w:sz w:val="24"/>
          <w:szCs w:val="24"/>
          <w:lang w:eastAsia="en-US"/>
        </w:rPr>
        <w:t xml:space="preserve"> </w:t>
      </w:r>
      <w:r w:rsidR="006F4114" w:rsidRPr="00527E83">
        <w:rPr>
          <w:rFonts w:asciiTheme="minorHAnsi" w:eastAsia="Times New Roman" w:hAnsiTheme="minorHAnsi" w:cstheme="minorHAnsi"/>
          <w:sz w:val="24"/>
          <w:szCs w:val="24"/>
          <w:lang w:eastAsia="en-US"/>
        </w:rPr>
        <w:tab/>
      </w:r>
      <w:r w:rsidR="000E64BD" w:rsidRPr="00527E83">
        <w:rPr>
          <w:rFonts w:asciiTheme="minorHAnsi" w:eastAsia="Times New Roman" w:hAnsiTheme="minorHAnsi" w:cstheme="minorHAnsi"/>
          <w:sz w:val="24"/>
          <w:szCs w:val="24"/>
          <w:lang w:eastAsia="en-US"/>
        </w:rPr>
        <w:t>Cenové rozdíly jednotkových cen léčiv</w:t>
      </w:r>
      <w:r w:rsidR="00301EB9" w:rsidRPr="00527E83">
        <w:rPr>
          <w:rFonts w:asciiTheme="minorHAnsi" w:eastAsia="Times New Roman" w:hAnsiTheme="minorHAnsi" w:cstheme="minorHAnsi"/>
          <w:sz w:val="24"/>
          <w:szCs w:val="24"/>
          <w:lang w:eastAsia="en-US"/>
        </w:rPr>
        <w:t>ých přípravků</w:t>
      </w:r>
      <w:r w:rsidR="000E64BD" w:rsidRPr="00527E83">
        <w:rPr>
          <w:rFonts w:asciiTheme="minorHAnsi" w:eastAsia="Times New Roman" w:hAnsiTheme="minorHAnsi" w:cstheme="minorHAnsi"/>
          <w:sz w:val="24"/>
          <w:szCs w:val="24"/>
          <w:lang w:eastAsia="en-US"/>
        </w:rPr>
        <w:t xml:space="preserve"> skupiny ATC </w:t>
      </w:r>
      <w:r w:rsidR="00865464">
        <w:rPr>
          <w:rFonts w:asciiTheme="minorHAnsi" w:eastAsia="Times New Roman" w:hAnsiTheme="minorHAnsi" w:cstheme="minorHAnsi"/>
          <w:sz w:val="24"/>
          <w:szCs w:val="24"/>
          <w:lang w:eastAsia="en-US"/>
        </w:rPr>
        <w:t>—</w:t>
      </w:r>
      <w:r w:rsidR="000E64BD" w:rsidRPr="00527E83">
        <w:rPr>
          <w:rFonts w:asciiTheme="minorHAnsi" w:eastAsia="Times New Roman" w:hAnsiTheme="minorHAnsi" w:cstheme="minorHAnsi"/>
          <w:sz w:val="24"/>
          <w:szCs w:val="24"/>
          <w:lang w:eastAsia="en-US"/>
        </w:rPr>
        <w:t xml:space="preserve"> J</w:t>
      </w:r>
      <w:r w:rsidR="00E557D3">
        <w:rPr>
          <w:rFonts w:asciiTheme="minorHAnsi" w:eastAsia="Times New Roman" w:hAnsiTheme="minorHAnsi" w:cstheme="minorHAnsi"/>
          <w:sz w:val="24"/>
          <w:szCs w:val="24"/>
          <w:lang w:eastAsia="en-US"/>
        </w:rPr>
        <w:t xml:space="preserve"> u FN</w:t>
      </w:r>
    </w:p>
    <w:p w14:paraId="6C60AAED" w14:textId="4493B41E" w:rsidR="000E64BD" w:rsidRPr="00527E83" w:rsidRDefault="000E64BD" w:rsidP="00DD1927">
      <w:pPr>
        <w:keepLines/>
        <w:widowControl/>
        <w:autoSpaceDE/>
        <w:autoSpaceDN/>
        <w:adjustRightInd/>
        <w:ind w:left="1332" w:hanging="1332"/>
        <w:rPr>
          <w:rFonts w:asciiTheme="minorHAnsi" w:eastAsia="Times New Roman" w:hAnsiTheme="minorHAnsi" w:cstheme="minorHAnsi"/>
          <w:sz w:val="24"/>
          <w:szCs w:val="24"/>
          <w:lang w:eastAsia="en-US"/>
        </w:rPr>
      </w:pPr>
      <w:r w:rsidRPr="00527E83">
        <w:rPr>
          <w:rFonts w:asciiTheme="minorHAnsi" w:eastAsia="Times New Roman" w:hAnsiTheme="minorHAnsi" w:cstheme="minorHAnsi"/>
          <w:sz w:val="24"/>
          <w:szCs w:val="24"/>
          <w:lang w:eastAsia="en-US"/>
        </w:rPr>
        <w:t xml:space="preserve">Příloha č. </w:t>
      </w:r>
      <w:r w:rsidR="00F56DF7" w:rsidRPr="00527E83">
        <w:rPr>
          <w:rFonts w:asciiTheme="minorHAnsi" w:eastAsia="Times New Roman" w:hAnsiTheme="minorHAnsi" w:cstheme="minorHAnsi"/>
          <w:sz w:val="24"/>
          <w:szCs w:val="24"/>
          <w:lang w:eastAsia="en-US"/>
        </w:rPr>
        <w:t>4</w:t>
      </w:r>
      <w:r w:rsidRPr="00527E83">
        <w:rPr>
          <w:rFonts w:asciiTheme="minorHAnsi" w:eastAsia="Times New Roman" w:hAnsiTheme="minorHAnsi" w:cstheme="minorHAnsi"/>
          <w:sz w:val="24"/>
          <w:szCs w:val="24"/>
          <w:lang w:eastAsia="en-US"/>
        </w:rPr>
        <w:t xml:space="preserve"> – Cenové rozdíly jednotkových cen zdravotnických prostředků </w:t>
      </w:r>
      <w:r w:rsidR="00B750BA">
        <w:rPr>
          <w:rFonts w:asciiTheme="minorHAnsi" w:eastAsia="Times New Roman" w:hAnsiTheme="minorHAnsi" w:cstheme="minorHAnsi"/>
          <w:sz w:val="24"/>
          <w:szCs w:val="24"/>
          <w:lang w:eastAsia="en-US"/>
        </w:rPr>
        <w:t>(</w:t>
      </w:r>
      <w:r w:rsidRPr="00527E83">
        <w:rPr>
          <w:rFonts w:asciiTheme="minorHAnsi" w:eastAsia="Times New Roman" w:hAnsiTheme="minorHAnsi" w:cstheme="minorHAnsi"/>
          <w:sz w:val="24"/>
          <w:szCs w:val="24"/>
          <w:lang w:eastAsia="en-US"/>
        </w:rPr>
        <w:t>SZM)</w:t>
      </w:r>
      <w:r w:rsidR="00E557D3">
        <w:rPr>
          <w:rFonts w:asciiTheme="minorHAnsi" w:eastAsia="Times New Roman" w:hAnsiTheme="minorHAnsi" w:cstheme="minorHAnsi"/>
          <w:sz w:val="24"/>
          <w:szCs w:val="24"/>
          <w:lang w:eastAsia="en-US"/>
        </w:rPr>
        <w:t xml:space="preserve"> u FN</w:t>
      </w:r>
    </w:p>
    <w:p w14:paraId="12372E97" w14:textId="449A2FBC" w:rsidR="006F4114" w:rsidRPr="00527E83" w:rsidRDefault="006F4114" w:rsidP="00B32E66">
      <w:pPr>
        <w:widowControl/>
        <w:autoSpaceDE/>
        <w:autoSpaceDN/>
        <w:adjustRightInd/>
        <w:spacing w:line="259" w:lineRule="auto"/>
        <w:jc w:val="right"/>
        <w:rPr>
          <w:rFonts w:asciiTheme="minorHAnsi" w:hAnsiTheme="minorHAnsi" w:cstheme="minorHAnsi"/>
          <w:b/>
          <w:sz w:val="24"/>
          <w:szCs w:val="24"/>
        </w:rPr>
      </w:pPr>
      <w:r w:rsidRPr="00527E83">
        <w:rPr>
          <w:rFonts w:asciiTheme="minorHAnsi" w:hAnsiTheme="minorHAnsi" w:cstheme="minorHAnsi"/>
          <w:b/>
          <w:color w:val="FF0000"/>
          <w:sz w:val="24"/>
          <w:szCs w:val="24"/>
        </w:rPr>
        <w:br w:type="page"/>
      </w:r>
      <w:r w:rsidR="00C8687A" w:rsidRPr="00527E83">
        <w:rPr>
          <w:rFonts w:asciiTheme="minorHAnsi" w:hAnsiTheme="minorHAnsi" w:cstheme="minorHAnsi"/>
          <w:b/>
          <w:sz w:val="24"/>
          <w:szCs w:val="24"/>
        </w:rPr>
        <w:t>Příloha č. 1</w:t>
      </w:r>
    </w:p>
    <w:p w14:paraId="5553BDD3" w14:textId="08A628C3" w:rsidR="00F56DF7" w:rsidRPr="00527E83" w:rsidRDefault="00F56DF7" w:rsidP="00DD1927">
      <w:pPr>
        <w:jc w:val="both"/>
        <w:rPr>
          <w:rFonts w:asciiTheme="minorHAnsi" w:hAnsiTheme="minorHAnsi" w:cstheme="minorHAnsi"/>
          <w:b/>
          <w:sz w:val="24"/>
          <w:szCs w:val="24"/>
        </w:rPr>
      </w:pPr>
    </w:p>
    <w:p w14:paraId="02AEFE34" w14:textId="707C7594" w:rsidR="00F56DF7" w:rsidRPr="00527E83" w:rsidRDefault="00F56DF7" w:rsidP="00F56DF7">
      <w:pPr>
        <w:keepNext/>
        <w:spacing w:before="120" w:after="40"/>
        <w:jc w:val="center"/>
        <w:rPr>
          <w:rFonts w:asciiTheme="minorHAnsi" w:hAnsiTheme="minorHAnsi" w:cstheme="minorHAnsi"/>
          <w:b/>
          <w:noProof/>
          <w:sz w:val="24"/>
          <w:szCs w:val="24"/>
        </w:rPr>
      </w:pPr>
      <w:r w:rsidRPr="00527E83">
        <w:rPr>
          <w:rFonts w:asciiTheme="minorHAnsi" w:hAnsiTheme="minorHAnsi" w:cstheme="minorHAnsi"/>
          <w:b/>
          <w:noProof/>
          <w:sz w:val="24"/>
          <w:szCs w:val="24"/>
        </w:rPr>
        <w:t>Náklady na léčiv</w:t>
      </w:r>
      <w:r w:rsidR="00737427" w:rsidRPr="00527E83">
        <w:rPr>
          <w:rFonts w:asciiTheme="minorHAnsi" w:hAnsiTheme="minorHAnsi" w:cstheme="minorHAnsi"/>
          <w:b/>
          <w:noProof/>
          <w:sz w:val="24"/>
          <w:szCs w:val="24"/>
        </w:rPr>
        <w:t>a</w:t>
      </w:r>
      <w:r w:rsidRPr="00527E83">
        <w:rPr>
          <w:rFonts w:asciiTheme="minorHAnsi" w:hAnsiTheme="minorHAnsi" w:cstheme="minorHAnsi"/>
          <w:b/>
          <w:noProof/>
          <w:sz w:val="24"/>
          <w:szCs w:val="24"/>
        </w:rPr>
        <w:t xml:space="preserve"> a na zdravotnické prostředky ve vztahu k celkovým nákladům</w:t>
      </w:r>
      <w:r w:rsidR="00193C04">
        <w:rPr>
          <w:rFonts w:asciiTheme="minorHAnsi" w:hAnsiTheme="minorHAnsi" w:cstheme="minorHAnsi"/>
          <w:b/>
          <w:noProof/>
          <w:sz w:val="24"/>
          <w:szCs w:val="24"/>
        </w:rPr>
        <w:t xml:space="preserve"> FN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674"/>
        <w:gridCol w:w="1852"/>
        <w:gridCol w:w="2256"/>
        <w:gridCol w:w="627"/>
        <w:gridCol w:w="2281"/>
        <w:gridCol w:w="670"/>
      </w:tblGrid>
      <w:tr w:rsidR="00BF144C" w:rsidRPr="00527E83" w14:paraId="214D654F" w14:textId="77777777" w:rsidTr="00BF144C">
        <w:trPr>
          <w:trHeight w:val="666"/>
        </w:trPr>
        <w:tc>
          <w:tcPr>
            <w:tcW w:w="386" w:type="pct"/>
            <w:vMerge w:val="restart"/>
            <w:shd w:val="clear" w:color="000000" w:fill="E5F1FF"/>
            <w:noWrap/>
            <w:vAlign w:val="center"/>
            <w:hideMark/>
          </w:tcPr>
          <w:p w14:paraId="55F47BFF" w14:textId="1E6BBA76" w:rsidR="00BF144C" w:rsidRPr="00527E83" w:rsidRDefault="00BF144C" w:rsidP="00BF144C">
            <w:pPr>
              <w:keepNext/>
              <w:jc w:val="center"/>
              <w:rPr>
                <w:rFonts w:asciiTheme="minorHAnsi" w:hAnsiTheme="minorHAnsi" w:cstheme="minorHAnsi"/>
                <w:b/>
                <w:bCs/>
                <w:sz w:val="18"/>
                <w:szCs w:val="18"/>
              </w:rPr>
            </w:pPr>
            <w:r>
              <w:rPr>
                <w:rFonts w:asciiTheme="minorHAnsi" w:hAnsiTheme="minorHAnsi" w:cstheme="minorHAnsi"/>
                <w:b/>
                <w:bCs/>
                <w:sz w:val="18"/>
                <w:szCs w:val="18"/>
              </w:rPr>
              <w:t>FN</w:t>
            </w:r>
          </w:p>
        </w:tc>
        <w:tc>
          <w:tcPr>
            <w:tcW w:w="372" w:type="pct"/>
            <w:vMerge w:val="restart"/>
            <w:shd w:val="clear" w:color="000000" w:fill="E5F1FF"/>
            <w:vAlign w:val="center"/>
          </w:tcPr>
          <w:p w14:paraId="0E5AB6BC" w14:textId="0A1A2740" w:rsidR="00BF144C" w:rsidRPr="00527E83" w:rsidRDefault="00BF144C" w:rsidP="00BF144C">
            <w:pPr>
              <w:keepNext/>
              <w:jc w:val="center"/>
              <w:rPr>
                <w:rFonts w:asciiTheme="minorHAnsi" w:hAnsiTheme="minorHAnsi" w:cstheme="minorHAnsi"/>
                <w:b/>
                <w:bCs/>
                <w:sz w:val="18"/>
                <w:szCs w:val="18"/>
              </w:rPr>
            </w:pPr>
            <w:r>
              <w:rPr>
                <w:rFonts w:asciiTheme="minorHAnsi" w:hAnsiTheme="minorHAnsi" w:cstheme="minorHAnsi"/>
                <w:b/>
                <w:bCs/>
                <w:sz w:val="18"/>
                <w:szCs w:val="18"/>
              </w:rPr>
              <w:t>Rok</w:t>
            </w:r>
          </w:p>
        </w:tc>
        <w:tc>
          <w:tcPr>
            <w:tcW w:w="1022" w:type="pct"/>
            <w:shd w:val="clear" w:color="000000" w:fill="E5F1FF"/>
            <w:vAlign w:val="center"/>
            <w:hideMark/>
          </w:tcPr>
          <w:p w14:paraId="4920F35C" w14:textId="77777777" w:rsidR="00BF144C" w:rsidRPr="00527E83" w:rsidRDefault="00BF144C" w:rsidP="00946C51">
            <w:pPr>
              <w:keepNext/>
              <w:jc w:val="center"/>
              <w:rPr>
                <w:rFonts w:asciiTheme="minorHAnsi" w:hAnsiTheme="minorHAnsi" w:cstheme="minorHAnsi"/>
                <w:b/>
                <w:bCs/>
                <w:sz w:val="18"/>
                <w:szCs w:val="18"/>
              </w:rPr>
            </w:pPr>
            <w:r w:rsidRPr="00527E83">
              <w:rPr>
                <w:rFonts w:asciiTheme="minorHAnsi" w:hAnsiTheme="minorHAnsi" w:cstheme="minorHAnsi"/>
                <w:b/>
                <w:bCs/>
                <w:sz w:val="18"/>
                <w:szCs w:val="18"/>
              </w:rPr>
              <w:t>Náklady celkem</w:t>
            </w:r>
          </w:p>
        </w:tc>
        <w:tc>
          <w:tcPr>
            <w:tcW w:w="1591" w:type="pct"/>
            <w:gridSpan w:val="2"/>
            <w:shd w:val="clear" w:color="000000" w:fill="E5F1FF"/>
            <w:noWrap/>
            <w:vAlign w:val="center"/>
            <w:hideMark/>
          </w:tcPr>
          <w:p w14:paraId="1024EF96" w14:textId="0F61F914" w:rsidR="00BF144C" w:rsidRPr="00527E83" w:rsidRDefault="00BF144C" w:rsidP="00946C51">
            <w:pPr>
              <w:keepNext/>
              <w:jc w:val="center"/>
              <w:rPr>
                <w:rFonts w:asciiTheme="minorHAnsi" w:hAnsiTheme="minorHAnsi" w:cstheme="minorHAnsi"/>
                <w:b/>
                <w:bCs/>
                <w:sz w:val="18"/>
                <w:szCs w:val="18"/>
              </w:rPr>
            </w:pPr>
            <w:r w:rsidRPr="00527E83">
              <w:rPr>
                <w:rFonts w:asciiTheme="minorHAnsi" w:hAnsiTheme="minorHAnsi" w:cstheme="minorHAnsi"/>
                <w:b/>
                <w:bCs/>
                <w:sz w:val="18"/>
                <w:szCs w:val="18"/>
              </w:rPr>
              <w:t>Náklady na léčiva*</w:t>
            </w:r>
          </w:p>
        </w:tc>
        <w:tc>
          <w:tcPr>
            <w:tcW w:w="1629" w:type="pct"/>
            <w:gridSpan w:val="2"/>
            <w:shd w:val="clear" w:color="000000" w:fill="E5F1FF"/>
            <w:vAlign w:val="center"/>
          </w:tcPr>
          <w:p w14:paraId="704850B7" w14:textId="77777777" w:rsidR="00BF144C" w:rsidRPr="00527E83" w:rsidRDefault="00BF144C" w:rsidP="00946C51">
            <w:pPr>
              <w:keepNext/>
              <w:jc w:val="center"/>
              <w:rPr>
                <w:rFonts w:asciiTheme="minorHAnsi" w:hAnsiTheme="minorHAnsi" w:cstheme="minorHAnsi"/>
                <w:b/>
                <w:bCs/>
                <w:sz w:val="18"/>
                <w:szCs w:val="18"/>
              </w:rPr>
            </w:pPr>
            <w:r w:rsidRPr="00527E83">
              <w:rPr>
                <w:rFonts w:asciiTheme="minorHAnsi" w:hAnsiTheme="minorHAnsi" w:cstheme="minorHAnsi"/>
                <w:b/>
                <w:bCs/>
                <w:sz w:val="18"/>
                <w:szCs w:val="18"/>
              </w:rPr>
              <w:t>Náklady na zdravotnické prostředky</w:t>
            </w:r>
          </w:p>
        </w:tc>
      </w:tr>
      <w:tr w:rsidR="00BF144C" w:rsidRPr="00527E83" w14:paraId="5D3F68E8" w14:textId="77777777" w:rsidTr="00BF144C">
        <w:trPr>
          <w:trHeight w:val="208"/>
        </w:trPr>
        <w:tc>
          <w:tcPr>
            <w:tcW w:w="386" w:type="pct"/>
            <w:vMerge/>
            <w:vAlign w:val="center"/>
            <w:hideMark/>
          </w:tcPr>
          <w:p w14:paraId="64D814EF" w14:textId="77777777" w:rsidR="00BF144C" w:rsidRPr="00527E83" w:rsidRDefault="00BF144C" w:rsidP="00946C51">
            <w:pPr>
              <w:keepNext/>
              <w:jc w:val="both"/>
              <w:rPr>
                <w:rFonts w:asciiTheme="minorHAnsi" w:hAnsiTheme="minorHAnsi" w:cstheme="minorHAnsi"/>
                <w:b/>
                <w:bCs/>
                <w:sz w:val="18"/>
                <w:szCs w:val="18"/>
              </w:rPr>
            </w:pPr>
          </w:p>
        </w:tc>
        <w:tc>
          <w:tcPr>
            <w:tcW w:w="372" w:type="pct"/>
            <w:vMerge/>
            <w:vAlign w:val="center"/>
          </w:tcPr>
          <w:p w14:paraId="31343FAC" w14:textId="075862EF" w:rsidR="00BF144C" w:rsidRPr="00527E83" w:rsidRDefault="00BF144C" w:rsidP="00946C51">
            <w:pPr>
              <w:keepNext/>
              <w:jc w:val="both"/>
              <w:rPr>
                <w:rFonts w:asciiTheme="minorHAnsi" w:hAnsiTheme="minorHAnsi" w:cstheme="minorHAnsi"/>
                <w:b/>
                <w:bCs/>
                <w:sz w:val="18"/>
                <w:szCs w:val="18"/>
              </w:rPr>
            </w:pPr>
          </w:p>
        </w:tc>
        <w:tc>
          <w:tcPr>
            <w:tcW w:w="1022" w:type="pct"/>
            <w:shd w:val="clear" w:color="000000" w:fill="E5F1FF"/>
            <w:noWrap/>
            <w:vAlign w:val="center"/>
            <w:hideMark/>
          </w:tcPr>
          <w:p w14:paraId="3C7B7743" w14:textId="6EC98F97" w:rsidR="00BF144C" w:rsidRPr="00527E83" w:rsidRDefault="00BF144C" w:rsidP="00946C51">
            <w:pPr>
              <w:keepNext/>
              <w:jc w:val="center"/>
              <w:rPr>
                <w:rFonts w:asciiTheme="minorHAnsi" w:hAnsiTheme="minorHAnsi" w:cstheme="minorHAnsi"/>
                <w:b/>
                <w:bCs/>
                <w:sz w:val="18"/>
                <w:szCs w:val="18"/>
              </w:rPr>
            </w:pPr>
            <w:r w:rsidRPr="00527E83">
              <w:rPr>
                <w:rFonts w:asciiTheme="minorHAnsi" w:hAnsiTheme="minorHAnsi" w:cstheme="minorHAnsi"/>
                <w:b/>
                <w:bCs/>
                <w:sz w:val="18"/>
                <w:szCs w:val="18"/>
              </w:rPr>
              <w:t>v Kč</w:t>
            </w:r>
          </w:p>
        </w:tc>
        <w:tc>
          <w:tcPr>
            <w:tcW w:w="1245" w:type="pct"/>
            <w:shd w:val="clear" w:color="000000" w:fill="E5F1FF"/>
            <w:noWrap/>
            <w:vAlign w:val="center"/>
            <w:hideMark/>
          </w:tcPr>
          <w:p w14:paraId="679B0DA5" w14:textId="3A6D8FC9" w:rsidR="00BF144C" w:rsidRPr="00527E83" w:rsidRDefault="00BF144C" w:rsidP="00946C51">
            <w:pPr>
              <w:keepNext/>
              <w:jc w:val="center"/>
              <w:rPr>
                <w:rFonts w:asciiTheme="minorHAnsi" w:hAnsiTheme="minorHAnsi" w:cstheme="minorHAnsi"/>
                <w:b/>
                <w:bCs/>
                <w:sz w:val="18"/>
                <w:szCs w:val="18"/>
              </w:rPr>
            </w:pPr>
            <w:r w:rsidRPr="00527E83">
              <w:rPr>
                <w:rFonts w:asciiTheme="minorHAnsi" w:hAnsiTheme="minorHAnsi" w:cstheme="minorHAnsi"/>
                <w:b/>
                <w:bCs/>
                <w:sz w:val="18"/>
                <w:szCs w:val="18"/>
              </w:rPr>
              <w:t>v Kč</w:t>
            </w:r>
          </w:p>
        </w:tc>
        <w:tc>
          <w:tcPr>
            <w:tcW w:w="346" w:type="pct"/>
            <w:shd w:val="clear" w:color="000000" w:fill="E5F1FF"/>
            <w:noWrap/>
            <w:vAlign w:val="center"/>
            <w:hideMark/>
          </w:tcPr>
          <w:p w14:paraId="426757A5" w14:textId="49299623" w:rsidR="00BF144C" w:rsidRPr="00527E83" w:rsidRDefault="00C0358D" w:rsidP="00946C51">
            <w:pPr>
              <w:keepNext/>
              <w:jc w:val="center"/>
              <w:rPr>
                <w:rFonts w:asciiTheme="minorHAnsi" w:hAnsiTheme="minorHAnsi" w:cstheme="minorHAnsi"/>
                <w:b/>
                <w:bCs/>
                <w:sz w:val="18"/>
                <w:szCs w:val="18"/>
              </w:rPr>
            </w:pPr>
            <w:r>
              <w:rPr>
                <w:rFonts w:asciiTheme="minorHAnsi" w:hAnsiTheme="minorHAnsi" w:cstheme="minorHAnsi"/>
                <w:b/>
                <w:bCs/>
                <w:sz w:val="18"/>
                <w:szCs w:val="18"/>
              </w:rPr>
              <w:t xml:space="preserve">v </w:t>
            </w:r>
            <w:r w:rsidR="00BF144C" w:rsidRPr="00527E83">
              <w:rPr>
                <w:rFonts w:asciiTheme="minorHAnsi" w:hAnsiTheme="minorHAnsi" w:cstheme="minorHAnsi"/>
                <w:b/>
                <w:bCs/>
                <w:sz w:val="18"/>
                <w:szCs w:val="18"/>
              </w:rPr>
              <w:t>%</w:t>
            </w:r>
          </w:p>
        </w:tc>
        <w:tc>
          <w:tcPr>
            <w:tcW w:w="1259" w:type="pct"/>
            <w:shd w:val="clear" w:color="000000" w:fill="E5F1FF"/>
            <w:vAlign w:val="center"/>
          </w:tcPr>
          <w:p w14:paraId="119A3394" w14:textId="2F61BA7E" w:rsidR="00BF144C" w:rsidRPr="00527E83" w:rsidRDefault="00BF144C" w:rsidP="00946C51">
            <w:pPr>
              <w:keepNext/>
              <w:jc w:val="center"/>
              <w:rPr>
                <w:rFonts w:asciiTheme="minorHAnsi" w:hAnsiTheme="minorHAnsi" w:cstheme="minorHAnsi"/>
                <w:b/>
                <w:bCs/>
                <w:sz w:val="18"/>
                <w:szCs w:val="18"/>
              </w:rPr>
            </w:pPr>
            <w:r w:rsidRPr="00527E83">
              <w:rPr>
                <w:rFonts w:asciiTheme="minorHAnsi" w:hAnsiTheme="minorHAnsi" w:cstheme="minorHAnsi"/>
                <w:b/>
                <w:bCs/>
                <w:sz w:val="18"/>
                <w:szCs w:val="18"/>
              </w:rPr>
              <w:t>v Kč</w:t>
            </w:r>
          </w:p>
        </w:tc>
        <w:tc>
          <w:tcPr>
            <w:tcW w:w="370" w:type="pct"/>
            <w:shd w:val="clear" w:color="000000" w:fill="E5F1FF"/>
            <w:vAlign w:val="center"/>
          </w:tcPr>
          <w:p w14:paraId="63B9780D" w14:textId="30076643" w:rsidR="00BF144C" w:rsidRPr="00527E83" w:rsidRDefault="00AD409B" w:rsidP="00946C51">
            <w:pPr>
              <w:keepNext/>
              <w:jc w:val="center"/>
              <w:rPr>
                <w:rFonts w:asciiTheme="minorHAnsi" w:hAnsiTheme="minorHAnsi" w:cstheme="minorHAnsi"/>
                <w:b/>
                <w:bCs/>
                <w:sz w:val="18"/>
                <w:szCs w:val="18"/>
              </w:rPr>
            </w:pPr>
            <w:r>
              <w:rPr>
                <w:rFonts w:asciiTheme="minorHAnsi" w:hAnsiTheme="minorHAnsi" w:cstheme="minorHAnsi"/>
                <w:b/>
                <w:bCs/>
                <w:sz w:val="18"/>
                <w:szCs w:val="18"/>
              </w:rPr>
              <w:t xml:space="preserve">v </w:t>
            </w:r>
            <w:r w:rsidR="00BF144C" w:rsidRPr="00527E83">
              <w:rPr>
                <w:rFonts w:asciiTheme="minorHAnsi" w:hAnsiTheme="minorHAnsi" w:cstheme="minorHAnsi"/>
                <w:b/>
                <w:bCs/>
                <w:sz w:val="18"/>
                <w:szCs w:val="18"/>
              </w:rPr>
              <w:t>%</w:t>
            </w:r>
          </w:p>
        </w:tc>
      </w:tr>
      <w:tr w:rsidR="00F56DF7" w:rsidRPr="00527E83" w14:paraId="7ADE9342" w14:textId="77777777" w:rsidTr="00BF144C">
        <w:trPr>
          <w:trHeight w:val="227"/>
        </w:trPr>
        <w:tc>
          <w:tcPr>
            <w:tcW w:w="386" w:type="pct"/>
            <w:vMerge w:val="restart"/>
            <w:shd w:val="clear" w:color="auto" w:fill="auto"/>
            <w:noWrap/>
            <w:vAlign w:val="center"/>
            <w:hideMark/>
          </w:tcPr>
          <w:p w14:paraId="64A8727B" w14:textId="77777777" w:rsidR="00F56DF7" w:rsidRPr="00527E83" w:rsidRDefault="00F56DF7" w:rsidP="00946C51">
            <w:pPr>
              <w:keepNext/>
              <w:jc w:val="both"/>
              <w:rPr>
                <w:rFonts w:asciiTheme="minorHAnsi" w:hAnsiTheme="minorHAnsi" w:cstheme="minorHAnsi"/>
                <w:b/>
                <w:bCs/>
                <w:sz w:val="18"/>
                <w:szCs w:val="18"/>
              </w:rPr>
            </w:pPr>
            <w:r w:rsidRPr="00527E83">
              <w:rPr>
                <w:rFonts w:asciiTheme="minorHAnsi" w:hAnsiTheme="minorHAnsi" w:cstheme="minorHAnsi"/>
                <w:b/>
                <w:bCs/>
                <w:sz w:val="18"/>
                <w:szCs w:val="18"/>
              </w:rPr>
              <w:t>FNB</w:t>
            </w:r>
          </w:p>
        </w:tc>
        <w:tc>
          <w:tcPr>
            <w:tcW w:w="372" w:type="pct"/>
            <w:shd w:val="clear" w:color="auto" w:fill="auto"/>
            <w:noWrap/>
            <w:vAlign w:val="center"/>
            <w:hideMark/>
          </w:tcPr>
          <w:p w14:paraId="2D3CCF99"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2019</w:t>
            </w:r>
          </w:p>
        </w:tc>
        <w:tc>
          <w:tcPr>
            <w:tcW w:w="1022" w:type="pct"/>
            <w:shd w:val="clear" w:color="auto" w:fill="auto"/>
            <w:noWrap/>
            <w:vAlign w:val="center"/>
          </w:tcPr>
          <w:p w14:paraId="10F4DE2D"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3 777 990 854,20</w:t>
            </w:r>
          </w:p>
        </w:tc>
        <w:tc>
          <w:tcPr>
            <w:tcW w:w="1245" w:type="pct"/>
            <w:shd w:val="clear" w:color="auto" w:fill="auto"/>
            <w:noWrap/>
            <w:vAlign w:val="center"/>
          </w:tcPr>
          <w:p w14:paraId="1CFC23AA"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847 582 365,08</w:t>
            </w:r>
          </w:p>
        </w:tc>
        <w:tc>
          <w:tcPr>
            <w:tcW w:w="346" w:type="pct"/>
            <w:shd w:val="clear" w:color="auto" w:fill="auto"/>
            <w:noWrap/>
            <w:vAlign w:val="center"/>
          </w:tcPr>
          <w:p w14:paraId="0FF0F6E5"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22,44</w:t>
            </w:r>
          </w:p>
        </w:tc>
        <w:tc>
          <w:tcPr>
            <w:tcW w:w="1259" w:type="pct"/>
          </w:tcPr>
          <w:p w14:paraId="2A3C6345"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251 432 613,90</w:t>
            </w:r>
          </w:p>
        </w:tc>
        <w:tc>
          <w:tcPr>
            <w:tcW w:w="370" w:type="pct"/>
          </w:tcPr>
          <w:p w14:paraId="69B90AC2"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6,66</w:t>
            </w:r>
          </w:p>
        </w:tc>
      </w:tr>
      <w:tr w:rsidR="00F56DF7" w:rsidRPr="00527E83" w14:paraId="0D32DC07" w14:textId="77777777" w:rsidTr="00BF144C">
        <w:trPr>
          <w:trHeight w:val="227"/>
        </w:trPr>
        <w:tc>
          <w:tcPr>
            <w:tcW w:w="386" w:type="pct"/>
            <w:vMerge/>
            <w:vAlign w:val="center"/>
            <w:hideMark/>
          </w:tcPr>
          <w:p w14:paraId="47C44290" w14:textId="77777777" w:rsidR="00F56DF7" w:rsidRPr="00527E83" w:rsidRDefault="00F56DF7" w:rsidP="00946C51">
            <w:pPr>
              <w:keepNext/>
              <w:jc w:val="both"/>
              <w:rPr>
                <w:rFonts w:asciiTheme="minorHAnsi" w:hAnsiTheme="minorHAnsi" w:cstheme="minorHAnsi"/>
                <w:b/>
                <w:bCs/>
                <w:sz w:val="18"/>
                <w:szCs w:val="18"/>
              </w:rPr>
            </w:pPr>
          </w:p>
        </w:tc>
        <w:tc>
          <w:tcPr>
            <w:tcW w:w="372" w:type="pct"/>
            <w:shd w:val="clear" w:color="auto" w:fill="auto"/>
            <w:noWrap/>
            <w:vAlign w:val="center"/>
            <w:hideMark/>
          </w:tcPr>
          <w:p w14:paraId="4F3A6441"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2020</w:t>
            </w:r>
          </w:p>
        </w:tc>
        <w:tc>
          <w:tcPr>
            <w:tcW w:w="1022" w:type="pct"/>
            <w:shd w:val="clear" w:color="auto" w:fill="auto"/>
            <w:noWrap/>
            <w:vAlign w:val="center"/>
          </w:tcPr>
          <w:p w14:paraId="0E24F891"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4 556 978 805,60</w:t>
            </w:r>
          </w:p>
        </w:tc>
        <w:tc>
          <w:tcPr>
            <w:tcW w:w="1245" w:type="pct"/>
            <w:shd w:val="clear" w:color="auto" w:fill="auto"/>
            <w:noWrap/>
            <w:vAlign w:val="center"/>
          </w:tcPr>
          <w:p w14:paraId="3B609C2E"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829 723 224,37</w:t>
            </w:r>
          </w:p>
        </w:tc>
        <w:tc>
          <w:tcPr>
            <w:tcW w:w="346" w:type="pct"/>
            <w:shd w:val="clear" w:color="auto" w:fill="auto"/>
            <w:noWrap/>
            <w:vAlign w:val="center"/>
          </w:tcPr>
          <w:p w14:paraId="045471D2"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18,21</w:t>
            </w:r>
          </w:p>
        </w:tc>
        <w:tc>
          <w:tcPr>
            <w:tcW w:w="1259" w:type="pct"/>
          </w:tcPr>
          <w:p w14:paraId="369F485A"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362 056 057,15</w:t>
            </w:r>
          </w:p>
        </w:tc>
        <w:tc>
          <w:tcPr>
            <w:tcW w:w="370" w:type="pct"/>
          </w:tcPr>
          <w:p w14:paraId="17A76DFA"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7,95</w:t>
            </w:r>
          </w:p>
        </w:tc>
      </w:tr>
      <w:tr w:rsidR="00F56DF7" w:rsidRPr="00527E83" w14:paraId="59523369" w14:textId="77777777" w:rsidTr="00BF144C">
        <w:trPr>
          <w:trHeight w:val="227"/>
        </w:trPr>
        <w:tc>
          <w:tcPr>
            <w:tcW w:w="386" w:type="pct"/>
            <w:vMerge/>
            <w:vAlign w:val="center"/>
            <w:hideMark/>
          </w:tcPr>
          <w:p w14:paraId="732FA19A" w14:textId="77777777" w:rsidR="00F56DF7" w:rsidRPr="00527E83" w:rsidRDefault="00F56DF7" w:rsidP="00946C51">
            <w:pPr>
              <w:keepNext/>
              <w:jc w:val="both"/>
              <w:rPr>
                <w:rFonts w:asciiTheme="minorHAnsi" w:hAnsiTheme="minorHAnsi" w:cstheme="minorHAnsi"/>
                <w:b/>
                <w:bCs/>
                <w:sz w:val="18"/>
                <w:szCs w:val="18"/>
              </w:rPr>
            </w:pPr>
          </w:p>
        </w:tc>
        <w:tc>
          <w:tcPr>
            <w:tcW w:w="372" w:type="pct"/>
            <w:shd w:val="clear" w:color="auto" w:fill="auto"/>
            <w:noWrap/>
            <w:vAlign w:val="center"/>
            <w:hideMark/>
          </w:tcPr>
          <w:p w14:paraId="05577F78"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2021</w:t>
            </w:r>
          </w:p>
        </w:tc>
        <w:tc>
          <w:tcPr>
            <w:tcW w:w="1022" w:type="pct"/>
            <w:shd w:val="clear" w:color="auto" w:fill="auto"/>
            <w:noWrap/>
            <w:vAlign w:val="center"/>
          </w:tcPr>
          <w:p w14:paraId="08C1CF13"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5 003 350 120,80</w:t>
            </w:r>
          </w:p>
        </w:tc>
        <w:tc>
          <w:tcPr>
            <w:tcW w:w="1245" w:type="pct"/>
            <w:shd w:val="clear" w:color="auto" w:fill="auto"/>
            <w:noWrap/>
            <w:vAlign w:val="center"/>
          </w:tcPr>
          <w:p w14:paraId="0E31D363"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943 989 956,26</w:t>
            </w:r>
          </w:p>
        </w:tc>
        <w:tc>
          <w:tcPr>
            <w:tcW w:w="346" w:type="pct"/>
            <w:shd w:val="clear" w:color="auto" w:fill="auto"/>
            <w:noWrap/>
            <w:vAlign w:val="center"/>
          </w:tcPr>
          <w:p w14:paraId="28873B62"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18,87</w:t>
            </w:r>
          </w:p>
        </w:tc>
        <w:tc>
          <w:tcPr>
            <w:tcW w:w="1259" w:type="pct"/>
          </w:tcPr>
          <w:p w14:paraId="66FDDDD7"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340 924 066,74</w:t>
            </w:r>
          </w:p>
        </w:tc>
        <w:tc>
          <w:tcPr>
            <w:tcW w:w="370" w:type="pct"/>
          </w:tcPr>
          <w:p w14:paraId="343466A2"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6,81</w:t>
            </w:r>
          </w:p>
        </w:tc>
      </w:tr>
      <w:tr w:rsidR="00F56DF7" w:rsidRPr="00527E83" w14:paraId="1B850702" w14:textId="77777777" w:rsidTr="00BF144C">
        <w:trPr>
          <w:trHeight w:val="227"/>
        </w:trPr>
        <w:tc>
          <w:tcPr>
            <w:tcW w:w="386" w:type="pct"/>
            <w:vMerge w:val="restart"/>
            <w:shd w:val="clear" w:color="auto" w:fill="auto"/>
            <w:noWrap/>
            <w:vAlign w:val="center"/>
            <w:hideMark/>
          </w:tcPr>
          <w:p w14:paraId="418B25D3" w14:textId="77777777" w:rsidR="00F56DF7" w:rsidRPr="00527E83" w:rsidRDefault="00F56DF7" w:rsidP="00946C51">
            <w:pPr>
              <w:keepNext/>
              <w:jc w:val="both"/>
              <w:rPr>
                <w:rFonts w:asciiTheme="minorHAnsi" w:hAnsiTheme="minorHAnsi" w:cstheme="minorHAnsi"/>
                <w:b/>
                <w:bCs/>
                <w:sz w:val="18"/>
                <w:szCs w:val="18"/>
              </w:rPr>
            </w:pPr>
            <w:r w:rsidRPr="00527E83">
              <w:rPr>
                <w:rFonts w:asciiTheme="minorHAnsi" w:hAnsiTheme="minorHAnsi" w:cstheme="minorHAnsi"/>
                <w:b/>
                <w:bCs/>
                <w:sz w:val="18"/>
                <w:szCs w:val="18"/>
              </w:rPr>
              <w:t>FNKV</w:t>
            </w:r>
          </w:p>
        </w:tc>
        <w:tc>
          <w:tcPr>
            <w:tcW w:w="372" w:type="pct"/>
            <w:shd w:val="clear" w:color="auto" w:fill="auto"/>
            <w:noWrap/>
            <w:vAlign w:val="center"/>
            <w:hideMark/>
          </w:tcPr>
          <w:p w14:paraId="1236F1F6"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2019</w:t>
            </w:r>
          </w:p>
        </w:tc>
        <w:tc>
          <w:tcPr>
            <w:tcW w:w="1022" w:type="pct"/>
            <w:shd w:val="clear" w:color="auto" w:fill="auto"/>
            <w:noWrap/>
            <w:vAlign w:val="center"/>
          </w:tcPr>
          <w:p w14:paraId="60ED29D4"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5 075 437 933,75</w:t>
            </w:r>
          </w:p>
        </w:tc>
        <w:tc>
          <w:tcPr>
            <w:tcW w:w="1245" w:type="pct"/>
            <w:shd w:val="clear" w:color="auto" w:fill="auto"/>
            <w:noWrap/>
            <w:vAlign w:val="center"/>
          </w:tcPr>
          <w:p w14:paraId="056AA474"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1 125 901 668,37</w:t>
            </w:r>
          </w:p>
        </w:tc>
        <w:tc>
          <w:tcPr>
            <w:tcW w:w="346" w:type="pct"/>
            <w:shd w:val="clear" w:color="auto" w:fill="auto"/>
            <w:noWrap/>
            <w:vAlign w:val="center"/>
          </w:tcPr>
          <w:p w14:paraId="6733A1F9"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22,18</w:t>
            </w:r>
          </w:p>
        </w:tc>
        <w:tc>
          <w:tcPr>
            <w:tcW w:w="1259" w:type="pct"/>
          </w:tcPr>
          <w:p w14:paraId="42D9B143"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714 083 048,01</w:t>
            </w:r>
          </w:p>
        </w:tc>
        <w:tc>
          <w:tcPr>
            <w:tcW w:w="370" w:type="pct"/>
          </w:tcPr>
          <w:p w14:paraId="34722F15"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14,07</w:t>
            </w:r>
          </w:p>
        </w:tc>
      </w:tr>
      <w:tr w:rsidR="00F56DF7" w:rsidRPr="00527E83" w14:paraId="56C9B4B7" w14:textId="77777777" w:rsidTr="00BF144C">
        <w:trPr>
          <w:trHeight w:val="227"/>
        </w:trPr>
        <w:tc>
          <w:tcPr>
            <w:tcW w:w="386" w:type="pct"/>
            <w:vMerge/>
            <w:vAlign w:val="center"/>
            <w:hideMark/>
          </w:tcPr>
          <w:p w14:paraId="596A8B0D" w14:textId="77777777" w:rsidR="00F56DF7" w:rsidRPr="00527E83" w:rsidRDefault="00F56DF7" w:rsidP="00946C51">
            <w:pPr>
              <w:keepNext/>
              <w:jc w:val="both"/>
              <w:rPr>
                <w:rFonts w:asciiTheme="minorHAnsi" w:hAnsiTheme="minorHAnsi" w:cstheme="minorHAnsi"/>
                <w:b/>
                <w:bCs/>
                <w:sz w:val="18"/>
                <w:szCs w:val="18"/>
              </w:rPr>
            </w:pPr>
          </w:p>
        </w:tc>
        <w:tc>
          <w:tcPr>
            <w:tcW w:w="372" w:type="pct"/>
            <w:shd w:val="clear" w:color="auto" w:fill="auto"/>
            <w:noWrap/>
            <w:vAlign w:val="center"/>
            <w:hideMark/>
          </w:tcPr>
          <w:p w14:paraId="67655BD2"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2020</w:t>
            </w:r>
          </w:p>
        </w:tc>
        <w:tc>
          <w:tcPr>
            <w:tcW w:w="1022" w:type="pct"/>
            <w:shd w:val="clear" w:color="auto" w:fill="auto"/>
            <w:noWrap/>
            <w:vAlign w:val="center"/>
          </w:tcPr>
          <w:p w14:paraId="368068EC"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6 285 662 956,03</w:t>
            </w:r>
          </w:p>
        </w:tc>
        <w:tc>
          <w:tcPr>
            <w:tcW w:w="1245" w:type="pct"/>
            <w:shd w:val="clear" w:color="auto" w:fill="auto"/>
            <w:noWrap/>
            <w:vAlign w:val="center"/>
          </w:tcPr>
          <w:p w14:paraId="7745F335"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1 284 967 230,33</w:t>
            </w:r>
          </w:p>
        </w:tc>
        <w:tc>
          <w:tcPr>
            <w:tcW w:w="346" w:type="pct"/>
            <w:shd w:val="clear" w:color="auto" w:fill="auto"/>
            <w:noWrap/>
            <w:vAlign w:val="center"/>
          </w:tcPr>
          <w:p w14:paraId="5190316A"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20,44</w:t>
            </w:r>
          </w:p>
        </w:tc>
        <w:tc>
          <w:tcPr>
            <w:tcW w:w="1259" w:type="pct"/>
          </w:tcPr>
          <w:p w14:paraId="23C47E69"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731 756 674,74</w:t>
            </w:r>
          </w:p>
        </w:tc>
        <w:tc>
          <w:tcPr>
            <w:tcW w:w="370" w:type="pct"/>
          </w:tcPr>
          <w:p w14:paraId="44323FE3"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11,64</w:t>
            </w:r>
          </w:p>
        </w:tc>
      </w:tr>
      <w:tr w:rsidR="00F56DF7" w:rsidRPr="00527E83" w14:paraId="58C11289" w14:textId="77777777" w:rsidTr="00BF144C">
        <w:trPr>
          <w:trHeight w:val="227"/>
        </w:trPr>
        <w:tc>
          <w:tcPr>
            <w:tcW w:w="386" w:type="pct"/>
            <w:vMerge/>
            <w:vAlign w:val="center"/>
            <w:hideMark/>
          </w:tcPr>
          <w:p w14:paraId="1326B4BD" w14:textId="77777777" w:rsidR="00F56DF7" w:rsidRPr="00527E83" w:rsidRDefault="00F56DF7" w:rsidP="00946C51">
            <w:pPr>
              <w:keepNext/>
              <w:jc w:val="both"/>
              <w:rPr>
                <w:rFonts w:asciiTheme="minorHAnsi" w:hAnsiTheme="minorHAnsi" w:cstheme="minorHAnsi"/>
                <w:b/>
                <w:bCs/>
                <w:sz w:val="18"/>
                <w:szCs w:val="18"/>
              </w:rPr>
            </w:pPr>
          </w:p>
        </w:tc>
        <w:tc>
          <w:tcPr>
            <w:tcW w:w="372" w:type="pct"/>
            <w:shd w:val="clear" w:color="auto" w:fill="auto"/>
            <w:noWrap/>
            <w:vAlign w:val="center"/>
            <w:hideMark/>
          </w:tcPr>
          <w:p w14:paraId="4EF06B7C"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2021</w:t>
            </w:r>
          </w:p>
        </w:tc>
        <w:tc>
          <w:tcPr>
            <w:tcW w:w="1022" w:type="pct"/>
            <w:shd w:val="clear" w:color="auto" w:fill="auto"/>
            <w:noWrap/>
            <w:vAlign w:val="center"/>
          </w:tcPr>
          <w:p w14:paraId="7858500E"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6 652 255 582,97</w:t>
            </w:r>
          </w:p>
        </w:tc>
        <w:tc>
          <w:tcPr>
            <w:tcW w:w="1245" w:type="pct"/>
            <w:shd w:val="clear" w:color="auto" w:fill="auto"/>
            <w:noWrap/>
            <w:vAlign w:val="center"/>
          </w:tcPr>
          <w:p w14:paraId="6F042B62"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1 513 111 225,36</w:t>
            </w:r>
          </w:p>
        </w:tc>
        <w:tc>
          <w:tcPr>
            <w:tcW w:w="346" w:type="pct"/>
            <w:shd w:val="clear" w:color="auto" w:fill="auto"/>
            <w:noWrap/>
            <w:vAlign w:val="center"/>
          </w:tcPr>
          <w:p w14:paraId="0E014A03"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22,75</w:t>
            </w:r>
          </w:p>
        </w:tc>
        <w:tc>
          <w:tcPr>
            <w:tcW w:w="1259" w:type="pct"/>
          </w:tcPr>
          <w:p w14:paraId="62810EDC"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812 989 972,34</w:t>
            </w:r>
          </w:p>
        </w:tc>
        <w:tc>
          <w:tcPr>
            <w:tcW w:w="370" w:type="pct"/>
          </w:tcPr>
          <w:p w14:paraId="0C23E97D"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12,22</w:t>
            </w:r>
          </w:p>
        </w:tc>
      </w:tr>
      <w:tr w:rsidR="00F56DF7" w:rsidRPr="00527E83" w14:paraId="4B84EC1B" w14:textId="77777777" w:rsidTr="00BF144C">
        <w:trPr>
          <w:trHeight w:val="227"/>
        </w:trPr>
        <w:tc>
          <w:tcPr>
            <w:tcW w:w="386" w:type="pct"/>
            <w:vMerge w:val="restart"/>
            <w:shd w:val="clear" w:color="auto" w:fill="auto"/>
            <w:noWrap/>
            <w:vAlign w:val="center"/>
            <w:hideMark/>
          </w:tcPr>
          <w:p w14:paraId="01F0FF78" w14:textId="77777777" w:rsidR="00F56DF7" w:rsidRPr="00527E83" w:rsidRDefault="00F56DF7" w:rsidP="00946C51">
            <w:pPr>
              <w:keepNext/>
              <w:jc w:val="both"/>
              <w:rPr>
                <w:rFonts w:asciiTheme="minorHAnsi" w:hAnsiTheme="minorHAnsi" w:cstheme="minorHAnsi"/>
                <w:b/>
                <w:bCs/>
                <w:sz w:val="18"/>
                <w:szCs w:val="18"/>
              </w:rPr>
            </w:pPr>
            <w:bookmarkStart w:id="11" w:name="_Hlk129173888"/>
            <w:r w:rsidRPr="00527E83">
              <w:rPr>
                <w:rFonts w:asciiTheme="minorHAnsi" w:hAnsiTheme="minorHAnsi" w:cstheme="minorHAnsi"/>
                <w:b/>
                <w:bCs/>
                <w:sz w:val="18"/>
                <w:szCs w:val="18"/>
              </w:rPr>
              <w:t>FNUSA</w:t>
            </w:r>
          </w:p>
        </w:tc>
        <w:tc>
          <w:tcPr>
            <w:tcW w:w="372" w:type="pct"/>
            <w:shd w:val="clear" w:color="auto" w:fill="auto"/>
            <w:noWrap/>
            <w:vAlign w:val="center"/>
            <w:hideMark/>
          </w:tcPr>
          <w:p w14:paraId="15854F13"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2019</w:t>
            </w:r>
          </w:p>
        </w:tc>
        <w:tc>
          <w:tcPr>
            <w:tcW w:w="1022" w:type="pct"/>
            <w:shd w:val="clear" w:color="auto" w:fill="auto"/>
            <w:noWrap/>
            <w:vAlign w:val="center"/>
          </w:tcPr>
          <w:p w14:paraId="36375363"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4 798 267 068,05</w:t>
            </w:r>
          </w:p>
        </w:tc>
        <w:tc>
          <w:tcPr>
            <w:tcW w:w="1245" w:type="pct"/>
            <w:shd w:val="clear" w:color="auto" w:fill="auto"/>
            <w:noWrap/>
            <w:vAlign w:val="center"/>
          </w:tcPr>
          <w:p w14:paraId="0386D263"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976 718 014,19</w:t>
            </w:r>
          </w:p>
        </w:tc>
        <w:tc>
          <w:tcPr>
            <w:tcW w:w="346" w:type="pct"/>
            <w:shd w:val="clear" w:color="auto" w:fill="auto"/>
            <w:noWrap/>
            <w:vAlign w:val="center"/>
          </w:tcPr>
          <w:p w14:paraId="6641D623"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20,36</w:t>
            </w:r>
          </w:p>
        </w:tc>
        <w:tc>
          <w:tcPr>
            <w:tcW w:w="1259" w:type="pct"/>
          </w:tcPr>
          <w:p w14:paraId="06C0E312"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733 099 233,96</w:t>
            </w:r>
          </w:p>
        </w:tc>
        <w:tc>
          <w:tcPr>
            <w:tcW w:w="370" w:type="pct"/>
          </w:tcPr>
          <w:p w14:paraId="30D3E1A9"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15,28</w:t>
            </w:r>
          </w:p>
        </w:tc>
      </w:tr>
      <w:tr w:rsidR="00F56DF7" w:rsidRPr="00527E83" w14:paraId="2CD3FCA0" w14:textId="77777777" w:rsidTr="00BF144C">
        <w:trPr>
          <w:trHeight w:val="227"/>
        </w:trPr>
        <w:tc>
          <w:tcPr>
            <w:tcW w:w="386" w:type="pct"/>
            <w:vMerge/>
            <w:vAlign w:val="center"/>
            <w:hideMark/>
          </w:tcPr>
          <w:p w14:paraId="4562AE3C" w14:textId="77777777" w:rsidR="00F56DF7" w:rsidRPr="00527E83" w:rsidRDefault="00F56DF7" w:rsidP="00946C51">
            <w:pPr>
              <w:keepNext/>
              <w:jc w:val="both"/>
              <w:rPr>
                <w:rFonts w:asciiTheme="minorHAnsi" w:hAnsiTheme="minorHAnsi" w:cstheme="minorHAnsi"/>
                <w:b/>
                <w:bCs/>
                <w:sz w:val="18"/>
                <w:szCs w:val="18"/>
              </w:rPr>
            </w:pPr>
          </w:p>
        </w:tc>
        <w:tc>
          <w:tcPr>
            <w:tcW w:w="372" w:type="pct"/>
            <w:shd w:val="clear" w:color="auto" w:fill="auto"/>
            <w:noWrap/>
            <w:vAlign w:val="center"/>
            <w:hideMark/>
          </w:tcPr>
          <w:p w14:paraId="75C3193F"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2020</w:t>
            </w:r>
          </w:p>
        </w:tc>
        <w:tc>
          <w:tcPr>
            <w:tcW w:w="1022" w:type="pct"/>
            <w:shd w:val="clear" w:color="auto" w:fill="auto"/>
            <w:noWrap/>
            <w:vAlign w:val="center"/>
          </w:tcPr>
          <w:p w14:paraId="58AC83D7"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6 920 471 917,42</w:t>
            </w:r>
          </w:p>
        </w:tc>
        <w:tc>
          <w:tcPr>
            <w:tcW w:w="1245" w:type="pct"/>
            <w:shd w:val="clear" w:color="auto" w:fill="auto"/>
            <w:noWrap/>
            <w:vAlign w:val="center"/>
          </w:tcPr>
          <w:p w14:paraId="6D4AB5FB" w14:textId="77777777" w:rsidR="00F56DF7" w:rsidRPr="00527E83" w:rsidRDefault="00F56DF7" w:rsidP="00946C51">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1 013 611 479,54</w:t>
            </w:r>
          </w:p>
        </w:tc>
        <w:tc>
          <w:tcPr>
            <w:tcW w:w="346" w:type="pct"/>
            <w:shd w:val="clear" w:color="auto" w:fill="auto"/>
            <w:noWrap/>
            <w:vAlign w:val="center"/>
          </w:tcPr>
          <w:p w14:paraId="66344715"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14,46</w:t>
            </w:r>
          </w:p>
        </w:tc>
        <w:tc>
          <w:tcPr>
            <w:tcW w:w="1259" w:type="pct"/>
          </w:tcPr>
          <w:p w14:paraId="7E97D5DB"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710 520 412,77</w:t>
            </w:r>
          </w:p>
        </w:tc>
        <w:tc>
          <w:tcPr>
            <w:tcW w:w="370" w:type="pct"/>
          </w:tcPr>
          <w:p w14:paraId="21F41B9C"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10,27</w:t>
            </w:r>
          </w:p>
        </w:tc>
      </w:tr>
      <w:tr w:rsidR="00F56DF7" w:rsidRPr="00527E83" w14:paraId="548BE295" w14:textId="77777777" w:rsidTr="00BF144C">
        <w:trPr>
          <w:trHeight w:val="227"/>
        </w:trPr>
        <w:tc>
          <w:tcPr>
            <w:tcW w:w="386" w:type="pct"/>
            <w:vMerge/>
            <w:vAlign w:val="center"/>
            <w:hideMark/>
          </w:tcPr>
          <w:p w14:paraId="5B8F4E81" w14:textId="77777777" w:rsidR="00F56DF7" w:rsidRPr="00527E83" w:rsidRDefault="00F56DF7" w:rsidP="00946C51">
            <w:pPr>
              <w:keepNext/>
              <w:jc w:val="both"/>
              <w:rPr>
                <w:rFonts w:asciiTheme="minorHAnsi" w:hAnsiTheme="minorHAnsi" w:cstheme="minorHAnsi"/>
                <w:b/>
                <w:bCs/>
                <w:sz w:val="18"/>
                <w:szCs w:val="18"/>
              </w:rPr>
            </w:pPr>
          </w:p>
        </w:tc>
        <w:tc>
          <w:tcPr>
            <w:tcW w:w="372" w:type="pct"/>
            <w:shd w:val="clear" w:color="auto" w:fill="auto"/>
            <w:noWrap/>
            <w:vAlign w:val="center"/>
            <w:hideMark/>
          </w:tcPr>
          <w:p w14:paraId="23C3968A" w14:textId="77777777" w:rsidR="00F56DF7" w:rsidRPr="00527E83" w:rsidRDefault="00F56DF7" w:rsidP="00946C51">
            <w:pPr>
              <w:keepNext/>
              <w:jc w:val="center"/>
              <w:rPr>
                <w:rFonts w:asciiTheme="minorHAnsi" w:hAnsiTheme="minorHAnsi" w:cstheme="minorHAnsi"/>
                <w:sz w:val="18"/>
                <w:szCs w:val="18"/>
              </w:rPr>
            </w:pPr>
            <w:r w:rsidRPr="00527E83">
              <w:rPr>
                <w:rFonts w:asciiTheme="minorHAnsi" w:hAnsiTheme="minorHAnsi" w:cstheme="minorHAnsi"/>
                <w:sz w:val="18"/>
                <w:szCs w:val="18"/>
              </w:rPr>
              <w:t>2021</w:t>
            </w:r>
          </w:p>
        </w:tc>
        <w:tc>
          <w:tcPr>
            <w:tcW w:w="1022" w:type="pct"/>
            <w:shd w:val="clear" w:color="auto" w:fill="auto"/>
            <w:noWrap/>
            <w:vAlign w:val="center"/>
          </w:tcPr>
          <w:p w14:paraId="2172E049"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6 543 275 202,77</w:t>
            </w:r>
          </w:p>
        </w:tc>
        <w:tc>
          <w:tcPr>
            <w:tcW w:w="1245" w:type="pct"/>
            <w:shd w:val="clear" w:color="auto" w:fill="auto"/>
            <w:noWrap/>
            <w:vAlign w:val="center"/>
          </w:tcPr>
          <w:p w14:paraId="4F13142E" w14:textId="36539410" w:rsidR="00F56DF7" w:rsidRPr="00527E83" w:rsidRDefault="00F56DF7" w:rsidP="00E347A3">
            <w:pPr>
              <w:keepNext/>
              <w:ind w:right="274"/>
              <w:jc w:val="right"/>
              <w:rPr>
                <w:rFonts w:asciiTheme="minorHAnsi" w:hAnsiTheme="minorHAnsi" w:cstheme="minorHAnsi"/>
                <w:sz w:val="18"/>
                <w:szCs w:val="18"/>
              </w:rPr>
            </w:pPr>
            <w:r w:rsidRPr="00527E83">
              <w:rPr>
                <w:rFonts w:asciiTheme="minorHAnsi" w:hAnsiTheme="minorHAnsi" w:cstheme="minorHAnsi"/>
                <w:sz w:val="18"/>
                <w:szCs w:val="18"/>
              </w:rPr>
              <w:t xml:space="preserve"> 1 158 947 109,63</w:t>
            </w:r>
          </w:p>
        </w:tc>
        <w:tc>
          <w:tcPr>
            <w:tcW w:w="346" w:type="pct"/>
            <w:shd w:val="clear" w:color="auto" w:fill="auto"/>
            <w:noWrap/>
            <w:vAlign w:val="center"/>
          </w:tcPr>
          <w:p w14:paraId="29FA0360" w14:textId="77777777" w:rsidR="00F56DF7" w:rsidRPr="00527E83" w:rsidRDefault="00F56DF7" w:rsidP="00946C51">
            <w:pPr>
              <w:keepNext/>
              <w:ind w:right="77"/>
              <w:rPr>
                <w:rFonts w:asciiTheme="minorHAnsi" w:hAnsiTheme="minorHAnsi" w:cstheme="minorHAnsi"/>
                <w:sz w:val="18"/>
                <w:szCs w:val="18"/>
              </w:rPr>
            </w:pPr>
            <w:r w:rsidRPr="00527E83">
              <w:rPr>
                <w:rFonts w:asciiTheme="minorHAnsi" w:hAnsiTheme="minorHAnsi" w:cstheme="minorHAnsi"/>
                <w:sz w:val="18"/>
                <w:szCs w:val="18"/>
              </w:rPr>
              <w:t>17,71</w:t>
            </w:r>
          </w:p>
        </w:tc>
        <w:tc>
          <w:tcPr>
            <w:tcW w:w="1259" w:type="pct"/>
          </w:tcPr>
          <w:p w14:paraId="77604B78" w14:textId="77777777" w:rsidR="00F56DF7" w:rsidRPr="00527E83" w:rsidRDefault="00F56DF7" w:rsidP="00946C51">
            <w:pPr>
              <w:keepNext/>
              <w:ind w:right="77"/>
              <w:jc w:val="center"/>
              <w:rPr>
                <w:rFonts w:asciiTheme="minorHAnsi" w:hAnsiTheme="minorHAnsi" w:cstheme="minorHAnsi"/>
                <w:sz w:val="18"/>
                <w:szCs w:val="18"/>
              </w:rPr>
            </w:pPr>
            <w:r w:rsidRPr="00527E83">
              <w:rPr>
                <w:rFonts w:asciiTheme="minorHAnsi" w:hAnsiTheme="minorHAnsi" w:cstheme="minorHAnsi"/>
                <w:sz w:val="18"/>
                <w:szCs w:val="18"/>
              </w:rPr>
              <w:t>761 742 467,03</w:t>
            </w:r>
          </w:p>
        </w:tc>
        <w:tc>
          <w:tcPr>
            <w:tcW w:w="370" w:type="pct"/>
          </w:tcPr>
          <w:p w14:paraId="443C3361" w14:textId="77777777" w:rsidR="00F56DF7" w:rsidRPr="00527E83" w:rsidRDefault="00F56DF7" w:rsidP="00946C51">
            <w:pPr>
              <w:keepNext/>
              <w:ind w:right="77"/>
              <w:jc w:val="right"/>
              <w:rPr>
                <w:rFonts w:asciiTheme="minorHAnsi" w:hAnsiTheme="minorHAnsi" w:cstheme="minorHAnsi"/>
                <w:sz w:val="18"/>
                <w:szCs w:val="18"/>
              </w:rPr>
            </w:pPr>
            <w:r w:rsidRPr="00527E83">
              <w:rPr>
                <w:rFonts w:asciiTheme="minorHAnsi" w:hAnsiTheme="minorHAnsi" w:cstheme="minorHAnsi"/>
                <w:sz w:val="18"/>
                <w:szCs w:val="18"/>
              </w:rPr>
              <w:t>11,64</w:t>
            </w:r>
          </w:p>
        </w:tc>
      </w:tr>
    </w:tbl>
    <w:bookmarkEnd w:id="11"/>
    <w:p w14:paraId="15805FDF" w14:textId="77777777" w:rsidR="00F56DF7" w:rsidRPr="00527E83" w:rsidRDefault="00F56DF7" w:rsidP="00F56DF7">
      <w:pPr>
        <w:pStyle w:val="Zdroj"/>
        <w:keepNext/>
        <w:spacing w:before="40"/>
        <w:ind w:left="567" w:hanging="567"/>
        <w:rPr>
          <w:rFonts w:asciiTheme="minorHAnsi" w:hAnsiTheme="minorHAnsi" w:cstheme="minorHAnsi"/>
          <w:i w:val="0"/>
          <w:noProof/>
        </w:rPr>
      </w:pPr>
      <w:r w:rsidRPr="00527E83">
        <w:rPr>
          <w:rFonts w:asciiTheme="minorHAnsi" w:hAnsiTheme="minorHAnsi" w:cstheme="minorHAnsi"/>
          <w:b/>
          <w:i w:val="0"/>
          <w:noProof/>
        </w:rPr>
        <w:t>Zdroj:</w:t>
      </w:r>
      <w:r w:rsidRPr="00527E83">
        <w:rPr>
          <w:rFonts w:asciiTheme="minorHAnsi" w:hAnsiTheme="minorHAnsi" w:cstheme="minorHAnsi"/>
          <w:i w:val="0"/>
          <w:noProof/>
        </w:rPr>
        <w:t xml:space="preserve"> </w:t>
      </w:r>
      <w:r w:rsidRPr="00527E83">
        <w:rPr>
          <w:rFonts w:asciiTheme="minorHAnsi" w:hAnsiTheme="minorHAnsi" w:cstheme="minorHAnsi"/>
          <w:i w:val="0"/>
          <w:noProof/>
        </w:rPr>
        <w:tab/>
        <w:t>hlavní knihy a účetní závěrky jednotlivých FN k 31. 12. 2019, k 31. 12. 2020 a k 31. 12. 2021.</w:t>
      </w:r>
    </w:p>
    <w:p w14:paraId="78EABD82" w14:textId="3C24FF27" w:rsidR="00F56DF7" w:rsidRPr="00527E83" w:rsidRDefault="00F56DF7" w:rsidP="00F56DF7">
      <w:pPr>
        <w:pStyle w:val="Zdroj"/>
        <w:keepNext/>
        <w:ind w:left="284" w:hanging="284"/>
        <w:rPr>
          <w:rFonts w:asciiTheme="minorHAnsi" w:hAnsiTheme="minorHAnsi" w:cstheme="minorHAnsi"/>
          <w:i w:val="0"/>
          <w:noProof/>
        </w:rPr>
      </w:pPr>
      <w:r w:rsidRPr="00527E83">
        <w:rPr>
          <w:rFonts w:asciiTheme="minorHAnsi" w:hAnsiTheme="minorHAnsi" w:cstheme="minorHAnsi"/>
          <w:i w:val="0"/>
          <w:noProof/>
        </w:rPr>
        <w:t xml:space="preserve">* </w:t>
      </w:r>
      <w:r w:rsidRPr="00527E83">
        <w:rPr>
          <w:rFonts w:asciiTheme="minorHAnsi" w:hAnsiTheme="minorHAnsi" w:cstheme="minorHAnsi"/>
          <w:i w:val="0"/>
          <w:noProof/>
        </w:rPr>
        <w:tab/>
        <w:t xml:space="preserve">Náklady na léčivé přípravky jsou uvedeny bez nákladů na krev, </w:t>
      </w:r>
      <w:r w:rsidR="00241D6F">
        <w:rPr>
          <w:rFonts w:asciiTheme="minorHAnsi" w:hAnsiTheme="minorHAnsi" w:cstheme="minorHAnsi"/>
          <w:i w:val="0"/>
          <w:noProof/>
        </w:rPr>
        <w:t xml:space="preserve">na </w:t>
      </w:r>
      <w:r w:rsidRPr="00527E83">
        <w:rPr>
          <w:rFonts w:asciiTheme="minorHAnsi" w:hAnsiTheme="minorHAnsi" w:cstheme="minorHAnsi"/>
          <w:i w:val="0"/>
          <w:noProof/>
        </w:rPr>
        <w:t>krevní deriváty a medicinální plyny.</w:t>
      </w:r>
    </w:p>
    <w:p w14:paraId="697683E6" w14:textId="77777777" w:rsidR="00F56DF7" w:rsidRPr="00DD1927" w:rsidRDefault="00F56DF7" w:rsidP="00DD1927">
      <w:pPr>
        <w:jc w:val="center"/>
        <w:rPr>
          <w:rFonts w:asciiTheme="minorHAnsi" w:hAnsiTheme="minorHAnsi" w:cstheme="minorHAnsi"/>
          <w:sz w:val="24"/>
          <w:szCs w:val="24"/>
        </w:rPr>
      </w:pPr>
    </w:p>
    <w:p w14:paraId="13F614C2" w14:textId="77777777" w:rsidR="00F56DF7" w:rsidRPr="00DD1927" w:rsidRDefault="00F56DF7" w:rsidP="00DD1927">
      <w:pPr>
        <w:spacing w:after="120"/>
        <w:jc w:val="center"/>
        <w:rPr>
          <w:rFonts w:asciiTheme="minorHAnsi" w:eastAsia="Times New Roman" w:hAnsiTheme="minorHAnsi" w:cstheme="minorHAnsi"/>
          <w:sz w:val="24"/>
          <w:szCs w:val="24"/>
        </w:rPr>
      </w:pPr>
    </w:p>
    <w:p w14:paraId="196BA0E7" w14:textId="2E137FBD" w:rsidR="00F56DF7" w:rsidRPr="00527E83" w:rsidRDefault="00F56DF7" w:rsidP="00065469">
      <w:pPr>
        <w:jc w:val="right"/>
        <w:rPr>
          <w:rFonts w:asciiTheme="minorHAnsi" w:hAnsiTheme="minorHAnsi" w:cstheme="minorHAnsi"/>
          <w:b/>
          <w:sz w:val="24"/>
          <w:szCs w:val="24"/>
        </w:rPr>
      </w:pPr>
      <w:r w:rsidRPr="00527E83">
        <w:rPr>
          <w:rFonts w:asciiTheme="minorHAnsi" w:hAnsiTheme="minorHAnsi" w:cstheme="minorHAnsi"/>
          <w:b/>
          <w:sz w:val="24"/>
          <w:szCs w:val="24"/>
        </w:rPr>
        <w:t>Příloha č. 2</w:t>
      </w:r>
    </w:p>
    <w:p w14:paraId="70341738" w14:textId="77777777" w:rsidR="00F56DF7" w:rsidRPr="00DD1927" w:rsidRDefault="00F56DF7" w:rsidP="00DD1927">
      <w:pPr>
        <w:jc w:val="both"/>
        <w:rPr>
          <w:rFonts w:asciiTheme="minorHAnsi" w:eastAsia="Times New Roman" w:hAnsiTheme="minorHAnsi" w:cstheme="minorHAnsi"/>
          <w:sz w:val="24"/>
          <w:szCs w:val="24"/>
        </w:rPr>
      </w:pPr>
    </w:p>
    <w:p w14:paraId="4491F46B" w14:textId="2CBF9224" w:rsidR="00C8687A" w:rsidRPr="00527E83" w:rsidRDefault="000E64BD" w:rsidP="006E7EFE">
      <w:pPr>
        <w:spacing w:after="120"/>
        <w:jc w:val="center"/>
        <w:rPr>
          <w:rFonts w:asciiTheme="minorHAnsi" w:eastAsia="Times New Roman" w:hAnsiTheme="minorHAnsi" w:cstheme="minorHAnsi"/>
          <w:b/>
          <w:sz w:val="24"/>
          <w:szCs w:val="24"/>
        </w:rPr>
      </w:pPr>
      <w:r w:rsidRPr="00527E83">
        <w:rPr>
          <w:rFonts w:asciiTheme="minorHAnsi" w:eastAsia="Times New Roman" w:hAnsiTheme="minorHAnsi" w:cstheme="minorHAnsi"/>
          <w:b/>
          <w:sz w:val="24"/>
          <w:szCs w:val="24"/>
        </w:rPr>
        <w:t xml:space="preserve">Cenové rozdíly jednotkových cen </w:t>
      </w:r>
      <w:proofErr w:type="spellStart"/>
      <w:r w:rsidRPr="00527E83">
        <w:rPr>
          <w:rFonts w:asciiTheme="minorHAnsi" w:eastAsia="Times New Roman" w:hAnsiTheme="minorHAnsi" w:cstheme="minorHAnsi"/>
          <w:b/>
          <w:sz w:val="24"/>
          <w:szCs w:val="24"/>
        </w:rPr>
        <w:t>centrových</w:t>
      </w:r>
      <w:proofErr w:type="spellEnd"/>
      <w:r w:rsidRPr="00527E83">
        <w:rPr>
          <w:rFonts w:asciiTheme="minorHAnsi" w:eastAsia="Times New Roman" w:hAnsiTheme="minorHAnsi" w:cstheme="minorHAnsi"/>
          <w:b/>
          <w:sz w:val="24"/>
          <w:szCs w:val="24"/>
        </w:rPr>
        <w:t xml:space="preserve"> léků</w:t>
      </w:r>
      <w:r w:rsidR="00193C04">
        <w:rPr>
          <w:rFonts w:asciiTheme="minorHAnsi" w:eastAsia="Times New Roman" w:hAnsiTheme="minorHAnsi" w:cstheme="minorHAnsi"/>
          <w:b/>
          <w:sz w:val="24"/>
          <w:szCs w:val="24"/>
        </w:rPr>
        <w:t xml:space="preserve"> u FN</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
        <w:gridCol w:w="567"/>
        <w:gridCol w:w="964"/>
        <w:gridCol w:w="1077"/>
        <w:gridCol w:w="1134"/>
        <w:gridCol w:w="1077"/>
        <w:gridCol w:w="1030"/>
        <w:gridCol w:w="813"/>
        <w:gridCol w:w="777"/>
        <w:gridCol w:w="907"/>
      </w:tblGrid>
      <w:tr w:rsidR="00241D6F" w:rsidRPr="00527E83" w14:paraId="3014DC63" w14:textId="77777777" w:rsidTr="000F1196">
        <w:trPr>
          <w:trHeight w:val="879"/>
        </w:trPr>
        <w:tc>
          <w:tcPr>
            <w:tcW w:w="794" w:type="dxa"/>
            <w:shd w:val="clear" w:color="000000" w:fill="E5F1FF"/>
            <w:noWrap/>
            <w:vAlign w:val="center"/>
            <w:hideMark/>
          </w:tcPr>
          <w:p w14:paraId="60E1A429" w14:textId="42316068" w:rsidR="00241D6F" w:rsidRPr="00527E83" w:rsidRDefault="00994A69" w:rsidP="003F316F">
            <w:pPr>
              <w:widowControl/>
              <w:autoSpaceDE/>
              <w:autoSpaceDN/>
              <w:adjustRightInd/>
              <w:ind w:left="-57" w:right="-57"/>
              <w:jc w:val="center"/>
              <w:rPr>
                <w:rFonts w:asciiTheme="minorHAnsi" w:eastAsia="Times New Roman" w:hAnsiTheme="minorHAnsi" w:cstheme="minorHAnsi"/>
                <w:b/>
                <w:bCs/>
                <w:color w:val="000000"/>
                <w:sz w:val="18"/>
                <w:szCs w:val="18"/>
              </w:rPr>
            </w:pPr>
            <w:hyperlink r:id="rId13" w:anchor="RANGE!_ftn1" w:history="1">
              <w:r w:rsidR="00241D6F" w:rsidRPr="00527E83">
                <w:rPr>
                  <w:rFonts w:asciiTheme="minorHAnsi" w:eastAsia="Times New Roman" w:hAnsiTheme="minorHAnsi" w:cstheme="minorHAnsi"/>
                  <w:b/>
                  <w:bCs/>
                  <w:color w:val="000000"/>
                  <w:sz w:val="18"/>
                  <w:szCs w:val="18"/>
                </w:rPr>
                <w:t>Kód SÚKL</w:t>
              </w:r>
            </w:hyperlink>
            <w:r w:rsidR="00241D6F" w:rsidRPr="00527E83">
              <w:rPr>
                <w:rStyle w:val="Znakapoznpodarou"/>
                <w:rFonts w:asciiTheme="minorHAnsi" w:eastAsia="Times New Roman" w:hAnsiTheme="minorHAnsi" w:cstheme="minorHAnsi"/>
                <w:b/>
                <w:bCs/>
                <w:color w:val="000000"/>
                <w:sz w:val="18"/>
                <w:szCs w:val="18"/>
              </w:rPr>
              <w:footnoteReference w:id="51"/>
            </w:r>
          </w:p>
        </w:tc>
        <w:tc>
          <w:tcPr>
            <w:tcW w:w="567" w:type="dxa"/>
            <w:shd w:val="clear" w:color="000000" w:fill="E5F1FF"/>
            <w:noWrap/>
            <w:vAlign w:val="center"/>
            <w:hideMark/>
          </w:tcPr>
          <w:p w14:paraId="4B6392A9" w14:textId="77777777" w:rsidR="00241D6F" w:rsidRPr="00527E83" w:rsidRDefault="00241D6F" w:rsidP="00946C51">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Rok</w:t>
            </w:r>
          </w:p>
        </w:tc>
        <w:tc>
          <w:tcPr>
            <w:tcW w:w="964" w:type="dxa"/>
            <w:shd w:val="clear" w:color="000000" w:fill="E5F1FF"/>
            <w:vAlign w:val="center"/>
            <w:hideMark/>
          </w:tcPr>
          <w:p w14:paraId="45FE2819" w14:textId="0A92E48B" w:rsidR="00241D6F" w:rsidRPr="00527E83" w:rsidRDefault="00241D6F" w:rsidP="003F316F">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Minimální jednotková cena v</w:t>
            </w:r>
            <w:r w:rsidR="003F316F">
              <w:rPr>
                <w:rFonts w:asciiTheme="minorHAnsi" w:eastAsia="Times New Roman" w:hAnsiTheme="minorHAnsi" w:cstheme="minorHAnsi"/>
                <w:b/>
                <w:bCs/>
                <w:color w:val="000000"/>
                <w:sz w:val="18"/>
                <w:szCs w:val="18"/>
              </w:rPr>
              <w:t> </w:t>
            </w:r>
            <w:r w:rsidRPr="00527E83">
              <w:rPr>
                <w:rFonts w:asciiTheme="minorHAnsi" w:eastAsia="Times New Roman" w:hAnsiTheme="minorHAnsi" w:cstheme="minorHAnsi"/>
                <w:b/>
                <w:bCs/>
                <w:color w:val="000000"/>
                <w:sz w:val="18"/>
                <w:szCs w:val="18"/>
              </w:rPr>
              <w:t>Kč</w:t>
            </w:r>
          </w:p>
        </w:tc>
        <w:tc>
          <w:tcPr>
            <w:tcW w:w="1077" w:type="dxa"/>
            <w:shd w:val="clear" w:color="000000" w:fill="E5F1FF"/>
            <w:vAlign w:val="center"/>
            <w:hideMark/>
          </w:tcPr>
          <w:p w14:paraId="42552498" w14:textId="0F205AD0" w:rsidR="00241D6F" w:rsidRPr="00527E83" w:rsidRDefault="00241D6F" w:rsidP="003F316F">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FN s min. jednotkovou cenou</w:t>
            </w:r>
          </w:p>
        </w:tc>
        <w:tc>
          <w:tcPr>
            <w:tcW w:w="1134" w:type="dxa"/>
            <w:shd w:val="clear" w:color="000000" w:fill="E5F1FF"/>
            <w:vAlign w:val="center"/>
            <w:hideMark/>
          </w:tcPr>
          <w:p w14:paraId="5769A911" w14:textId="77777777" w:rsidR="00241D6F" w:rsidRPr="00527E83" w:rsidRDefault="00241D6F" w:rsidP="00946C51">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Maximální jednotková cena v Kč</w:t>
            </w:r>
          </w:p>
        </w:tc>
        <w:tc>
          <w:tcPr>
            <w:tcW w:w="1077" w:type="dxa"/>
            <w:shd w:val="clear" w:color="000000" w:fill="E5F1FF"/>
            <w:vAlign w:val="center"/>
            <w:hideMark/>
          </w:tcPr>
          <w:p w14:paraId="0B87E6D1" w14:textId="4030F751" w:rsidR="00241D6F" w:rsidRPr="00527E83" w:rsidRDefault="00241D6F" w:rsidP="003F316F">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FN s max. jednotkovou cenou</w:t>
            </w:r>
          </w:p>
        </w:tc>
        <w:tc>
          <w:tcPr>
            <w:tcW w:w="1030" w:type="dxa"/>
            <w:shd w:val="clear" w:color="000000" w:fill="E5F1FF"/>
            <w:noWrap/>
            <w:vAlign w:val="center"/>
            <w:hideMark/>
          </w:tcPr>
          <w:p w14:paraId="41D2E6AC" w14:textId="77777777" w:rsidR="00241D6F" w:rsidRPr="00527E83" w:rsidRDefault="00241D6F" w:rsidP="00946C51">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Rozdíl</w:t>
            </w:r>
          </w:p>
          <w:p w14:paraId="77AE9A24" w14:textId="52E81AC4" w:rsidR="00241D6F" w:rsidRPr="00527E83" w:rsidRDefault="00241D6F" w:rsidP="00946C51">
            <w:pPr>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v Kč</w:t>
            </w:r>
          </w:p>
        </w:tc>
        <w:tc>
          <w:tcPr>
            <w:tcW w:w="813" w:type="dxa"/>
            <w:shd w:val="clear" w:color="000000" w:fill="E5F1FF"/>
            <w:noWrap/>
            <w:vAlign w:val="center"/>
            <w:hideMark/>
          </w:tcPr>
          <w:p w14:paraId="005C5C74" w14:textId="77777777" w:rsidR="00241D6F" w:rsidRPr="00527E83" w:rsidRDefault="00241D6F" w:rsidP="00946C51">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Rozdíl v %</w:t>
            </w:r>
          </w:p>
        </w:tc>
        <w:tc>
          <w:tcPr>
            <w:tcW w:w="777" w:type="dxa"/>
            <w:shd w:val="clear" w:color="000000" w:fill="E5F1FF"/>
            <w:vAlign w:val="center"/>
            <w:hideMark/>
          </w:tcPr>
          <w:p w14:paraId="72538DE7" w14:textId="27E0BC2B" w:rsidR="00241D6F" w:rsidRPr="00527E83" w:rsidRDefault="00241D6F" w:rsidP="00946C51">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Počet FN ve vzorku</w:t>
            </w:r>
          </w:p>
        </w:tc>
        <w:tc>
          <w:tcPr>
            <w:tcW w:w="907" w:type="dxa"/>
            <w:shd w:val="clear" w:color="000000" w:fill="E5F1FF"/>
            <w:vAlign w:val="center"/>
            <w:hideMark/>
          </w:tcPr>
          <w:p w14:paraId="0A77C6DE"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Počet dodavatelů ve vzorku</w:t>
            </w:r>
          </w:p>
        </w:tc>
      </w:tr>
      <w:tr w:rsidR="00C810D9" w:rsidRPr="00527E83" w14:paraId="3B3A3C3D" w14:textId="77777777" w:rsidTr="000F1196">
        <w:trPr>
          <w:trHeight w:val="20"/>
        </w:trPr>
        <w:tc>
          <w:tcPr>
            <w:tcW w:w="794" w:type="dxa"/>
            <w:vMerge w:val="restart"/>
            <w:shd w:val="clear" w:color="auto" w:fill="auto"/>
            <w:noWrap/>
            <w:vAlign w:val="center"/>
            <w:hideMark/>
          </w:tcPr>
          <w:p w14:paraId="097EE7D4"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210935</w:t>
            </w:r>
          </w:p>
        </w:tc>
        <w:tc>
          <w:tcPr>
            <w:tcW w:w="567" w:type="dxa"/>
            <w:shd w:val="clear" w:color="auto" w:fill="auto"/>
            <w:noWrap/>
            <w:vAlign w:val="center"/>
            <w:hideMark/>
          </w:tcPr>
          <w:p w14:paraId="64907553"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14F1CBAB"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12 036,69</w:t>
            </w:r>
          </w:p>
        </w:tc>
        <w:tc>
          <w:tcPr>
            <w:tcW w:w="1077" w:type="dxa"/>
            <w:shd w:val="clear" w:color="auto" w:fill="auto"/>
            <w:noWrap/>
            <w:vAlign w:val="center"/>
            <w:hideMark/>
          </w:tcPr>
          <w:p w14:paraId="1B1F22C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14862D53"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19 443,75</w:t>
            </w:r>
          </w:p>
        </w:tc>
        <w:tc>
          <w:tcPr>
            <w:tcW w:w="1077" w:type="dxa"/>
            <w:shd w:val="clear" w:color="auto" w:fill="auto"/>
            <w:noWrap/>
            <w:vAlign w:val="center"/>
            <w:hideMark/>
          </w:tcPr>
          <w:p w14:paraId="7A85746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6CCECC62"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7 407,06</w:t>
            </w:r>
          </w:p>
        </w:tc>
        <w:tc>
          <w:tcPr>
            <w:tcW w:w="813" w:type="dxa"/>
            <w:shd w:val="clear" w:color="auto" w:fill="auto"/>
            <w:noWrap/>
            <w:vAlign w:val="center"/>
            <w:hideMark/>
          </w:tcPr>
          <w:p w14:paraId="5483C44F" w14:textId="7B63D73A"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61,54</w:t>
            </w:r>
          </w:p>
        </w:tc>
        <w:tc>
          <w:tcPr>
            <w:tcW w:w="777" w:type="dxa"/>
            <w:shd w:val="clear" w:color="auto" w:fill="auto"/>
            <w:noWrap/>
            <w:vAlign w:val="center"/>
            <w:hideMark/>
          </w:tcPr>
          <w:p w14:paraId="5E0EFC84"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7FFA2A6B"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21E38736" w14:textId="77777777" w:rsidTr="000F1196">
        <w:trPr>
          <w:trHeight w:val="20"/>
        </w:trPr>
        <w:tc>
          <w:tcPr>
            <w:tcW w:w="794" w:type="dxa"/>
            <w:vMerge/>
            <w:shd w:val="clear" w:color="auto" w:fill="auto"/>
            <w:vAlign w:val="center"/>
            <w:hideMark/>
          </w:tcPr>
          <w:p w14:paraId="4425C34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77C07F4F"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2EE0ECB7"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12 030,68</w:t>
            </w:r>
          </w:p>
        </w:tc>
        <w:tc>
          <w:tcPr>
            <w:tcW w:w="1077" w:type="dxa"/>
            <w:shd w:val="clear" w:color="auto" w:fill="auto"/>
            <w:noWrap/>
            <w:vAlign w:val="center"/>
            <w:hideMark/>
          </w:tcPr>
          <w:p w14:paraId="05E5FB6E"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w:t>
            </w:r>
          </w:p>
        </w:tc>
        <w:tc>
          <w:tcPr>
            <w:tcW w:w="1134" w:type="dxa"/>
            <w:shd w:val="clear" w:color="auto" w:fill="auto"/>
            <w:noWrap/>
            <w:vAlign w:val="center"/>
            <w:hideMark/>
          </w:tcPr>
          <w:p w14:paraId="62EB615B"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12 090,84</w:t>
            </w:r>
          </w:p>
        </w:tc>
        <w:tc>
          <w:tcPr>
            <w:tcW w:w="1077" w:type="dxa"/>
            <w:shd w:val="clear" w:color="auto" w:fill="auto"/>
            <w:noWrap/>
            <w:vAlign w:val="center"/>
            <w:hideMark/>
          </w:tcPr>
          <w:p w14:paraId="7B02DB50"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37A4848C"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60,16</w:t>
            </w:r>
          </w:p>
        </w:tc>
        <w:tc>
          <w:tcPr>
            <w:tcW w:w="813" w:type="dxa"/>
            <w:shd w:val="clear" w:color="auto" w:fill="auto"/>
            <w:noWrap/>
            <w:vAlign w:val="center"/>
            <w:hideMark/>
          </w:tcPr>
          <w:p w14:paraId="3D7DCBB2" w14:textId="4044CAD9"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0,50</w:t>
            </w:r>
          </w:p>
        </w:tc>
        <w:tc>
          <w:tcPr>
            <w:tcW w:w="777" w:type="dxa"/>
            <w:shd w:val="clear" w:color="auto" w:fill="auto"/>
            <w:noWrap/>
            <w:vAlign w:val="center"/>
            <w:hideMark/>
          </w:tcPr>
          <w:p w14:paraId="1DFC4787"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7250D40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23FA590A" w14:textId="77777777" w:rsidTr="000F1196">
        <w:trPr>
          <w:trHeight w:val="20"/>
        </w:trPr>
        <w:tc>
          <w:tcPr>
            <w:tcW w:w="794" w:type="dxa"/>
            <w:vMerge/>
            <w:shd w:val="clear" w:color="auto" w:fill="auto"/>
            <w:vAlign w:val="center"/>
            <w:hideMark/>
          </w:tcPr>
          <w:p w14:paraId="30C6D498"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56D6AAFA"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046A17E9"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12 030,68</w:t>
            </w:r>
          </w:p>
        </w:tc>
        <w:tc>
          <w:tcPr>
            <w:tcW w:w="1077" w:type="dxa"/>
            <w:shd w:val="clear" w:color="auto" w:fill="auto"/>
            <w:noWrap/>
            <w:vAlign w:val="center"/>
            <w:hideMark/>
          </w:tcPr>
          <w:p w14:paraId="7523E60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134" w:type="dxa"/>
            <w:shd w:val="clear" w:color="auto" w:fill="auto"/>
            <w:noWrap/>
            <w:vAlign w:val="center"/>
            <w:hideMark/>
          </w:tcPr>
          <w:p w14:paraId="7D3BECE9"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12 090,84</w:t>
            </w:r>
          </w:p>
        </w:tc>
        <w:tc>
          <w:tcPr>
            <w:tcW w:w="1077" w:type="dxa"/>
            <w:shd w:val="clear" w:color="auto" w:fill="auto"/>
            <w:noWrap/>
            <w:vAlign w:val="center"/>
            <w:hideMark/>
          </w:tcPr>
          <w:p w14:paraId="7EFC8F2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3A0D4D72"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60,16</w:t>
            </w:r>
          </w:p>
        </w:tc>
        <w:tc>
          <w:tcPr>
            <w:tcW w:w="813" w:type="dxa"/>
            <w:shd w:val="clear" w:color="auto" w:fill="auto"/>
            <w:noWrap/>
            <w:vAlign w:val="center"/>
            <w:hideMark/>
          </w:tcPr>
          <w:p w14:paraId="2B60ECC0" w14:textId="2A26CD8F"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0,50</w:t>
            </w:r>
          </w:p>
        </w:tc>
        <w:tc>
          <w:tcPr>
            <w:tcW w:w="777" w:type="dxa"/>
            <w:shd w:val="clear" w:color="auto" w:fill="auto"/>
            <w:noWrap/>
            <w:vAlign w:val="center"/>
            <w:hideMark/>
          </w:tcPr>
          <w:p w14:paraId="40674F87"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662B65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6CAE95D7" w14:textId="77777777" w:rsidTr="000F1196">
        <w:trPr>
          <w:trHeight w:val="20"/>
        </w:trPr>
        <w:tc>
          <w:tcPr>
            <w:tcW w:w="794" w:type="dxa"/>
            <w:vMerge w:val="restart"/>
            <w:shd w:val="clear" w:color="auto" w:fill="auto"/>
            <w:noWrap/>
            <w:vAlign w:val="center"/>
            <w:hideMark/>
          </w:tcPr>
          <w:p w14:paraId="56368CE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209097</w:t>
            </w:r>
          </w:p>
        </w:tc>
        <w:tc>
          <w:tcPr>
            <w:tcW w:w="567" w:type="dxa"/>
            <w:shd w:val="clear" w:color="auto" w:fill="auto"/>
            <w:noWrap/>
            <w:vAlign w:val="center"/>
            <w:hideMark/>
          </w:tcPr>
          <w:p w14:paraId="05C86392"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73A08FDC"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12 036,69</w:t>
            </w:r>
          </w:p>
        </w:tc>
        <w:tc>
          <w:tcPr>
            <w:tcW w:w="1077" w:type="dxa"/>
            <w:shd w:val="clear" w:color="auto" w:fill="auto"/>
            <w:noWrap/>
            <w:vAlign w:val="center"/>
            <w:hideMark/>
          </w:tcPr>
          <w:p w14:paraId="71BBD11F"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4D52892C"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19 444,76</w:t>
            </w:r>
          </w:p>
        </w:tc>
        <w:tc>
          <w:tcPr>
            <w:tcW w:w="1077" w:type="dxa"/>
            <w:shd w:val="clear" w:color="auto" w:fill="auto"/>
            <w:noWrap/>
            <w:vAlign w:val="center"/>
            <w:hideMark/>
          </w:tcPr>
          <w:p w14:paraId="7265410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317BFCBD"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7 408,07</w:t>
            </w:r>
          </w:p>
        </w:tc>
        <w:tc>
          <w:tcPr>
            <w:tcW w:w="813" w:type="dxa"/>
            <w:shd w:val="clear" w:color="auto" w:fill="auto"/>
            <w:noWrap/>
            <w:vAlign w:val="center"/>
            <w:hideMark/>
          </w:tcPr>
          <w:p w14:paraId="7C9BA0D2" w14:textId="2DA8C1EA"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61,55</w:t>
            </w:r>
          </w:p>
        </w:tc>
        <w:tc>
          <w:tcPr>
            <w:tcW w:w="777" w:type="dxa"/>
            <w:shd w:val="clear" w:color="auto" w:fill="auto"/>
            <w:noWrap/>
            <w:vAlign w:val="center"/>
            <w:hideMark/>
          </w:tcPr>
          <w:p w14:paraId="79758109"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2BE4341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1FA2999F" w14:textId="77777777" w:rsidTr="000F1196">
        <w:trPr>
          <w:trHeight w:val="20"/>
        </w:trPr>
        <w:tc>
          <w:tcPr>
            <w:tcW w:w="794" w:type="dxa"/>
            <w:vMerge/>
            <w:shd w:val="clear" w:color="auto" w:fill="auto"/>
            <w:vAlign w:val="center"/>
            <w:hideMark/>
          </w:tcPr>
          <w:p w14:paraId="00B74A40"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12A83785"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5A669A9E"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12 030,68</w:t>
            </w:r>
          </w:p>
        </w:tc>
        <w:tc>
          <w:tcPr>
            <w:tcW w:w="1077" w:type="dxa"/>
            <w:shd w:val="clear" w:color="auto" w:fill="auto"/>
            <w:noWrap/>
            <w:vAlign w:val="center"/>
            <w:hideMark/>
          </w:tcPr>
          <w:p w14:paraId="2D4698A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134" w:type="dxa"/>
            <w:shd w:val="clear" w:color="auto" w:fill="auto"/>
            <w:noWrap/>
            <w:vAlign w:val="center"/>
            <w:hideMark/>
          </w:tcPr>
          <w:p w14:paraId="085BC49F"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12 090,84</w:t>
            </w:r>
          </w:p>
        </w:tc>
        <w:tc>
          <w:tcPr>
            <w:tcW w:w="1077" w:type="dxa"/>
            <w:shd w:val="clear" w:color="auto" w:fill="auto"/>
            <w:noWrap/>
            <w:vAlign w:val="center"/>
            <w:hideMark/>
          </w:tcPr>
          <w:p w14:paraId="4392BBD6"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6F3CE3CB"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60,16</w:t>
            </w:r>
          </w:p>
        </w:tc>
        <w:tc>
          <w:tcPr>
            <w:tcW w:w="813" w:type="dxa"/>
            <w:shd w:val="clear" w:color="auto" w:fill="auto"/>
            <w:noWrap/>
            <w:vAlign w:val="center"/>
            <w:hideMark/>
          </w:tcPr>
          <w:p w14:paraId="0DFBE7E6" w14:textId="3E23F51D"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0,50</w:t>
            </w:r>
          </w:p>
        </w:tc>
        <w:tc>
          <w:tcPr>
            <w:tcW w:w="777" w:type="dxa"/>
            <w:shd w:val="clear" w:color="auto" w:fill="auto"/>
            <w:noWrap/>
            <w:vAlign w:val="center"/>
            <w:hideMark/>
          </w:tcPr>
          <w:p w14:paraId="13FC0D7E"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479E515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4EDEE1E9" w14:textId="77777777" w:rsidTr="000F1196">
        <w:trPr>
          <w:trHeight w:val="20"/>
        </w:trPr>
        <w:tc>
          <w:tcPr>
            <w:tcW w:w="794" w:type="dxa"/>
            <w:vMerge/>
            <w:shd w:val="clear" w:color="auto" w:fill="auto"/>
            <w:vAlign w:val="center"/>
            <w:hideMark/>
          </w:tcPr>
          <w:p w14:paraId="3BEC32A4"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6F5F9B29"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41D06F14"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12 030,68</w:t>
            </w:r>
          </w:p>
        </w:tc>
        <w:tc>
          <w:tcPr>
            <w:tcW w:w="1077" w:type="dxa"/>
            <w:shd w:val="clear" w:color="auto" w:fill="auto"/>
            <w:noWrap/>
            <w:vAlign w:val="center"/>
            <w:hideMark/>
          </w:tcPr>
          <w:p w14:paraId="74421D6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134" w:type="dxa"/>
            <w:shd w:val="clear" w:color="auto" w:fill="auto"/>
            <w:noWrap/>
            <w:vAlign w:val="center"/>
            <w:hideMark/>
          </w:tcPr>
          <w:p w14:paraId="276F72D5"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12 090,84</w:t>
            </w:r>
          </w:p>
        </w:tc>
        <w:tc>
          <w:tcPr>
            <w:tcW w:w="1077" w:type="dxa"/>
            <w:shd w:val="clear" w:color="auto" w:fill="auto"/>
            <w:noWrap/>
            <w:vAlign w:val="center"/>
            <w:hideMark/>
          </w:tcPr>
          <w:p w14:paraId="79950AA6"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65C68820"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60,16</w:t>
            </w:r>
          </w:p>
        </w:tc>
        <w:tc>
          <w:tcPr>
            <w:tcW w:w="813" w:type="dxa"/>
            <w:shd w:val="clear" w:color="auto" w:fill="auto"/>
            <w:noWrap/>
            <w:vAlign w:val="center"/>
            <w:hideMark/>
          </w:tcPr>
          <w:p w14:paraId="0C611D5A" w14:textId="047F41D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0,50</w:t>
            </w:r>
          </w:p>
        </w:tc>
        <w:tc>
          <w:tcPr>
            <w:tcW w:w="777" w:type="dxa"/>
            <w:shd w:val="clear" w:color="auto" w:fill="auto"/>
            <w:noWrap/>
            <w:vAlign w:val="center"/>
            <w:hideMark/>
          </w:tcPr>
          <w:p w14:paraId="04AFC47D"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6611AB20"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5D012050" w14:textId="77777777" w:rsidTr="000F1196">
        <w:trPr>
          <w:trHeight w:val="20"/>
        </w:trPr>
        <w:tc>
          <w:tcPr>
            <w:tcW w:w="794" w:type="dxa"/>
            <w:vMerge w:val="restart"/>
            <w:shd w:val="clear" w:color="auto" w:fill="auto"/>
            <w:noWrap/>
            <w:vAlign w:val="center"/>
            <w:hideMark/>
          </w:tcPr>
          <w:p w14:paraId="578D881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219085</w:t>
            </w:r>
          </w:p>
        </w:tc>
        <w:tc>
          <w:tcPr>
            <w:tcW w:w="567" w:type="dxa"/>
            <w:shd w:val="clear" w:color="auto" w:fill="auto"/>
            <w:noWrap/>
            <w:vAlign w:val="center"/>
            <w:hideMark/>
          </w:tcPr>
          <w:p w14:paraId="6BAA3856"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7C40299C"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45 829,88</w:t>
            </w:r>
          </w:p>
        </w:tc>
        <w:tc>
          <w:tcPr>
            <w:tcW w:w="1077" w:type="dxa"/>
            <w:shd w:val="clear" w:color="auto" w:fill="auto"/>
            <w:noWrap/>
            <w:vAlign w:val="center"/>
            <w:hideMark/>
          </w:tcPr>
          <w:p w14:paraId="448934F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w:t>
            </w:r>
          </w:p>
        </w:tc>
        <w:tc>
          <w:tcPr>
            <w:tcW w:w="1134" w:type="dxa"/>
            <w:shd w:val="clear" w:color="auto" w:fill="auto"/>
            <w:noWrap/>
            <w:vAlign w:val="center"/>
            <w:hideMark/>
          </w:tcPr>
          <w:p w14:paraId="5EC0D159"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46 600,00</w:t>
            </w:r>
          </w:p>
        </w:tc>
        <w:tc>
          <w:tcPr>
            <w:tcW w:w="1077" w:type="dxa"/>
            <w:shd w:val="clear" w:color="auto" w:fill="auto"/>
            <w:noWrap/>
            <w:vAlign w:val="center"/>
            <w:hideMark/>
          </w:tcPr>
          <w:p w14:paraId="262C2E55"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030" w:type="dxa"/>
            <w:shd w:val="clear" w:color="auto" w:fill="auto"/>
            <w:noWrap/>
            <w:vAlign w:val="center"/>
            <w:hideMark/>
          </w:tcPr>
          <w:p w14:paraId="07FA350B"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770,12</w:t>
            </w:r>
          </w:p>
        </w:tc>
        <w:tc>
          <w:tcPr>
            <w:tcW w:w="813" w:type="dxa"/>
            <w:shd w:val="clear" w:color="auto" w:fill="auto"/>
            <w:noWrap/>
            <w:vAlign w:val="center"/>
            <w:hideMark/>
          </w:tcPr>
          <w:p w14:paraId="24D1A962" w14:textId="210D829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1,68</w:t>
            </w:r>
          </w:p>
        </w:tc>
        <w:tc>
          <w:tcPr>
            <w:tcW w:w="777" w:type="dxa"/>
            <w:shd w:val="clear" w:color="auto" w:fill="auto"/>
            <w:noWrap/>
            <w:vAlign w:val="center"/>
            <w:hideMark/>
          </w:tcPr>
          <w:p w14:paraId="1A5BEBE5"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3757B1E"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1D656917" w14:textId="77777777" w:rsidTr="000F1196">
        <w:trPr>
          <w:trHeight w:val="20"/>
        </w:trPr>
        <w:tc>
          <w:tcPr>
            <w:tcW w:w="794" w:type="dxa"/>
            <w:vMerge/>
            <w:shd w:val="clear" w:color="auto" w:fill="auto"/>
            <w:vAlign w:val="center"/>
            <w:hideMark/>
          </w:tcPr>
          <w:p w14:paraId="0F4184EB"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5F94D567"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6BCBCCCC"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38 808,00</w:t>
            </w:r>
          </w:p>
        </w:tc>
        <w:tc>
          <w:tcPr>
            <w:tcW w:w="1077" w:type="dxa"/>
            <w:shd w:val="clear" w:color="auto" w:fill="auto"/>
            <w:noWrap/>
            <w:vAlign w:val="center"/>
            <w:hideMark/>
          </w:tcPr>
          <w:p w14:paraId="047C9C08"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w:t>
            </w:r>
          </w:p>
        </w:tc>
        <w:tc>
          <w:tcPr>
            <w:tcW w:w="1134" w:type="dxa"/>
            <w:shd w:val="clear" w:color="auto" w:fill="auto"/>
            <w:noWrap/>
            <w:vAlign w:val="center"/>
            <w:hideMark/>
          </w:tcPr>
          <w:p w14:paraId="3B7AA45E"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45 829,88</w:t>
            </w:r>
          </w:p>
        </w:tc>
        <w:tc>
          <w:tcPr>
            <w:tcW w:w="1077" w:type="dxa"/>
            <w:shd w:val="clear" w:color="auto" w:fill="auto"/>
            <w:noWrap/>
            <w:vAlign w:val="center"/>
            <w:hideMark/>
          </w:tcPr>
          <w:p w14:paraId="6B006C3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030" w:type="dxa"/>
            <w:shd w:val="clear" w:color="auto" w:fill="auto"/>
            <w:noWrap/>
            <w:vAlign w:val="center"/>
            <w:hideMark/>
          </w:tcPr>
          <w:p w14:paraId="0A451B95"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7 021,88</w:t>
            </w:r>
          </w:p>
        </w:tc>
        <w:tc>
          <w:tcPr>
            <w:tcW w:w="813" w:type="dxa"/>
            <w:shd w:val="clear" w:color="auto" w:fill="auto"/>
            <w:noWrap/>
            <w:vAlign w:val="center"/>
            <w:hideMark/>
          </w:tcPr>
          <w:p w14:paraId="183FD841" w14:textId="1E579826"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18,09</w:t>
            </w:r>
          </w:p>
        </w:tc>
        <w:tc>
          <w:tcPr>
            <w:tcW w:w="777" w:type="dxa"/>
            <w:shd w:val="clear" w:color="auto" w:fill="auto"/>
            <w:noWrap/>
            <w:vAlign w:val="center"/>
            <w:hideMark/>
          </w:tcPr>
          <w:p w14:paraId="64580722"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2016952B"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00ABD771" w14:textId="77777777" w:rsidTr="000F1196">
        <w:trPr>
          <w:trHeight w:val="20"/>
        </w:trPr>
        <w:tc>
          <w:tcPr>
            <w:tcW w:w="794" w:type="dxa"/>
            <w:vMerge/>
            <w:shd w:val="clear" w:color="auto" w:fill="auto"/>
            <w:vAlign w:val="center"/>
            <w:hideMark/>
          </w:tcPr>
          <w:p w14:paraId="567D625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23333672"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7EBC70C7"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38 808,00</w:t>
            </w:r>
          </w:p>
        </w:tc>
        <w:tc>
          <w:tcPr>
            <w:tcW w:w="1077" w:type="dxa"/>
            <w:shd w:val="clear" w:color="auto" w:fill="auto"/>
            <w:noWrap/>
            <w:vAlign w:val="center"/>
            <w:hideMark/>
          </w:tcPr>
          <w:p w14:paraId="1E3F796E"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134" w:type="dxa"/>
            <w:shd w:val="clear" w:color="auto" w:fill="auto"/>
            <w:noWrap/>
            <w:vAlign w:val="center"/>
            <w:hideMark/>
          </w:tcPr>
          <w:p w14:paraId="0422439C" w14:textId="2DB5314E" w:rsidR="00946C51"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31887890" w14:textId="2CAF1311" w:rsidR="00946C51"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5B85EB53"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3BA1C624" w14:textId="2174B39C"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483B17A3"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1E06A9C6"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4F46F409" w14:textId="77777777" w:rsidTr="000F1196">
        <w:trPr>
          <w:trHeight w:val="20"/>
        </w:trPr>
        <w:tc>
          <w:tcPr>
            <w:tcW w:w="794" w:type="dxa"/>
            <w:vMerge w:val="restart"/>
            <w:shd w:val="clear" w:color="auto" w:fill="auto"/>
            <w:noWrap/>
            <w:vAlign w:val="center"/>
            <w:hideMark/>
          </w:tcPr>
          <w:p w14:paraId="5B74BA9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28397</w:t>
            </w:r>
          </w:p>
        </w:tc>
        <w:tc>
          <w:tcPr>
            <w:tcW w:w="567" w:type="dxa"/>
            <w:shd w:val="clear" w:color="auto" w:fill="auto"/>
            <w:noWrap/>
            <w:vAlign w:val="center"/>
            <w:hideMark/>
          </w:tcPr>
          <w:p w14:paraId="28279AC3"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1268F09A"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25 797,97</w:t>
            </w:r>
          </w:p>
        </w:tc>
        <w:tc>
          <w:tcPr>
            <w:tcW w:w="1077" w:type="dxa"/>
            <w:shd w:val="clear" w:color="auto" w:fill="auto"/>
            <w:noWrap/>
            <w:vAlign w:val="center"/>
            <w:hideMark/>
          </w:tcPr>
          <w:p w14:paraId="5EE2FB8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134" w:type="dxa"/>
            <w:shd w:val="clear" w:color="auto" w:fill="auto"/>
            <w:noWrap/>
            <w:vAlign w:val="center"/>
            <w:hideMark/>
          </w:tcPr>
          <w:p w14:paraId="44D8D4CB"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26 750,50</w:t>
            </w:r>
          </w:p>
        </w:tc>
        <w:tc>
          <w:tcPr>
            <w:tcW w:w="1077" w:type="dxa"/>
            <w:shd w:val="clear" w:color="auto" w:fill="auto"/>
            <w:noWrap/>
            <w:vAlign w:val="center"/>
            <w:hideMark/>
          </w:tcPr>
          <w:p w14:paraId="4D684CA8"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3551ABDD"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952,53</w:t>
            </w:r>
          </w:p>
        </w:tc>
        <w:tc>
          <w:tcPr>
            <w:tcW w:w="813" w:type="dxa"/>
            <w:shd w:val="clear" w:color="auto" w:fill="auto"/>
            <w:noWrap/>
            <w:vAlign w:val="center"/>
            <w:hideMark/>
          </w:tcPr>
          <w:p w14:paraId="193B072B" w14:textId="151B3E4B"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3,69</w:t>
            </w:r>
          </w:p>
        </w:tc>
        <w:tc>
          <w:tcPr>
            <w:tcW w:w="777" w:type="dxa"/>
            <w:shd w:val="clear" w:color="auto" w:fill="auto"/>
            <w:noWrap/>
            <w:vAlign w:val="center"/>
            <w:hideMark/>
          </w:tcPr>
          <w:p w14:paraId="088EB3D9"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65963A4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632206DA" w14:textId="77777777" w:rsidTr="000F1196">
        <w:trPr>
          <w:trHeight w:val="20"/>
        </w:trPr>
        <w:tc>
          <w:tcPr>
            <w:tcW w:w="794" w:type="dxa"/>
            <w:vMerge/>
            <w:shd w:val="clear" w:color="auto" w:fill="auto"/>
            <w:vAlign w:val="center"/>
            <w:hideMark/>
          </w:tcPr>
          <w:p w14:paraId="700CDE3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38B6328F"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40BE698C"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25 729,11</w:t>
            </w:r>
          </w:p>
        </w:tc>
        <w:tc>
          <w:tcPr>
            <w:tcW w:w="1077" w:type="dxa"/>
            <w:shd w:val="clear" w:color="auto" w:fill="auto"/>
            <w:noWrap/>
            <w:vAlign w:val="center"/>
            <w:hideMark/>
          </w:tcPr>
          <w:p w14:paraId="63E3F24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w:t>
            </w:r>
          </w:p>
        </w:tc>
        <w:tc>
          <w:tcPr>
            <w:tcW w:w="1134" w:type="dxa"/>
            <w:shd w:val="clear" w:color="auto" w:fill="auto"/>
            <w:noWrap/>
            <w:vAlign w:val="center"/>
            <w:hideMark/>
          </w:tcPr>
          <w:p w14:paraId="3AD28681"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26 442,93</w:t>
            </w:r>
          </w:p>
        </w:tc>
        <w:tc>
          <w:tcPr>
            <w:tcW w:w="1077" w:type="dxa"/>
            <w:shd w:val="clear" w:color="auto" w:fill="auto"/>
            <w:noWrap/>
            <w:vAlign w:val="center"/>
            <w:hideMark/>
          </w:tcPr>
          <w:p w14:paraId="397ECE3E"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50BAF006"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713,82</w:t>
            </w:r>
          </w:p>
        </w:tc>
        <w:tc>
          <w:tcPr>
            <w:tcW w:w="813" w:type="dxa"/>
            <w:shd w:val="clear" w:color="auto" w:fill="auto"/>
            <w:noWrap/>
            <w:vAlign w:val="center"/>
            <w:hideMark/>
          </w:tcPr>
          <w:p w14:paraId="2E96E54E" w14:textId="513175D2"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2,77</w:t>
            </w:r>
          </w:p>
        </w:tc>
        <w:tc>
          <w:tcPr>
            <w:tcW w:w="777" w:type="dxa"/>
            <w:shd w:val="clear" w:color="auto" w:fill="auto"/>
            <w:noWrap/>
            <w:vAlign w:val="center"/>
            <w:hideMark/>
          </w:tcPr>
          <w:p w14:paraId="6DE7B3FB"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6CF08B6F"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56C464CA" w14:textId="77777777" w:rsidTr="000F1196">
        <w:trPr>
          <w:trHeight w:val="20"/>
        </w:trPr>
        <w:tc>
          <w:tcPr>
            <w:tcW w:w="794" w:type="dxa"/>
            <w:vMerge/>
            <w:shd w:val="clear" w:color="auto" w:fill="auto"/>
            <w:vAlign w:val="center"/>
            <w:hideMark/>
          </w:tcPr>
          <w:p w14:paraId="2B6DB7D5"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2B3229AB"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3E753CF1"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16 287,50</w:t>
            </w:r>
          </w:p>
        </w:tc>
        <w:tc>
          <w:tcPr>
            <w:tcW w:w="1077" w:type="dxa"/>
            <w:shd w:val="clear" w:color="auto" w:fill="auto"/>
            <w:noWrap/>
            <w:vAlign w:val="center"/>
            <w:hideMark/>
          </w:tcPr>
          <w:p w14:paraId="32AFCFC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1DC1EFAA"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25 729,12</w:t>
            </w:r>
          </w:p>
        </w:tc>
        <w:tc>
          <w:tcPr>
            <w:tcW w:w="1077" w:type="dxa"/>
            <w:shd w:val="clear" w:color="auto" w:fill="auto"/>
            <w:noWrap/>
            <w:vAlign w:val="center"/>
            <w:hideMark/>
          </w:tcPr>
          <w:p w14:paraId="34140A5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7FDDDE02"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9 441,62</w:t>
            </w:r>
          </w:p>
        </w:tc>
        <w:tc>
          <w:tcPr>
            <w:tcW w:w="813" w:type="dxa"/>
            <w:shd w:val="clear" w:color="auto" w:fill="auto"/>
            <w:noWrap/>
            <w:vAlign w:val="center"/>
            <w:hideMark/>
          </w:tcPr>
          <w:p w14:paraId="7D9ADF38" w14:textId="7181EA6E"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57,97</w:t>
            </w:r>
          </w:p>
        </w:tc>
        <w:tc>
          <w:tcPr>
            <w:tcW w:w="777" w:type="dxa"/>
            <w:shd w:val="clear" w:color="auto" w:fill="auto"/>
            <w:noWrap/>
            <w:vAlign w:val="center"/>
            <w:hideMark/>
          </w:tcPr>
          <w:p w14:paraId="39726825"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7512369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529DF111" w14:textId="77777777" w:rsidTr="000F1196">
        <w:trPr>
          <w:trHeight w:val="20"/>
        </w:trPr>
        <w:tc>
          <w:tcPr>
            <w:tcW w:w="794" w:type="dxa"/>
            <w:vMerge w:val="restart"/>
            <w:shd w:val="clear" w:color="auto" w:fill="auto"/>
            <w:noWrap/>
            <w:vAlign w:val="center"/>
            <w:hideMark/>
          </w:tcPr>
          <w:p w14:paraId="475B8CFF"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167600</w:t>
            </w:r>
          </w:p>
        </w:tc>
        <w:tc>
          <w:tcPr>
            <w:tcW w:w="567" w:type="dxa"/>
            <w:shd w:val="clear" w:color="auto" w:fill="auto"/>
            <w:noWrap/>
            <w:vAlign w:val="center"/>
            <w:hideMark/>
          </w:tcPr>
          <w:p w14:paraId="1E3CF6E5"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23D86405" w14:textId="77777777"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61 806,93</w:t>
            </w:r>
          </w:p>
        </w:tc>
        <w:tc>
          <w:tcPr>
            <w:tcW w:w="1077" w:type="dxa"/>
            <w:shd w:val="clear" w:color="auto" w:fill="auto"/>
            <w:noWrap/>
            <w:vAlign w:val="center"/>
            <w:hideMark/>
          </w:tcPr>
          <w:p w14:paraId="3F81C977"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134" w:type="dxa"/>
            <w:shd w:val="clear" w:color="auto" w:fill="auto"/>
            <w:noWrap/>
            <w:vAlign w:val="center"/>
            <w:hideMark/>
          </w:tcPr>
          <w:p w14:paraId="711AB62A" w14:textId="2A66E11C"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0E1913">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28CB6497" w14:textId="158E4DE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0E1913">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1DDECE19" w14:textId="77777777"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07955560" w14:textId="200B6271"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06F8F183" w14:textId="77777777" w:rsidR="00241D6F" w:rsidRPr="00527E83" w:rsidRDefault="00241D6F"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1755D375"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6158775B" w14:textId="77777777" w:rsidTr="000F1196">
        <w:trPr>
          <w:trHeight w:val="20"/>
        </w:trPr>
        <w:tc>
          <w:tcPr>
            <w:tcW w:w="794" w:type="dxa"/>
            <w:vMerge/>
            <w:shd w:val="clear" w:color="auto" w:fill="auto"/>
            <w:vAlign w:val="center"/>
            <w:hideMark/>
          </w:tcPr>
          <w:p w14:paraId="1035F08C"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0059D666"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1182A8A0" w14:textId="77777777"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61 806,93</w:t>
            </w:r>
          </w:p>
        </w:tc>
        <w:tc>
          <w:tcPr>
            <w:tcW w:w="1077" w:type="dxa"/>
            <w:shd w:val="clear" w:color="auto" w:fill="auto"/>
            <w:noWrap/>
            <w:vAlign w:val="center"/>
            <w:hideMark/>
          </w:tcPr>
          <w:p w14:paraId="5C8BC3FD"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134" w:type="dxa"/>
            <w:shd w:val="clear" w:color="auto" w:fill="auto"/>
            <w:noWrap/>
            <w:vAlign w:val="center"/>
            <w:hideMark/>
          </w:tcPr>
          <w:p w14:paraId="78EA9C27" w14:textId="7F918E63"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37113">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5B756F04" w14:textId="26730D96"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37113">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4330C731" w14:textId="77777777"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41567B5E" w14:textId="6FCC52DA"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2DC79373" w14:textId="77777777" w:rsidR="00241D6F" w:rsidRPr="00527E83" w:rsidRDefault="00241D6F"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C70757F"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6B7370D1" w14:textId="77777777" w:rsidTr="000F1196">
        <w:trPr>
          <w:trHeight w:val="20"/>
        </w:trPr>
        <w:tc>
          <w:tcPr>
            <w:tcW w:w="794" w:type="dxa"/>
            <w:vMerge/>
            <w:shd w:val="clear" w:color="auto" w:fill="auto"/>
            <w:vAlign w:val="center"/>
            <w:hideMark/>
          </w:tcPr>
          <w:p w14:paraId="19E7BF5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6AA3576C"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175DB1A3"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61 558,78</w:t>
            </w:r>
          </w:p>
        </w:tc>
        <w:tc>
          <w:tcPr>
            <w:tcW w:w="1077" w:type="dxa"/>
            <w:shd w:val="clear" w:color="auto" w:fill="auto"/>
            <w:noWrap/>
            <w:vAlign w:val="center"/>
            <w:hideMark/>
          </w:tcPr>
          <w:p w14:paraId="0074872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134" w:type="dxa"/>
            <w:shd w:val="clear" w:color="auto" w:fill="auto"/>
            <w:noWrap/>
            <w:vAlign w:val="center"/>
            <w:hideMark/>
          </w:tcPr>
          <w:p w14:paraId="11724501"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61 806,93</w:t>
            </w:r>
          </w:p>
        </w:tc>
        <w:tc>
          <w:tcPr>
            <w:tcW w:w="1077" w:type="dxa"/>
            <w:shd w:val="clear" w:color="auto" w:fill="auto"/>
            <w:noWrap/>
            <w:vAlign w:val="center"/>
            <w:hideMark/>
          </w:tcPr>
          <w:p w14:paraId="67CDFCA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w:t>
            </w:r>
          </w:p>
        </w:tc>
        <w:tc>
          <w:tcPr>
            <w:tcW w:w="1030" w:type="dxa"/>
            <w:shd w:val="clear" w:color="auto" w:fill="auto"/>
            <w:noWrap/>
            <w:vAlign w:val="center"/>
            <w:hideMark/>
          </w:tcPr>
          <w:p w14:paraId="6463387F"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248,15</w:t>
            </w:r>
          </w:p>
        </w:tc>
        <w:tc>
          <w:tcPr>
            <w:tcW w:w="813" w:type="dxa"/>
            <w:shd w:val="clear" w:color="auto" w:fill="auto"/>
            <w:noWrap/>
            <w:vAlign w:val="center"/>
            <w:hideMark/>
          </w:tcPr>
          <w:p w14:paraId="4D7B58C5" w14:textId="0C93722E"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0,40</w:t>
            </w:r>
          </w:p>
        </w:tc>
        <w:tc>
          <w:tcPr>
            <w:tcW w:w="777" w:type="dxa"/>
            <w:shd w:val="clear" w:color="auto" w:fill="auto"/>
            <w:noWrap/>
            <w:vAlign w:val="center"/>
            <w:hideMark/>
          </w:tcPr>
          <w:p w14:paraId="10096858"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3F4A53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7DD9AD6C" w14:textId="77777777" w:rsidTr="000F1196">
        <w:trPr>
          <w:trHeight w:val="20"/>
        </w:trPr>
        <w:tc>
          <w:tcPr>
            <w:tcW w:w="794" w:type="dxa"/>
            <w:vMerge w:val="restart"/>
            <w:shd w:val="clear" w:color="auto" w:fill="auto"/>
            <w:noWrap/>
            <w:vAlign w:val="center"/>
            <w:hideMark/>
          </w:tcPr>
          <w:p w14:paraId="46BBFE75"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210773</w:t>
            </w:r>
          </w:p>
        </w:tc>
        <w:tc>
          <w:tcPr>
            <w:tcW w:w="567" w:type="dxa"/>
            <w:shd w:val="clear" w:color="auto" w:fill="auto"/>
            <w:noWrap/>
            <w:vAlign w:val="center"/>
            <w:hideMark/>
          </w:tcPr>
          <w:p w14:paraId="351DA426"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4D2F10E2" w14:textId="77777777"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21 920,14</w:t>
            </w:r>
          </w:p>
        </w:tc>
        <w:tc>
          <w:tcPr>
            <w:tcW w:w="1077" w:type="dxa"/>
            <w:shd w:val="clear" w:color="auto" w:fill="auto"/>
            <w:noWrap/>
            <w:vAlign w:val="center"/>
            <w:hideMark/>
          </w:tcPr>
          <w:p w14:paraId="21A78818"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331CB9F7" w14:textId="1B515F87"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B92CE1">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701709E0" w14:textId="400771C6"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B92CE1">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3EE2CBB7" w14:textId="77777777"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1DADF058" w14:textId="0F90014A" w:rsidR="00241D6F" w:rsidRPr="00527E83" w:rsidRDefault="00241D6F"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34EA10AC" w14:textId="77777777" w:rsidR="00241D6F" w:rsidRPr="00527E83" w:rsidRDefault="00241D6F"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128E72E0"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67106A75" w14:textId="77777777" w:rsidTr="000F1196">
        <w:trPr>
          <w:trHeight w:val="20"/>
        </w:trPr>
        <w:tc>
          <w:tcPr>
            <w:tcW w:w="794" w:type="dxa"/>
            <w:vMerge/>
            <w:shd w:val="clear" w:color="auto" w:fill="auto"/>
            <w:vAlign w:val="center"/>
            <w:hideMark/>
          </w:tcPr>
          <w:p w14:paraId="22DF1554"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6341EC30"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730EE1E0"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19 729,19</w:t>
            </w:r>
          </w:p>
        </w:tc>
        <w:tc>
          <w:tcPr>
            <w:tcW w:w="1077" w:type="dxa"/>
            <w:shd w:val="clear" w:color="auto" w:fill="auto"/>
            <w:noWrap/>
            <w:vAlign w:val="center"/>
            <w:hideMark/>
          </w:tcPr>
          <w:p w14:paraId="1CFC328E"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122C45E2"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19 729,21</w:t>
            </w:r>
          </w:p>
        </w:tc>
        <w:tc>
          <w:tcPr>
            <w:tcW w:w="1077" w:type="dxa"/>
            <w:shd w:val="clear" w:color="auto" w:fill="auto"/>
            <w:noWrap/>
            <w:vAlign w:val="center"/>
            <w:hideMark/>
          </w:tcPr>
          <w:p w14:paraId="4781AFD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030" w:type="dxa"/>
            <w:shd w:val="clear" w:color="auto" w:fill="auto"/>
            <w:noWrap/>
            <w:vAlign w:val="center"/>
            <w:hideMark/>
          </w:tcPr>
          <w:p w14:paraId="5543A28C" w14:textId="77777777"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0,02</w:t>
            </w:r>
          </w:p>
        </w:tc>
        <w:tc>
          <w:tcPr>
            <w:tcW w:w="813" w:type="dxa"/>
            <w:shd w:val="clear" w:color="auto" w:fill="auto"/>
            <w:noWrap/>
            <w:vAlign w:val="center"/>
            <w:hideMark/>
          </w:tcPr>
          <w:p w14:paraId="1EBFADBA" w14:textId="0BAF041C" w:rsidR="00946C51" w:rsidRPr="00527E83" w:rsidRDefault="00946C51" w:rsidP="003F316F">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3A787C62" w14:textId="77777777" w:rsidR="00946C51" w:rsidRPr="00527E83" w:rsidRDefault="00946C51" w:rsidP="003F31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3B487DD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48857253" w14:textId="77777777" w:rsidTr="000F1196">
        <w:trPr>
          <w:trHeight w:val="20"/>
        </w:trPr>
        <w:tc>
          <w:tcPr>
            <w:tcW w:w="794" w:type="dxa"/>
            <w:vMerge/>
            <w:shd w:val="clear" w:color="auto" w:fill="auto"/>
            <w:vAlign w:val="center"/>
            <w:hideMark/>
          </w:tcPr>
          <w:p w14:paraId="7BD1040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1C94BEF0"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116DC5CC"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17 754,31</w:t>
            </w:r>
          </w:p>
        </w:tc>
        <w:tc>
          <w:tcPr>
            <w:tcW w:w="1077" w:type="dxa"/>
            <w:shd w:val="clear" w:color="auto" w:fill="auto"/>
            <w:noWrap/>
            <w:vAlign w:val="center"/>
            <w:hideMark/>
          </w:tcPr>
          <w:p w14:paraId="3B49D6F6"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1134" w:type="dxa"/>
            <w:shd w:val="clear" w:color="auto" w:fill="auto"/>
            <w:noWrap/>
            <w:vAlign w:val="center"/>
            <w:hideMark/>
          </w:tcPr>
          <w:p w14:paraId="1AC86985"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19 729,21</w:t>
            </w:r>
          </w:p>
        </w:tc>
        <w:tc>
          <w:tcPr>
            <w:tcW w:w="1077" w:type="dxa"/>
            <w:shd w:val="clear" w:color="auto" w:fill="auto"/>
            <w:noWrap/>
            <w:vAlign w:val="center"/>
            <w:hideMark/>
          </w:tcPr>
          <w:p w14:paraId="1584D81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030" w:type="dxa"/>
            <w:shd w:val="clear" w:color="auto" w:fill="auto"/>
            <w:noWrap/>
            <w:vAlign w:val="center"/>
            <w:hideMark/>
          </w:tcPr>
          <w:p w14:paraId="24632D8C"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1 974,90</w:t>
            </w:r>
          </w:p>
        </w:tc>
        <w:tc>
          <w:tcPr>
            <w:tcW w:w="813" w:type="dxa"/>
            <w:shd w:val="clear" w:color="auto" w:fill="auto"/>
            <w:noWrap/>
            <w:vAlign w:val="center"/>
            <w:hideMark/>
          </w:tcPr>
          <w:p w14:paraId="0BD70E02" w14:textId="543D4F75"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11,12</w:t>
            </w:r>
          </w:p>
        </w:tc>
        <w:tc>
          <w:tcPr>
            <w:tcW w:w="777" w:type="dxa"/>
            <w:shd w:val="clear" w:color="auto" w:fill="auto"/>
            <w:noWrap/>
            <w:vAlign w:val="center"/>
            <w:hideMark/>
          </w:tcPr>
          <w:p w14:paraId="54411467"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FB89DAA"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16379E7A" w14:textId="77777777" w:rsidTr="000F1196">
        <w:trPr>
          <w:trHeight w:val="20"/>
        </w:trPr>
        <w:tc>
          <w:tcPr>
            <w:tcW w:w="794" w:type="dxa"/>
            <w:vMerge w:val="restart"/>
            <w:shd w:val="clear" w:color="auto" w:fill="auto"/>
            <w:noWrap/>
            <w:vAlign w:val="center"/>
            <w:hideMark/>
          </w:tcPr>
          <w:p w14:paraId="427FC5C0"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222565</w:t>
            </w:r>
          </w:p>
        </w:tc>
        <w:tc>
          <w:tcPr>
            <w:tcW w:w="567" w:type="dxa"/>
            <w:shd w:val="clear" w:color="auto" w:fill="auto"/>
            <w:noWrap/>
            <w:vAlign w:val="center"/>
            <w:hideMark/>
          </w:tcPr>
          <w:p w14:paraId="3AD22A4C"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2BAD6D64"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25 613,99</w:t>
            </w:r>
          </w:p>
        </w:tc>
        <w:tc>
          <w:tcPr>
            <w:tcW w:w="1077" w:type="dxa"/>
            <w:shd w:val="clear" w:color="auto" w:fill="auto"/>
            <w:noWrap/>
            <w:vAlign w:val="center"/>
            <w:hideMark/>
          </w:tcPr>
          <w:p w14:paraId="374A6F9E"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134" w:type="dxa"/>
            <w:shd w:val="clear" w:color="auto" w:fill="auto"/>
            <w:noWrap/>
            <w:vAlign w:val="center"/>
            <w:hideMark/>
          </w:tcPr>
          <w:p w14:paraId="3DA8D584"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40 622,43</w:t>
            </w:r>
          </w:p>
        </w:tc>
        <w:tc>
          <w:tcPr>
            <w:tcW w:w="1077" w:type="dxa"/>
            <w:shd w:val="clear" w:color="auto" w:fill="auto"/>
            <w:noWrap/>
            <w:vAlign w:val="center"/>
            <w:hideMark/>
          </w:tcPr>
          <w:p w14:paraId="11140FF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1030" w:type="dxa"/>
            <w:shd w:val="clear" w:color="auto" w:fill="auto"/>
            <w:noWrap/>
            <w:vAlign w:val="center"/>
            <w:hideMark/>
          </w:tcPr>
          <w:p w14:paraId="49B5E0A8"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15 008,44</w:t>
            </w:r>
          </w:p>
        </w:tc>
        <w:tc>
          <w:tcPr>
            <w:tcW w:w="813" w:type="dxa"/>
            <w:shd w:val="clear" w:color="auto" w:fill="auto"/>
            <w:noWrap/>
            <w:vAlign w:val="center"/>
            <w:hideMark/>
          </w:tcPr>
          <w:p w14:paraId="61786A04" w14:textId="4F1E1890"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58,59</w:t>
            </w:r>
          </w:p>
        </w:tc>
        <w:tc>
          <w:tcPr>
            <w:tcW w:w="777" w:type="dxa"/>
            <w:shd w:val="clear" w:color="auto" w:fill="auto"/>
            <w:noWrap/>
            <w:vAlign w:val="center"/>
            <w:hideMark/>
          </w:tcPr>
          <w:p w14:paraId="63880540"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743E545E"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601EF085" w14:textId="77777777" w:rsidTr="000F1196">
        <w:trPr>
          <w:trHeight w:val="20"/>
        </w:trPr>
        <w:tc>
          <w:tcPr>
            <w:tcW w:w="794" w:type="dxa"/>
            <w:vMerge/>
            <w:shd w:val="clear" w:color="auto" w:fill="auto"/>
            <w:vAlign w:val="center"/>
            <w:hideMark/>
          </w:tcPr>
          <w:p w14:paraId="6EC7596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70BDAF43"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37F99E71"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25 613,82</w:t>
            </w:r>
          </w:p>
        </w:tc>
        <w:tc>
          <w:tcPr>
            <w:tcW w:w="1077" w:type="dxa"/>
            <w:shd w:val="clear" w:color="auto" w:fill="auto"/>
            <w:noWrap/>
            <w:vAlign w:val="center"/>
            <w:hideMark/>
          </w:tcPr>
          <w:p w14:paraId="7E402DB0"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w:t>
            </w:r>
          </w:p>
        </w:tc>
        <w:tc>
          <w:tcPr>
            <w:tcW w:w="1134" w:type="dxa"/>
            <w:shd w:val="clear" w:color="auto" w:fill="auto"/>
            <w:noWrap/>
            <w:vAlign w:val="center"/>
            <w:hideMark/>
          </w:tcPr>
          <w:p w14:paraId="7F25B491"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25 614,00</w:t>
            </w:r>
          </w:p>
        </w:tc>
        <w:tc>
          <w:tcPr>
            <w:tcW w:w="1077" w:type="dxa"/>
            <w:shd w:val="clear" w:color="auto" w:fill="auto"/>
            <w:noWrap/>
            <w:vAlign w:val="center"/>
            <w:hideMark/>
          </w:tcPr>
          <w:p w14:paraId="648D13C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133D02A1"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0,18</w:t>
            </w:r>
          </w:p>
        </w:tc>
        <w:tc>
          <w:tcPr>
            <w:tcW w:w="813" w:type="dxa"/>
            <w:shd w:val="clear" w:color="auto" w:fill="auto"/>
            <w:noWrap/>
            <w:vAlign w:val="center"/>
            <w:hideMark/>
          </w:tcPr>
          <w:p w14:paraId="269A9097" w14:textId="50A13D14"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12A9A9E1"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11E6D8FC"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13508BB9" w14:textId="77777777" w:rsidTr="000F1196">
        <w:trPr>
          <w:trHeight w:val="20"/>
        </w:trPr>
        <w:tc>
          <w:tcPr>
            <w:tcW w:w="794" w:type="dxa"/>
            <w:vMerge/>
            <w:shd w:val="clear" w:color="auto" w:fill="auto"/>
            <w:vAlign w:val="center"/>
            <w:hideMark/>
          </w:tcPr>
          <w:p w14:paraId="1DFE0844"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358FEC66"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6D6CDAC5"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25 613,82</w:t>
            </w:r>
          </w:p>
        </w:tc>
        <w:tc>
          <w:tcPr>
            <w:tcW w:w="1077" w:type="dxa"/>
            <w:shd w:val="clear" w:color="auto" w:fill="auto"/>
            <w:noWrap/>
            <w:vAlign w:val="center"/>
            <w:hideMark/>
          </w:tcPr>
          <w:p w14:paraId="0411AFFB"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3598DFC4" w14:textId="012CDFAA"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2739C5">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44CD22CB" w14:textId="102CE339"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2739C5">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0CBC8F41"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38D06B5C" w14:textId="54B11044"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2EB36B7C"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342F3D54"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665FECCB" w14:textId="77777777" w:rsidTr="000F1196">
        <w:trPr>
          <w:trHeight w:val="20"/>
        </w:trPr>
        <w:tc>
          <w:tcPr>
            <w:tcW w:w="794" w:type="dxa"/>
            <w:vMerge w:val="restart"/>
            <w:shd w:val="clear" w:color="auto" w:fill="auto"/>
            <w:noWrap/>
            <w:vAlign w:val="center"/>
            <w:hideMark/>
          </w:tcPr>
          <w:p w14:paraId="140CE145"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222334</w:t>
            </w:r>
          </w:p>
        </w:tc>
        <w:tc>
          <w:tcPr>
            <w:tcW w:w="567" w:type="dxa"/>
            <w:shd w:val="clear" w:color="auto" w:fill="auto"/>
            <w:noWrap/>
            <w:vAlign w:val="center"/>
            <w:hideMark/>
          </w:tcPr>
          <w:p w14:paraId="4D2ADC39"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004F4D7A"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22 344,41</w:t>
            </w:r>
          </w:p>
        </w:tc>
        <w:tc>
          <w:tcPr>
            <w:tcW w:w="1077" w:type="dxa"/>
            <w:shd w:val="clear" w:color="auto" w:fill="auto"/>
            <w:noWrap/>
            <w:vAlign w:val="center"/>
            <w:hideMark/>
          </w:tcPr>
          <w:p w14:paraId="7D5C01D5"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1134" w:type="dxa"/>
            <w:shd w:val="clear" w:color="auto" w:fill="auto"/>
            <w:noWrap/>
            <w:vAlign w:val="center"/>
            <w:hideMark/>
          </w:tcPr>
          <w:p w14:paraId="4DBF3148" w14:textId="20E047B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2C6D3B">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3AD26468" w14:textId="2171913F"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2C6D3B">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3462CE09"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4D870A75" w14:textId="27C9DF0A"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50A90684"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07" w:type="dxa"/>
            <w:shd w:val="clear" w:color="auto" w:fill="auto"/>
            <w:noWrap/>
            <w:vAlign w:val="center"/>
            <w:hideMark/>
          </w:tcPr>
          <w:p w14:paraId="7F6BD1E3"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3A0710FA" w14:textId="77777777" w:rsidTr="000F1196">
        <w:trPr>
          <w:trHeight w:val="20"/>
        </w:trPr>
        <w:tc>
          <w:tcPr>
            <w:tcW w:w="794" w:type="dxa"/>
            <w:vMerge/>
            <w:shd w:val="clear" w:color="auto" w:fill="auto"/>
            <w:vAlign w:val="center"/>
            <w:hideMark/>
          </w:tcPr>
          <w:p w14:paraId="090C275A"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324E67FC"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04F8028C"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22 344,41</w:t>
            </w:r>
          </w:p>
        </w:tc>
        <w:tc>
          <w:tcPr>
            <w:tcW w:w="1077" w:type="dxa"/>
            <w:shd w:val="clear" w:color="auto" w:fill="auto"/>
            <w:noWrap/>
            <w:vAlign w:val="center"/>
            <w:hideMark/>
          </w:tcPr>
          <w:p w14:paraId="398659BA"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722CF621" w14:textId="4BCA6033"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2C6D3B">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41EB4DB8" w14:textId="0581C54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2C6D3B">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7B115DE3"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644BC9B2" w14:textId="067E506A"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4A8591CC"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01371AAD"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2E366F60" w14:textId="77777777" w:rsidTr="000F1196">
        <w:trPr>
          <w:trHeight w:val="20"/>
        </w:trPr>
        <w:tc>
          <w:tcPr>
            <w:tcW w:w="794" w:type="dxa"/>
            <w:vMerge/>
            <w:shd w:val="clear" w:color="auto" w:fill="auto"/>
            <w:vAlign w:val="center"/>
            <w:hideMark/>
          </w:tcPr>
          <w:p w14:paraId="3C230E27"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27E2D07A"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436497C9"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22 344,41</w:t>
            </w:r>
          </w:p>
        </w:tc>
        <w:tc>
          <w:tcPr>
            <w:tcW w:w="1077" w:type="dxa"/>
            <w:shd w:val="clear" w:color="auto" w:fill="auto"/>
            <w:noWrap/>
            <w:vAlign w:val="center"/>
            <w:hideMark/>
          </w:tcPr>
          <w:p w14:paraId="051FCE18"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30321A8E" w14:textId="08AC9AD0"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2C6D3B">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0D317708" w14:textId="07E438D1"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2C6D3B">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3DB01F49"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28AD01E5" w14:textId="36DF9474"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102E87E2"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641FACD6"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09D4C9E3" w14:textId="77777777" w:rsidTr="000F1196">
        <w:trPr>
          <w:trHeight w:val="20"/>
        </w:trPr>
        <w:tc>
          <w:tcPr>
            <w:tcW w:w="794" w:type="dxa"/>
            <w:vMerge w:val="restart"/>
            <w:shd w:val="clear" w:color="auto" w:fill="auto"/>
            <w:noWrap/>
            <w:vAlign w:val="center"/>
            <w:hideMark/>
          </w:tcPr>
          <w:p w14:paraId="795B835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168043</w:t>
            </w:r>
          </w:p>
        </w:tc>
        <w:tc>
          <w:tcPr>
            <w:tcW w:w="567" w:type="dxa"/>
            <w:shd w:val="clear" w:color="auto" w:fill="auto"/>
            <w:noWrap/>
            <w:vAlign w:val="center"/>
            <w:hideMark/>
          </w:tcPr>
          <w:p w14:paraId="46CAE67E"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70F93EAC"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89 502,63</w:t>
            </w:r>
          </w:p>
        </w:tc>
        <w:tc>
          <w:tcPr>
            <w:tcW w:w="1077" w:type="dxa"/>
            <w:shd w:val="clear" w:color="auto" w:fill="auto"/>
            <w:noWrap/>
            <w:vAlign w:val="center"/>
            <w:hideMark/>
          </w:tcPr>
          <w:p w14:paraId="24E6309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2DE2DE1C"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89 502,83</w:t>
            </w:r>
          </w:p>
        </w:tc>
        <w:tc>
          <w:tcPr>
            <w:tcW w:w="1077" w:type="dxa"/>
            <w:shd w:val="clear" w:color="auto" w:fill="auto"/>
            <w:noWrap/>
            <w:vAlign w:val="center"/>
            <w:hideMark/>
          </w:tcPr>
          <w:p w14:paraId="736F960F"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1ADCBF01"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0,20</w:t>
            </w:r>
          </w:p>
        </w:tc>
        <w:tc>
          <w:tcPr>
            <w:tcW w:w="813" w:type="dxa"/>
            <w:shd w:val="clear" w:color="auto" w:fill="auto"/>
            <w:noWrap/>
            <w:vAlign w:val="center"/>
            <w:hideMark/>
          </w:tcPr>
          <w:p w14:paraId="21983F17" w14:textId="3A4EE47B"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68B911E5"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07" w:type="dxa"/>
            <w:shd w:val="clear" w:color="auto" w:fill="auto"/>
            <w:noWrap/>
            <w:vAlign w:val="center"/>
            <w:hideMark/>
          </w:tcPr>
          <w:p w14:paraId="1EF07568"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4C48FAFD" w14:textId="77777777" w:rsidTr="000F1196">
        <w:trPr>
          <w:trHeight w:val="20"/>
        </w:trPr>
        <w:tc>
          <w:tcPr>
            <w:tcW w:w="794" w:type="dxa"/>
            <w:vMerge/>
            <w:shd w:val="clear" w:color="auto" w:fill="auto"/>
            <w:vAlign w:val="center"/>
            <w:hideMark/>
          </w:tcPr>
          <w:p w14:paraId="4351B84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3118033E"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01412DE1"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89 502,60</w:t>
            </w:r>
          </w:p>
        </w:tc>
        <w:tc>
          <w:tcPr>
            <w:tcW w:w="1077" w:type="dxa"/>
            <w:shd w:val="clear" w:color="auto" w:fill="auto"/>
            <w:noWrap/>
            <w:vAlign w:val="center"/>
            <w:hideMark/>
          </w:tcPr>
          <w:p w14:paraId="3C89C7B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134" w:type="dxa"/>
            <w:shd w:val="clear" w:color="auto" w:fill="auto"/>
            <w:noWrap/>
            <w:vAlign w:val="center"/>
            <w:hideMark/>
          </w:tcPr>
          <w:p w14:paraId="0CC05D94"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89 502,65</w:t>
            </w:r>
          </w:p>
        </w:tc>
        <w:tc>
          <w:tcPr>
            <w:tcW w:w="1077" w:type="dxa"/>
            <w:shd w:val="clear" w:color="auto" w:fill="auto"/>
            <w:noWrap/>
            <w:vAlign w:val="center"/>
            <w:hideMark/>
          </w:tcPr>
          <w:p w14:paraId="4AD2B36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1030" w:type="dxa"/>
            <w:shd w:val="clear" w:color="auto" w:fill="auto"/>
            <w:noWrap/>
            <w:vAlign w:val="center"/>
            <w:hideMark/>
          </w:tcPr>
          <w:p w14:paraId="10388E6C"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0,05</w:t>
            </w:r>
          </w:p>
        </w:tc>
        <w:tc>
          <w:tcPr>
            <w:tcW w:w="813" w:type="dxa"/>
            <w:shd w:val="clear" w:color="auto" w:fill="auto"/>
            <w:noWrap/>
            <w:vAlign w:val="center"/>
            <w:hideMark/>
          </w:tcPr>
          <w:p w14:paraId="64BC7436" w14:textId="7FA02151"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2CC3378D"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836E055"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6A32DEE6" w14:textId="77777777" w:rsidTr="000F1196">
        <w:trPr>
          <w:trHeight w:val="20"/>
        </w:trPr>
        <w:tc>
          <w:tcPr>
            <w:tcW w:w="794" w:type="dxa"/>
            <w:vMerge/>
            <w:shd w:val="clear" w:color="auto" w:fill="auto"/>
            <w:vAlign w:val="center"/>
            <w:hideMark/>
          </w:tcPr>
          <w:p w14:paraId="26D19B25"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5239AF1C"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09FFA8C1"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89 502,62</w:t>
            </w:r>
          </w:p>
        </w:tc>
        <w:tc>
          <w:tcPr>
            <w:tcW w:w="1077" w:type="dxa"/>
            <w:shd w:val="clear" w:color="auto" w:fill="auto"/>
            <w:noWrap/>
            <w:vAlign w:val="center"/>
            <w:hideMark/>
          </w:tcPr>
          <w:p w14:paraId="2FF9B6F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19EC6305"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89 502,65</w:t>
            </w:r>
          </w:p>
        </w:tc>
        <w:tc>
          <w:tcPr>
            <w:tcW w:w="1077" w:type="dxa"/>
            <w:shd w:val="clear" w:color="auto" w:fill="auto"/>
            <w:noWrap/>
            <w:vAlign w:val="center"/>
            <w:hideMark/>
          </w:tcPr>
          <w:p w14:paraId="1C9F6905"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1030" w:type="dxa"/>
            <w:shd w:val="clear" w:color="auto" w:fill="auto"/>
            <w:noWrap/>
            <w:vAlign w:val="center"/>
            <w:hideMark/>
          </w:tcPr>
          <w:p w14:paraId="2A8CB31E"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0,03</w:t>
            </w:r>
          </w:p>
        </w:tc>
        <w:tc>
          <w:tcPr>
            <w:tcW w:w="813" w:type="dxa"/>
            <w:shd w:val="clear" w:color="auto" w:fill="auto"/>
            <w:noWrap/>
            <w:vAlign w:val="center"/>
            <w:hideMark/>
          </w:tcPr>
          <w:p w14:paraId="72C0589E" w14:textId="3D2B0A13"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5814939E"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286FF5BB"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10CCC13E" w14:textId="77777777" w:rsidTr="000F1196">
        <w:trPr>
          <w:trHeight w:val="20"/>
        </w:trPr>
        <w:tc>
          <w:tcPr>
            <w:tcW w:w="794" w:type="dxa"/>
            <w:vMerge w:val="restart"/>
            <w:shd w:val="clear" w:color="auto" w:fill="auto"/>
            <w:noWrap/>
            <w:vAlign w:val="center"/>
            <w:hideMark/>
          </w:tcPr>
          <w:p w14:paraId="3C9E00D6"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194345</w:t>
            </w:r>
          </w:p>
        </w:tc>
        <w:tc>
          <w:tcPr>
            <w:tcW w:w="567" w:type="dxa"/>
            <w:shd w:val="clear" w:color="auto" w:fill="auto"/>
            <w:noWrap/>
            <w:vAlign w:val="center"/>
            <w:hideMark/>
          </w:tcPr>
          <w:p w14:paraId="1492DF12"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61847A65"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5 101,26</w:t>
            </w:r>
          </w:p>
        </w:tc>
        <w:tc>
          <w:tcPr>
            <w:tcW w:w="1077" w:type="dxa"/>
            <w:shd w:val="clear" w:color="auto" w:fill="auto"/>
            <w:noWrap/>
            <w:vAlign w:val="center"/>
            <w:hideMark/>
          </w:tcPr>
          <w:p w14:paraId="3258721F"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1134" w:type="dxa"/>
            <w:shd w:val="clear" w:color="auto" w:fill="auto"/>
            <w:noWrap/>
            <w:vAlign w:val="center"/>
            <w:hideMark/>
          </w:tcPr>
          <w:p w14:paraId="061EEBA7"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9 329,62</w:t>
            </w:r>
          </w:p>
        </w:tc>
        <w:tc>
          <w:tcPr>
            <w:tcW w:w="1077" w:type="dxa"/>
            <w:shd w:val="clear" w:color="auto" w:fill="auto"/>
            <w:noWrap/>
            <w:vAlign w:val="center"/>
            <w:hideMark/>
          </w:tcPr>
          <w:p w14:paraId="6B4317B8"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07F1D493"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4 228,36</w:t>
            </w:r>
          </w:p>
        </w:tc>
        <w:tc>
          <w:tcPr>
            <w:tcW w:w="813" w:type="dxa"/>
            <w:shd w:val="clear" w:color="auto" w:fill="auto"/>
            <w:noWrap/>
            <w:vAlign w:val="center"/>
            <w:hideMark/>
          </w:tcPr>
          <w:p w14:paraId="6374C013" w14:textId="372E593D"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82,89</w:t>
            </w:r>
          </w:p>
        </w:tc>
        <w:tc>
          <w:tcPr>
            <w:tcW w:w="777" w:type="dxa"/>
            <w:shd w:val="clear" w:color="auto" w:fill="auto"/>
            <w:noWrap/>
            <w:vAlign w:val="center"/>
            <w:hideMark/>
          </w:tcPr>
          <w:p w14:paraId="10F98D58"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0B026C9"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0B76925B" w14:textId="77777777" w:rsidTr="000F1196">
        <w:trPr>
          <w:trHeight w:val="20"/>
        </w:trPr>
        <w:tc>
          <w:tcPr>
            <w:tcW w:w="794" w:type="dxa"/>
            <w:vMerge/>
            <w:shd w:val="clear" w:color="auto" w:fill="auto"/>
            <w:vAlign w:val="center"/>
            <w:hideMark/>
          </w:tcPr>
          <w:p w14:paraId="1A1E214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10F015D0"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65817EB0"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4 987,40</w:t>
            </w:r>
          </w:p>
        </w:tc>
        <w:tc>
          <w:tcPr>
            <w:tcW w:w="1077" w:type="dxa"/>
            <w:shd w:val="clear" w:color="auto" w:fill="auto"/>
            <w:noWrap/>
            <w:vAlign w:val="center"/>
            <w:hideMark/>
          </w:tcPr>
          <w:p w14:paraId="33E613A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134" w:type="dxa"/>
            <w:shd w:val="clear" w:color="auto" w:fill="auto"/>
            <w:noWrap/>
            <w:vAlign w:val="center"/>
            <w:hideMark/>
          </w:tcPr>
          <w:p w14:paraId="1C8C04B2"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5 493,20</w:t>
            </w:r>
          </w:p>
        </w:tc>
        <w:tc>
          <w:tcPr>
            <w:tcW w:w="1077" w:type="dxa"/>
            <w:shd w:val="clear" w:color="auto" w:fill="auto"/>
            <w:noWrap/>
            <w:vAlign w:val="center"/>
            <w:hideMark/>
          </w:tcPr>
          <w:p w14:paraId="429CE825"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1882B839"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505,80</w:t>
            </w:r>
          </w:p>
        </w:tc>
        <w:tc>
          <w:tcPr>
            <w:tcW w:w="813" w:type="dxa"/>
            <w:shd w:val="clear" w:color="auto" w:fill="auto"/>
            <w:noWrap/>
            <w:vAlign w:val="center"/>
            <w:hideMark/>
          </w:tcPr>
          <w:p w14:paraId="69E221F2" w14:textId="082246F1"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10,14</w:t>
            </w:r>
          </w:p>
        </w:tc>
        <w:tc>
          <w:tcPr>
            <w:tcW w:w="777" w:type="dxa"/>
            <w:shd w:val="clear" w:color="auto" w:fill="auto"/>
            <w:noWrap/>
            <w:vAlign w:val="center"/>
            <w:hideMark/>
          </w:tcPr>
          <w:p w14:paraId="233D2672"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7BF89B9B"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1809D3A3" w14:textId="77777777" w:rsidTr="000F1196">
        <w:trPr>
          <w:trHeight w:val="20"/>
        </w:trPr>
        <w:tc>
          <w:tcPr>
            <w:tcW w:w="794" w:type="dxa"/>
            <w:vMerge/>
            <w:shd w:val="clear" w:color="auto" w:fill="auto"/>
            <w:vAlign w:val="center"/>
            <w:hideMark/>
          </w:tcPr>
          <w:p w14:paraId="5ED9691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55A0EAB2"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1958A4FB"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4 987,40</w:t>
            </w:r>
          </w:p>
        </w:tc>
        <w:tc>
          <w:tcPr>
            <w:tcW w:w="1077" w:type="dxa"/>
            <w:shd w:val="clear" w:color="auto" w:fill="auto"/>
            <w:noWrap/>
            <w:vAlign w:val="center"/>
            <w:hideMark/>
          </w:tcPr>
          <w:p w14:paraId="78BDDD6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134" w:type="dxa"/>
            <w:shd w:val="clear" w:color="auto" w:fill="auto"/>
            <w:noWrap/>
            <w:vAlign w:val="center"/>
            <w:hideMark/>
          </w:tcPr>
          <w:p w14:paraId="26E3259D"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5 114,49</w:t>
            </w:r>
          </w:p>
        </w:tc>
        <w:tc>
          <w:tcPr>
            <w:tcW w:w="1077" w:type="dxa"/>
            <w:shd w:val="clear" w:color="auto" w:fill="auto"/>
            <w:noWrap/>
            <w:vAlign w:val="center"/>
            <w:hideMark/>
          </w:tcPr>
          <w:p w14:paraId="7326BB3E"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2FEA371B"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127,09</w:t>
            </w:r>
          </w:p>
        </w:tc>
        <w:tc>
          <w:tcPr>
            <w:tcW w:w="813" w:type="dxa"/>
            <w:shd w:val="clear" w:color="auto" w:fill="auto"/>
            <w:noWrap/>
            <w:vAlign w:val="center"/>
            <w:hideMark/>
          </w:tcPr>
          <w:p w14:paraId="4750CAC5" w14:textId="26082D7F"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2,55</w:t>
            </w:r>
          </w:p>
        </w:tc>
        <w:tc>
          <w:tcPr>
            <w:tcW w:w="777" w:type="dxa"/>
            <w:shd w:val="clear" w:color="auto" w:fill="auto"/>
            <w:noWrap/>
            <w:vAlign w:val="center"/>
            <w:hideMark/>
          </w:tcPr>
          <w:p w14:paraId="017FB7BE"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1BB8B523"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3F5DFAA7" w14:textId="77777777" w:rsidTr="000F1196">
        <w:trPr>
          <w:trHeight w:val="20"/>
        </w:trPr>
        <w:tc>
          <w:tcPr>
            <w:tcW w:w="794" w:type="dxa"/>
            <w:vMerge w:val="restart"/>
            <w:shd w:val="clear" w:color="auto" w:fill="auto"/>
            <w:noWrap/>
            <w:vAlign w:val="center"/>
            <w:hideMark/>
          </w:tcPr>
          <w:p w14:paraId="4C08E3FA"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210049</w:t>
            </w:r>
          </w:p>
        </w:tc>
        <w:tc>
          <w:tcPr>
            <w:tcW w:w="567" w:type="dxa"/>
            <w:shd w:val="clear" w:color="auto" w:fill="auto"/>
            <w:noWrap/>
            <w:vAlign w:val="center"/>
            <w:hideMark/>
          </w:tcPr>
          <w:p w14:paraId="0C1EC228"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130B298A"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42 397,25</w:t>
            </w:r>
          </w:p>
        </w:tc>
        <w:tc>
          <w:tcPr>
            <w:tcW w:w="1077" w:type="dxa"/>
            <w:shd w:val="clear" w:color="auto" w:fill="auto"/>
            <w:noWrap/>
            <w:vAlign w:val="center"/>
            <w:hideMark/>
          </w:tcPr>
          <w:p w14:paraId="2E453EAB"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3181EE0E"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50 480,69</w:t>
            </w:r>
          </w:p>
        </w:tc>
        <w:tc>
          <w:tcPr>
            <w:tcW w:w="1077" w:type="dxa"/>
            <w:shd w:val="clear" w:color="auto" w:fill="auto"/>
            <w:noWrap/>
            <w:vAlign w:val="center"/>
            <w:hideMark/>
          </w:tcPr>
          <w:p w14:paraId="609650F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030" w:type="dxa"/>
            <w:shd w:val="clear" w:color="auto" w:fill="auto"/>
            <w:noWrap/>
            <w:vAlign w:val="center"/>
            <w:hideMark/>
          </w:tcPr>
          <w:p w14:paraId="01AC4728"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8 083,44</w:t>
            </w:r>
          </w:p>
        </w:tc>
        <w:tc>
          <w:tcPr>
            <w:tcW w:w="813" w:type="dxa"/>
            <w:shd w:val="clear" w:color="auto" w:fill="auto"/>
            <w:noWrap/>
            <w:vAlign w:val="center"/>
            <w:hideMark/>
          </w:tcPr>
          <w:p w14:paraId="49328AF2" w14:textId="22C61F7B"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19,07</w:t>
            </w:r>
          </w:p>
        </w:tc>
        <w:tc>
          <w:tcPr>
            <w:tcW w:w="777" w:type="dxa"/>
            <w:shd w:val="clear" w:color="auto" w:fill="auto"/>
            <w:noWrap/>
            <w:vAlign w:val="center"/>
            <w:hideMark/>
          </w:tcPr>
          <w:p w14:paraId="33092F59"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026A341D"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4B06F7C0" w14:textId="77777777" w:rsidTr="000F1196">
        <w:trPr>
          <w:trHeight w:val="20"/>
        </w:trPr>
        <w:tc>
          <w:tcPr>
            <w:tcW w:w="794" w:type="dxa"/>
            <w:vMerge/>
            <w:shd w:val="clear" w:color="auto" w:fill="auto"/>
            <w:vAlign w:val="center"/>
            <w:hideMark/>
          </w:tcPr>
          <w:p w14:paraId="1365A267"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3D1409B5"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44C538C0"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42 397,26</w:t>
            </w:r>
          </w:p>
        </w:tc>
        <w:tc>
          <w:tcPr>
            <w:tcW w:w="1077" w:type="dxa"/>
            <w:shd w:val="clear" w:color="auto" w:fill="auto"/>
            <w:noWrap/>
            <w:vAlign w:val="center"/>
            <w:hideMark/>
          </w:tcPr>
          <w:p w14:paraId="5D1EE8FA"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05DCA6C0" w14:textId="690B069E"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A91096">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7CF5C4C0" w14:textId="204B9CE0"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A91096">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7B89F202"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76162518" w14:textId="25B269F5"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4A99F8FD"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0FF1D1B6"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124E450D" w14:textId="77777777" w:rsidTr="000F1196">
        <w:trPr>
          <w:trHeight w:val="20"/>
        </w:trPr>
        <w:tc>
          <w:tcPr>
            <w:tcW w:w="794" w:type="dxa"/>
            <w:vMerge/>
            <w:shd w:val="clear" w:color="auto" w:fill="auto"/>
            <w:vAlign w:val="center"/>
            <w:hideMark/>
          </w:tcPr>
          <w:p w14:paraId="655B6946"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7EE28B2D"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54023B00"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39 582,45</w:t>
            </w:r>
          </w:p>
        </w:tc>
        <w:tc>
          <w:tcPr>
            <w:tcW w:w="1077" w:type="dxa"/>
            <w:shd w:val="clear" w:color="auto" w:fill="auto"/>
            <w:noWrap/>
            <w:vAlign w:val="center"/>
            <w:hideMark/>
          </w:tcPr>
          <w:p w14:paraId="749E605D"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1134" w:type="dxa"/>
            <w:shd w:val="clear" w:color="auto" w:fill="auto"/>
            <w:noWrap/>
            <w:vAlign w:val="center"/>
            <w:hideMark/>
          </w:tcPr>
          <w:p w14:paraId="7AE3C92A" w14:textId="7B4F6D42"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A91096">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0FA95A5B" w14:textId="6ABD4B71"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A91096">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6EFBFF8A"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548750F6" w14:textId="48979F4A"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6639C2B5"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0EF95AF"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4BD64982" w14:textId="77777777" w:rsidTr="000F1196">
        <w:trPr>
          <w:trHeight w:val="20"/>
        </w:trPr>
        <w:tc>
          <w:tcPr>
            <w:tcW w:w="794" w:type="dxa"/>
            <w:vMerge w:val="restart"/>
            <w:shd w:val="clear" w:color="auto" w:fill="auto"/>
            <w:noWrap/>
            <w:vAlign w:val="center"/>
            <w:hideMark/>
          </w:tcPr>
          <w:p w14:paraId="5FBBBB78"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28396</w:t>
            </w:r>
          </w:p>
        </w:tc>
        <w:tc>
          <w:tcPr>
            <w:tcW w:w="567" w:type="dxa"/>
            <w:shd w:val="clear" w:color="auto" w:fill="auto"/>
            <w:noWrap/>
            <w:vAlign w:val="center"/>
            <w:hideMark/>
          </w:tcPr>
          <w:p w14:paraId="4013C9D4"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52329EAF"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6 449,41</w:t>
            </w:r>
          </w:p>
        </w:tc>
        <w:tc>
          <w:tcPr>
            <w:tcW w:w="1077" w:type="dxa"/>
            <w:shd w:val="clear" w:color="auto" w:fill="auto"/>
            <w:noWrap/>
            <w:vAlign w:val="center"/>
            <w:hideMark/>
          </w:tcPr>
          <w:p w14:paraId="7AFE832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10FA585F"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12 318,37</w:t>
            </w:r>
          </w:p>
        </w:tc>
        <w:tc>
          <w:tcPr>
            <w:tcW w:w="1077" w:type="dxa"/>
            <w:shd w:val="clear" w:color="auto" w:fill="auto"/>
            <w:noWrap/>
            <w:vAlign w:val="center"/>
            <w:hideMark/>
          </w:tcPr>
          <w:p w14:paraId="6F1CE8E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431F2508"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5 868,96</w:t>
            </w:r>
          </w:p>
        </w:tc>
        <w:tc>
          <w:tcPr>
            <w:tcW w:w="813" w:type="dxa"/>
            <w:shd w:val="clear" w:color="auto" w:fill="auto"/>
            <w:noWrap/>
            <w:vAlign w:val="center"/>
            <w:hideMark/>
          </w:tcPr>
          <w:p w14:paraId="1CDC725C" w14:textId="7BC6B810"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91,00</w:t>
            </w:r>
          </w:p>
        </w:tc>
        <w:tc>
          <w:tcPr>
            <w:tcW w:w="777" w:type="dxa"/>
            <w:shd w:val="clear" w:color="auto" w:fill="auto"/>
            <w:noWrap/>
            <w:vAlign w:val="center"/>
            <w:hideMark/>
          </w:tcPr>
          <w:p w14:paraId="501BEDB7"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A7B6B75"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6BCD0F0F" w14:textId="77777777" w:rsidTr="000F1196">
        <w:trPr>
          <w:trHeight w:val="20"/>
        </w:trPr>
        <w:tc>
          <w:tcPr>
            <w:tcW w:w="794" w:type="dxa"/>
            <w:vMerge/>
            <w:shd w:val="clear" w:color="auto" w:fill="auto"/>
            <w:vAlign w:val="center"/>
            <w:hideMark/>
          </w:tcPr>
          <w:p w14:paraId="76CEF08B"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7BEEE90C"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176F6893"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6 449,41</w:t>
            </w:r>
          </w:p>
        </w:tc>
        <w:tc>
          <w:tcPr>
            <w:tcW w:w="1077" w:type="dxa"/>
            <w:shd w:val="clear" w:color="auto" w:fill="auto"/>
            <w:noWrap/>
            <w:vAlign w:val="center"/>
            <w:hideMark/>
          </w:tcPr>
          <w:p w14:paraId="280B8295"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5C9D43ED"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6 610,65</w:t>
            </w:r>
          </w:p>
        </w:tc>
        <w:tc>
          <w:tcPr>
            <w:tcW w:w="1077" w:type="dxa"/>
            <w:shd w:val="clear" w:color="auto" w:fill="auto"/>
            <w:noWrap/>
            <w:vAlign w:val="center"/>
            <w:hideMark/>
          </w:tcPr>
          <w:p w14:paraId="1843C4F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7AE8512E"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161,24</w:t>
            </w:r>
          </w:p>
        </w:tc>
        <w:tc>
          <w:tcPr>
            <w:tcW w:w="813" w:type="dxa"/>
            <w:shd w:val="clear" w:color="auto" w:fill="auto"/>
            <w:noWrap/>
            <w:vAlign w:val="center"/>
            <w:hideMark/>
          </w:tcPr>
          <w:p w14:paraId="3D7F51EA" w14:textId="11904A62"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2,50</w:t>
            </w:r>
          </w:p>
        </w:tc>
        <w:tc>
          <w:tcPr>
            <w:tcW w:w="777" w:type="dxa"/>
            <w:shd w:val="clear" w:color="auto" w:fill="auto"/>
            <w:noWrap/>
            <w:vAlign w:val="center"/>
            <w:hideMark/>
          </w:tcPr>
          <w:p w14:paraId="58764FC1"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4DDE7F78"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6C3AF074" w14:textId="77777777" w:rsidTr="000F1196">
        <w:trPr>
          <w:trHeight w:val="20"/>
        </w:trPr>
        <w:tc>
          <w:tcPr>
            <w:tcW w:w="794" w:type="dxa"/>
            <w:vMerge/>
            <w:shd w:val="clear" w:color="auto" w:fill="auto"/>
            <w:vAlign w:val="center"/>
            <w:hideMark/>
          </w:tcPr>
          <w:p w14:paraId="34C7A4F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6A0F7A01"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6EC86B00"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4 071,80</w:t>
            </w:r>
          </w:p>
        </w:tc>
        <w:tc>
          <w:tcPr>
            <w:tcW w:w="1077" w:type="dxa"/>
            <w:shd w:val="clear" w:color="auto" w:fill="auto"/>
            <w:noWrap/>
            <w:vAlign w:val="center"/>
            <w:hideMark/>
          </w:tcPr>
          <w:p w14:paraId="19BDDBC2"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23A46597"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6 449,41</w:t>
            </w:r>
          </w:p>
        </w:tc>
        <w:tc>
          <w:tcPr>
            <w:tcW w:w="1077" w:type="dxa"/>
            <w:shd w:val="clear" w:color="auto" w:fill="auto"/>
            <w:noWrap/>
            <w:vAlign w:val="center"/>
            <w:hideMark/>
          </w:tcPr>
          <w:p w14:paraId="74DA0999"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030" w:type="dxa"/>
            <w:shd w:val="clear" w:color="auto" w:fill="auto"/>
            <w:noWrap/>
            <w:vAlign w:val="center"/>
            <w:hideMark/>
          </w:tcPr>
          <w:p w14:paraId="6BAF382D"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2 377,61</w:t>
            </w:r>
          </w:p>
        </w:tc>
        <w:tc>
          <w:tcPr>
            <w:tcW w:w="813" w:type="dxa"/>
            <w:shd w:val="clear" w:color="auto" w:fill="auto"/>
            <w:noWrap/>
            <w:vAlign w:val="center"/>
            <w:hideMark/>
          </w:tcPr>
          <w:p w14:paraId="3C0B1175" w14:textId="67823BC9"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58,39</w:t>
            </w:r>
          </w:p>
        </w:tc>
        <w:tc>
          <w:tcPr>
            <w:tcW w:w="777" w:type="dxa"/>
            <w:shd w:val="clear" w:color="auto" w:fill="auto"/>
            <w:noWrap/>
            <w:vAlign w:val="center"/>
            <w:hideMark/>
          </w:tcPr>
          <w:p w14:paraId="0FA979C4"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73B119E2"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17473ACB" w14:textId="77777777" w:rsidTr="000F1196">
        <w:trPr>
          <w:trHeight w:val="20"/>
        </w:trPr>
        <w:tc>
          <w:tcPr>
            <w:tcW w:w="794" w:type="dxa"/>
            <w:vMerge w:val="restart"/>
            <w:shd w:val="clear" w:color="auto" w:fill="auto"/>
            <w:noWrap/>
            <w:vAlign w:val="center"/>
            <w:hideMark/>
          </w:tcPr>
          <w:p w14:paraId="2C278E00"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27283</w:t>
            </w:r>
          </w:p>
        </w:tc>
        <w:tc>
          <w:tcPr>
            <w:tcW w:w="567" w:type="dxa"/>
            <w:shd w:val="clear" w:color="auto" w:fill="auto"/>
            <w:noWrap/>
            <w:vAlign w:val="center"/>
            <w:hideMark/>
          </w:tcPr>
          <w:p w14:paraId="047F5338"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23A84E2F"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5 804,29</w:t>
            </w:r>
          </w:p>
        </w:tc>
        <w:tc>
          <w:tcPr>
            <w:tcW w:w="1077" w:type="dxa"/>
            <w:shd w:val="clear" w:color="auto" w:fill="auto"/>
            <w:noWrap/>
            <w:vAlign w:val="center"/>
            <w:hideMark/>
          </w:tcPr>
          <w:p w14:paraId="0ACC1574"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525FB557"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8 380,97</w:t>
            </w:r>
          </w:p>
        </w:tc>
        <w:tc>
          <w:tcPr>
            <w:tcW w:w="1077" w:type="dxa"/>
            <w:shd w:val="clear" w:color="auto" w:fill="auto"/>
            <w:noWrap/>
            <w:vAlign w:val="center"/>
            <w:hideMark/>
          </w:tcPr>
          <w:p w14:paraId="3CBCBF45"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30028CCA"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2 576,68</w:t>
            </w:r>
          </w:p>
        </w:tc>
        <w:tc>
          <w:tcPr>
            <w:tcW w:w="813" w:type="dxa"/>
            <w:shd w:val="clear" w:color="auto" w:fill="auto"/>
            <w:noWrap/>
            <w:vAlign w:val="center"/>
            <w:hideMark/>
          </w:tcPr>
          <w:p w14:paraId="6CDFE93D" w14:textId="0A3C71FA"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44,39</w:t>
            </w:r>
          </w:p>
        </w:tc>
        <w:tc>
          <w:tcPr>
            <w:tcW w:w="777" w:type="dxa"/>
            <w:shd w:val="clear" w:color="auto" w:fill="auto"/>
            <w:noWrap/>
            <w:vAlign w:val="center"/>
            <w:hideMark/>
          </w:tcPr>
          <w:p w14:paraId="6503AA6A"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58AD9C04"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54794147" w14:textId="77777777" w:rsidTr="000F1196">
        <w:trPr>
          <w:trHeight w:val="20"/>
        </w:trPr>
        <w:tc>
          <w:tcPr>
            <w:tcW w:w="794" w:type="dxa"/>
            <w:vMerge/>
            <w:shd w:val="clear" w:color="auto" w:fill="auto"/>
            <w:vAlign w:val="center"/>
            <w:hideMark/>
          </w:tcPr>
          <w:p w14:paraId="22A74275"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05AD4BA3"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643B6A7A"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5 804,29</w:t>
            </w:r>
          </w:p>
        </w:tc>
        <w:tc>
          <w:tcPr>
            <w:tcW w:w="1077" w:type="dxa"/>
            <w:shd w:val="clear" w:color="auto" w:fill="auto"/>
            <w:noWrap/>
            <w:vAlign w:val="center"/>
            <w:hideMark/>
          </w:tcPr>
          <w:p w14:paraId="5670C859"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3FC2EC1A" w14:textId="14282644"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33E87F42" w14:textId="1D698E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7966CA55"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776D2A64" w14:textId="4BED4322"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320046EC"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4FADAAAB"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1733AD6F" w14:textId="77777777" w:rsidTr="000F1196">
        <w:trPr>
          <w:trHeight w:val="20"/>
        </w:trPr>
        <w:tc>
          <w:tcPr>
            <w:tcW w:w="794" w:type="dxa"/>
            <w:vMerge/>
            <w:shd w:val="clear" w:color="auto" w:fill="auto"/>
            <w:vAlign w:val="center"/>
            <w:hideMark/>
          </w:tcPr>
          <w:p w14:paraId="4ACA34DB"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4A5A9D42"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114FD5CE"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5 804,28</w:t>
            </w:r>
          </w:p>
        </w:tc>
        <w:tc>
          <w:tcPr>
            <w:tcW w:w="1077" w:type="dxa"/>
            <w:shd w:val="clear" w:color="auto" w:fill="auto"/>
            <w:noWrap/>
            <w:vAlign w:val="center"/>
            <w:hideMark/>
          </w:tcPr>
          <w:p w14:paraId="3EC9F7BC"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134" w:type="dxa"/>
            <w:shd w:val="clear" w:color="auto" w:fill="auto"/>
            <w:noWrap/>
            <w:vAlign w:val="center"/>
            <w:hideMark/>
          </w:tcPr>
          <w:p w14:paraId="6531AE1A" w14:textId="2D683700"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3DF10E3C" w14:textId="782B2BA3"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63BBF820"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3D2AC5C8" w14:textId="68355BD8"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2CF2618C"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6995142B"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516338C3" w14:textId="77777777" w:rsidTr="000F1196">
        <w:trPr>
          <w:trHeight w:val="20"/>
        </w:trPr>
        <w:tc>
          <w:tcPr>
            <w:tcW w:w="794" w:type="dxa"/>
            <w:vMerge w:val="restart"/>
            <w:shd w:val="clear" w:color="auto" w:fill="auto"/>
            <w:noWrap/>
            <w:vAlign w:val="center"/>
            <w:hideMark/>
          </w:tcPr>
          <w:p w14:paraId="34913FCF"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29248</w:t>
            </w:r>
          </w:p>
        </w:tc>
        <w:tc>
          <w:tcPr>
            <w:tcW w:w="567" w:type="dxa"/>
            <w:shd w:val="clear" w:color="auto" w:fill="auto"/>
            <w:noWrap/>
            <w:vAlign w:val="center"/>
            <w:hideMark/>
          </w:tcPr>
          <w:p w14:paraId="4349C2CA"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7FC28A02"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9 150,33</w:t>
            </w:r>
          </w:p>
        </w:tc>
        <w:tc>
          <w:tcPr>
            <w:tcW w:w="1077" w:type="dxa"/>
            <w:shd w:val="clear" w:color="auto" w:fill="auto"/>
            <w:noWrap/>
            <w:vAlign w:val="center"/>
            <w:hideMark/>
          </w:tcPr>
          <w:p w14:paraId="65356BA1"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4D6EF7E6" w14:textId="7542E762"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3529086C" w14:textId="52B83FEE"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0234F739"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44FCECF8" w14:textId="62116E45"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361BC6D4"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62A79099"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241D6F" w:rsidRPr="00527E83" w14:paraId="2A511425" w14:textId="77777777" w:rsidTr="000F1196">
        <w:trPr>
          <w:trHeight w:val="20"/>
        </w:trPr>
        <w:tc>
          <w:tcPr>
            <w:tcW w:w="794" w:type="dxa"/>
            <w:vMerge/>
            <w:shd w:val="clear" w:color="auto" w:fill="auto"/>
            <w:vAlign w:val="center"/>
            <w:hideMark/>
          </w:tcPr>
          <w:p w14:paraId="6685825B"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2AE6BE04"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71147AF0"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9 150,33</w:t>
            </w:r>
          </w:p>
        </w:tc>
        <w:tc>
          <w:tcPr>
            <w:tcW w:w="1077" w:type="dxa"/>
            <w:shd w:val="clear" w:color="auto" w:fill="auto"/>
            <w:noWrap/>
            <w:vAlign w:val="center"/>
            <w:hideMark/>
          </w:tcPr>
          <w:p w14:paraId="39BD4113" w14:textId="77777777"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2C76415B" w14:textId="5B0253BA"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77" w:type="dxa"/>
            <w:shd w:val="clear" w:color="auto" w:fill="auto"/>
            <w:noWrap/>
            <w:vAlign w:val="center"/>
            <w:hideMark/>
          </w:tcPr>
          <w:p w14:paraId="4FB61686" w14:textId="28EFECFC" w:rsidR="00241D6F" w:rsidRPr="00527E83" w:rsidRDefault="00241D6F"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866676">
              <w:rPr>
                <w:rFonts w:asciiTheme="minorHAnsi" w:eastAsia="Times New Roman" w:hAnsiTheme="minorHAnsi" w:cstheme="minorHAnsi"/>
                <w:color w:val="000000"/>
                <w:sz w:val="18"/>
                <w:szCs w:val="18"/>
              </w:rPr>
              <w:t>-</w:t>
            </w:r>
          </w:p>
        </w:tc>
        <w:tc>
          <w:tcPr>
            <w:tcW w:w="1030" w:type="dxa"/>
            <w:shd w:val="clear" w:color="auto" w:fill="auto"/>
            <w:noWrap/>
            <w:vAlign w:val="center"/>
            <w:hideMark/>
          </w:tcPr>
          <w:p w14:paraId="178B040D" w14:textId="77777777"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13" w:type="dxa"/>
            <w:shd w:val="clear" w:color="auto" w:fill="auto"/>
            <w:noWrap/>
            <w:vAlign w:val="center"/>
            <w:hideMark/>
          </w:tcPr>
          <w:p w14:paraId="4B271361" w14:textId="51C0301F" w:rsidR="00241D6F" w:rsidRPr="00527E83" w:rsidRDefault="00241D6F"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777" w:type="dxa"/>
            <w:shd w:val="clear" w:color="auto" w:fill="auto"/>
            <w:noWrap/>
            <w:vAlign w:val="center"/>
            <w:hideMark/>
          </w:tcPr>
          <w:p w14:paraId="351F53F8" w14:textId="77777777" w:rsidR="00241D6F" w:rsidRPr="00527E83" w:rsidRDefault="00241D6F"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0DE521DF" w14:textId="77777777" w:rsidR="00241D6F" w:rsidRPr="00527E83" w:rsidRDefault="00241D6F"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753742BA" w14:textId="77777777" w:rsidTr="000F1196">
        <w:trPr>
          <w:trHeight w:val="20"/>
        </w:trPr>
        <w:tc>
          <w:tcPr>
            <w:tcW w:w="794" w:type="dxa"/>
            <w:vMerge/>
            <w:shd w:val="clear" w:color="auto" w:fill="auto"/>
            <w:vAlign w:val="center"/>
            <w:hideMark/>
          </w:tcPr>
          <w:p w14:paraId="037EA8C3"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2D1CE1BC"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480CB92C"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8 523,45</w:t>
            </w:r>
          </w:p>
        </w:tc>
        <w:tc>
          <w:tcPr>
            <w:tcW w:w="1077" w:type="dxa"/>
            <w:shd w:val="clear" w:color="auto" w:fill="auto"/>
            <w:noWrap/>
            <w:vAlign w:val="center"/>
            <w:hideMark/>
          </w:tcPr>
          <w:p w14:paraId="2B28989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FNUSA, FNKV</w:t>
            </w:r>
          </w:p>
        </w:tc>
        <w:tc>
          <w:tcPr>
            <w:tcW w:w="1134" w:type="dxa"/>
            <w:shd w:val="clear" w:color="auto" w:fill="auto"/>
            <w:noWrap/>
            <w:vAlign w:val="center"/>
            <w:hideMark/>
          </w:tcPr>
          <w:p w14:paraId="4F7296E5"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9 150,33</w:t>
            </w:r>
          </w:p>
        </w:tc>
        <w:tc>
          <w:tcPr>
            <w:tcW w:w="1077" w:type="dxa"/>
            <w:shd w:val="clear" w:color="auto" w:fill="auto"/>
            <w:noWrap/>
            <w:vAlign w:val="center"/>
            <w:hideMark/>
          </w:tcPr>
          <w:p w14:paraId="7A13B850"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1030" w:type="dxa"/>
            <w:shd w:val="clear" w:color="auto" w:fill="auto"/>
            <w:noWrap/>
            <w:vAlign w:val="center"/>
            <w:hideMark/>
          </w:tcPr>
          <w:p w14:paraId="6192CF32"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626,88</w:t>
            </w:r>
          </w:p>
        </w:tc>
        <w:tc>
          <w:tcPr>
            <w:tcW w:w="813" w:type="dxa"/>
            <w:shd w:val="clear" w:color="auto" w:fill="auto"/>
            <w:noWrap/>
            <w:vAlign w:val="center"/>
            <w:hideMark/>
          </w:tcPr>
          <w:p w14:paraId="58238E00" w14:textId="5502F40C"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7,35</w:t>
            </w:r>
          </w:p>
        </w:tc>
        <w:tc>
          <w:tcPr>
            <w:tcW w:w="777" w:type="dxa"/>
            <w:shd w:val="clear" w:color="auto" w:fill="auto"/>
            <w:noWrap/>
            <w:vAlign w:val="center"/>
            <w:hideMark/>
          </w:tcPr>
          <w:p w14:paraId="670B71DC"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3D1BF949"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42FB6766" w14:textId="77777777" w:rsidTr="000F1196">
        <w:trPr>
          <w:trHeight w:val="20"/>
        </w:trPr>
        <w:tc>
          <w:tcPr>
            <w:tcW w:w="794" w:type="dxa"/>
            <w:vMerge w:val="restart"/>
            <w:shd w:val="clear" w:color="auto" w:fill="auto"/>
            <w:noWrap/>
            <w:vAlign w:val="center"/>
            <w:hideMark/>
          </w:tcPr>
          <w:p w14:paraId="6407D846"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219028</w:t>
            </w:r>
          </w:p>
        </w:tc>
        <w:tc>
          <w:tcPr>
            <w:tcW w:w="567" w:type="dxa"/>
            <w:shd w:val="clear" w:color="auto" w:fill="auto"/>
            <w:noWrap/>
            <w:vAlign w:val="center"/>
            <w:hideMark/>
          </w:tcPr>
          <w:p w14:paraId="1C00D544"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64" w:type="dxa"/>
            <w:shd w:val="clear" w:color="auto" w:fill="auto"/>
            <w:noWrap/>
            <w:vAlign w:val="center"/>
            <w:hideMark/>
          </w:tcPr>
          <w:p w14:paraId="67025164"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92 752,98</w:t>
            </w:r>
          </w:p>
        </w:tc>
        <w:tc>
          <w:tcPr>
            <w:tcW w:w="1077" w:type="dxa"/>
            <w:shd w:val="clear" w:color="auto" w:fill="auto"/>
            <w:noWrap/>
            <w:vAlign w:val="center"/>
            <w:hideMark/>
          </w:tcPr>
          <w:p w14:paraId="5EF9524D"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1134" w:type="dxa"/>
            <w:shd w:val="clear" w:color="auto" w:fill="auto"/>
            <w:noWrap/>
            <w:vAlign w:val="center"/>
            <w:hideMark/>
          </w:tcPr>
          <w:p w14:paraId="1DD7402C"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107 689,20</w:t>
            </w:r>
          </w:p>
        </w:tc>
        <w:tc>
          <w:tcPr>
            <w:tcW w:w="1077" w:type="dxa"/>
            <w:shd w:val="clear" w:color="auto" w:fill="auto"/>
            <w:noWrap/>
            <w:vAlign w:val="center"/>
            <w:hideMark/>
          </w:tcPr>
          <w:p w14:paraId="65C5968C"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682D6C66"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14 936,22</w:t>
            </w:r>
          </w:p>
        </w:tc>
        <w:tc>
          <w:tcPr>
            <w:tcW w:w="813" w:type="dxa"/>
            <w:shd w:val="clear" w:color="auto" w:fill="auto"/>
            <w:noWrap/>
            <w:vAlign w:val="center"/>
            <w:hideMark/>
          </w:tcPr>
          <w:p w14:paraId="31A46257" w14:textId="6D594194"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16,10</w:t>
            </w:r>
          </w:p>
        </w:tc>
        <w:tc>
          <w:tcPr>
            <w:tcW w:w="777" w:type="dxa"/>
            <w:shd w:val="clear" w:color="auto" w:fill="auto"/>
            <w:noWrap/>
            <w:vAlign w:val="center"/>
            <w:hideMark/>
          </w:tcPr>
          <w:p w14:paraId="0A5D82EB"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407426A5"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055A0F1A" w14:textId="77777777" w:rsidTr="000F1196">
        <w:trPr>
          <w:trHeight w:val="20"/>
        </w:trPr>
        <w:tc>
          <w:tcPr>
            <w:tcW w:w="794" w:type="dxa"/>
            <w:vMerge/>
            <w:shd w:val="clear" w:color="auto" w:fill="auto"/>
            <w:vAlign w:val="center"/>
            <w:hideMark/>
          </w:tcPr>
          <w:p w14:paraId="41BA9DA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2F3E00B5"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64" w:type="dxa"/>
            <w:shd w:val="clear" w:color="auto" w:fill="auto"/>
            <w:noWrap/>
            <w:vAlign w:val="center"/>
            <w:hideMark/>
          </w:tcPr>
          <w:p w14:paraId="78ADE3B6"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85 383,39</w:t>
            </w:r>
          </w:p>
        </w:tc>
        <w:tc>
          <w:tcPr>
            <w:tcW w:w="1077" w:type="dxa"/>
            <w:shd w:val="clear" w:color="auto" w:fill="auto"/>
            <w:noWrap/>
            <w:vAlign w:val="center"/>
            <w:hideMark/>
          </w:tcPr>
          <w:p w14:paraId="4205B3A7"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1134" w:type="dxa"/>
            <w:shd w:val="clear" w:color="auto" w:fill="auto"/>
            <w:noWrap/>
            <w:vAlign w:val="center"/>
            <w:hideMark/>
          </w:tcPr>
          <w:p w14:paraId="6FC9F54B"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93 483,31</w:t>
            </w:r>
          </w:p>
        </w:tc>
        <w:tc>
          <w:tcPr>
            <w:tcW w:w="1077" w:type="dxa"/>
            <w:shd w:val="clear" w:color="auto" w:fill="auto"/>
            <w:noWrap/>
            <w:vAlign w:val="center"/>
            <w:hideMark/>
          </w:tcPr>
          <w:p w14:paraId="31D4201B"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1030" w:type="dxa"/>
            <w:shd w:val="clear" w:color="auto" w:fill="auto"/>
            <w:noWrap/>
            <w:vAlign w:val="center"/>
            <w:hideMark/>
          </w:tcPr>
          <w:p w14:paraId="31E067FA"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8 099,92</w:t>
            </w:r>
          </w:p>
        </w:tc>
        <w:tc>
          <w:tcPr>
            <w:tcW w:w="813" w:type="dxa"/>
            <w:shd w:val="clear" w:color="auto" w:fill="auto"/>
            <w:noWrap/>
            <w:vAlign w:val="center"/>
            <w:hideMark/>
          </w:tcPr>
          <w:p w14:paraId="0901B631" w14:textId="1435C713"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9,49</w:t>
            </w:r>
          </w:p>
        </w:tc>
        <w:tc>
          <w:tcPr>
            <w:tcW w:w="777" w:type="dxa"/>
            <w:shd w:val="clear" w:color="auto" w:fill="auto"/>
            <w:noWrap/>
            <w:vAlign w:val="center"/>
            <w:hideMark/>
          </w:tcPr>
          <w:p w14:paraId="21B73D82"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0DBF778D"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41976C6D" w14:textId="77777777" w:rsidTr="000F1196">
        <w:trPr>
          <w:trHeight w:val="20"/>
        </w:trPr>
        <w:tc>
          <w:tcPr>
            <w:tcW w:w="794" w:type="dxa"/>
            <w:vMerge/>
            <w:shd w:val="clear" w:color="auto" w:fill="auto"/>
            <w:vAlign w:val="center"/>
            <w:hideMark/>
          </w:tcPr>
          <w:p w14:paraId="6B0218BB"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p>
        </w:tc>
        <w:tc>
          <w:tcPr>
            <w:tcW w:w="567" w:type="dxa"/>
            <w:shd w:val="clear" w:color="auto" w:fill="auto"/>
            <w:noWrap/>
            <w:vAlign w:val="center"/>
            <w:hideMark/>
          </w:tcPr>
          <w:p w14:paraId="4A7BB84B" w14:textId="77777777" w:rsidR="00946C51" w:rsidRPr="00527E83" w:rsidRDefault="00946C51" w:rsidP="00946C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64" w:type="dxa"/>
            <w:shd w:val="clear" w:color="auto" w:fill="auto"/>
            <w:noWrap/>
            <w:vAlign w:val="center"/>
            <w:hideMark/>
          </w:tcPr>
          <w:p w14:paraId="0759E08E"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85 383,36</w:t>
            </w:r>
          </w:p>
        </w:tc>
        <w:tc>
          <w:tcPr>
            <w:tcW w:w="1077" w:type="dxa"/>
            <w:shd w:val="clear" w:color="auto" w:fill="auto"/>
            <w:noWrap/>
            <w:vAlign w:val="center"/>
            <w:hideMark/>
          </w:tcPr>
          <w:p w14:paraId="1E0849C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1134" w:type="dxa"/>
            <w:shd w:val="clear" w:color="auto" w:fill="auto"/>
            <w:noWrap/>
            <w:vAlign w:val="center"/>
            <w:hideMark/>
          </w:tcPr>
          <w:p w14:paraId="3F02445C" w14:textId="77777777" w:rsidR="00946C51" w:rsidRPr="00527E83" w:rsidRDefault="00946C51" w:rsidP="00946C51">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88 000,00</w:t>
            </w:r>
          </w:p>
        </w:tc>
        <w:tc>
          <w:tcPr>
            <w:tcW w:w="1077" w:type="dxa"/>
            <w:shd w:val="clear" w:color="auto" w:fill="auto"/>
            <w:noWrap/>
            <w:vAlign w:val="center"/>
            <w:hideMark/>
          </w:tcPr>
          <w:p w14:paraId="55054FB1" w14:textId="77777777" w:rsidR="00946C51" w:rsidRPr="00527E83" w:rsidRDefault="00946C51" w:rsidP="003F316F">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1030" w:type="dxa"/>
            <w:shd w:val="clear" w:color="auto" w:fill="auto"/>
            <w:noWrap/>
            <w:vAlign w:val="center"/>
            <w:hideMark/>
          </w:tcPr>
          <w:p w14:paraId="47CF2413" w14:textId="77777777"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2 616,64</w:t>
            </w:r>
          </w:p>
        </w:tc>
        <w:tc>
          <w:tcPr>
            <w:tcW w:w="813" w:type="dxa"/>
            <w:shd w:val="clear" w:color="auto" w:fill="auto"/>
            <w:noWrap/>
            <w:vAlign w:val="center"/>
            <w:hideMark/>
          </w:tcPr>
          <w:p w14:paraId="70A7C085" w14:textId="6E22E490" w:rsidR="00946C51" w:rsidRPr="00527E83" w:rsidRDefault="00946C51" w:rsidP="000F1196">
            <w:pPr>
              <w:widowControl/>
              <w:autoSpaceDE/>
              <w:autoSpaceDN/>
              <w:adjustRightInd/>
              <w:ind w:right="57"/>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3,06</w:t>
            </w:r>
          </w:p>
        </w:tc>
        <w:tc>
          <w:tcPr>
            <w:tcW w:w="777" w:type="dxa"/>
            <w:shd w:val="clear" w:color="auto" w:fill="auto"/>
            <w:noWrap/>
            <w:vAlign w:val="center"/>
            <w:hideMark/>
          </w:tcPr>
          <w:p w14:paraId="6E91A36D" w14:textId="77777777" w:rsidR="00946C51" w:rsidRPr="00527E83" w:rsidRDefault="00946C51" w:rsidP="000F1196">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07" w:type="dxa"/>
            <w:shd w:val="clear" w:color="auto" w:fill="auto"/>
            <w:noWrap/>
            <w:vAlign w:val="center"/>
            <w:hideMark/>
          </w:tcPr>
          <w:p w14:paraId="64378934" w14:textId="77777777" w:rsidR="00946C51" w:rsidRPr="00527E83" w:rsidRDefault="00946C51" w:rsidP="000F1196">
            <w:pPr>
              <w:widowControl/>
              <w:autoSpaceDE/>
              <w:autoSpaceDN/>
              <w:adjustRightInd/>
              <w:ind w:left="-57" w:righ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bl>
    <w:p w14:paraId="127F06F4" w14:textId="123D192C" w:rsidR="000E64BD" w:rsidRPr="00527E83" w:rsidRDefault="00283A0C" w:rsidP="000F1196">
      <w:pPr>
        <w:spacing w:before="40"/>
        <w:rPr>
          <w:rFonts w:asciiTheme="minorHAnsi" w:hAnsiTheme="minorHAnsi" w:cstheme="minorHAnsi"/>
        </w:rPr>
      </w:pPr>
      <w:r w:rsidRPr="00527E83">
        <w:rPr>
          <w:rFonts w:asciiTheme="minorHAnsi" w:hAnsiTheme="minorHAnsi" w:cstheme="minorHAnsi"/>
          <w:b/>
        </w:rPr>
        <w:t>Zdroj:</w:t>
      </w:r>
      <w:r w:rsidRPr="00527E83">
        <w:rPr>
          <w:rFonts w:asciiTheme="minorHAnsi" w:hAnsiTheme="minorHAnsi" w:cstheme="minorHAnsi"/>
        </w:rPr>
        <w:t xml:space="preserve"> přílohy jednotlivých kontrolních protokolů </w:t>
      </w:r>
      <w:r w:rsidR="00CB332A">
        <w:rPr>
          <w:rFonts w:asciiTheme="minorHAnsi" w:hAnsiTheme="minorHAnsi" w:cstheme="minorHAnsi"/>
        </w:rPr>
        <w:t>FN</w:t>
      </w:r>
      <w:r w:rsidRPr="00527E83">
        <w:rPr>
          <w:rFonts w:asciiTheme="minorHAnsi" w:hAnsiTheme="minorHAnsi" w:cstheme="minorHAnsi"/>
        </w:rPr>
        <w:t xml:space="preserve"> (dle faktur).</w:t>
      </w:r>
    </w:p>
    <w:p w14:paraId="7F21056F" w14:textId="656DAD2A" w:rsidR="00A977F1" w:rsidRPr="00527E83" w:rsidRDefault="00A977F1" w:rsidP="00A977F1">
      <w:pPr>
        <w:widowControl/>
        <w:autoSpaceDE/>
        <w:autoSpaceDN/>
        <w:adjustRightInd/>
        <w:rPr>
          <w:rFonts w:asciiTheme="minorHAnsi" w:hAnsiTheme="minorHAnsi" w:cstheme="minorHAnsi"/>
        </w:rPr>
      </w:pPr>
      <w:r w:rsidRPr="00527E83">
        <w:rPr>
          <w:rFonts w:asciiTheme="minorHAnsi" w:hAnsiTheme="minorHAnsi" w:cstheme="minorHAnsi"/>
          <w:b/>
        </w:rPr>
        <w:t>Pozn</w:t>
      </w:r>
      <w:r w:rsidR="00107700">
        <w:rPr>
          <w:rFonts w:asciiTheme="minorHAnsi" w:hAnsiTheme="minorHAnsi" w:cstheme="minorHAnsi"/>
          <w:b/>
        </w:rPr>
        <w:t>.</w:t>
      </w:r>
      <w:r w:rsidRPr="00527E83">
        <w:rPr>
          <w:rFonts w:asciiTheme="minorHAnsi" w:hAnsiTheme="minorHAnsi" w:cstheme="minorHAnsi"/>
          <w:b/>
        </w:rPr>
        <w:t>:</w:t>
      </w:r>
      <w:r w:rsidRPr="00527E83">
        <w:rPr>
          <w:rFonts w:asciiTheme="minorHAnsi" w:hAnsiTheme="minorHAnsi" w:cstheme="minorHAnsi"/>
        </w:rPr>
        <w:t xml:space="preserve"> Zanedbatelné rozdíly ve výši 0,01 Kč na jedno balení nejsou v tabulce uvedeny.</w:t>
      </w:r>
    </w:p>
    <w:p w14:paraId="13967285" w14:textId="0DB408CC" w:rsidR="000E64BD" w:rsidRPr="00527E83" w:rsidRDefault="000E64BD" w:rsidP="000F1196">
      <w:pPr>
        <w:jc w:val="center"/>
        <w:rPr>
          <w:rFonts w:asciiTheme="minorHAnsi" w:hAnsiTheme="minorHAnsi" w:cstheme="minorHAnsi"/>
        </w:rPr>
      </w:pPr>
    </w:p>
    <w:p w14:paraId="4EC24197" w14:textId="2814B656" w:rsidR="000E64BD" w:rsidRPr="00527E83" w:rsidRDefault="000E64BD" w:rsidP="000F1196">
      <w:pPr>
        <w:jc w:val="center"/>
        <w:rPr>
          <w:rFonts w:asciiTheme="minorHAnsi" w:hAnsiTheme="minorHAnsi" w:cstheme="minorHAnsi"/>
        </w:rPr>
      </w:pPr>
    </w:p>
    <w:p w14:paraId="41A5EDE5" w14:textId="77777777" w:rsidR="000F1196" w:rsidRDefault="000F1196">
      <w:pPr>
        <w:widowControl/>
        <w:autoSpaceDE/>
        <w:autoSpaceDN/>
        <w:adjustRightInd/>
        <w:spacing w:after="160" w:line="259" w:lineRule="auto"/>
        <w:rPr>
          <w:rFonts w:asciiTheme="minorHAnsi" w:eastAsia="Times New Roman" w:hAnsiTheme="minorHAnsi" w:cstheme="minorHAnsi"/>
          <w:b/>
          <w:sz w:val="24"/>
          <w:szCs w:val="24"/>
          <w:lang w:eastAsia="en-US"/>
        </w:rPr>
      </w:pPr>
      <w:r>
        <w:rPr>
          <w:rFonts w:asciiTheme="minorHAnsi" w:eastAsia="Times New Roman" w:hAnsiTheme="minorHAnsi" w:cstheme="minorHAnsi"/>
          <w:b/>
          <w:sz w:val="24"/>
          <w:szCs w:val="24"/>
          <w:lang w:eastAsia="en-US"/>
        </w:rPr>
        <w:br w:type="page"/>
      </w:r>
    </w:p>
    <w:p w14:paraId="2948FB1C" w14:textId="5771BE7F" w:rsidR="006F4114" w:rsidRPr="00527E83" w:rsidRDefault="00C8687A" w:rsidP="00490AD8">
      <w:pPr>
        <w:widowControl/>
        <w:autoSpaceDE/>
        <w:autoSpaceDN/>
        <w:adjustRightInd/>
        <w:spacing w:after="100"/>
        <w:jc w:val="right"/>
        <w:rPr>
          <w:rFonts w:asciiTheme="minorHAnsi" w:eastAsia="Times New Roman" w:hAnsiTheme="minorHAnsi" w:cstheme="minorHAnsi"/>
          <w:b/>
          <w:sz w:val="24"/>
          <w:szCs w:val="24"/>
          <w:lang w:eastAsia="en-US"/>
        </w:rPr>
      </w:pPr>
      <w:r w:rsidRPr="00527E83">
        <w:rPr>
          <w:rFonts w:asciiTheme="minorHAnsi" w:eastAsia="Times New Roman" w:hAnsiTheme="minorHAnsi" w:cstheme="minorHAnsi"/>
          <w:b/>
          <w:sz w:val="24"/>
          <w:szCs w:val="24"/>
          <w:lang w:eastAsia="en-US"/>
        </w:rPr>
        <w:t xml:space="preserve">Příloha č. </w:t>
      </w:r>
      <w:r w:rsidR="00F56DF7" w:rsidRPr="00527E83">
        <w:rPr>
          <w:rFonts w:asciiTheme="minorHAnsi" w:eastAsia="Times New Roman" w:hAnsiTheme="minorHAnsi" w:cstheme="minorHAnsi"/>
          <w:b/>
          <w:sz w:val="24"/>
          <w:szCs w:val="24"/>
          <w:lang w:eastAsia="en-US"/>
        </w:rPr>
        <w:t>3</w:t>
      </w:r>
      <w:r w:rsidRPr="00527E83">
        <w:rPr>
          <w:rFonts w:asciiTheme="minorHAnsi" w:eastAsia="Times New Roman" w:hAnsiTheme="minorHAnsi" w:cstheme="minorHAnsi"/>
          <w:b/>
          <w:sz w:val="24"/>
          <w:szCs w:val="24"/>
          <w:lang w:eastAsia="en-US"/>
        </w:rPr>
        <w:t xml:space="preserve"> </w:t>
      </w:r>
    </w:p>
    <w:p w14:paraId="315C5788" w14:textId="637BD3FC" w:rsidR="00C8687A" w:rsidRPr="00527E83" w:rsidRDefault="000E64BD" w:rsidP="00490AD8">
      <w:pPr>
        <w:widowControl/>
        <w:autoSpaceDE/>
        <w:autoSpaceDN/>
        <w:adjustRightInd/>
        <w:spacing w:after="100"/>
        <w:jc w:val="center"/>
        <w:rPr>
          <w:rFonts w:asciiTheme="minorHAnsi" w:eastAsia="Times New Roman" w:hAnsiTheme="minorHAnsi" w:cstheme="minorHAnsi"/>
          <w:b/>
          <w:sz w:val="24"/>
          <w:szCs w:val="24"/>
          <w:lang w:eastAsia="en-US"/>
        </w:rPr>
      </w:pPr>
      <w:r w:rsidRPr="00527E83">
        <w:rPr>
          <w:rFonts w:asciiTheme="minorHAnsi" w:eastAsia="Times New Roman" w:hAnsiTheme="minorHAnsi" w:cstheme="minorHAnsi"/>
          <w:b/>
          <w:sz w:val="24"/>
          <w:szCs w:val="24"/>
          <w:lang w:eastAsia="en-US"/>
        </w:rPr>
        <w:t>Cenové rozdíly jednotkových cen léčiv</w:t>
      </w:r>
      <w:r w:rsidR="00301EB9" w:rsidRPr="00527E83">
        <w:rPr>
          <w:rFonts w:asciiTheme="minorHAnsi" w:eastAsia="Times New Roman" w:hAnsiTheme="minorHAnsi" w:cstheme="minorHAnsi"/>
          <w:b/>
          <w:sz w:val="24"/>
          <w:szCs w:val="24"/>
          <w:lang w:eastAsia="en-US"/>
        </w:rPr>
        <w:t>ých přípravků</w:t>
      </w:r>
      <w:r w:rsidRPr="00527E83">
        <w:rPr>
          <w:rFonts w:asciiTheme="minorHAnsi" w:eastAsia="Times New Roman" w:hAnsiTheme="minorHAnsi" w:cstheme="minorHAnsi"/>
          <w:b/>
          <w:sz w:val="24"/>
          <w:szCs w:val="24"/>
          <w:lang w:eastAsia="en-US"/>
        </w:rPr>
        <w:t xml:space="preserve"> skupiny ATC – J</w:t>
      </w:r>
      <w:r w:rsidR="00193C04">
        <w:rPr>
          <w:rFonts w:asciiTheme="minorHAnsi" w:eastAsia="Times New Roman" w:hAnsiTheme="minorHAnsi" w:cstheme="minorHAnsi"/>
          <w:b/>
          <w:sz w:val="24"/>
          <w:szCs w:val="24"/>
          <w:lang w:eastAsia="en-US"/>
        </w:rPr>
        <w:t xml:space="preserve"> u FN</w:t>
      </w:r>
    </w:p>
    <w:tbl>
      <w:tblPr>
        <w:tblW w:w="9159" w:type="dxa"/>
        <w:jc w:val="center"/>
        <w:tblLayout w:type="fixed"/>
        <w:tblCellMar>
          <w:left w:w="70" w:type="dxa"/>
          <w:right w:w="70" w:type="dxa"/>
        </w:tblCellMar>
        <w:tblLook w:val="04A0" w:firstRow="1" w:lastRow="0" w:firstColumn="1" w:lastColumn="0" w:noHBand="0" w:noVBand="1"/>
      </w:tblPr>
      <w:tblGrid>
        <w:gridCol w:w="972"/>
        <w:gridCol w:w="505"/>
        <w:gridCol w:w="987"/>
        <w:gridCol w:w="1091"/>
        <w:gridCol w:w="987"/>
        <w:gridCol w:w="1122"/>
        <w:gridCol w:w="794"/>
        <w:gridCol w:w="794"/>
        <w:gridCol w:w="907"/>
        <w:gridCol w:w="1000"/>
      </w:tblGrid>
      <w:tr w:rsidR="00241D6F" w:rsidRPr="00527E83" w14:paraId="0B1FEAEF" w14:textId="77777777" w:rsidTr="005329C0">
        <w:trPr>
          <w:trHeight w:val="659"/>
          <w:jc w:val="center"/>
        </w:trPr>
        <w:tc>
          <w:tcPr>
            <w:tcW w:w="972"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2B0B1796" w14:textId="3AF14B6A" w:rsidR="00241D6F" w:rsidRPr="00527E83" w:rsidRDefault="00994A69" w:rsidP="00C810D9">
            <w:pPr>
              <w:widowControl/>
              <w:autoSpaceDE/>
              <w:autoSpaceDN/>
              <w:adjustRightInd/>
              <w:jc w:val="center"/>
              <w:rPr>
                <w:rFonts w:asciiTheme="minorHAnsi" w:eastAsia="Times New Roman" w:hAnsiTheme="minorHAnsi" w:cstheme="minorHAnsi"/>
                <w:b/>
                <w:bCs/>
                <w:color w:val="000000"/>
                <w:sz w:val="18"/>
                <w:szCs w:val="18"/>
              </w:rPr>
            </w:pPr>
            <w:hyperlink r:id="rId14" w:anchor="RANGE!A40" w:history="1">
              <w:r w:rsidR="00241D6F" w:rsidRPr="00527E83">
                <w:rPr>
                  <w:rFonts w:asciiTheme="minorHAnsi" w:eastAsia="Times New Roman" w:hAnsiTheme="minorHAnsi" w:cstheme="minorHAnsi"/>
                  <w:b/>
                  <w:bCs/>
                  <w:color w:val="000000"/>
                  <w:sz w:val="18"/>
                  <w:szCs w:val="18"/>
                </w:rPr>
                <w:t>Kód SÚKL</w:t>
              </w:r>
            </w:hyperlink>
            <w:r w:rsidR="00241D6F" w:rsidRPr="00527E83">
              <w:rPr>
                <w:rStyle w:val="Znakapoznpodarou"/>
                <w:rFonts w:asciiTheme="minorHAnsi" w:eastAsia="Times New Roman" w:hAnsiTheme="minorHAnsi" w:cstheme="minorHAnsi"/>
                <w:b/>
                <w:bCs/>
                <w:color w:val="000000"/>
                <w:sz w:val="18"/>
                <w:szCs w:val="18"/>
              </w:rPr>
              <w:footnoteReference w:id="52"/>
            </w:r>
          </w:p>
        </w:tc>
        <w:tc>
          <w:tcPr>
            <w:tcW w:w="505"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63949A33" w14:textId="77777777" w:rsidR="00241D6F" w:rsidRPr="00527E83" w:rsidRDefault="00241D6F" w:rsidP="00C810D9">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Rok</w:t>
            </w:r>
          </w:p>
        </w:tc>
        <w:tc>
          <w:tcPr>
            <w:tcW w:w="987"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56EC8605" w14:textId="77777777" w:rsidR="00241D6F" w:rsidRPr="00527E83" w:rsidRDefault="00241D6F" w:rsidP="00C810D9">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Minimální jednotková cena v Kč</w:t>
            </w:r>
          </w:p>
        </w:tc>
        <w:tc>
          <w:tcPr>
            <w:tcW w:w="1091"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4ADE5272" w14:textId="794C3689" w:rsidR="00241D6F" w:rsidRPr="00527E83" w:rsidRDefault="00241D6F" w:rsidP="00C810D9">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FN s min. jednotkovou cenou</w:t>
            </w:r>
          </w:p>
        </w:tc>
        <w:tc>
          <w:tcPr>
            <w:tcW w:w="987"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4E0DB714" w14:textId="77777777" w:rsidR="00241D6F" w:rsidRPr="00527E83" w:rsidRDefault="00241D6F" w:rsidP="00C810D9">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Maximální jednotková cena v Kč</w:t>
            </w:r>
          </w:p>
        </w:tc>
        <w:tc>
          <w:tcPr>
            <w:tcW w:w="1122"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7F356808" w14:textId="020580AF" w:rsidR="00241D6F" w:rsidRPr="00527E83" w:rsidRDefault="00241D6F" w:rsidP="00C810D9">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FN s max. jednotkovou cenou</w:t>
            </w:r>
          </w:p>
        </w:tc>
        <w:tc>
          <w:tcPr>
            <w:tcW w:w="794" w:type="dxa"/>
            <w:tcBorders>
              <w:top w:val="single" w:sz="4" w:space="0" w:color="auto"/>
              <w:left w:val="nil"/>
              <w:bottom w:val="single" w:sz="4" w:space="0" w:color="auto"/>
              <w:right w:val="single" w:sz="4" w:space="0" w:color="auto"/>
            </w:tcBorders>
            <w:shd w:val="clear" w:color="000000" w:fill="E5F1FF"/>
            <w:noWrap/>
            <w:vAlign w:val="center"/>
            <w:hideMark/>
          </w:tcPr>
          <w:p w14:paraId="0F9E0562" w14:textId="77777777" w:rsidR="00241D6F" w:rsidRPr="00527E83" w:rsidRDefault="00241D6F" w:rsidP="00C810D9">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Rozdíl</w:t>
            </w:r>
          </w:p>
          <w:p w14:paraId="3EE4FF15" w14:textId="3C412FBB" w:rsidR="00241D6F" w:rsidRPr="00527E83" w:rsidRDefault="00241D6F" w:rsidP="00C810D9">
            <w:pPr>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v Kč</w:t>
            </w:r>
          </w:p>
        </w:tc>
        <w:tc>
          <w:tcPr>
            <w:tcW w:w="794"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721A8BFD" w14:textId="77777777" w:rsidR="00241D6F" w:rsidRPr="00527E83" w:rsidRDefault="00241D6F" w:rsidP="00C810D9">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Rozdíl v %</w:t>
            </w:r>
          </w:p>
        </w:tc>
        <w:tc>
          <w:tcPr>
            <w:tcW w:w="907"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7F794E0F" w14:textId="1D64DE89" w:rsidR="00241D6F" w:rsidRPr="00527E83" w:rsidRDefault="00241D6F" w:rsidP="005329C0">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Počet FN ve vzorku</w:t>
            </w:r>
          </w:p>
        </w:tc>
        <w:tc>
          <w:tcPr>
            <w:tcW w:w="1000"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6BB49E0B" w14:textId="77777777" w:rsidR="00241D6F" w:rsidRPr="00527E83" w:rsidRDefault="00241D6F" w:rsidP="005329C0">
            <w:pPr>
              <w:widowControl/>
              <w:autoSpaceDE/>
              <w:autoSpaceDN/>
              <w:adjustRightInd/>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Počet dodavatelů ve vzorku</w:t>
            </w:r>
          </w:p>
        </w:tc>
      </w:tr>
      <w:tr w:rsidR="00C810D9" w:rsidRPr="00527E83" w14:paraId="50AC6EC4"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66C3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29464</w:t>
            </w:r>
          </w:p>
        </w:tc>
        <w:tc>
          <w:tcPr>
            <w:tcW w:w="505" w:type="dxa"/>
            <w:tcBorders>
              <w:top w:val="nil"/>
              <w:left w:val="nil"/>
              <w:bottom w:val="single" w:sz="4" w:space="0" w:color="auto"/>
              <w:right w:val="single" w:sz="4" w:space="0" w:color="auto"/>
            </w:tcBorders>
            <w:shd w:val="clear" w:color="auto" w:fill="auto"/>
            <w:noWrap/>
            <w:vAlign w:val="center"/>
            <w:hideMark/>
          </w:tcPr>
          <w:p w14:paraId="1C82474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4CF6668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10 263,00</w:t>
            </w:r>
          </w:p>
        </w:tc>
        <w:tc>
          <w:tcPr>
            <w:tcW w:w="1091" w:type="dxa"/>
            <w:tcBorders>
              <w:top w:val="nil"/>
              <w:left w:val="nil"/>
              <w:bottom w:val="single" w:sz="4" w:space="0" w:color="auto"/>
              <w:right w:val="single" w:sz="4" w:space="0" w:color="auto"/>
            </w:tcBorders>
            <w:shd w:val="clear" w:color="auto" w:fill="auto"/>
            <w:noWrap/>
            <w:vAlign w:val="center"/>
            <w:hideMark/>
          </w:tcPr>
          <w:p w14:paraId="23C9530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7D829CD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11 303,25</w:t>
            </w:r>
          </w:p>
        </w:tc>
        <w:tc>
          <w:tcPr>
            <w:tcW w:w="1122" w:type="dxa"/>
            <w:tcBorders>
              <w:top w:val="nil"/>
              <w:left w:val="nil"/>
              <w:bottom w:val="single" w:sz="4" w:space="0" w:color="auto"/>
              <w:right w:val="single" w:sz="4" w:space="0" w:color="auto"/>
            </w:tcBorders>
            <w:shd w:val="clear" w:color="auto" w:fill="auto"/>
            <w:noWrap/>
            <w:vAlign w:val="center"/>
            <w:hideMark/>
          </w:tcPr>
          <w:p w14:paraId="16C7BC8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0798210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1 040,25</w:t>
            </w:r>
          </w:p>
        </w:tc>
        <w:tc>
          <w:tcPr>
            <w:tcW w:w="794" w:type="dxa"/>
            <w:tcBorders>
              <w:top w:val="nil"/>
              <w:left w:val="nil"/>
              <w:bottom w:val="single" w:sz="4" w:space="0" w:color="auto"/>
              <w:right w:val="single" w:sz="4" w:space="0" w:color="auto"/>
            </w:tcBorders>
            <w:shd w:val="clear" w:color="auto" w:fill="auto"/>
            <w:noWrap/>
            <w:vAlign w:val="center"/>
            <w:hideMark/>
          </w:tcPr>
          <w:p w14:paraId="72387DF5" w14:textId="4BA75F26"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10,14</w:t>
            </w:r>
          </w:p>
        </w:tc>
        <w:tc>
          <w:tcPr>
            <w:tcW w:w="907" w:type="dxa"/>
            <w:tcBorders>
              <w:top w:val="nil"/>
              <w:left w:val="nil"/>
              <w:bottom w:val="single" w:sz="4" w:space="0" w:color="auto"/>
              <w:right w:val="single" w:sz="4" w:space="0" w:color="auto"/>
            </w:tcBorders>
            <w:shd w:val="clear" w:color="auto" w:fill="auto"/>
            <w:noWrap/>
            <w:vAlign w:val="center"/>
            <w:hideMark/>
          </w:tcPr>
          <w:p w14:paraId="7C450D79"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1000" w:type="dxa"/>
            <w:tcBorders>
              <w:top w:val="nil"/>
              <w:left w:val="nil"/>
              <w:bottom w:val="single" w:sz="4" w:space="0" w:color="auto"/>
              <w:right w:val="single" w:sz="4" w:space="0" w:color="auto"/>
            </w:tcBorders>
            <w:shd w:val="clear" w:color="auto" w:fill="auto"/>
            <w:noWrap/>
            <w:vAlign w:val="center"/>
            <w:hideMark/>
          </w:tcPr>
          <w:p w14:paraId="0022C356"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1614085A"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02223BB6"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7659633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5E3F6A3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10 263,00</w:t>
            </w:r>
          </w:p>
        </w:tc>
        <w:tc>
          <w:tcPr>
            <w:tcW w:w="1091" w:type="dxa"/>
            <w:tcBorders>
              <w:top w:val="nil"/>
              <w:left w:val="nil"/>
              <w:bottom w:val="single" w:sz="4" w:space="0" w:color="auto"/>
              <w:right w:val="single" w:sz="4" w:space="0" w:color="auto"/>
            </w:tcBorders>
            <w:shd w:val="clear" w:color="auto" w:fill="auto"/>
            <w:noWrap/>
            <w:vAlign w:val="center"/>
            <w:hideMark/>
          </w:tcPr>
          <w:p w14:paraId="41DA332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6AE9D02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11 420,87</w:t>
            </w:r>
          </w:p>
        </w:tc>
        <w:tc>
          <w:tcPr>
            <w:tcW w:w="1122" w:type="dxa"/>
            <w:tcBorders>
              <w:top w:val="nil"/>
              <w:left w:val="nil"/>
              <w:bottom w:val="single" w:sz="4" w:space="0" w:color="auto"/>
              <w:right w:val="single" w:sz="4" w:space="0" w:color="auto"/>
            </w:tcBorders>
            <w:shd w:val="clear" w:color="auto" w:fill="auto"/>
            <w:noWrap/>
            <w:vAlign w:val="center"/>
            <w:hideMark/>
          </w:tcPr>
          <w:p w14:paraId="26E2AE8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794" w:type="dxa"/>
            <w:tcBorders>
              <w:top w:val="nil"/>
              <w:left w:val="nil"/>
              <w:bottom w:val="single" w:sz="4" w:space="0" w:color="auto"/>
              <w:right w:val="single" w:sz="4" w:space="0" w:color="auto"/>
            </w:tcBorders>
            <w:shd w:val="clear" w:color="auto" w:fill="auto"/>
            <w:noWrap/>
            <w:vAlign w:val="center"/>
            <w:hideMark/>
          </w:tcPr>
          <w:p w14:paraId="614F16F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1 157,87</w:t>
            </w:r>
          </w:p>
        </w:tc>
        <w:tc>
          <w:tcPr>
            <w:tcW w:w="794" w:type="dxa"/>
            <w:tcBorders>
              <w:top w:val="nil"/>
              <w:left w:val="nil"/>
              <w:bottom w:val="single" w:sz="4" w:space="0" w:color="auto"/>
              <w:right w:val="single" w:sz="4" w:space="0" w:color="auto"/>
            </w:tcBorders>
            <w:shd w:val="clear" w:color="auto" w:fill="auto"/>
            <w:noWrap/>
            <w:vAlign w:val="center"/>
            <w:hideMark/>
          </w:tcPr>
          <w:p w14:paraId="3231B17E" w14:textId="6EFA11F0"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11,28</w:t>
            </w:r>
          </w:p>
        </w:tc>
        <w:tc>
          <w:tcPr>
            <w:tcW w:w="907" w:type="dxa"/>
            <w:tcBorders>
              <w:top w:val="nil"/>
              <w:left w:val="nil"/>
              <w:bottom w:val="single" w:sz="4" w:space="0" w:color="auto"/>
              <w:right w:val="single" w:sz="4" w:space="0" w:color="auto"/>
            </w:tcBorders>
            <w:shd w:val="clear" w:color="auto" w:fill="auto"/>
            <w:noWrap/>
            <w:vAlign w:val="center"/>
            <w:hideMark/>
          </w:tcPr>
          <w:p w14:paraId="3772F07D"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4F80AA59"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3D9C34FE"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19912D61"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71869D0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5444127A"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10 945,00</w:t>
            </w:r>
          </w:p>
        </w:tc>
        <w:tc>
          <w:tcPr>
            <w:tcW w:w="1091" w:type="dxa"/>
            <w:tcBorders>
              <w:top w:val="nil"/>
              <w:left w:val="nil"/>
              <w:bottom w:val="single" w:sz="4" w:space="0" w:color="auto"/>
              <w:right w:val="single" w:sz="4" w:space="0" w:color="auto"/>
            </w:tcBorders>
            <w:shd w:val="clear" w:color="auto" w:fill="auto"/>
            <w:noWrap/>
            <w:vAlign w:val="center"/>
            <w:hideMark/>
          </w:tcPr>
          <w:p w14:paraId="5285BDD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6FD0D40B"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13 285,80</w:t>
            </w:r>
          </w:p>
        </w:tc>
        <w:tc>
          <w:tcPr>
            <w:tcW w:w="1122" w:type="dxa"/>
            <w:tcBorders>
              <w:top w:val="nil"/>
              <w:left w:val="nil"/>
              <w:bottom w:val="single" w:sz="4" w:space="0" w:color="auto"/>
              <w:right w:val="single" w:sz="4" w:space="0" w:color="auto"/>
            </w:tcBorders>
            <w:shd w:val="clear" w:color="auto" w:fill="auto"/>
            <w:noWrap/>
            <w:vAlign w:val="center"/>
            <w:hideMark/>
          </w:tcPr>
          <w:p w14:paraId="39639C43"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794" w:type="dxa"/>
            <w:tcBorders>
              <w:top w:val="nil"/>
              <w:left w:val="nil"/>
              <w:bottom w:val="single" w:sz="4" w:space="0" w:color="auto"/>
              <w:right w:val="single" w:sz="4" w:space="0" w:color="auto"/>
            </w:tcBorders>
            <w:shd w:val="clear" w:color="auto" w:fill="auto"/>
            <w:noWrap/>
            <w:vAlign w:val="center"/>
            <w:hideMark/>
          </w:tcPr>
          <w:p w14:paraId="3D6E905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2 340,80</w:t>
            </w:r>
          </w:p>
        </w:tc>
        <w:tc>
          <w:tcPr>
            <w:tcW w:w="794" w:type="dxa"/>
            <w:tcBorders>
              <w:top w:val="nil"/>
              <w:left w:val="nil"/>
              <w:bottom w:val="single" w:sz="4" w:space="0" w:color="auto"/>
              <w:right w:val="single" w:sz="4" w:space="0" w:color="auto"/>
            </w:tcBorders>
            <w:shd w:val="clear" w:color="auto" w:fill="auto"/>
            <w:noWrap/>
            <w:vAlign w:val="center"/>
            <w:hideMark/>
          </w:tcPr>
          <w:p w14:paraId="55A3C620" w14:textId="0A8F1BED"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21,39</w:t>
            </w:r>
          </w:p>
        </w:tc>
        <w:tc>
          <w:tcPr>
            <w:tcW w:w="907" w:type="dxa"/>
            <w:tcBorders>
              <w:top w:val="nil"/>
              <w:left w:val="nil"/>
              <w:bottom w:val="single" w:sz="4" w:space="0" w:color="auto"/>
              <w:right w:val="single" w:sz="4" w:space="0" w:color="auto"/>
            </w:tcBorders>
            <w:shd w:val="clear" w:color="auto" w:fill="auto"/>
            <w:noWrap/>
            <w:vAlign w:val="center"/>
            <w:hideMark/>
          </w:tcPr>
          <w:p w14:paraId="06F48AC7"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E7C9CE7"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70C8ACAD"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9BD7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29465</w:t>
            </w:r>
          </w:p>
        </w:tc>
        <w:tc>
          <w:tcPr>
            <w:tcW w:w="505" w:type="dxa"/>
            <w:tcBorders>
              <w:top w:val="nil"/>
              <w:left w:val="nil"/>
              <w:bottom w:val="single" w:sz="4" w:space="0" w:color="auto"/>
              <w:right w:val="single" w:sz="4" w:space="0" w:color="auto"/>
            </w:tcBorders>
            <w:shd w:val="clear" w:color="auto" w:fill="auto"/>
            <w:noWrap/>
            <w:vAlign w:val="center"/>
            <w:hideMark/>
          </w:tcPr>
          <w:p w14:paraId="06D6DCE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7BE5F6EA"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20 526,00</w:t>
            </w:r>
          </w:p>
        </w:tc>
        <w:tc>
          <w:tcPr>
            <w:tcW w:w="1091" w:type="dxa"/>
            <w:tcBorders>
              <w:top w:val="nil"/>
              <w:left w:val="nil"/>
              <w:bottom w:val="single" w:sz="4" w:space="0" w:color="auto"/>
              <w:right w:val="single" w:sz="4" w:space="0" w:color="auto"/>
            </w:tcBorders>
            <w:shd w:val="clear" w:color="auto" w:fill="auto"/>
            <w:noWrap/>
            <w:vAlign w:val="center"/>
            <w:hideMark/>
          </w:tcPr>
          <w:p w14:paraId="403E5D2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33887B9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22 606,51</w:t>
            </w:r>
          </w:p>
        </w:tc>
        <w:tc>
          <w:tcPr>
            <w:tcW w:w="1122" w:type="dxa"/>
            <w:tcBorders>
              <w:top w:val="nil"/>
              <w:left w:val="nil"/>
              <w:bottom w:val="single" w:sz="4" w:space="0" w:color="auto"/>
              <w:right w:val="single" w:sz="4" w:space="0" w:color="auto"/>
            </w:tcBorders>
            <w:shd w:val="clear" w:color="auto" w:fill="auto"/>
            <w:noWrap/>
            <w:vAlign w:val="center"/>
            <w:hideMark/>
          </w:tcPr>
          <w:p w14:paraId="15FACC5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794" w:type="dxa"/>
            <w:tcBorders>
              <w:top w:val="nil"/>
              <w:left w:val="nil"/>
              <w:bottom w:val="single" w:sz="4" w:space="0" w:color="auto"/>
              <w:right w:val="single" w:sz="4" w:space="0" w:color="auto"/>
            </w:tcBorders>
            <w:shd w:val="clear" w:color="auto" w:fill="auto"/>
            <w:noWrap/>
            <w:vAlign w:val="center"/>
            <w:hideMark/>
          </w:tcPr>
          <w:p w14:paraId="517EEA9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2 080,51</w:t>
            </w:r>
          </w:p>
        </w:tc>
        <w:tc>
          <w:tcPr>
            <w:tcW w:w="794" w:type="dxa"/>
            <w:tcBorders>
              <w:top w:val="nil"/>
              <w:left w:val="nil"/>
              <w:bottom w:val="single" w:sz="4" w:space="0" w:color="auto"/>
              <w:right w:val="single" w:sz="4" w:space="0" w:color="auto"/>
            </w:tcBorders>
            <w:shd w:val="clear" w:color="auto" w:fill="auto"/>
            <w:noWrap/>
            <w:vAlign w:val="center"/>
            <w:hideMark/>
          </w:tcPr>
          <w:p w14:paraId="0CF9B444" w14:textId="2F2F10C4"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10,14</w:t>
            </w:r>
          </w:p>
        </w:tc>
        <w:tc>
          <w:tcPr>
            <w:tcW w:w="907" w:type="dxa"/>
            <w:tcBorders>
              <w:top w:val="nil"/>
              <w:left w:val="nil"/>
              <w:bottom w:val="single" w:sz="4" w:space="0" w:color="auto"/>
              <w:right w:val="single" w:sz="4" w:space="0" w:color="auto"/>
            </w:tcBorders>
            <w:shd w:val="clear" w:color="auto" w:fill="auto"/>
            <w:noWrap/>
            <w:vAlign w:val="center"/>
            <w:hideMark/>
          </w:tcPr>
          <w:p w14:paraId="62854448"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2D99651C"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2B322EC7"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5D9549F4"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4342FF1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7C3FF87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20 526,00</w:t>
            </w:r>
          </w:p>
        </w:tc>
        <w:tc>
          <w:tcPr>
            <w:tcW w:w="1091" w:type="dxa"/>
            <w:tcBorders>
              <w:top w:val="nil"/>
              <w:left w:val="nil"/>
              <w:bottom w:val="single" w:sz="4" w:space="0" w:color="auto"/>
              <w:right w:val="single" w:sz="4" w:space="0" w:color="auto"/>
            </w:tcBorders>
            <w:shd w:val="clear" w:color="auto" w:fill="auto"/>
            <w:noWrap/>
            <w:vAlign w:val="center"/>
            <w:hideMark/>
          </w:tcPr>
          <w:p w14:paraId="3D2B6CB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45F62B41"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22 841,74</w:t>
            </w:r>
          </w:p>
        </w:tc>
        <w:tc>
          <w:tcPr>
            <w:tcW w:w="1122" w:type="dxa"/>
            <w:tcBorders>
              <w:top w:val="nil"/>
              <w:left w:val="nil"/>
              <w:bottom w:val="single" w:sz="4" w:space="0" w:color="auto"/>
              <w:right w:val="single" w:sz="4" w:space="0" w:color="auto"/>
            </w:tcBorders>
            <w:shd w:val="clear" w:color="auto" w:fill="auto"/>
            <w:noWrap/>
            <w:vAlign w:val="center"/>
            <w:hideMark/>
          </w:tcPr>
          <w:p w14:paraId="0FE62BB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794" w:type="dxa"/>
            <w:tcBorders>
              <w:top w:val="nil"/>
              <w:left w:val="nil"/>
              <w:bottom w:val="single" w:sz="4" w:space="0" w:color="auto"/>
              <w:right w:val="single" w:sz="4" w:space="0" w:color="auto"/>
            </w:tcBorders>
            <w:shd w:val="clear" w:color="auto" w:fill="auto"/>
            <w:noWrap/>
            <w:vAlign w:val="center"/>
            <w:hideMark/>
          </w:tcPr>
          <w:p w14:paraId="0C28C44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2 315,74</w:t>
            </w:r>
          </w:p>
        </w:tc>
        <w:tc>
          <w:tcPr>
            <w:tcW w:w="794" w:type="dxa"/>
            <w:tcBorders>
              <w:top w:val="nil"/>
              <w:left w:val="nil"/>
              <w:bottom w:val="single" w:sz="4" w:space="0" w:color="auto"/>
              <w:right w:val="single" w:sz="4" w:space="0" w:color="auto"/>
            </w:tcBorders>
            <w:shd w:val="clear" w:color="auto" w:fill="auto"/>
            <w:noWrap/>
            <w:vAlign w:val="center"/>
            <w:hideMark/>
          </w:tcPr>
          <w:p w14:paraId="12FFCB97" w14:textId="3BA2F57D"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11,28</w:t>
            </w:r>
          </w:p>
        </w:tc>
        <w:tc>
          <w:tcPr>
            <w:tcW w:w="907" w:type="dxa"/>
            <w:tcBorders>
              <w:top w:val="nil"/>
              <w:left w:val="nil"/>
              <w:bottom w:val="single" w:sz="4" w:space="0" w:color="auto"/>
              <w:right w:val="single" w:sz="4" w:space="0" w:color="auto"/>
            </w:tcBorders>
            <w:shd w:val="clear" w:color="auto" w:fill="auto"/>
            <w:noWrap/>
            <w:vAlign w:val="center"/>
            <w:hideMark/>
          </w:tcPr>
          <w:p w14:paraId="7A321EDE"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FD721A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5EF9467A"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3F394390"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12E1B8C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787AF02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21 890,00</w:t>
            </w:r>
          </w:p>
        </w:tc>
        <w:tc>
          <w:tcPr>
            <w:tcW w:w="1091" w:type="dxa"/>
            <w:tcBorders>
              <w:top w:val="nil"/>
              <w:left w:val="nil"/>
              <w:bottom w:val="single" w:sz="4" w:space="0" w:color="auto"/>
              <w:right w:val="single" w:sz="4" w:space="0" w:color="auto"/>
            </w:tcBorders>
            <w:shd w:val="clear" w:color="auto" w:fill="auto"/>
            <w:noWrap/>
            <w:vAlign w:val="center"/>
            <w:hideMark/>
          </w:tcPr>
          <w:p w14:paraId="1F5CE38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4991DBE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26 570,01</w:t>
            </w:r>
          </w:p>
        </w:tc>
        <w:tc>
          <w:tcPr>
            <w:tcW w:w="1122" w:type="dxa"/>
            <w:tcBorders>
              <w:top w:val="nil"/>
              <w:left w:val="nil"/>
              <w:bottom w:val="single" w:sz="4" w:space="0" w:color="auto"/>
              <w:right w:val="single" w:sz="4" w:space="0" w:color="auto"/>
            </w:tcBorders>
            <w:shd w:val="clear" w:color="auto" w:fill="auto"/>
            <w:noWrap/>
            <w:vAlign w:val="center"/>
            <w:hideMark/>
          </w:tcPr>
          <w:p w14:paraId="7BAE24A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794" w:type="dxa"/>
            <w:tcBorders>
              <w:top w:val="nil"/>
              <w:left w:val="nil"/>
              <w:bottom w:val="single" w:sz="4" w:space="0" w:color="auto"/>
              <w:right w:val="single" w:sz="4" w:space="0" w:color="auto"/>
            </w:tcBorders>
            <w:shd w:val="clear" w:color="auto" w:fill="auto"/>
            <w:noWrap/>
            <w:vAlign w:val="center"/>
            <w:hideMark/>
          </w:tcPr>
          <w:p w14:paraId="62C0FE8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4 680,01</w:t>
            </w:r>
          </w:p>
        </w:tc>
        <w:tc>
          <w:tcPr>
            <w:tcW w:w="794" w:type="dxa"/>
            <w:tcBorders>
              <w:top w:val="nil"/>
              <w:left w:val="nil"/>
              <w:bottom w:val="single" w:sz="4" w:space="0" w:color="auto"/>
              <w:right w:val="single" w:sz="4" w:space="0" w:color="auto"/>
            </w:tcBorders>
            <w:shd w:val="clear" w:color="auto" w:fill="auto"/>
            <w:noWrap/>
            <w:vAlign w:val="center"/>
            <w:hideMark/>
          </w:tcPr>
          <w:p w14:paraId="20F21FA5" w14:textId="75B07E6B"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21,38</w:t>
            </w:r>
          </w:p>
        </w:tc>
        <w:tc>
          <w:tcPr>
            <w:tcW w:w="907" w:type="dxa"/>
            <w:tcBorders>
              <w:top w:val="nil"/>
              <w:left w:val="nil"/>
              <w:bottom w:val="single" w:sz="4" w:space="0" w:color="auto"/>
              <w:right w:val="single" w:sz="4" w:space="0" w:color="auto"/>
            </w:tcBorders>
            <w:shd w:val="clear" w:color="auto" w:fill="auto"/>
            <w:noWrap/>
            <w:vAlign w:val="center"/>
            <w:hideMark/>
          </w:tcPr>
          <w:p w14:paraId="03B4CE2B"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4A55F733"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4313FB20"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11A63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136083</w:t>
            </w:r>
          </w:p>
        </w:tc>
        <w:tc>
          <w:tcPr>
            <w:tcW w:w="505" w:type="dxa"/>
            <w:tcBorders>
              <w:top w:val="nil"/>
              <w:left w:val="nil"/>
              <w:bottom w:val="single" w:sz="4" w:space="0" w:color="auto"/>
              <w:right w:val="single" w:sz="4" w:space="0" w:color="auto"/>
            </w:tcBorders>
            <w:shd w:val="clear" w:color="auto" w:fill="auto"/>
            <w:noWrap/>
            <w:vAlign w:val="center"/>
            <w:hideMark/>
          </w:tcPr>
          <w:p w14:paraId="6C21608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57819DEB"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414,83</w:t>
            </w:r>
          </w:p>
        </w:tc>
        <w:tc>
          <w:tcPr>
            <w:tcW w:w="1091" w:type="dxa"/>
            <w:tcBorders>
              <w:top w:val="nil"/>
              <w:left w:val="nil"/>
              <w:bottom w:val="single" w:sz="4" w:space="0" w:color="auto"/>
              <w:right w:val="single" w:sz="4" w:space="0" w:color="auto"/>
            </w:tcBorders>
            <w:shd w:val="clear" w:color="auto" w:fill="auto"/>
            <w:noWrap/>
            <w:vAlign w:val="center"/>
            <w:hideMark/>
          </w:tcPr>
          <w:p w14:paraId="2294301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2A05B58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471,25</w:t>
            </w:r>
          </w:p>
        </w:tc>
        <w:tc>
          <w:tcPr>
            <w:tcW w:w="1122" w:type="dxa"/>
            <w:tcBorders>
              <w:top w:val="nil"/>
              <w:left w:val="nil"/>
              <w:bottom w:val="single" w:sz="4" w:space="0" w:color="auto"/>
              <w:right w:val="single" w:sz="4" w:space="0" w:color="auto"/>
            </w:tcBorders>
            <w:shd w:val="clear" w:color="auto" w:fill="auto"/>
            <w:noWrap/>
            <w:vAlign w:val="center"/>
            <w:hideMark/>
          </w:tcPr>
          <w:p w14:paraId="3811C75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794" w:type="dxa"/>
            <w:tcBorders>
              <w:top w:val="nil"/>
              <w:left w:val="nil"/>
              <w:bottom w:val="single" w:sz="4" w:space="0" w:color="auto"/>
              <w:right w:val="single" w:sz="4" w:space="0" w:color="auto"/>
            </w:tcBorders>
            <w:shd w:val="clear" w:color="auto" w:fill="auto"/>
            <w:noWrap/>
            <w:vAlign w:val="center"/>
            <w:hideMark/>
          </w:tcPr>
          <w:p w14:paraId="1D1969D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56,42</w:t>
            </w:r>
          </w:p>
        </w:tc>
        <w:tc>
          <w:tcPr>
            <w:tcW w:w="794" w:type="dxa"/>
            <w:tcBorders>
              <w:top w:val="nil"/>
              <w:left w:val="nil"/>
              <w:bottom w:val="single" w:sz="4" w:space="0" w:color="auto"/>
              <w:right w:val="single" w:sz="4" w:space="0" w:color="auto"/>
            </w:tcBorders>
            <w:shd w:val="clear" w:color="auto" w:fill="auto"/>
            <w:noWrap/>
            <w:vAlign w:val="center"/>
            <w:hideMark/>
          </w:tcPr>
          <w:p w14:paraId="72FF1687" w14:textId="0EEED00D"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13,60</w:t>
            </w:r>
          </w:p>
        </w:tc>
        <w:tc>
          <w:tcPr>
            <w:tcW w:w="907" w:type="dxa"/>
            <w:tcBorders>
              <w:top w:val="nil"/>
              <w:left w:val="nil"/>
              <w:bottom w:val="single" w:sz="4" w:space="0" w:color="auto"/>
              <w:right w:val="single" w:sz="4" w:space="0" w:color="auto"/>
            </w:tcBorders>
            <w:shd w:val="clear" w:color="auto" w:fill="auto"/>
            <w:noWrap/>
            <w:vAlign w:val="center"/>
            <w:hideMark/>
          </w:tcPr>
          <w:p w14:paraId="3F1031AE"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B4EA4C5"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38CF6099"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7095C148"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3C24CC03"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6AB3557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440,65</w:t>
            </w:r>
          </w:p>
        </w:tc>
        <w:tc>
          <w:tcPr>
            <w:tcW w:w="1091" w:type="dxa"/>
            <w:tcBorders>
              <w:top w:val="nil"/>
              <w:left w:val="nil"/>
              <w:bottom w:val="single" w:sz="4" w:space="0" w:color="auto"/>
              <w:right w:val="single" w:sz="4" w:space="0" w:color="auto"/>
            </w:tcBorders>
            <w:shd w:val="clear" w:color="auto" w:fill="auto"/>
            <w:noWrap/>
            <w:vAlign w:val="center"/>
            <w:hideMark/>
          </w:tcPr>
          <w:p w14:paraId="7CE1E5C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01381A2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534,84</w:t>
            </w:r>
          </w:p>
        </w:tc>
        <w:tc>
          <w:tcPr>
            <w:tcW w:w="1122" w:type="dxa"/>
            <w:tcBorders>
              <w:top w:val="nil"/>
              <w:left w:val="nil"/>
              <w:bottom w:val="single" w:sz="4" w:space="0" w:color="auto"/>
              <w:right w:val="single" w:sz="4" w:space="0" w:color="auto"/>
            </w:tcBorders>
            <w:shd w:val="clear" w:color="auto" w:fill="auto"/>
            <w:noWrap/>
            <w:vAlign w:val="center"/>
            <w:hideMark/>
          </w:tcPr>
          <w:p w14:paraId="6050C39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156CDEF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94,19</w:t>
            </w:r>
          </w:p>
        </w:tc>
        <w:tc>
          <w:tcPr>
            <w:tcW w:w="794" w:type="dxa"/>
            <w:tcBorders>
              <w:top w:val="nil"/>
              <w:left w:val="nil"/>
              <w:bottom w:val="single" w:sz="4" w:space="0" w:color="auto"/>
              <w:right w:val="single" w:sz="4" w:space="0" w:color="auto"/>
            </w:tcBorders>
            <w:shd w:val="clear" w:color="auto" w:fill="auto"/>
            <w:noWrap/>
            <w:vAlign w:val="center"/>
            <w:hideMark/>
          </w:tcPr>
          <w:p w14:paraId="0CB16306" w14:textId="7AB03BE4"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21,38</w:t>
            </w:r>
          </w:p>
        </w:tc>
        <w:tc>
          <w:tcPr>
            <w:tcW w:w="907" w:type="dxa"/>
            <w:tcBorders>
              <w:top w:val="nil"/>
              <w:left w:val="nil"/>
              <w:bottom w:val="single" w:sz="4" w:space="0" w:color="auto"/>
              <w:right w:val="single" w:sz="4" w:space="0" w:color="auto"/>
            </w:tcBorders>
            <w:shd w:val="clear" w:color="auto" w:fill="auto"/>
            <w:noWrap/>
            <w:vAlign w:val="center"/>
            <w:hideMark/>
          </w:tcPr>
          <w:p w14:paraId="0C309BC0"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FD3BB90"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25DB41C7"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06B9ACE5"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1C2A827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25DBEEB1"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437,14</w:t>
            </w:r>
          </w:p>
        </w:tc>
        <w:tc>
          <w:tcPr>
            <w:tcW w:w="1091" w:type="dxa"/>
            <w:tcBorders>
              <w:top w:val="nil"/>
              <w:left w:val="nil"/>
              <w:bottom w:val="single" w:sz="4" w:space="0" w:color="auto"/>
              <w:right w:val="single" w:sz="4" w:space="0" w:color="auto"/>
            </w:tcBorders>
            <w:shd w:val="clear" w:color="auto" w:fill="auto"/>
            <w:noWrap/>
            <w:vAlign w:val="center"/>
            <w:hideMark/>
          </w:tcPr>
          <w:p w14:paraId="0160BF8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779FDBCE"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539,90</w:t>
            </w:r>
          </w:p>
        </w:tc>
        <w:tc>
          <w:tcPr>
            <w:tcW w:w="1122" w:type="dxa"/>
            <w:tcBorders>
              <w:top w:val="nil"/>
              <w:left w:val="nil"/>
              <w:bottom w:val="single" w:sz="4" w:space="0" w:color="auto"/>
              <w:right w:val="single" w:sz="4" w:space="0" w:color="auto"/>
            </w:tcBorders>
            <w:shd w:val="clear" w:color="auto" w:fill="auto"/>
            <w:noWrap/>
            <w:vAlign w:val="center"/>
            <w:hideMark/>
          </w:tcPr>
          <w:p w14:paraId="4AC0582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794" w:type="dxa"/>
            <w:tcBorders>
              <w:top w:val="nil"/>
              <w:left w:val="nil"/>
              <w:bottom w:val="single" w:sz="4" w:space="0" w:color="auto"/>
              <w:right w:val="single" w:sz="4" w:space="0" w:color="auto"/>
            </w:tcBorders>
            <w:shd w:val="clear" w:color="auto" w:fill="auto"/>
            <w:noWrap/>
            <w:vAlign w:val="center"/>
            <w:hideMark/>
          </w:tcPr>
          <w:p w14:paraId="5002F8AE"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102,76</w:t>
            </w:r>
          </w:p>
        </w:tc>
        <w:tc>
          <w:tcPr>
            <w:tcW w:w="794" w:type="dxa"/>
            <w:tcBorders>
              <w:top w:val="nil"/>
              <w:left w:val="nil"/>
              <w:bottom w:val="single" w:sz="4" w:space="0" w:color="auto"/>
              <w:right w:val="single" w:sz="4" w:space="0" w:color="auto"/>
            </w:tcBorders>
            <w:shd w:val="clear" w:color="auto" w:fill="auto"/>
            <w:noWrap/>
            <w:vAlign w:val="center"/>
            <w:hideMark/>
          </w:tcPr>
          <w:p w14:paraId="1D0B189C" w14:textId="55F68A5F"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23,51</w:t>
            </w:r>
          </w:p>
        </w:tc>
        <w:tc>
          <w:tcPr>
            <w:tcW w:w="907" w:type="dxa"/>
            <w:tcBorders>
              <w:top w:val="nil"/>
              <w:left w:val="nil"/>
              <w:bottom w:val="single" w:sz="4" w:space="0" w:color="auto"/>
              <w:right w:val="single" w:sz="4" w:space="0" w:color="auto"/>
            </w:tcBorders>
            <w:shd w:val="clear" w:color="auto" w:fill="auto"/>
            <w:noWrap/>
            <w:vAlign w:val="center"/>
            <w:hideMark/>
          </w:tcPr>
          <w:p w14:paraId="4DBBD3A4"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9B3128B"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064E13B2"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73C9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233016</w:t>
            </w:r>
          </w:p>
        </w:tc>
        <w:tc>
          <w:tcPr>
            <w:tcW w:w="505" w:type="dxa"/>
            <w:tcBorders>
              <w:top w:val="nil"/>
              <w:left w:val="nil"/>
              <w:bottom w:val="single" w:sz="4" w:space="0" w:color="auto"/>
              <w:right w:val="single" w:sz="4" w:space="0" w:color="auto"/>
            </w:tcBorders>
            <w:shd w:val="clear" w:color="auto" w:fill="auto"/>
            <w:noWrap/>
            <w:vAlign w:val="center"/>
            <w:hideMark/>
          </w:tcPr>
          <w:p w14:paraId="645D649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6DE9FED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43,65</w:t>
            </w:r>
          </w:p>
        </w:tc>
        <w:tc>
          <w:tcPr>
            <w:tcW w:w="1091" w:type="dxa"/>
            <w:tcBorders>
              <w:top w:val="nil"/>
              <w:left w:val="nil"/>
              <w:bottom w:val="single" w:sz="4" w:space="0" w:color="auto"/>
              <w:right w:val="single" w:sz="4" w:space="0" w:color="auto"/>
            </w:tcBorders>
            <w:shd w:val="clear" w:color="auto" w:fill="auto"/>
            <w:noWrap/>
            <w:vAlign w:val="center"/>
            <w:hideMark/>
          </w:tcPr>
          <w:p w14:paraId="44E1E76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987" w:type="dxa"/>
            <w:tcBorders>
              <w:top w:val="nil"/>
              <w:left w:val="nil"/>
              <w:bottom w:val="single" w:sz="4" w:space="0" w:color="auto"/>
              <w:right w:val="single" w:sz="4" w:space="0" w:color="auto"/>
            </w:tcBorders>
            <w:shd w:val="clear" w:color="auto" w:fill="auto"/>
            <w:noWrap/>
            <w:vAlign w:val="center"/>
            <w:hideMark/>
          </w:tcPr>
          <w:p w14:paraId="297732E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44,25</w:t>
            </w:r>
          </w:p>
        </w:tc>
        <w:tc>
          <w:tcPr>
            <w:tcW w:w="1122" w:type="dxa"/>
            <w:tcBorders>
              <w:top w:val="nil"/>
              <w:left w:val="nil"/>
              <w:bottom w:val="single" w:sz="4" w:space="0" w:color="auto"/>
              <w:right w:val="single" w:sz="4" w:space="0" w:color="auto"/>
            </w:tcBorders>
            <w:shd w:val="clear" w:color="auto" w:fill="auto"/>
            <w:noWrap/>
            <w:vAlign w:val="center"/>
            <w:hideMark/>
          </w:tcPr>
          <w:p w14:paraId="5CE8DBF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6C4BDCA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0,60</w:t>
            </w:r>
          </w:p>
        </w:tc>
        <w:tc>
          <w:tcPr>
            <w:tcW w:w="794" w:type="dxa"/>
            <w:tcBorders>
              <w:top w:val="nil"/>
              <w:left w:val="nil"/>
              <w:bottom w:val="single" w:sz="4" w:space="0" w:color="auto"/>
              <w:right w:val="single" w:sz="4" w:space="0" w:color="auto"/>
            </w:tcBorders>
            <w:shd w:val="clear" w:color="auto" w:fill="auto"/>
            <w:noWrap/>
            <w:vAlign w:val="center"/>
            <w:hideMark/>
          </w:tcPr>
          <w:p w14:paraId="355D2D3E" w14:textId="6E2731C1"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1,37</w:t>
            </w:r>
          </w:p>
        </w:tc>
        <w:tc>
          <w:tcPr>
            <w:tcW w:w="907" w:type="dxa"/>
            <w:tcBorders>
              <w:top w:val="nil"/>
              <w:left w:val="nil"/>
              <w:bottom w:val="single" w:sz="4" w:space="0" w:color="auto"/>
              <w:right w:val="single" w:sz="4" w:space="0" w:color="auto"/>
            </w:tcBorders>
            <w:shd w:val="clear" w:color="auto" w:fill="auto"/>
            <w:noWrap/>
            <w:vAlign w:val="center"/>
            <w:hideMark/>
          </w:tcPr>
          <w:p w14:paraId="529D6216"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AC8D987"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4</w:t>
            </w:r>
          </w:p>
        </w:tc>
      </w:tr>
      <w:tr w:rsidR="00C810D9" w:rsidRPr="00527E83" w14:paraId="582BA1F6"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7C564CAE"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15C8B82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504E980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43,65</w:t>
            </w:r>
          </w:p>
        </w:tc>
        <w:tc>
          <w:tcPr>
            <w:tcW w:w="1091" w:type="dxa"/>
            <w:tcBorders>
              <w:top w:val="nil"/>
              <w:left w:val="nil"/>
              <w:bottom w:val="single" w:sz="4" w:space="0" w:color="auto"/>
              <w:right w:val="single" w:sz="4" w:space="0" w:color="auto"/>
            </w:tcBorders>
            <w:shd w:val="clear" w:color="auto" w:fill="auto"/>
            <w:noWrap/>
            <w:vAlign w:val="center"/>
            <w:hideMark/>
          </w:tcPr>
          <w:p w14:paraId="722BEE4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1A62206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107,76</w:t>
            </w:r>
          </w:p>
        </w:tc>
        <w:tc>
          <w:tcPr>
            <w:tcW w:w="1122" w:type="dxa"/>
            <w:tcBorders>
              <w:top w:val="nil"/>
              <w:left w:val="nil"/>
              <w:bottom w:val="single" w:sz="4" w:space="0" w:color="auto"/>
              <w:right w:val="single" w:sz="4" w:space="0" w:color="auto"/>
            </w:tcBorders>
            <w:shd w:val="clear" w:color="auto" w:fill="auto"/>
            <w:noWrap/>
            <w:vAlign w:val="center"/>
            <w:hideMark/>
          </w:tcPr>
          <w:p w14:paraId="4181987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23C3A61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64,11</w:t>
            </w:r>
          </w:p>
        </w:tc>
        <w:tc>
          <w:tcPr>
            <w:tcW w:w="794" w:type="dxa"/>
            <w:tcBorders>
              <w:top w:val="nil"/>
              <w:left w:val="nil"/>
              <w:bottom w:val="single" w:sz="4" w:space="0" w:color="auto"/>
              <w:right w:val="single" w:sz="4" w:space="0" w:color="auto"/>
            </w:tcBorders>
            <w:shd w:val="clear" w:color="auto" w:fill="auto"/>
            <w:noWrap/>
            <w:vAlign w:val="center"/>
            <w:hideMark/>
          </w:tcPr>
          <w:p w14:paraId="23C68590" w14:textId="70ACB1BF"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146,87</w:t>
            </w:r>
          </w:p>
        </w:tc>
        <w:tc>
          <w:tcPr>
            <w:tcW w:w="907" w:type="dxa"/>
            <w:tcBorders>
              <w:top w:val="nil"/>
              <w:left w:val="nil"/>
              <w:bottom w:val="single" w:sz="4" w:space="0" w:color="auto"/>
              <w:right w:val="single" w:sz="4" w:space="0" w:color="auto"/>
            </w:tcBorders>
            <w:shd w:val="clear" w:color="auto" w:fill="auto"/>
            <w:noWrap/>
            <w:vAlign w:val="center"/>
            <w:hideMark/>
          </w:tcPr>
          <w:p w14:paraId="11FE9F4F"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03263CD"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r>
      <w:tr w:rsidR="00C810D9" w:rsidRPr="00527E83" w14:paraId="2C17741C"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1CF14930"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6F9182B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3C507CE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54,23</w:t>
            </w:r>
          </w:p>
        </w:tc>
        <w:tc>
          <w:tcPr>
            <w:tcW w:w="1091" w:type="dxa"/>
            <w:tcBorders>
              <w:top w:val="nil"/>
              <w:left w:val="nil"/>
              <w:bottom w:val="single" w:sz="4" w:space="0" w:color="auto"/>
              <w:right w:val="single" w:sz="4" w:space="0" w:color="auto"/>
            </w:tcBorders>
            <w:shd w:val="clear" w:color="auto" w:fill="auto"/>
            <w:noWrap/>
            <w:vAlign w:val="center"/>
            <w:hideMark/>
          </w:tcPr>
          <w:p w14:paraId="76D3617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264FB02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107,76</w:t>
            </w:r>
          </w:p>
        </w:tc>
        <w:tc>
          <w:tcPr>
            <w:tcW w:w="1122" w:type="dxa"/>
            <w:tcBorders>
              <w:top w:val="nil"/>
              <w:left w:val="nil"/>
              <w:bottom w:val="single" w:sz="4" w:space="0" w:color="auto"/>
              <w:right w:val="single" w:sz="4" w:space="0" w:color="auto"/>
            </w:tcBorders>
            <w:shd w:val="clear" w:color="auto" w:fill="auto"/>
            <w:noWrap/>
            <w:vAlign w:val="center"/>
            <w:hideMark/>
          </w:tcPr>
          <w:p w14:paraId="5A25CDC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7753ACDE"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53,53</w:t>
            </w:r>
          </w:p>
        </w:tc>
        <w:tc>
          <w:tcPr>
            <w:tcW w:w="794" w:type="dxa"/>
            <w:tcBorders>
              <w:top w:val="nil"/>
              <w:left w:val="nil"/>
              <w:bottom w:val="single" w:sz="4" w:space="0" w:color="auto"/>
              <w:right w:val="single" w:sz="4" w:space="0" w:color="auto"/>
            </w:tcBorders>
            <w:shd w:val="clear" w:color="auto" w:fill="auto"/>
            <w:noWrap/>
            <w:vAlign w:val="center"/>
            <w:hideMark/>
          </w:tcPr>
          <w:p w14:paraId="601BCA97" w14:textId="2C2BD750"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98,71</w:t>
            </w:r>
          </w:p>
        </w:tc>
        <w:tc>
          <w:tcPr>
            <w:tcW w:w="907" w:type="dxa"/>
            <w:tcBorders>
              <w:top w:val="nil"/>
              <w:left w:val="nil"/>
              <w:bottom w:val="single" w:sz="4" w:space="0" w:color="auto"/>
              <w:right w:val="single" w:sz="4" w:space="0" w:color="auto"/>
            </w:tcBorders>
            <w:shd w:val="clear" w:color="auto" w:fill="auto"/>
            <w:noWrap/>
            <w:vAlign w:val="center"/>
            <w:hideMark/>
          </w:tcPr>
          <w:p w14:paraId="2537EC22"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D6A8FB1"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r>
      <w:tr w:rsidR="00C810D9" w:rsidRPr="00527E83" w14:paraId="65035CD2"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CE24E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113453</w:t>
            </w:r>
          </w:p>
        </w:tc>
        <w:tc>
          <w:tcPr>
            <w:tcW w:w="505" w:type="dxa"/>
            <w:tcBorders>
              <w:top w:val="nil"/>
              <w:left w:val="nil"/>
              <w:bottom w:val="single" w:sz="4" w:space="0" w:color="auto"/>
              <w:right w:val="single" w:sz="4" w:space="0" w:color="auto"/>
            </w:tcBorders>
            <w:shd w:val="clear" w:color="auto" w:fill="auto"/>
            <w:noWrap/>
            <w:vAlign w:val="center"/>
            <w:hideMark/>
          </w:tcPr>
          <w:p w14:paraId="716B47E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3BB23E6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549,45</w:t>
            </w:r>
          </w:p>
        </w:tc>
        <w:tc>
          <w:tcPr>
            <w:tcW w:w="1091" w:type="dxa"/>
            <w:tcBorders>
              <w:top w:val="nil"/>
              <w:left w:val="nil"/>
              <w:bottom w:val="single" w:sz="4" w:space="0" w:color="auto"/>
              <w:right w:val="single" w:sz="4" w:space="0" w:color="auto"/>
            </w:tcBorders>
            <w:shd w:val="clear" w:color="auto" w:fill="auto"/>
            <w:noWrap/>
            <w:vAlign w:val="center"/>
            <w:hideMark/>
          </w:tcPr>
          <w:p w14:paraId="401125B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6CE1136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2 172,38</w:t>
            </w:r>
          </w:p>
        </w:tc>
        <w:tc>
          <w:tcPr>
            <w:tcW w:w="1122" w:type="dxa"/>
            <w:tcBorders>
              <w:top w:val="nil"/>
              <w:left w:val="nil"/>
              <w:bottom w:val="single" w:sz="4" w:space="0" w:color="auto"/>
              <w:right w:val="single" w:sz="4" w:space="0" w:color="auto"/>
            </w:tcBorders>
            <w:shd w:val="clear" w:color="auto" w:fill="auto"/>
            <w:noWrap/>
            <w:vAlign w:val="center"/>
            <w:hideMark/>
          </w:tcPr>
          <w:p w14:paraId="11B2578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01D461F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1 622,93</w:t>
            </w:r>
          </w:p>
        </w:tc>
        <w:tc>
          <w:tcPr>
            <w:tcW w:w="794" w:type="dxa"/>
            <w:tcBorders>
              <w:top w:val="nil"/>
              <w:left w:val="nil"/>
              <w:bottom w:val="single" w:sz="4" w:space="0" w:color="auto"/>
              <w:right w:val="single" w:sz="4" w:space="0" w:color="auto"/>
            </w:tcBorders>
            <w:shd w:val="clear" w:color="auto" w:fill="auto"/>
            <w:noWrap/>
            <w:vAlign w:val="center"/>
            <w:hideMark/>
          </w:tcPr>
          <w:p w14:paraId="4BBEC946" w14:textId="28EFD355"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295,37</w:t>
            </w:r>
          </w:p>
        </w:tc>
        <w:tc>
          <w:tcPr>
            <w:tcW w:w="907" w:type="dxa"/>
            <w:tcBorders>
              <w:top w:val="nil"/>
              <w:left w:val="nil"/>
              <w:bottom w:val="single" w:sz="4" w:space="0" w:color="auto"/>
              <w:right w:val="single" w:sz="4" w:space="0" w:color="auto"/>
            </w:tcBorders>
            <w:shd w:val="clear" w:color="auto" w:fill="auto"/>
            <w:noWrap/>
            <w:vAlign w:val="center"/>
            <w:hideMark/>
          </w:tcPr>
          <w:p w14:paraId="713C5107"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1FD7F24"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r>
      <w:tr w:rsidR="00C810D9" w:rsidRPr="00527E83" w14:paraId="4075A7A1"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4D0CCED6"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7F67CCD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4C296F6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693,00</w:t>
            </w:r>
          </w:p>
        </w:tc>
        <w:tc>
          <w:tcPr>
            <w:tcW w:w="1091" w:type="dxa"/>
            <w:tcBorders>
              <w:top w:val="nil"/>
              <w:left w:val="nil"/>
              <w:bottom w:val="single" w:sz="4" w:space="0" w:color="auto"/>
              <w:right w:val="single" w:sz="4" w:space="0" w:color="auto"/>
            </w:tcBorders>
            <w:shd w:val="clear" w:color="auto" w:fill="auto"/>
            <w:noWrap/>
            <w:vAlign w:val="center"/>
            <w:hideMark/>
          </w:tcPr>
          <w:p w14:paraId="6CA3977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5AF669E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2 124,70</w:t>
            </w:r>
          </w:p>
        </w:tc>
        <w:tc>
          <w:tcPr>
            <w:tcW w:w="1122" w:type="dxa"/>
            <w:tcBorders>
              <w:top w:val="nil"/>
              <w:left w:val="nil"/>
              <w:bottom w:val="single" w:sz="4" w:space="0" w:color="auto"/>
              <w:right w:val="single" w:sz="4" w:space="0" w:color="auto"/>
            </w:tcBorders>
            <w:shd w:val="clear" w:color="auto" w:fill="auto"/>
            <w:noWrap/>
            <w:vAlign w:val="center"/>
            <w:hideMark/>
          </w:tcPr>
          <w:p w14:paraId="3A4A7DD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56CA8BA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1 431,70</w:t>
            </w:r>
          </w:p>
        </w:tc>
        <w:tc>
          <w:tcPr>
            <w:tcW w:w="794" w:type="dxa"/>
            <w:tcBorders>
              <w:top w:val="nil"/>
              <w:left w:val="nil"/>
              <w:bottom w:val="single" w:sz="4" w:space="0" w:color="auto"/>
              <w:right w:val="single" w:sz="4" w:space="0" w:color="auto"/>
            </w:tcBorders>
            <w:shd w:val="clear" w:color="auto" w:fill="auto"/>
            <w:noWrap/>
            <w:vAlign w:val="center"/>
            <w:hideMark/>
          </w:tcPr>
          <w:p w14:paraId="335C6ABF" w14:textId="138B315C"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206,59</w:t>
            </w:r>
          </w:p>
        </w:tc>
        <w:tc>
          <w:tcPr>
            <w:tcW w:w="907" w:type="dxa"/>
            <w:tcBorders>
              <w:top w:val="nil"/>
              <w:left w:val="nil"/>
              <w:bottom w:val="single" w:sz="4" w:space="0" w:color="auto"/>
              <w:right w:val="single" w:sz="4" w:space="0" w:color="auto"/>
            </w:tcBorders>
            <w:shd w:val="clear" w:color="auto" w:fill="auto"/>
            <w:noWrap/>
            <w:vAlign w:val="center"/>
            <w:hideMark/>
          </w:tcPr>
          <w:p w14:paraId="7B77FC7F"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451E8F8B"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1</w:t>
            </w:r>
          </w:p>
        </w:tc>
      </w:tr>
      <w:tr w:rsidR="00C810D9" w:rsidRPr="00527E83" w14:paraId="343E9B1A"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7CACA70C"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0691763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1570E36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638,00</w:t>
            </w:r>
          </w:p>
        </w:tc>
        <w:tc>
          <w:tcPr>
            <w:tcW w:w="1091" w:type="dxa"/>
            <w:tcBorders>
              <w:top w:val="nil"/>
              <w:left w:val="nil"/>
              <w:bottom w:val="single" w:sz="4" w:space="0" w:color="auto"/>
              <w:right w:val="single" w:sz="4" w:space="0" w:color="auto"/>
            </w:tcBorders>
            <w:shd w:val="clear" w:color="auto" w:fill="auto"/>
            <w:noWrap/>
            <w:vAlign w:val="center"/>
            <w:hideMark/>
          </w:tcPr>
          <w:p w14:paraId="26D02AC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1B05D7A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2 124,71</w:t>
            </w:r>
          </w:p>
        </w:tc>
        <w:tc>
          <w:tcPr>
            <w:tcW w:w="1122" w:type="dxa"/>
            <w:tcBorders>
              <w:top w:val="nil"/>
              <w:left w:val="nil"/>
              <w:bottom w:val="single" w:sz="4" w:space="0" w:color="auto"/>
              <w:right w:val="single" w:sz="4" w:space="0" w:color="auto"/>
            </w:tcBorders>
            <w:shd w:val="clear" w:color="auto" w:fill="auto"/>
            <w:noWrap/>
            <w:vAlign w:val="center"/>
            <w:hideMark/>
          </w:tcPr>
          <w:p w14:paraId="4A2F06D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0925886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1 486,71</w:t>
            </w:r>
          </w:p>
        </w:tc>
        <w:tc>
          <w:tcPr>
            <w:tcW w:w="794" w:type="dxa"/>
            <w:tcBorders>
              <w:top w:val="nil"/>
              <w:left w:val="nil"/>
              <w:bottom w:val="single" w:sz="4" w:space="0" w:color="auto"/>
              <w:right w:val="single" w:sz="4" w:space="0" w:color="auto"/>
            </w:tcBorders>
            <w:shd w:val="clear" w:color="auto" w:fill="auto"/>
            <w:noWrap/>
            <w:vAlign w:val="center"/>
            <w:hideMark/>
          </w:tcPr>
          <w:p w14:paraId="7FED756E" w14:textId="5DF142DA"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233,03</w:t>
            </w:r>
          </w:p>
        </w:tc>
        <w:tc>
          <w:tcPr>
            <w:tcW w:w="907" w:type="dxa"/>
            <w:tcBorders>
              <w:top w:val="nil"/>
              <w:left w:val="nil"/>
              <w:bottom w:val="single" w:sz="4" w:space="0" w:color="auto"/>
              <w:right w:val="single" w:sz="4" w:space="0" w:color="auto"/>
            </w:tcBorders>
            <w:shd w:val="clear" w:color="auto" w:fill="auto"/>
            <w:noWrap/>
            <w:vAlign w:val="center"/>
            <w:hideMark/>
          </w:tcPr>
          <w:p w14:paraId="53BF03C2"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1FFFA9F" w14:textId="77777777" w:rsidR="00C810D9" w:rsidRPr="00527E83" w:rsidRDefault="00C810D9" w:rsidP="005329C0">
            <w:pPr>
              <w:widowControl/>
              <w:autoSpaceDE/>
              <w:autoSpaceDN/>
              <w:adjustRightInd/>
              <w:jc w:val="center"/>
              <w:rPr>
                <w:rFonts w:asciiTheme="minorHAnsi" w:eastAsia="Times New Roman" w:hAnsiTheme="minorHAnsi" w:cstheme="minorHAnsi"/>
                <w:sz w:val="18"/>
                <w:szCs w:val="18"/>
              </w:rPr>
            </w:pPr>
            <w:r w:rsidRPr="00527E83">
              <w:rPr>
                <w:rFonts w:asciiTheme="minorHAnsi" w:eastAsia="Times New Roman" w:hAnsiTheme="minorHAnsi" w:cstheme="minorHAnsi"/>
                <w:sz w:val="18"/>
                <w:szCs w:val="18"/>
              </w:rPr>
              <w:t>1</w:t>
            </w:r>
          </w:p>
        </w:tc>
      </w:tr>
      <w:tr w:rsidR="00C810D9" w:rsidRPr="00527E83" w14:paraId="5B4919B2"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0F92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11706</w:t>
            </w:r>
          </w:p>
        </w:tc>
        <w:tc>
          <w:tcPr>
            <w:tcW w:w="505" w:type="dxa"/>
            <w:tcBorders>
              <w:top w:val="nil"/>
              <w:left w:val="nil"/>
              <w:bottom w:val="single" w:sz="4" w:space="0" w:color="auto"/>
              <w:right w:val="single" w:sz="4" w:space="0" w:color="auto"/>
            </w:tcBorders>
            <w:shd w:val="clear" w:color="auto" w:fill="auto"/>
            <w:noWrap/>
            <w:vAlign w:val="center"/>
            <w:hideMark/>
          </w:tcPr>
          <w:p w14:paraId="4BF33CA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4D6B040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531,38</w:t>
            </w:r>
          </w:p>
        </w:tc>
        <w:tc>
          <w:tcPr>
            <w:tcW w:w="1091" w:type="dxa"/>
            <w:tcBorders>
              <w:top w:val="nil"/>
              <w:left w:val="nil"/>
              <w:bottom w:val="single" w:sz="4" w:space="0" w:color="auto"/>
              <w:right w:val="single" w:sz="4" w:space="0" w:color="auto"/>
            </w:tcBorders>
            <w:shd w:val="clear" w:color="auto" w:fill="auto"/>
            <w:noWrap/>
            <w:vAlign w:val="center"/>
            <w:hideMark/>
          </w:tcPr>
          <w:p w14:paraId="1D8631D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4033193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550,15</w:t>
            </w:r>
          </w:p>
        </w:tc>
        <w:tc>
          <w:tcPr>
            <w:tcW w:w="1122" w:type="dxa"/>
            <w:tcBorders>
              <w:top w:val="nil"/>
              <w:left w:val="nil"/>
              <w:bottom w:val="single" w:sz="4" w:space="0" w:color="auto"/>
              <w:right w:val="single" w:sz="4" w:space="0" w:color="auto"/>
            </w:tcBorders>
            <w:shd w:val="clear" w:color="auto" w:fill="auto"/>
            <w:noWrap/>
            <w:vAlign w:val="center"/>
            <w:hideMark/>
          </w:tcPr>
          <w:p w14:paraId="035C16F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794" w:type="dxa"/>
            <w:tcBorders>
              <w:top w:val="nil"/>
              <w:left w:val="nil"/>
              <w:bottom w:val="single" w:sz="4" w:space="0" w:color="auto"/>
              <w:right w:val="single" w:sz="4" w:space="0" w:color="auto"/>
            </w:tcBorders>
            <w:shd w:val="clear" w:color="auto" w:fill="auto"/>
            <w:noWrap/>
            <w:vAlign w:val="center"/>
            <w:hideMark/>
          </w:tcPr>
          <w:p w14:paraId="7EEA11D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18,77</w:t>
            </w:r>
          </w:p>
        </w:tc>
        <w:tc>
          <w:tcPr>
            <w:tcW w:w="794" w:type="dxa"/>
            <w:tcBorders>
              <w:top w:val="nil"/>
              <w:left w:val="nil"/>
              <w:bottom w:val="single" w:sz="4" w:space="0" w:color="auto"/>
              <w:right w:val="single" w:sz="4" w:space="0" w:color="auto"/>
            </w:tcBorders>
            <w:shd w:val="clear" w:color="auto" w:fill="auto"/>
            <w:noWrap/>
            <w:vAlign w:val="center"/>
            <w:hideMark/>
          </w:tcPr>
          <w:p w14:paraId="74BA6413" w14:textId="0B9E9A63"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3,53</w:t>
            </w:r>
          </w:p>
        </w:tc>
        <w:tc>
          <w:tcPr>
            <w:tcW w:w="907" w:type="dxa"/>
            <w:tcBorders>
              <w:top w:val="nil"/>
              <w:left w:val="nil"/>
              <w:bottom w:val="single" w:sz="4" w:space="0" w:color="auto"/>
              <w:right w:val="single" w:sz="4" w:space="0" w:color="auto"/>
            </w:tcBorders>
            <w:shd w:val="clear" w:color="auto" w:fill="auto"/>
            <w:noWrap/>
            <w:vAlign w:val="center"/>
            <w:hideMark/>
          </w:tcPr>
          <w:p w14:paraId="2D9E3580"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29772813"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18A30669"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1E6BB5BB"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2527884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78A3A7E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528,00</w:t>
            </w:r>
          </w:p>
        </w:tc>
        <w:tc>
          <w:tcPr>
            <w:tcW w:w="1091" w:type="dxa"/>
            <w:tcBorders>
              <w:top w:val="nil"/>
              <w:left w:val="nil"/>
              <w:bottom w:val="single" w:sz="4" w:space="0" w:color="auto"/>
              <w:right w:val="single" w:sz="4" w:space="0" w:color="auto"/>
            </w:tcBorders>
            <w:shd w:val="clear" w:color="auto" w:fill="auto"/>
            <w:noWrap/>
            <w:vAlign w:val="center"/>
            <w:hideMark/>
          </w:tcPr>
          <w:p w14:paraId="396CB41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1A459D51"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538,68</w:t>
            </w:r>
          </w:p>
        </w:tc>
        <w:tc>
          <w:tcPr>
            <w:tcW w:w="1122" w:type="dxa"/>
            <w:tcBorders>
              <w:top w:val="nil"/>
              <w:left w:val="nil"/>
              <w:bottom w:val="single" w:sz="4" w:space="0" w:color="auto"/>
              <w:right w:val="single" w:sz="4" w:space="0" w:color="auto"/>
            </w:tcBorders>
            <w:shd w:val="clear" w:color="auto" w:fill="auto"/>
            <w:noWrap/>
            <w:vAlign w:val="center"/>
            <w:hideMark/>
          </w:tcPr>
          <w:p w14:paraId="7BB0E06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4B9E91A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10,68</w:t>
            </w:r>
          </w:p>
        </w:tc>
        <w:tc>
          <w:tcPr>
            <w:tcW w:w="794" w:type="dxa"/>
            <w:tcBorders>
              <w:top w:val="nil"/>
              <w:left w:val="nil"/>
              <w:bottom w:val="single" w:sz="4" w:space="0" w:color="auto"/>
              <w:right w:val="single" w:sz="4" w:space="0" w:color="auto"/>
            </w:tcBorders>
            <w:shd w:val="clear" w:color="auto" w:fill="auto"/>
            <w:noWrap/>
            <w:vAlign w:val="center"/>
            <w:hideMark/>
          </w:tcPr>
          <w:p w14:paraId="1D47C98F" w14:textId="5E957EBC"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w:t>
            </w:r>
          </w:p>
        </w:tc>
        <w:tc>
          <w:tcPr>
            <w:tcW w:w="907" w:type="dxa"/>
            <w:tcBorders>
              <w:top w:val="nil"/>
              <w:left w:val="nil"/>
              <w:bottom w:val="single" w:sz="4" w:space="0" w:color="auto"/>
              <w:right w:val="single" w:sz="4" w:space="0" w:color="auto"/>
            </w:tcBorders>
            <w:shd w:val="clear" w:color="auto" w:fill="auto"/>
            <w:noWrap/>
            <w:vAlign w:val="center"/>
            <w:hideMark/>
          </w:tcPr>
          <w:p w14:paraId="660C2466"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ADD58C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5A3B9F5F"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4139AE68"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5CE4917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47AD593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365,26</w:t>
            </w:r>
          </w:p>
        </w:tc>
        <w:tc>
          <w:tcPr>
            <w:tcW w:w="1091" w:type="dxa"/>
            <w:tcBorders>
              <w:top w:val="nil"/>
              <w:left w:val="nil"/>
              <w:bottom w:val="single" w:sz="4" w:space="0" w:color="auto"/>
              <w:right w:val="single" w:sz="4" w:space="0" w:color="auto"/>
            </w:tcBorders>
            <w:shd w:val="clear" w:color="auto" w:fill="auto"/>
            <w:noWrap/>
            <w:vAlign w:val="center"/>
            <w:hideMark/>
          </w:tcPr>
          <w:p w14:paraId="6044B52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46E5692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540,76</w:t>
            </w:r>
          </w:p>
        </w:tc>
        <w:tc>
          <w:tcPr>
            <w:tcW w:w="1122" w:type="dxa"/>
            <w:tcBorders>
              <w:top w:val="nil"/>
              <w:left w:val="nil"/>
              <w:bottom w:val="single" w:sz="4" w:space="0" w:color="auto"/>
              <w:right w:val="single" w:sz="4" w:space="0" w:color="auto"/>
            </w:tcBorders>
            <w:shd w:val="clear" w:color="auto" w:fill="auto"/>
            <w:noWrap/>
            <w:vAlign w:val="center"/>
            <w:hideMark/>
          </w:tcPr>
          <w:p w14:paraId="6A00303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2447BF6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175,50</w:t>
            </w:r>
          </w:p>
        </w:tc>
        <w:tc>
          <w:tcPr>
            <w:tcW w:w="794" w:type="dxa"/>
            <w:tcBorders>
              <w:top w:val="nil"/>
              <w:left w:val="nil"/>
              <w:bottom w:val="single" w:sz="4" w:space="0" w:color="auto"/>
              <w:right w:val="single" w:sz="4" w:space="0" w:color="auto"/>
            </w:tcBorders>
            <w:shd w:val="clear" w:color="auto" w:fill="auto"/>
            <w:noWrap/>
            <w:vAlign w:val="center"/>
            <w:hideMark/>
          </w:tcPr>
          <w:p w14:paraId="6F857B39" w14:textId="282BEA09"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48,05</w:t>
            </w:r>
          </w:p>
        </w:tc>
        <w:tc>
          <w:tcPr>
            <w:tcW w:w="907" w:type="dxa"/>
            <w:tcBorders>
              <w:top w:val="nil"/>
              <w:left w:val="nil"/>
              <w:bottom w:val="single" w:sz="4" w:space="0" w:color="auto"/>
              <w:right w:val="single" w:sz="4" w:space="0" w:color="auto"/>
            </w:tcBorders>
            <w:shd w:val="clear" w:color="auto" w:fill="auto"/>
            <w:noWrap/>
            <w:vAlign w:val="center"/>
            <w:hideMark/>
          </w:tcPr>
          <w:p w14:paraId="6ED5202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013E9DE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20A11CB6"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DE92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29463</w:t>
            </w:r>
          </w:p>
        </w:tc>
        <w:tc>
          <w:tcPr>
            <w:tcW w:w="505" w:type="dxa"/>
            <w:tcBorders>
              <w:top w:val="nil"/>
              <w:left w:val="nil"/>
              <w:bottom w:val="single" w:sz="4" w:space="0" w:color="auto"/>
              <w:right w:val="single" w:sz="4" w:space="0" w:color="auto"/>
            </w:tcBorders>
            <w:shd w:val="clear" w:color="auto" w:fill="auto"/>
            <w:noWrap/>
            <w:vAlign w:val="center"/>
            <w:hideMark/>
          </w:tcPr>
          <w:p w14:paraId="79C6B38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56E2B9AE"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5 131,50</w:t>
            </w:r>
          </w:p>
        </w:tc>
        <w:tc>
          <w:tcPr>
            <w:tcW w:w="1091" w:type="dxa"/>
            <w:tcBorders>
              <w:top w:val="nil"/>
              <w:left w:val="nil"/>
              <w:bottom w:val="single" w:sz="4" w:space="0" w:color="auto"/>
              <w:right w:val="single" w:sz="4" w:space="0" w:color="auto"/>
            </w:tcBorders>
            <w:shd w:val="clear" w:color="auto" w:fill="auto"/>
            <w:noWrap/>
            <w:vAlign w:val="center"/>
            <w:hideMark/>
          </w:tcPr>
          <w:p w14:paraId="52FA2E7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62D648E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5 651,63</w:t>
            </w:r>
          </w:p>
        </w:tc>
        <w:tc>
          <w:tcPr>
            <w:tcW w:w="1122" w:type="dxa"/>
            <w:tcBorders>
              <w:top w:val="nil"/>
              <w:left w:val="nil"/>
              <w:bottom w:val="single" w:sz="4" w:space="0" w:color="auto"/>
              <w:right w:val="single" w:sz="4" w:space="0" w:color="auto"/>
            </w:tcBorders>
            <w:shd w:val="clear" w:color="auto" w:fill="auto"/>
            <w:noWrap/>
            <w:vAlign w:val="center"/>
            <w:hideMark/>
          </w:tcPr>
          <w:p w14:paraId="51B88BE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794" w:type="dxa"/>
            <w:tcBorders>
              <w:top w:val="nil"/>
              <w:left w:val="nil"/>
              <w:bottom w:val="single" w:sz="4" w:space="0" w:color="auto"/>
              <w:right w:val="single" w:sz="4" w:space="0" w:color="auto"/>
            </w:tcBorders>
            <w:shd w:val="clear" w:color="auto" w:fill="auto"/>
            <w:noWrap/>
            <w:vAlign w:val="center"/>
            <w:hideMark/>
          </w:tcPr>
          <w:p w14:paraId="2FDD0F8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520,13</w:t>
            </w:r>
          </w:p>
        </w:tc>
        <w:tc>
          <w:tcPr>
            <w:tcW w:w="794" w:type="dxa"/>
            <w:tcBorders>
              <w:top w:val="nil"/>
              <w:left w:val="nil"/>
              <w:bottom w:val="single" w:sz="4" w:space="0" w:color="auto"/>
              <w:right w:val="single" w:sz="4" w:space="0" w:color="auto"/>
            </w:tcBorders>
            <w:shd w:val="clear" w:color="auto" w:fill="auto"/>
            <w:noWrap/>
            <w:vAlign w:val="center"/>
            <w:hideMark/>
          </w:tcPr>
          <w:p w14:paraId="4EA8FD90" w14:textId="37BE18C9"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10,14</w:t>
            </w:r>
          </w:p>
        </w:tc>
        <w:tc>
          <w:tcPr>
            <w:tcW w:w="907" w:type="dxa"/>
            <w:tcBorders>
              <w:top w:val="nil"/>
              <w:left w:val="nil"/>
              <w:bottom w:val="single" w:sz="4" w:space="0" w:color="auto"/>
              <w:right w:val="single" w:sz="4" w:space="0" w:color="auto"/>
            </w:tcBorders>
            <w:shd w:val="clear" w:color="auto" w:fill="auto"/>
            <w:noWrap/>
            <w:vAlign w:val="center"/>
            <w:hideMark/>
          </w:tcPr>
          <w:p w14:paraId="4414698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5E208527"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32713F5F"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5FD7290A"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5C4E43F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4191503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5 131,50</w:t>
            </w:r>
          </w:p>
        </w:tc>
        <w:tc>
          <w:tcPr>
            <w:tcW w:w="1091" w:type="dxa"/>
            <w:tcBorders>
              <w:top w:val="nil"/>
              <w:left w:val="nil"/>
              <w:bottom w:val="single" w:sz="4" w:space="0" w:color="auto"/>
              <w:right w:val="single" w:sz="4" w:space="0" w:color="auto"/>
            </w:tcBorders>
            <w:shd w:val="clear" w:color="auto" w:fill="auto"/>
            <w:noWrap/>
            <w:vAlign w:val="center"/>
            <w:hideMark/>
          </w:tcPr>
          <w:p w14:paraId="7EBE20E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5F00DAC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5 710,43</w:t>
            </w:r>
          </w:p>
        </w:tc>
        <w:tc>
          <w:tcPr>
            <w:tcW w:w="1122" w:type="dxa"/>
            <w:tcBorders>
              <w:top w:val="nil"/>
              <w:left w:val="nil"/>
              <w:bottom w:val="single" w:sz="4" w:space="0" w:color="auto"/>
              <w:right w:val="single" w:sz="4" w:space="0" w:color="auto"/>
            </w:tcBorders>
            <w:shd w:val="clear" w:color="auto" w:fill="auto"/>
            <w:noWrap/>
            <w:vAlign w:val="center"/>
            <w:hideMark/>
          </w:tcPr>
          <w:p w14:paraId="3ED5687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794" w:type="dxa"/>
            <w:tcBorders>
              <w:top w:val="nil"/>
              <w:left w:val="nil"/>
              <w:bottom w:val="single" w:sz="4" w:space="0" w:color="auto"/>
              <w:right w:val="single" w:sz="4" w:space="0" w:color="auto"/>
            </w:tcBorders>
            <w:shd w:val="clear" w:color="auto" w:fill="auto"/>
            <w:noWrap/>
            <w:vAlign w:val="center"/>
            <w:hideMark/>
          </w:tcPr>
          <w:p w14:paraId="1C169B11"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578,93</w:t>
            </w:r>
          </w:p>
        </w:tc>
        <w:tc>
          <w:tcPr>
            <w:tcW w:w="794" w:type="dxa"/>
            <w:tcBorders>
              <w:top w:val="nil"/>
              <w:left w:val="nil"/>
              <w:bottom w:val="single" w:sz="4" w:space="0" w:color="auto"/>
              <w:right w:val="single" w:sz="4" w:space="0" w:color="auto"/>
            </w:tcBorders>
            <w:shd w:val="clear" w:color="auto" w:fill="auto"/>
            <w:noWrap/>
            <w:vAlign w:val="center"/>
            <w:hideMark/>
          </w:tcPr>
          <w:p w14:paraId="2A47A73B" w14:textId="12C9B5BB"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11,28</w:t>
            </w:r>
          </w:p>
        </w:tc>
        <w:tc>
          <w:tcPr>
            <w:tcW w:w="907" w:type="dxa"/>
            <w:tcBorders>
              <w:top w:val="nil"/>
              <w:left w:val="nil"/>
              <w:bottom w:val="single" w:sz="4" w:space="0" w:color="auto"/>
              <w:right w:val="single" w:sz="4" w:space="0" w:color="auto"/>
            </w:tcBorders>
            <w:shd w:val="clear" w:color="auto" w:fill="auto"/>
            <w:noWrap/>
            <w:vAlign w:val="center"/>
            <w:hideMark/>
          </w:tcPr>
          <w:p w14:paraId="19E743EC"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5825852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455FABEC"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3D98E712"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2DE562E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5410D93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5 472,50</w:t>
            </w:r>
          </w:p>
        </w:tc>
        <w:tc>
          <w:tcPr>
            <w:tcW w:w="1091" w:type="dxa"/>
            <w:tcBorders>
              <w:top w:val="nil"/>
              <w:left w:val="nil"/>
              <w:bottom w:val="single" w:sz="4" w:space="0" w:color="auto"/>
              <w:right w:val="single" w:sz="4" w:space="0" w:color="auto"/>
            </w:tcBorders>
            <w:shd w:val="clear" w:color="auto" w:fill="auto"/>
            <w:noWrap/>
            <w:vAlign w:val="center"/>
            <w:hideMark/>
          </w:tcPr>
          <w:p w14:paraId="2569F8E3"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6D7DD12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6 641,80</w:t>
            </w:r>
          </w:p>
        </w:tc>
        <w:tc>
          <w:tcPr>
            <w:tcW w:w="1122" w:type="dxa"/>
            <w:tcBorders>
              <w:top w:val="nil"/>
              <w:left w:val="nil"/>
              <w:bottom w:val="single" w:sz="4" w:space="0" w:color="auto"/>
              <w:right w:val="single" w:sz="4" w:space="0" w:color="auto"/>
            </w:tcBorders>
            <w:shd w:val="clear" w:color="auto" w:fill="auto"/>
            <w:noWrap/>
            <w:vAlign w:val="center"/>
            <w:hideMark/>
          </w:tcPr>
          <w:p w14:paraId="0ECD202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794" w:type="dxa"/>
            <w:tcBorders>
              <w:top w:val="nil"/>
              <w:left w:val="nil"/>
              <w:bottom w:val="single" w:sz="4" w:space="0" w:color="auto"/>
              <w:right w:val="single" w:sz="4" w:space="0" w:color="auto"/>
            </w:tcBorders>
            <w:shd w:val="clear" w:color="auto" w:fill="auto"/>
            <w:noWrap/>
            <w:vAlign w:val="center"/>
            <w:hideMark/>
          </w:tcPr>
          <w:p w14:paraId="6E575C7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1 169,30</w:t>
            </w:r>
          </w:p>
        </w:tc>
        <w:tc>
          <w:tcPr>
            <w:tcW w:w="794" w:type="dxa"/>
            <w:tcBorders>
              <w:top w:val="nil"/>
              <w:left w:val="nil"/>
              <w:bottom w:val="single" w:sz="4" w:space="0" w:color="auto"/>
              <w:right w:val="single" w:sz="4" w:space="0" w:color="auto"/>
            </w:tcBorders>
            <w:shd w:val="clear" w:color="auto" w:fill="auto"/>
            <w:noWrap/>
            <w:vAlign w:val="center"/>
            <w:hideMark/>
          </w:tcPr>
          <w:p w14:paraId="2884564B" w14:textId="5F4D9130"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21,37</w:t>
            </w:r>
          </w:p>
        </w:tc>
        <w:tc>
          <w:tcPr>
            <w:tcW w:w="907" w:type="dxa"/>
            <w:tcBorders>
              <w:top w:val="nil"/>
              <w:left w:val="nil"/>
              <w:bottom w:val="single" w:sz="4" w:space="0" w:color="auto"/>
              <w:right w:val="single" w:sz="4" w:space="0" w:color="auto"/>
            </w:tcBorders>
            <w:shd w:val="clear" w:color="auto" w:fill="auto"/>
            <w:noWrap/>
            <w:vAlign w:val="center"/>
            <w:hideMark/>
          </w:tcPr>
          <w:p w14:paraId="77EF5349"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35B01C5"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4E8BD3FE"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34FE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183296</w:t>
            </w:r>
          </w:p>
        </w:tc>
        <w:tc>
          <w:tcPr>
            <w:tcW w:w="505" w:type="dxa"/>
            <w:tcBorders>
              <w:top w:val="nil"/>
              <w:left w:val="nil"/>
              <w:bottom w:val="single" w:sz="4" w:space="0" w:color="auto"/>
              <w:right w:val="single" w:sz="4" w:space="0" w:color="auto"/>
            </w:tcBorders>
            <w:shd w:val="clear" w:color="auto" w:fill="auto"/>
            <w:noWrap/>
            <w:vAlign w:val="center"/>
            <w:hideMark/>
          </w:tcPr>
          <w:p w14:paraId="512D429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50603D0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136,09</w:t>
            </w:r>
          </w:p>
        </w:tc>
        <w:tc>
          <w:tcPr>
            <w:tcW w:w="1091" w:type="dxa"/>
            <w:tcBorders>
              <w:top w:val="nil"/>
              <w:left w:val="nil"/>
              <w:bottom w:val="single" w:sz="4" w:space="0" w:color="auto"/>
              <w:right w:val="single" w:sz="4" w:space="0" w:color="auto"/>
            </w:tcBorders>
            <w:shd w:val="clear" w:color="auto" w:fill="auto"/>
            <w:noWrap/>
            <w:vAlign w:val="center"/>
            <w:hideMark/>
          </w:tcPr>
          <w:p w14:paraId="1711F96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279ABA2B"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258,89</w:t>
            </w:r>
          </w:p>
        </w:tc>
        <w:tc>
          <w:tcPr>
            <w:tcW w:w="1122" w:type="dxa"/>
            <w:tcBorders>
              <w:top w:val="nil"/>
              <w:left w:val="nil"/>
              <w:bottom w:val="single" w:sz="4" w:space="0" w:color="auto"/>
              <w:right w:val="single" w:sz="4" w:space="0" w:color="auto"/>
            </w:tcBorders>
            <w:shd w:val="clear" w:color="auto" w:fill="auto"/>
            <w:noWrap/>
            <w:vAlign w:val="center"/>
            <w:hideMark/>
          </w:tcPr>
          <w:p w14:paraId="75E4C8D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64FA4D1A"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122,80</w:t>
            </w:r>
          </w:p>
        </w:tc>
        <w:tc>
          <w:tcPr>
            <w:tcW w:w="794" w:type="dxa"/>
            <w:tcBorders>
              <w:top w:val="nil"/>
              <w:left w:val="nil"/>
              <w:bottom w:val="single" w:sz="4" w:space="0" w:color="auto"/>
              <w:right w:val="single" w:sz="4" w:space="0" w:color="auto"/>
            </w:tcBorders>
            <w:shd w:val="clear" w:color="auto" w:fill="auto"/>
            <w:noWrap/>
            <w:vAlign w:val="center"/>
            <w:hideMark/>
          </w:tcPr>
          <w:p w14:paraId="716CCCAA" w14:textId="3DC7B880"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90,23</w:t>
            </w:r>
          </w:p>
        </w:tc>
        <w:tc>
          <w:tcPr>
            <w:tcW w:w="907" w:type="dxa"/>
            <w:tcBorders>
              <w:top w:val="nil"/>
              <w:left w:val="nil"/>
              <w:bottom w:val="single" w:sz="4" w:space="0" w:color="auto"/>
              <w:right w:val="single" w:sz="4" w:space="0" w:color="auto"/>
            </w:tcBorders>
            <w:shd w:val="clear" w:color="auto" w:fill="auto"/>
            <w:noWrap/>
            <w:vAlign w:val="center"/>
            <w:hideMark/>
          </w:tcPr>
          <w:p w14:paraId="75F47703"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E86A59A"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3E746375"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6550A950"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627C4D6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55B3805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132,49</w:t>
            </w:r>
          </w:p>
        </w:tc>
        <w:tc>
          <w:tcPr>
            <w:tcW w:w="1091" w:type="dxa"/>
            <w:tcBorders>
              <w:top w:val="nil"/>
              <w:left w:val="nil"/>
              <w:bottom w:val="single" w:sz="4" w:space="0" w:color="auto"/>
              <w:right w:val="single" w:sz="4" w:space="0" w:color="auto"/>
            </w:tcBorders>
            <w:shd w:val="clear" w:color="auto" w:fill="auto"/>
            <w:noWrap/>
            <w:vAlign w:val="center"/>
            <w:hideMark/>
          </w:tcPr>
          <w:p w14:paraId="624EEAA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088D2E9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252,30</w:t>
            </w:r>
          </w:p>
        </w:tc>
        <w:tc>
          <w:tcPr>
            <w:tcW w:w="1122" w:type="dxa"/>
            <w:tcBorders>
              <w:top w:val="nil"/>
              <w:left w:val="nil"/>
              <w:bottom w:val="single" w:sz="4" w:space="0" w:color="auto"/>
              <w:right w:val="single" w:sz="4" w:space="0" w:color="auto"/>
            </w:tcBorders>
            <w:shd w:val="clear" w:color="auto" w:fill="auto"/>
            <w:noWrap/>
            <w:vAlign w:val="center"/>
            <w:hideMark/>
          </w:tcPr>
          <w:p w14:paraId="2B4003A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51D835F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119,81</w:t>
            </w:r>
          </w:p>
        </w:tc>
        <w:tc>
          <w:tcPr>
            <w:tcW w:w="794" w:type="dxa"/>
            <w:tcBorders>
              <w:top w:val="nil"/>
              <w:left w:val="nil"/>
              <w:bottom w:val="single" w:sz="4" w:space="0" w:color="auto"/>
              <w:right w:val="single" w:sz="4" w:space="0" w:color="auto"/>
            </w:tcBorders>
            <w:shd w:val="clear" w:color="auto" w:fill="auto"/>
            <w:noWrap/>
            <w:vAlign w:val="center"/>
            <w:hideMark/>
          </w:tcPr>
          <w:p w14:paraId="6E9B35F2" w14:textId="31FDED14"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90,43</w:t>
            </w:r>
          </w:p>
        </w:tc>
        <w:tc>
          <w:tcPr>
            <w:tcW w:w="907" w:type="dxa"/>
            <w:tcBorders>
              <w:top w:val="nil"/>
              <w:left w:val="nil"/>
              <w:bottom w:val="single" w:sz="4" w:space="0" w:color="auto"/>
              <w:right w:val="single" w:sz="4" w:space="0" w:color="auto"/>
            </w:tcBorders>
            <w:shd w:val="clear" w:color="auto" w:fill="auto"/>
            <w:noWrap/>
            <w:vAlign w:val="center"/>
            <w:hideMark/>
          </w:tcPr>
          <w:p w14:paraId="5371705C"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41F0658B"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45F98567"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121850CE"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49E0A56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4A35836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132,50</w:t>
            </w:r>
          </w:p>
        </w:tc>
        <w:tc>
          <w:tcPr>
            <w:tcW w:w="1091" w:type="dxa"/>
            <w:tcBorders>
              <w:top w:val="nil"/>
              <w:left w:val="nil"/>
              <w:bottom w:val="single" w:sz="4" w:space="0" w:color="auto"/>
              <w:right w:val="single" w:sz="4" w:space="0" w:color="auto"/>
            </w:tcBorders>
            <w:shd w:val="clear" w:color="auto" w:fill="auto"/>
            <w:noWrap/>
            <w:vAlign w:val="center"/>
            <w:hideMark/>
          </w:tcPr>
          <w:p w14:paraId="0200033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587BF7A"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250,36</w:t>
            </w:r>
          </w:p>
        </w:tc>
        <w:tc>
          <w:tcPr>
            <w:tcW w:w="1122" w:type="dxa"/>
            <w:tcBorders>
              <w:top w:val="nil"/>
              <w:left w:val="nil"/>
              <w:bottom w:val="single" w:sz="4" w:space="0" w:color="auto"/>
              <w:right w:val="single" w:sz="4" w:space="0" w:color="auto"/>
            </w:tcBorders>
            <w:shd w:val="clear" w:color="auto" w:fill="auto"/>
            <w:noWrap/>
            <w:vAlign w:val="center"/>
            <w:hideMark/>
          </w:tcPr>
          <w:p w14:paraId="53C9802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7445C73B"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117,86</w:t>
            </w:r>
          </w:p>
        </w:tc>
        <w:tc>
          <w:tcPr>
            <w:tcW w:w="794" w:type="dxa"/>
            <w:tcBorders>
              <w:top w:val="nil"/>
              <w:left w:val="nil"/>
              <w:bottom w:val="single" w:sz="4" w:space="0" w:color="auto"/>
              <w:right w:val="single" w:sz="4" w:space="0" w:color="auto"/>
            </w:tcBorders>
            <w:shd w:val="clear" w:color="auto" w:fill="auto"/>
            <w:noWrap/>
            <w:vAlign w:val="center"/>
            <w:hideMark/>
          </w:tcPr>
          <w:p w14:paraId="33F920B0" w14:textId="757CE54A"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88,95</w:t>
            </w:r>
          </w:p>
        </w:tc>
        <w:tc>
          <w:tcPr>
            <w:tcW w:w="907" w:type="dxa"/>
            <w:tcBorders>
              <w:top w:val="nil"/>
              <w:left w:val="nil"/>
              <w:bottom w:val="single" w:sz="4" w:space="0" w:color="auto"/>
              <w:right w:val="single" w:sz="4" w:space="0" w:color="auto"/>
            </w:tcBorders>
            <w:shd w:val="clear" w:color="auto" w:fill="auto"/>
            <w:noWrap/>
            <w:vAlign w:val="center"/>
            <w:hideMark/>
          </w:tcPr>
          <w:p w14:paraId="7767DC5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67C3491"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58394484"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F9B6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149384</w:t>
            </w:r>
          </w:p>
        </w:tc>
        <w:tc>
          <w:tcPr>
            <w:tcW w:w="505" w:type="dxa"/>
            <w:tcBorders>
              <w:top w:val="nil"/>
              <w:left w:val="nil"/>
              <w:bottom w:val="single" w:sz="4" w:space="0" w:color="auto"/>
              <w:right w:val="single" w:sz="4" w:space="0" w:color="auto"/>
            </w:tcBorders>
            <w:shd w:val="clear" w:color="auto" w:fill="auto"/>
            <w:noWrap/>
            <w:vAlign w:val="center"/>
            <w:hideMark/>
          </w:tcPr>
          <w:p w14:paraId="0A78C5B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5645990E"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3 362,68</w:t>
            </w:r>
          </w:p>
        </w:tc>
        <w:tc>
          <w:tcPr>
            <w:tcW w:w="1091" w:type="dxa"/>
            <w:tcBorders>
              <w:top w:val="nil"/>
              <w:left w:val="nil"/>
              <w:bottom w:val="single" w:sz="4" w:space="0" w:color="auto"/>
              <w:right w:val="single" w:sz="4" w:space="0" w:color="auto"/>
            </w:tcBorders>
            <w:shd w:val="clear" w:color="auto" w:fill="auto"/>
            <w:noWrap/>
            <w:vAlign w:val="center"/>
            <w:hideMark/>
          </w:tcPr>
          <w:p w14:paraId="470D81E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6C3E6B1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3 428,70</w:t>
            </w:r>
          </w:p>
        </w:tc>
        <w:tc>
          <w:tcPr>
            <w:tcW w:w="1122" w:type="dxa"/>
            <w:tcBorders>
              <w:top w:val="nil"/>
              <w:left w:val="nil"/>
              <w:bottom w:val="single" w:sz="4" w:space="0" w:color="auto"/>
              <w:right w:val="single" w:sz="4" w:space="0" w:color="auto"/>
            </w:tcBorders>
            <w:shd w:val="clear" w:color="auto" w:fill="auto"/>
            <w:noWrap/>
            <w:vAlign w:val="center"/>
            <w:hideMark/>
          </w:tcPr>
          <w:p w14:paraId="31A027B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681FFB15"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66,02</w:t>
            </w:r>
          </w:p>
        </w:tc>
        <w:tc>
          <w:tcPr>
            <w:tcW w:w="794" w:type="dxa"/>
            <w:tcBorders>
              <w:top w:val="nil"/>
              <w:left w:val="nil"/>
              <w:bottom w:val="single" w:sz="4" w:space="0" w:color="auto"/>
              <w:right w:val="single" w:sz="4" w:space="0" w:color="auto"/>
            </w:tcBorders>
            <w:shd w:val="clear" w:color="auto" w:fill="auto"/>
            <w:noWrap/>
            <w:vAlign w:val="center"/>
            <w:hideMark/>
          </w:tcPr>
          <w:p w14:paraId="2DF0348A" w14:textId="53753D98"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1,96</w:t>
            </w:r>
          </w:p>
        </w:tc>
        <w:tc>
          <w:tcPr>
            <w:tcW w:w="907" w:type="dxa"/>
            <w:tcBorders>
              <w:top w:val="nil"/>
              <w:left w:val="nil"/>
              <w:bottom w:val="single" w:sz="4" w:space="0" w:color="auto"/>
              <w:right w:val="single" w:sz="4" w:space="0" w:color="auto"/>
            </w:tcBorders>
            <w:shd w:val="clear" w:color="auto" w:fill="auto"/>
            <w:noWrap/>
            <w:vAlign w:val="center"/>
            <w:hideMark/>
          </w:tcPr>
          <w:p w14:paraId="731C58CA"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2187223D"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6232690B"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28066B4C"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194F194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0A8A7EE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2 840,75</w:t>
            </w:r>
          </w:p>
        </w:tc>
        <w:tc>
          <w:tcPr>
            <w:tcW w:w="1091" w:type="dxa"/>
            <w:tcBorders>
              <w:top w:val="nil"/>
              <w:left w:val="nil"/>
              <w:bottom w:val="single" w:sz="4" w:space="0" w:color="auto"/>
              <w:right w:val="single" w:sz="4" w:space="0" w:color="auto"/>
            </w:tcBorders>
            <w:shd w:val="clear" w:color="auto" w:fill="auto"/>
            <w:noWrap/>
            <w:vAlign w:val="center"/>
            <w:hideMark/>
          </w:tcPr>
          <w:p w14:paraId="7E326AC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6F36795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3 428,70</w:t>
            </w:r>
          </w:p>
        </w:tc>
        <w:tc>
          <w:tcPr>
            <w:tcW w:w="1122" w:type="dxa"/>
            <w:tcBorders>
              <w:top w:val="nil"/>
              <w:left w:val="nil"/>
              <w:bottom w:val="single" w:sz="4" w:space="0" w:color="auto"/>
              <w:right w:val="single" w:sz="4" w:space="0" w:color="auto"/>
            </w:tcBorders>
            <w:shd w:val="clear" w:color="auto" w:fill="auto"/>
            <w:noWrap/>
            <w:vAlign w:val="center"/>
            <w:hideMark/>
          </w:tcPr>
          <w:p w14:paraId="17D9783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0CE6853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587,95</w:t>
            </w:r>
          </w:p>
        </w:tc>
        <w:tc>
          <w:tcPr>
            <w:tcW w:w="794" w:type="dxa"/>
            <w:tcBorders>
              <w:top w:val="nil"/>
              <w:left w:val="nil"/>
              <w:bottom w:val="single" w:sz="4" w:space="0" w:color="auto"/>
              <w:right w:val="single" w:sz="4" w:space="0" w:color="auto"/>
            </w:tcBorders>
            <w:shd w:val="clear" w:color="auto" w:fill="auto"/>
            <w:noWrap/>
            <w:vAlign w:val="center"/>
            <w:hideMark/>
          </w:tcPr>
          <w:p w14:paraId="02916CA5" w14:textId="53C8D7D8"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20,70</w:t>
            </w:r>
          </w:p>
        </w:tc>
        <w:tc>
          <w:tcPr>
            <w:tcW w:w="907" w:type="dxa"/>
            <w:tcBorders>
              <w:top w:val="nil"/>
              <w:left w:val="nil"/>
              <w:bottom w:val="single" w:sz="4" w:space="0" w:color="auto"/>
              <w:right w:val="single" w:sz="4" w:space="0" w:color="auto"/>
            </w:tcBorders>
            <w:shd w:val="clear" w:color="auto" w:fill="auto"/>
            <w:noWrap/>
            <w:vAlign w:val="center"/>
            <w:hideMark/>
          </w:tcPr>
          <w:p w14:paraId="2001AB5E"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B17FC2E"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419E4B13"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42F4C069"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428647D3"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347E2EAA"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2 802,23</w:t>
            </w:r>
          </w:p>
        </w:tc>
        <w:tc>
          <w:tcPr>
            <w:tcW w:w="1091" w:type="dxa"/>
            <w:tcBorders>
              <w:top w:val="nil"/>
              <w:left w:val="nil"/>
              <w:bottom w:val="single" w:sz="4" w:space="0" w:color="auto"/>
              <w:right w:val="single" w:sz="4" w:space="0" w:color="auto"/>
            </w:tcBorders>
            <w:shd w:val="clear" w:color="auto" w:fill="auto"/>
            <w:noWrap/>
            <w:vAlign w:val="center"/>
            <w:hideMark/>
          </w:tcPr>
          <w:p w14:paraId="67D0EE6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556933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3 372,60</w:t>
            </w:r>
          </w:p>
        </w:tc>
        <w:tc>
          <w:tcPr>
            <w:tcW w:w="1122" w:type="dxa"/>
            <w:tcBorders>
              <w:top w:val="nil"/>
              <w:left w:val="nil"/>
              <w:bottom w:val="single" w:sz="4" w:space="0" w:color="auto"/>
              <w:right w:val="single" w:sz="4" w:space="0" w:color="auto"/>
            </w:tcBorders>
            <w:shd w:val="clear" w:color="auto" w:fill="auto"/>
            <w:noWrap/>
            <w:vAlign w:val="center"/>
            <w:hideMark/>
          </w:tcPr>
          <w:p w14:paraId="7559E4B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14A739F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570,37</w:t>
            </w:r>
          </w:p>
        </w:tc>
        <w:tc>
          <w:tcPr>
            <w:tcW w:w="794" w:type="dxa"/>
            <w:tcBorders>
              <w:top w:val="nil"/>
              <w:left w:val="nil"/>
              <w:bottom w:val="single" w:sz="4" w:space="0" w:color="auto"/>
              <w:right w:val="single" w:sz="4" w:space="0" w:color="auto"/>
            </w:tcBorders>
            <w:shd w:val="clear" w:color="auto" w:fill="auto"/>
            <w:noWrap/>
            <w:vAlign w:val="center"/>
            <w:hideMark/>
          </w:tcPr>
          <w:p w14:paraId="6E6850BC" w14:textId="5B0D5B53"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20,35</w:t>
            </w:r>
          </w:p>
        </w:tc>
        <w:tc>
          <w:tcPr>
            <w:tcW w:w="907" w:type="dxa"/>
            <w:tcBorders>
              <w:top w:val="nil"/>
              <w:left w:val="nil"/>
              <w:bottom w:val="single" w:sz="4" w:space="0" w:color="auto"/>
              <w:right w:val="single" w:sz="4" w:space="0" w:color="auto"/>
            </w:tcBorders>
            <w:shd w:val="clear" w:color="auto" w:fill="auto"/>
            <w:noWrap/>
            <w:vAlign w:val="center"/>
            <w:hideMark/>
          </w:tcPr>
          <w:p w14:paraId="32EE347C"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7603A0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0B75A26F"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2E48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216704</w:t>
            </w:r>
          </w:p>
        </w:tc>
        <w:tc>
          <w:tcPr>
            <w:tcW w:w="505" w:type="dxa"/>
            <w:tcBorders>
              <w:top w:val="nil"/>
              <w:left w:val="nil"/>
              <w:bottom w:val="single" w:sz="4" w:space="0" w:color="auto"/>
              <w:right w:val="single" w:sz="4" w:space="0" w:color="auto"/>
            </w:tcBorders>
            <w:shd w:val="clear" w:color="auto" w:fill="auto"/>
            <w:noWrap/>
            <w:vAlign w:val="center"/>
            <w:hideMark/>
          </w:tcPr>
          <w:p w14:paraId="19F6EE7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3126D47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660,00</w:t>
            </w:r>
          </w:p>
        </w:tc>
        <w:tc>
          <w:tcPr>
            <w:tcW w:w="1091" w:type="dxa"/>
            <w:tcBorders>
              <w:top w:val="nil"/>
              <w:left w:val="nil"/>
              <w:bottom w:val="single" w:sz="4" w:space="0" w:color="auto"/>
              <w:right w:val="single" w:sz="4" w:space="0" w:color="auto"/>
            </w:tcBorders>
            <w:shd w:val="clear" w:color="auto" w:fill="auto"/>
            <w:noWrap/>
            <w:vAlign w:val="center"/>
            <w:hideMark/>
          </w:tcPr>
          <w:p w14:paraId="39B1005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667DFA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6 734,89</w:t>
            </w:r>
          </w:p>
        </w:tc>
        <w:tc>
          <w:tcPr>
            <w:tcW w:w="1122" w:type="dxa"/>
            <w:tcBorders>
              <w:top w:val="nil"/>
              <w:left w:val="nil"/>
              <w:bottom w:val="single" w:sz="4" w:space="0" w:color="auto"/>
              <w:right w:val="single" w:sz="4" w:space="0" w:color="auto"/>
            </w:tcBorders>
            <w:shd w:val="clear" w:color="auto" w:fill="auto"/>
            <w:noWrap/>
            <w:vAlign w:val="center"/>
            <w:hideMark/>
          </w:tcPr>
          <w:p w14:paraId="69FBEAC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006A975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6 074,89</w:t>
            </w:r>
          </w:p>
        </w:tc>
        <w:tc>
          <w:tcPr>
            <w:tcW w:w="794" w:type="dxa"/>
            <w:tcBorders>
              <w:top w:val="nil"/>
              <w:left w:val="nil"/>
              <w:bottom w:val="single" w:sz="4" w:space="0" w:color="auto"/>
              <w:right w:val="single" w:sz="4" w:space="0" w:color="auto"/>
            </w:tcBorders>
            <w:shd w:val="clear" w:color="auto" w:fill="auto"/>
            <w:noWrap/>
            <w:vAlign w:val="center"/>
            <w:hideMark/>
          </w:tcPr>
          <w:p w14:paraId="143D4757" w14:textId="4D455642"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920,44</w:t>
            </w:r>
            <w:r w:rsidR="00761AB5">
              <w:rPr>
                <w:rFonts w:asciiTheme="minorHAnsi" w:eastAsia="Times New Roman" w:hAnsiTheme="minorHAnsi" w:cstheme="minorHAnsi"/>
                <w:color w:val="000000"/>
                <w:sz w:val="18"/>
                <w:szCs w:val="18"/>
              </w:rPr>
              <w:t>*</w:t>
            </w:r>
          </w:p>
        </w:tc>
        <w:tc>
          <w:tcPr>
            <w:tcW w:w="907" w:type="dxa"/>
            <w:tcBorders>
              <w:top w:val="nil"/>
              <w:left w:val="nil"/>
              <w:bottom w:val="single" w:sz="4" w:space="0" w:color="auto"/>
              <w:right w:val="single" w:sz="4" w:space="0" w:color="auto"/>
            </w:tcBorders>
            <w:shd w:val="clear" w:color="auto" w:fill="auto"/>
            <w:noWrap/>
            <w:vAlign w:val="center"/>
            <w:hideMark/>
          </w:tcPr>
          <w:p w14:paraId="0DE6A0D0"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3B4001F"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236E1DEB"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3AE52D2E"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050301A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5F63F3A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1 650,00</w:t>
            </w:r>
          </w:p>
        </w:tc>
        <w:tc>
          <w:tcPr>
            <w:tcW w:w="1091" w:type="dxa"/>
            <w:tcBorders>
              <w:top w:val="nil"/>
              <w:left w:val="nil"/>
              <w:bottom w:val="single" w:sz="4" w:space="0" w:color="auto"/>
              <w:right w:val="single" w:sz="4" w:space="0" w:color="auto"/>
            </w:tcBorders>
            <w:shd w:val="clear" w:color="auto" w:fill="auto"/>
            <w:noWrap/>
            <w:vAlign w:val="center"/>
            <w:hideMark/>
          </w:tcPr>
          <w:p w14:paraId="18875B83"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1BCE5E2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6 752,24</w:t>
            </w:r>
          </w:p>
        </w:tc>
        <w:tc>
          <w:tcPr>
            <w:tcW w:w="1122" w:type="dxa"/>
            <w:tcBorders>
              <w:top w:val="nil"/>
              <w:left w:val="nil"/>
              <w:bottom w:val="single" w:sz="4" w:space="0" w:color="auto"/>
              <w:right w:val="single" w:sz="4" w:space="0" w:color="auto"/>
            </w:tcBorders>
            <w:shd w:val="clear" w:color="auto" w:fill="auto"/>
            <w:noWrap/>
            <w:vAlign w:val="center"/>
            <w:hideMark/>
          </w:tcPr>
          <w:p w14:paraId="56FE9C1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00B5FDD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5 102,24</w:t>
            </w:r>
          </w:p>
        </w:tc>
        <w:tc>
          <w:tcPr>
            <w:tcW w:w="794" w:type="dxa"/>
            <w:tcBorders>
              <w:top w:val="nil"/>
              <w:left w:val="nil"/>
              <w:bottom w:val="single" w:sz="4" w:space="0" w:color="auto"/>
              <w:right w:val="single" w:sz="4" w:space="0" w:color="auto"/>
            </w:tcBorders>
            <w:shd w:val="clear" w:color="auto" w:fill="auto"/>
            <w:noWrap/>
            <w:vAlign w:val="center"/>
            <w:hideMark/>
          </w:tcPr>
          <w:p w14:paraId="60D8B7E9" w14:textId="742B8B33"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309,23</w:t>
            </w:r>
          </w:p>
        </w:tc>
        <w:tc>
          <w:tcPr>
            <w:tcW w:w="907" w:type="dxa"/>
            <w:tcBorders>
              <w:top w:val="nil"/>
              <w:left w:val="nil"/>
              <w:bottom w:val="single" w:sz="4" w:space="0" w:color="auto"/>
              <w:right w:val="single" w:sz="4" w:space="0" w:color="auto"/>
            </w:tcBorders>
            <w:shd w:val="clear" w:color="auto" w:fill="auto"/>
            <w:noWrap/>
            <w:vAlign w:val="center"/>
            <w:hideMark/>
          </w:tcPr>
          <w:p w14:paraId="7514616D"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29EA7A9A"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61B6D312"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527E8E25"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5C20101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5516E6E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858,00</w:t>
            </w:r>
          </w:p>
        </w:tc>
        <w:tc>
          <w:tcPr>
            <w:tcW w:w="1091" w:type="dxa"/>
            <w:tcBorders>
              <w:top w:val="nil"/>
              <w:left w:val="nil"/>
              <w:bottom w:val="single" w:sz="4" w:space="0" w:color="auto"/>
              <w:right w:val="single" w:sz="4" w:space="0" w:color="auto"/>
            </w:tcBorders>
            <w:shd w:val="clear" w:color="auto" w:fill="auto"/>
            <w:noWrap/>
            <w:vAlign w:val="center"/>
            <w:hideMark/>
          </w:tcPr>
          <w:p w14:paraId="6AA3FE0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30547C6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2 695,00</w:t>
            </w:r>
          </w:p>
        </w:tc>
        <w:tc>
          <w:tcPr>
            <w:tcW w:w="1122" w:type="dxa"/>
            <w:tcBorders>
              <w:top w:val="nil"/>
              <w:left w:val="nil"/>
              <w:bottom w:val="single" w:sz="4" w:space="0" w:color="auto"/>
              <w:right w:val="single" w:sz="4" w:space="0" w:color="auto"/>
            </w:tcBorders>
            <w:shd w:val="clear" w:color="auto" w:fill="auto"/>
            <w:noWrap/>
            <w:vAlign w:val="center"/>
            <w:hideMark/>
          </w:tcPr>
          <w:p w14:paraId="34344D1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794" w:type="dxa"/>
            <w:tcBorders>
              <w:top w:val="nil"/>
              <w:left w:val="nil"/>
              <w:bottom w:val="single" w:sz="4" w:space="0" w:color="auto"/>
              <w:right w:val="single" w:sz="4" w:space="0" w:color="auto"/>
            </w:tcBorders>
            <w:shd w:val="clear" w:color="auto" w:fill="auto"/>
            <w:noWrap/>
            <w:vAlign w:val="center"/>
            <w:hideMark/>
          </w:tcPr>
          <w:p w14:paraId="557D1EA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1 837,00</w:t>
            </w:r>
          </w:p>
        </w:tc>
        <w:tc>
          <w:tcPr>
            <w:tcW w:w="794" w:type="dxa"/>
            <w:tcBorders>
              <w:top w:val="nil"/>
              <w:left w:val="nil"/>
              <w:bottom w:val="single" w:sz="4" w:space="0" w:color="auto"/>
              <w:right w:val="single" w:sz="4" w:space="0" w:color="auto"/>
            </w:tcBorders>
            <w:shd w:val="clear" w:color="auto" w:fill="auto"/>
            <w:noWrap/>
            <w:vAlign w:val="center"/>
            <w:hideMark/>
          </w:tcPr>
          <w:p w14:paraId="3C0DBD37" w14:textId="458819D7"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214,10</w:t>
            </w:r>
          </w:p>
        </w:tc>
        <w:tc>
          <w:tcPr>
            <w:tcW w:w="907" w:type="dxa"/>
            <w:tcBorders>
              <w:top w:val="nil"/>
              <w:left w:val="nil"/>
              <w:bottom w:val="single" w:sz="4" w:space="0" w:color="auto"/>
              <w:right w:val="single" w:sz="4" w:space="0" w:color="auto"/>
            </w:tcBorders>
            <w:shd w:val="clear" w:color="auto" w:fill="auto"/>
            <w:noWrap/>
            <w:vAlign w:val="center"/>
            <w:hideMark/>
          </w:tcPr>
          <w:p w14:paraId="7620CAEF"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1000" w:type="dxa"/>
            <w:tcBorders>
              <w:top w:val="nil"/>
              <w:left w:val="nil"/>
              <w:bottom w:val="single" w:sz="4" w:space="0" w:color="auto"/>
              <w:right w:val="single" w:sz="4" w:space="0" w:color="auto"/>
            </w:tcBorders>
            <w:shd w:val="clear" w:color="auto" w:fill="auto"/>
            <w:noWrap/>
            <w:vAlign w:val="center"/>
            <w:hideMark/>
          </w:tcPr>
          <w:p w14:paraId="63161880"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C810D9" w:rsidRPr="00527E83" w14:paraId="5A038E3E"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C3AF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131426</w:t>
            </w:r>
          </w:p>
        </w:tc>
        <w:tc>
          <w:tcPr>
            <w:tcW w:w="505" w:type="dxa"/>
            <w:tcBorders>
              <w:top w:val="nil"/>
              <w:left w:val="nil"/>
              <w:bottom w:val="single" w:sz="4" w:space="0" w:color="auto"/>
              <w:right w:val="single" w:sz="4" w:space="0" w:color="auto"/>
            </w:tcBorders>
            <w:shd w:val="clear" w:color="auto" w:fill="auto"/>
            <w:noWrap/>
            <w:vAlign w:val="center"/>
            <w:hideMark/>
          </w:tcPr>
          <w:p w14:paraId="5EFE34D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593E47F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183,01</w:t>
            </w:r>
          </w:p>
        </w:tc>
        <w:tc>
          <w:tcPr>
            <w:tcW w:w="1091" w:type="dxa"/>
            <w:tcBorders>
              <w:top w:val="nil"/>
              <w:left w:val="nil"/>
              <w:bottom w:val="single" w:sz="4" w:space="0" w:color="auto"/>
              <w:right w:val="single" w:sz="4" w:space="0" w:color="auto"/>
            </w:tcBorders>
            <w:shd w:val="clear" w:color="auto" w:fill="auto"/>
            <w:noWrap/>
            <w:vAlign w:val="center"/>
            <w:hideMark/>
          </w:tcPr>
          <w:p w14:paraId="455CA8F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0ECB402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189,04</w:t>
            </w:r>
          </w:p>
        </w:tc>
        <w:tc>
          <w:tcPr>
            <w:tcW w:w="1122" w:type="dxa"/>
            <w:tcBorders>
              <w:top w:val="nil"/>
              <w:left w:val="nil"/>
              <w:bottom w:val="single" w:sz="4" w:space="0" w:color="auto"/>
              <w:right w:val="single" w:sz="4" w:space="0" w:color="auto"/>
            </w:tcBorders>
            <w:shd w:val="clear" w:color="auto" w:fill="auto"/>
            <w:noWrap/>
            <w:vAlign w:val="center"/>
            <w:hideMark/>
          </w:tcPr>
          <w:p w14:paraId="2669275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2B17AC5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6,03</w:t>
            </w:r>
          </w:p>
        </w:tc>
        <w:tc>
          <w:tcPr>
            <w:tcW w:w="794" w:type="dxa"/>
            <w:tcBorders>
              <w:top w:val="nil"/>
              <w:left w:val="nil"/>
              <w:bottom w:val="single" w:sz="4" w:space="0" w:color="auto"/>
              <w:right w:val="single" w:sz="4" w:space="0" w:color="auto"/>
            </w:tcBorders>
            <w:shd w:val="clear" w:color="auto" w:fill="auto"/>
            <w:noWrap/>
            <w:vAlign w:val="center"/>
            <w:hideMark/>
          </w:tcPr>
          <w:p w14:paraId="463A8C99" w14:textId="6352F000"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3,29</w:t>
            </w:r>
          </w:p>
        </w:tc>
        <w:tc>
          <w:tcPr>
            <w:tcW w:w="907" w:type="dxa"/>
            <w:tcBorders>
              <w:top w:val="nil"/>
              <w:left w:val="nil"/>
              <w:bottom w:val="single" w:sz="4" w:space="0" w:color="auto"/>
              <w:right w:val="single" w:sz="4" w:space="0" w:color="auto"/>
            </w:tcBorders>
            <w:shd w:val="clear" w:color="auto" w:fill="auto"/>
            <w:noWrap/>
            <w:vAlign w:val="center"/>
            <w:hideMark/>
          </w:tcPr>
          <w:p w14:paraId="4F30960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15F7AF0F"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287AA4BF"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5574B86A"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79D396D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454DC7B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186,85</w:t>
            </w:r>
          </w:p>
        </w:tc>
        <w:tc>
          <w:tcPr>
            <w:tcW w:w="1091" w:type="dxa"/>
            <w:tcBorders>
              <w:top w:val="nil"/>
              <w:left w:val="nil"/>
              <w:bottom w:val="single" w:sz="4" w:space="0" w:color="auto"/>
              <w:right w:val="single" w:sz="4" w:space="0" w:color="auto"/>
            </w:tcBorders>
            <w:shd w:val="clear" w:color="auto" w:fill="auto"/>
            <w:noWrap/>
            <w:vAlign w:val="center"/>
            <w:hideMark/>
          </w:tcPr>
          <w:p w14:paraId="53F4623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6168DFE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243,24</w:t>
            </w:r>
          </w:p>
        </w:tc>
        <w:tc>
          <w:tcPr>
            <w:tcW w:w="1122" w:type="dxa"/>
            <w:tcBorders>
              <w:top w:val="nil"/>
              <w:left w:val="nil"/>
              <w:bottom w:val="single" w:sz="4" w:space="0" w:color="auto"/>
              <w:right w:val="single" w:sz="4" w:space="0" w:color="auto"/>
            </w:tcBorders>
            <w:shd w:val="clear" w:color="auto" w:fill="auto"/>
            <w:noWrap/>
            <w:vAlign w:val="center"/>
            <w:hideMark/>
          </w:tcPr>
          <w:p w14:paraId="0F62676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794" w:type="dxa"/>
            <w:tcBorders>
              <w:top w:val="nil"/>
              <w:left w:val="nil"/>
              <w:bottom w:val="single" w:sz="4" w:space="0" w:color="auto"/>
              <w:right w:val="single" w:sz="4" w:space="0" w:color="auto"/>
            </w:tcBorders>
            <w:shd w:val="clear" w:color="auto" w:fill="auto"/>
            <w:noWrap/>
            <w:vAlign w:val="center"/>
            <w:hideMark/>
          </w:tcPr>
          <w:p w14:paraId="4D26978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56,39</w:t>
            </w:r>
          </w:p>
        </w:tc>
        <w:tc>
          <w:tcPr>
            <w:tcW w:w="794" w:type="dxa"/>
            <w:tcBorders>
              <w:top w:val="nil"/>
              <w:left w:val="nil"/>
              <w:bottom w:val="single" w:sz="4" w:space="0" w:color="auto"/>
              <w:right w:val="single" w:sz="4" w:space="0" w:color="auto"/>
            </w:tcBorders>
            <w:shd w:val="clear" w:color="auto" w:fill="auto"/>
            <w:noWrap/>
            <w:vAlign w:val="center"/>
            <w:hideMark/>
          </w:tcPr>
          <w:p w14:paraId="5C8F7167" w14:textId="7FCE1560"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30,18</w:t>
            </w:r>
          </w:p>
        </w:tc>
        <w:tc>
          <w:tcPr>
            <w:tcW w:w="907" w:type="dxa"/>
            <w:tcBorders>
              <w:top w:val="nil"/>
              <w:left w:val="nil"/>
              <w:bottom w:val="single" w:sz="4" w:space="0" w:color="auto"/>
              <w:right w:val="single" w:sz="4" w:space="0" w:color="auto"/>
            </w:tcBorders>
            <w:shd w:val="clear" w:color="auto" w:fill="auto"/>
            <w:noWrap/>
            <w:vAlign w:val="center"/>
            <w:hideMark/>
          </w:tcPr>
          <w:p w14:paraId="05FE5D14"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0A4587E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1BDACA6B"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040EFD58"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4E19D72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5060109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245,54</w:t>
            </w:r>
          </w:p>
        </w:tc>
        <w:tc>
          <w:tcPr>
            <w:tcW w:w="1091" w:type="dxa"/>
            <w:tcBorders>
              <w:top w:val="nil"/>
              <w:left w:val="nil"/>
              <w:bottom w:val="single" w:sz="4" w:space="0" w:color="auto"/>
              <w:right w:val="single" w:sz="4" w:space="0" w:color="auto"/>
            </w:tcBorders>
            <w:shd w:val="clear" w:color="auto" w:fill="auto"/>
            <w:noWrap/>
            <w:vAlign w:val="center"/>
            <w:hideMark/>
          </w:tcPr>
          <w:p w14:paraId="106962C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35FE16D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249,40</w:t>
            </w:r>
          </w:p>
        </w:tc>
        <w:tc>
          <w:tcPr>
            <w:tcW w:w="1122" w:type="dxa"/>
            <w:tcBorders>
              <w:top w:val="nil"/>
              <w:left w:val="nil"/>
              <w:bottom w:val="single" w:sz="4" w:space="0" w:color="auto"/>
              <w:right w:val="single" w:sz="4" w:space="0" w:color="auto"/>
            </w:tcBorders>
            <w:shd w:val="clear" w:color="auto" w:fill="auto"/>
            <w:noWrap/>
            <w:vAlign w:val="center"/>
            <w:hideMark/>
          </w:tcPr>
          <w:p w14:paraId="6FBE638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75FD5229"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3,86</w:t>
            </w:r>
          </w:p>
        </w:tc>
        <w:tc>
          <w:tcPr>
            <w:tcW w:w="794" w:type="dxa"/>
            <w:tcBorders>
              <w:top w:val="nil"/>
              <w:left w:val="nil"/>
              <w:bottom w:val="single" w:sz="4" w:space="0" w:color="auto"/>
              <w:right w:val="single" w:sz="4" w:space="0" w:color="auto"/>
            </w:tcBorders>
            <w:shd w:val="clear" w:color="auto" w:fill="auto"/>
            <w:noWrap/>
            <w:vAlign w:val="center"/>
            <w:hideMark/>
          </w:tcPr>
          <w:p w14:paraId="1245F58B" w14:textId="2016FADD"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1,57</w:t>
            </w:r>
          </w:p>
        </w:tc>
        <w:tc>
          <w:tcPr>
            <w:tcW w:w="907" w:type="dxa"/>
            <w:tcBorders>
              <w:top w:val="nil"/>
              <w:left w:val="nil"/>
              <w:bottom w:val="single" w:sz="4" w:space="0" w:color="auto"/>
              <w:right w:val="single" w:sz="4" w:space="0" w:color="auto"/>
            </w:tcBorders>
            <w:shd w:val="clear" w:color="auto" w:fill="auto"/>
            <w:noWrap/>
            <w:vAlign w:val="center"/>
            <w:hideMark/>
          </w:tcPr>
          <w:p w14:paraId="20E998B6"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C942EF9"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66DC61B1"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43B0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209414</w:t>
            </w:r>
          </w:p>
        </w:tc>
        <w:tc>
          <w:tcPr>
            <w:tcW w:w="505" w:type="dxa"/>
            <w:tcBorders>
              <w:top w:val="nil"/>
              <w:left w:val="nil"/>
              <w:bottom w:val="single" w:sz="4" w:space="0" w:color="auto"/>
              <w:right w:val="single" w:sz="4" w:space="0" w:color="auto"/>
            </w:tcBorders>
            <w:shd w:val="clear" w:color="auto" w:fill="auto"/>
            <w:noWrap/>
            <w:vAlign w:val="center"/>
            <w:hideMark/>
          </w:tcPr>
          <w:p w14:paraId="58A9FC7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0C4781E1"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20 922,71</w:t>
            </w:r>
          </w:p>
        </w:tc>
        <w:tc>
          <w:tcPr>
            <w:tcW w:w="1091" w:type="dxa"/>
            <w:tcBorders>
              <w:top w:val="nil"/>
              <w:left w:val="nil"/>
              <w:bottom w:val="single" w:sz="4" w:space="0" w:color="auto"/>
              <w:right w:val="single" w:sz="4" w:space="0" w:color="auto"/>
            </w:tcBorders>
            <w:shd w:val="clear" w:color="auto" w:fill="auto"/>
            <w:noWrap/>
            <w:vAlign w:val="center"/>
            <w:hideMark/>
          </w:tcPr>
          <w:p w14:paraId="2E4E590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0EB91AB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21 639,23</w:t>
            </w:r>
          </w:p>
        </w:tc>
        <w:tc>
          <w:tcPr>
            <w:tcW w:w="1122" w:type="dxa"/>
            <w:tcBorders>
              <w:top w:val="nil"/>
              <w:left w:val="nil"/>
              <w:bottom w:val="single" w:sz="4" w:space="0" w:color="auto"/>
              <w:right w:val="single" w:sz="4" w:space="0" w:color="auto"/>
            </w:tcBorders>
            <w:shd w:val="clear" w:color="auto" w:fill="auto"/>
            <w:noWrap/>
            <w:vAlign w:val="center"/>
            <w:hideMark/>
          </w:tcPr>
          <w:p w14:paraId="6E41829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623ACA1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716,52</w:t>
            </w:r>
          </w:p>
        </w:tc>
        <w:tc>
          <w:tcPr>
            <w:tcW w:w="794" w:type="dxa"/>
            <w:tcBorders>
              <w:top w:val="nil"/>
              <w:left w:val="nil"/>
              <w:bottom w:val="single" w:sz="4" w:space="0" w:color="auto"/>
              <w:right w:val="single" w:sz="4" w:space="0" w:color="auto"/>
            </w:tcBorders>
            <w:shd w:val="clear" w:color="auto" w:fill="auto"/>
            <w:noWrap/>
            <w:vAlign w:val="center"/>
            <w:hideMark/>
          </w:tcPr>
          <w:p w14:paraId="0467D742" w14:textId="2CA2B4D9"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3,42</w:t>
            </w:r>
          </w:p>
        </w:tc>
        <w:tc>
          <w:tcPr>
            <w:tcW w:w="907" w:type="dxa"/>
            <w:tcBorders>
              <w:top w:val="nil"/>
              <w:left w:val="nil"/>
              <w:bottom w:val="single" w:sz="4" w:space="0" w:color="auto"/>
              <w:right w:val="single" w:sz="4" w:space="0" w:color="auto"/>
            </w:tcBorders>
            <w:shd w:val="clear" w:color="auto" w:fill="auto"/>
            <w:noWrap/>
            <w:vAlign w:val="center"/>
            <w:hideMark/>
          </w:tcPr>
          <w:p w14:paraId="1EB9BEF8"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56DFE837"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1F226DE9"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2F9CA9BB"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28282A0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27E0FFC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20 861,26</w:t>
            </w:r>
          </w:p>
        </w:tc>
        <w:tc>
          <w:tcPr>
            <w:tcW w:w="1091" w:type="dxa"/>
            <w:tcBorders>
              <w:top w:val="nil"/>
              <w:left w:val="nil"/>
              <w:bottom w:val="single" w:sz="4" w:space="0" w:color="auto"/>
              <w:right w:val="single" w:sz="4" w:space="0" w:color="auto"/>
            </w:tcBorders>
            <w:shd w:val="clear" w:color="auto" w:fill="auto"/>
            <w:noWrap/>
            <w:vAlign w:val="center"/>
            <w:hideMark/>
          </w:tcPr>
          <w:p w14:paraId="7DC10F5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72776B14"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21 825,50</w:t>
            </w:r>
          </w:p>
        </w:tc>
        <w:tc>
          <w:tcPr>
            <w:tcW w:w="1122" w:type="dxa"/>
            <w:tcBorders>
              <w:top w:val="nil"/>
              <w:left w:val="nil"/>
              <w:bottom w:val="single" w:sz="4" w:space="0" w:color="auto"/>
              <w:right w:val="single" w:sz="4" w:space="0" w:color="auto"/>
            </w:tcBorders>
            <w:shd w:val="clear" w:color="auto" w:fill="auto"/>
            <w:noWrap/>
            <w:vAlign w:val="center"/>
            <w:hideMark/>
          </w:tcPr>
          <w:p w14:paraId="6A53C7B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2B209AA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964,24</w:t>
            </w:r>
          </w:p>
        </w:tc>
        <w:tc>
          <w:tcPr>
            <w:tcW w:w="794" w:type="dxa"/>
            <w:tcBorders>
              <w:top w:val="nil"/>
              <w:left w:val="nil"/>
              <w:bottom w:val="single" w:sz="4" w:space="0" w:color="auto"/>
              <w:right w:val="single" w:sz="4" w:space="0" w:color="auto"/>
            </w:tcBorders>
            <w:shd w:val="clear" w:color="auto" w:fill="auto"/>
            <w:noWrap/>
            <w:vAlign w:val="center"/>
            <w:hideMark/>
          </w:tcPr>
          <w:p w14:paraId="1CD9F234" w14:textId="7900A406"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4,62</w:t>
            </w:r>
          </w:p>
        </w:tc>
        <w:tc>
          <w:tcPr>
            <w:tcW w:w="907" w:type="dxa"/>
            <w:tcBorders>
              <w:top w:val="nil"/>
              <w:left w:val="nil"/>
              <w:bottom w:val="single" w:sz="4" w:space="0" w:color="auto"/>
              <w:right w:val="single" w:sz="4" w:space="0" w:color="auto"/>
            </w:tcBorders>
            <w:shd w:val="clear" w:color="auto" w:fill="auto"/>
            <w:noWrap/>
            <w:vAlign w:val="center"/>
            <w:hideMark/>
          </w:tcPr>
          <w:p w14:paraId="702D8031"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1C9BC6B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625B3913"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06DF55EB"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40EFDCC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4CF5B84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20 789,63</w:t>
            </w:r>
          </w:p>
        </w:tc>
        <w:tc>
          <w:tcPr>
            <w:tcW w:w="1091" w:type="dxa"/>
            <w:tcBorders>
              <w:top w:val="nil"/>
              <w:left w:val="nil"/>
              <w:bottom w:val="single" w:sz="4" w:space="0" w:color="auto"/>
              <w:right w:val="single" w:sz="4" w:space="0" w:color="auto"/>
            </w:tcBorders>
            <w:shd w:val="clear" w:color="auto" w:fill="auto"/>
            <w:noWrap/>
            <w:vAlign w:val="center"/>
            <w:hideMark/>
          </w:tcPr>
          <w:p w14:paraId="09AB4A8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0B578CAB"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28 886,14</w:t>
            </w:r>
          </w:p>
        </w:tc>
        <w:tc>
          <w:tcPr>
            <w:tcW w:w="1122" w:type="dxa"/>
            <w:tcBorders>
              <w:top w:val="nil"/>
              <w:left w:val="nil"/>
              <w:bottom w:val="single" w:sz="4" w:space="0" w:color="auto"/>
              <w:right w:val="single" w:sz="4" w:space="0" w:color="auto"/>
            </w:tcBorders>
            <w:shd w:val="clear" w:color="auto" w:fill="auto"/>
            <w:noWrap/>
            <w:vAlign w:val="center"/>
            <w:hideMark/>
          </w:tcPr>
          <w:p w14:paraId="38BC2B4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25D419C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8 096,51</w:t>
            </w:r>
          </w:p>
        </w:tc>
        <w:tc>
          <w:tcPr>
            <w:tcW w:w="794" w:type="dxa"/>
            <w:tcBorders>
              <w:top w:val="nil"/>
              <w:left w:val="nil"/>
              <w:bottom w:val="single" w:sz="4" w:space="0" w:color="auto"/>
              <w:right w:val="single" w:sz="4" w:space="0" w:color="auto"/>
            </w:tcBorders>
            <w:shd w:val="clear" w:color="auto" w:fill="auto"/>
            <w:noWrap/>
            <w:vAlign w:val="center"/>
            <w:hideMark/>
          </w:tcPr>
          <w:p w14:paraId="54ECE358" w14:textId="28A1670D"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38,94</w:t>
            </w:r>
          </w:p>
        </w:tc>
        <w:tc>
          <w:tcPr>
            <w:tcW w:w="907" w:type="dxa"/>
            <w:tcBorders>
              <w:top w:val="nil"/>
              <w:left w:val="nil"/>
              <w:bottom w:val="single" w:sz="4" w:space="0" w:color="auto"/>
              <w:right w:val="single" w:sz="4" w:space="0" w:color="auto"/>
            </w:tcBorders>
            <w:shd w:val="clear" w:color="auto" w:fill="auto"/>
            <w:noWrap/>
            <w:vAlign w:val="center"/>
            <w:hideMark/>
          </w:tcPr>
          <w:p w14:paraId="1EDA85D5"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404CEE35"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3F06F51F"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A9753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215956</w:t>
            </w:r>
          </w:p>
        </w:tc>
        <w:tc>
          <w:tcPr>
            <w:tcW w:w="505" w:type="dxa"/>
            <w:tcBorders>
              <w:top w:val="nil"/>
              <w:left w:val="nil"/>
              <w:bottom w:val="single" w:sz="4" w:space="0" w:color="auto"/>
              <w:right w:val="single" w:sz="4" w:space="0" w:color="auto"/>
            </w:tcBorders>
            <w:shd w:val="clear" w:color="auto" w:fill="auto"/>
            <w:noWrap/>
            <w:vAlign w:val="center"/>
            <w:hideMark/>
          </w:tcPr>
          <w:p w14:paraId="60031E6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72B2BB5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631,63</w:t>
            </w:r>
          </w:p>
        </w:tc>
        <w:tc>
          <w:tcPr>
            <w:tcW w:w="1091" w:type="dxa"/>
            <w:tcBorders>
              <w:top w:val="nil"/>
              <w:left w:val="nil"/>
              <w:bottom w:val="single" w:sz="4" w:space="0" w:color="auto"/>
              <w:right w:val="single" w:sz="4" w:space="0" w:color="auto"/>
            </w:tcBorders>
            <w:shd w:val="clear" w:color="auto" w:fill="auto"/>
            <w:noWrap/>
            <w:vAlign w:val="center"/>
            <w:hideMark/>
          </w:tcPr>
          <w:p w14:paraId="4DCB16C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0336E13D"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689,00</w:t>
            </w:r>
          </w:p>
        </w:tc>
        <w:tc>
          <w:tcPr>
            <w:tcW w:w="1122" w:type="dxa"/>
            <w:tcBorders>
              <w:top w:val="nil"/>
              <w:left w:val="nil"/>
              <w:bottom w:val="single" w:sz="4" w:space="0" w:color="auto"/>
              <w:right w:val="single" w:sz="4" w:space="0" w:color="auto"/>
            </w:tcBorders>
            <w:shd w:val="clear" w:color="auto" w:fill="auto"/>
            <w:noWrap/>
            <w:vAlign w:val="center"/>
            <w:hideMark/>
          </w:tcPr>
          <w:p w14:paraId="6B6B930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18F5A59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57,37</w:t>
            </w:r>
          </w:p>
        </w:tc>
        <w:tc>
          <w:tcPr>
            <w:tcW w:w="794" w:type="dxa"/>
            <w:tcBorders>
              <w:top w:val="nil"/>
              <w:left w:val="nil"/>
              <w:bottom w:val="single" w:sz="4" w:space="0" w:color="auto"/>
              <w:right w:val="single" w:sz="4" w:space="0" w:color="auto"/>
            </w:tcBorders>
            <w:shd w:val="clear" w:color="auto" w:fill="auto"/>
            <w:noWrap/>
            <w:vAlign w:val="center"/>
            <w:hideMark/>
          </w:tcPr>
          <w:p w14:paraId="22DEFF28" w14:textId="52FB34B7"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9,08</w:t>
            </w:r>
          </w:p>
        </w:tc>
        <w:tc>
          <w:tcPr>
            <w:tcW w:w="907" w:type="dxa"/>
            <w:tcBorders>
              <w:top w:val="nil"/>
              <w:left w:val="nil"/>
              <w:bottom w:val="single" w:sz="4" w:space="0" w:color="auto"/>
              <w:right w:val="single" w:sz="4" w:space="0" w:color="auto"/>
            </w:tcBorders>
            <w:shd w:val="clear" w:color="auto" w:fill="auto"/>
            <w:noWrap/>
            <w:vAlign w:val="center"/>
            <w:hideMark/>
          </w:tcPr>
          <w:p w14:paraId="5FEF5ED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D158E74"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1F6E045A"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08F67F35"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737AB8A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460B5C9A"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637,63</w:t>
            </w:r>
          </w:p>
        </w:tc>
        <w:tc>
          <w:tcPr>
            <w:tcW w:w="1091" w:type="dxa"/>
            <w:tcBorders>
              <w:top w:val="nil"/>
              <w:left w:val="nil"/>
              <w:bottom w:val="single" w:sz="4" w:space="0" w:color="auto"/>
              <w:right w:val="single" w:sz="4" w:space="0" w:color="auto"/>
            </w:tcBorders>
            <w:shd w:val="clear" w:color="auto" w:fill="auto"/>
            <w:noWrap/>
            <w:vAlign w:val="center"/>
            <w:hideMark/>
          </w:tcPr>
          <w:p w14:paraId="3CEC49C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4FD6215E"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665,64</w:t>
            </w:r>
          </w:p>
        </w:tc>
        <w:tc>
          <w:tcPr>
            <w:tcW w:w="1122" w:type="dxa"/>
            <w:tcBorders>
              <w:top w:val="nil"/>
              <w:left w:val="nil"/>
              <w:bottom w:val="single" w:sz="4" w:space="0" w:color="auto"/>
              <w:right w:val="single" w:sz="4" w:space="0" w:color="auto"/>
            </w:tcBorders>
            <w:shd w:val="clear" w:color="auto" w:fill="auto"/>
            <w:noWrap/>
            <w:vAlign w:val="center"/>
            <w:hideMark/>
          </w:tcPr>
          <w:p w14:paraId="64CAEC1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57CFF92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28,01</w:t>
            </w:r>
          </w:p>
        </w:tc>
        <w:tc>
          <w:tcPr>
            <w:tcW w:w="794" w:type="dxa"/>
            <w:tcBorders>
              <w:top w:val="nil"/>
              <w:left w:val="nil"/>
              <w:bottom w:val="single" w:sz="4" w:space="0" w:color="auto"/>
              <w:right w:val="single" w:sz="4" w:space="0" w:color="auto"/>
            </w:tcBorders>
            <w:shd w:val="clear" w:color="auto" w:fill="auto"/>
            <w:noWrap/>
            <w:vAlign w:val="center"/>
            <w:hideMark/>
          </w:tcPr>
          <w:p w14:paraId="609571D4" w14:textId="0A2225E7"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4,39</w:t>
            </w:r>
          </w:p>
        </w:tc>
        <w:tc>
          <w:tcPr>
            <w:tcW w:w="907" w:type="dxa"/>
            <w:tcBorders>
              <w:top w:val="nil"/>
              <w:left w:val="nil"/>
              <w:bottom w:val="single" w:sz="4" w:space="0" w:color="auto"/>
              <w:right w:val="single" w:sz="4" w:space="0" w:color="auto"/>
            </w:tcBorders>
            <w:shd w:val="clear" w:color="auto" w:fill="auto"/>
            <w:noWrap/>
            <w:vAlign w:val="center"/>
            <w:hideMark/>
          </w:tcPr>
          <w:p w14:paraId="603CC21B"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15EF7BD3"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1B1D8BFB"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5AA9BB19"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3C7B961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6C3981F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637,63</w:t>
            </w:r>
          </w:p>
        </w:tc>
        <w:tc>
          <w:tcPr>
            <w:tcW w:w="1091" w:type="dxa"/>
            <w:tcBorders>
              <w:top w:val="nil"/>
              <w:left w:val="nil"/>
              <w:bottom w:val="single" w:sz="4" w:space="0" w:color="auto"/>
              <w:right w:val="single" w:sz="4" w:space="0" w:color="auto"/>
            </w:tcBorders>
            <w:shd w:val="clear" w:color="auto" w:fill="auto"/>
            <w:noWrap/>
            <w:vAlign w:val="center"/>
            <w:hideMark/>
          </w:tcPr>
          <w:p w14:paraId="753BAE8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0DA279B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671,95</w:t>
            </w:r>
          </w:p>
        </w:tc>
        <w:tc>
          <w:tcPr>
            <w:tcW w:w="1122" w:type="dxa"/>
            <w:tcBorders>
              <w:top w:val="nil"/>
              <w:left w:val="nil"/>
              <w:bottom w:val="single" w:sz="4" w:space="0" w:color="auto"/>
              <w:right w:val="single" w:sz="4" w:space="0" w:color="auto"/>
            </w:tcBorders>
            <w:shd w:val="clear" w:color="auto" w:fill="auto"/>
            <w:noWrap/>
            <w:vAlign w:val="center"/>
            <w:hideMark/>
          </w:tcPr>
          <w:p w14:paraId="2D22FAE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794" w:type="dxa"/>
            <w:tcBorders>
              <w:top w:val="nil"/>
              <w:left w:val="nil"/>
              <w:bottom w:val="single" w:sz="4" w:space="0" w:color="auto"/>
              <w:right w:val="single" w:sz="4" w:space="0" w:color="auto"/>
            </w:tcBorders>
            <w:shd w:val="clear" w:color="auto" w:fill="auto"/>
            <w:noWrap/>
            <w:vAlign w:val="center"/>
            <w:hideMark/>
          </w:tcPr>
          <w:p w14:paraId="3201337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34,32</w:t>
            </w:r>
          </w:p>
        </w:tc>
        <w:tc>
          <w:tcPr>
            <w:tcW w:w="794" w:type="dxa"/>
            <w:tcBorders>
              <w:top w:val="nil"/>
              <w:left w:val="nil"/>
              <w:bottom w:val="single" w:sz="4" w:space="0" w:color="auto"/>
              <w:right w:val="single" w:sz="4" w:space="0" w:color="auto"/>
            </w:tcBorders>
            <w:shd w:val="clear" w:color="auto" w:fill="auto"/>
            <w:noWrap/>
            <w:vAlign w:val="center"/>
            <w:hideMark/>
          </w:tcPr>
          <w:p w14:paraId="731FF5C7" w14:textId="5B14C517"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5,38</w:t>
            </w:r>
          </w:p>
        </w:tc>
        <w:tc>
          <w:tcPr>
            <w:tcW w:w="907" w:type="dxa"/>
            <w:tcBorders>
              <w:top w:val="nil"/>
              <w:left w:val="nil"/>
              <w:bottom w:val="single" w:sz="4" w:space="0" w:color="auto"/>
              <w:right w:val="single" w:sz="4" w:space="0" w:color="auto"/>
            </w:tcBorders>
            <w:shd w:val="clear" w:color="auto" w:fill="auto"/>
            <w:noWrap/>
            <w:vAlign w:val="center"/>
            <w:hideMark/>
          </w:tcPr>
          <w:p w14:paraId="2C24D12D"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1B7964D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r>
      <w:tr w:rsidR="00C810D9" w:rsidRPr="00527E83" w14:paraId="253B59AC"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8FDEC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201030</w:t>
            </w:r>
          </w:p>
        </w:tc>
        <w:tc>
          <w:tcPr>
            <w:tcW w:w="505" w:type="dxa"/>
            <w:tcBorders>
              <w:top w:val="nil"/>
              <w:left w:val="nil"/>
              <w:bottom w:val="single" w:sz="4" w:space="0" w:color="auto"/>
              <w:right w:val="single" w:sz="4" w:space="0" w:color="auto"/>
            </w:tcBorders>
            <w:shd w:val="clear" w:color="auto" w:fill="auto"/>
            <w:noWrap/>
            <w:vAlign w:val="center"/>
            <w:hideMark/>
          </w:tcPr>
          <w:p w14:paraId="4562FDF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01B4EB7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33,41</w:t>
            </w:r>
          </w:p>
        </w:tc>
        <w:tc>
          <w:tcPr>
            <w:tcW w:w="1091" w:type="dxa"/>
            <w:tcBorders>
              <w:top w:val="nil"/>
              <w:left w:val="nil"/>
              <w:bottom w:val="single" w:sz="4" w:space="0" w:color="auto"/>
              <w:right w:val="single" w:sz="4" w:space="0" w:color="auto"/>
            </w:tcBorders>
            <w:shd w:val="clear" w:color="auto" w:fill="auto"/>
            <w:noWrap/>
            <w:vAlign w:val="center"/>
            <w:hideMark/>
          </w:tcPr>
          <w:p w14:paraId="14BA9AD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5D3C735"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33,86</w:t>
            </w:r>
          </w:p>
        </w:tc>
        <w:tc>
          <w:tcPr>
            <w:tcW w:w="1122" w:type="dxa"/>
            <w:tcBorders>
              <w:top w:val="nil"/>
              <w:left w:val="nil"/>
              <w:bottom w:val="single" w:sz="4" w:space="0" w:color="auto"/>
              <w:right w:val="single" w:sz="4" w:space="0" w:color="auto"/>
            </w:tcBorders>
            <w:shd w:val="clear" w:color="auto" w:fill="auto"/>
            <w:noWrap/>
            <w:vAlign w:val="center"/>
            <w:hideMark/>
          </w:tcPr>
          <w:p w14:paraId="388E329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4236B73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0,45</w:t>
            </w:r>
          </w:p>
        </w:tc>
        <w:tc>
          <w:tcPr>
            <w:tcW w:w="794" w:type="dxa"/>
            <w:tcBorders>
              <w:top w:val="nil"/>
              <w:left w:val="nil"/>
              <w:bottom w:val="single" w:sz="4" w:space="0" w:color="auto"/>
              <w:right w:val="single" w:sz="4" w:space="0" w:color="auto"/>
            </w:tcBorders>
            <w:shd w:val="clear" w:color="auto" w:fill="auto"/>
            <w:noWrap/>
            <w:vAlign w:val="center"/>
            <w:hideMark/>
          </w:tcPr>
          <w:p w14:paraId="4820CC2B" w14:textId="46D9E9B5"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1,35</w:t>
            </w:r>
          </w:p>
        </w:tc>
        <w:tc>
          <w:tcPr>
            <w:tcW w:w="907" w:type="dxa"/>
            <w:tcBorders>
              <w:top w:val="nil"/>
              <w:left w:val="nil"/>
              <w:bottom w:val="single" w:sz="4" w:space="0" w:color="auto"/>
              <w:right w:val="single" w:sz="4" w:space="0" w:color="auto"/>
            </w:tcBorders>
            <w:shd w:val="clear" w:color="auto" w:fill="auto"/>
            <w:noWrap/>
            <w:vAlign w:val="center"/>
            <w:hideMark/>
          </w:tcPr>
          <w:p w14:paraId="2D45771F"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5CF7B082"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20B01C0F"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70EBEB48"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25AE142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224804B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20,60</w:t>
            </w:r>
          </w:p>
        </w:tc>
        <w:tc>
          <w:tcPr>
            <w:tcW w:w="1091" w:type="dxa"/>
            <w:tcBorders>
              <w:top w:val="nil"/>
              <w:left w:val="nil"/>
              <w:bottom w:val="single" w:sz="4" w:space="0" w:color="auto"/>
              <w:right w:val="single" w:sz="4" w:space="0" w:color="auto"/>
            </w:tcBorders>
            <w:shd w:val="clear" w:color="auto" w:fill="auto"/>
            <w:noWrap/>
            <w:vAlign w:val="center"/>
            <w:hideMark/>
          </w:tcPr>
          <w:p w14:paraId="3FE8E30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645B410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33,86</w:t>
            </w:r>
          </w:p>
        </w:tc>
        <w:tc>
          <w:tcPr>
            <w:tcW w:w="1122" w:type="dxa"/>
            <w:tcBorders>
              <w:top w:val="nil"/>
              <w:left w:val="nil"/>
              <w:bottom w:val="single" w:sz="4" w:space="0" w:color="auto"/>
              <w:right w:val="single" w:sz="4" w:space="0" w:color="auto"/>
            </w:tcBorders>
            <w:shd w:val="clear" w:color="auto" w:fill="auto"/>
            <w:noWrap/>
            <w:vAlign w:val="center"/>
            <w:hideMark/>
          </w:tcPr>
          <w:p w14:paraId="1BDA016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1573D8A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13,26</w:t>
            </w:r>
          </w:p>
        </w:tc>
        <w:tc>
          <w:tcPr>
            <w:tcW w:w="794" w:type="dxa"/>
            <w:tcBorders>
              <w:top w:val="nil"/>
              <w:left w:val="nil"/>
              <w:bottom w:val="single" w:sz="4" w:space="0" w:color="auto"/>
              <w:right w:val="single" w:sz="4" w:space="0" w:color="auto"/>
            </w:tcBorders>
            <w:shd w:val="clear" w:color="auto" w:fill="auto"/>
            <w:noWrap/>
            <w:vAlign w:val="center"/>
            <w:hideMark/>
          </w:tcPr>
          <w:p w14:paraId="184B6685" w14:textId="30E7A33D"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64,37</w:t>
            </w:r>
          </w:p>
        </w:tc>
        <w:tc>
          <w:tcPr>
            <w:tcW w:w="907" w:type="dxa"/>
            <w:tcBorders>
              <w:top w:val="nil"/>
              <w:left w:val="nil"/>
              <w:bottom w:val="single" w:sz="4" w:space="0" w:color="auto"/>
              <w:right w:val="single" w:sz="4" w:space="0" w:color="auto"/>
            </w:tcBorders>
            <w:shd w:val="clear" w:color="auto" w:fill="auto"/>
            <w:noWrap/>
            <w:vAlign w:val="center"/>
            <w:hideMark/>
          </w:tcPr>
          <w:p w14:paraId="1FA8CCB7"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29C25E80"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C810D9" w:rsidRPr="00527E83" w14:paraId="27E1D916"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1F3130D6"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3D2B3CD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3ECAA9D3"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17,97</w:t>
            </w:r>
          </w:p>
        </w:tc>
        <w:tc>
          <w:tcPr>
            <w:tcW w:w="1091" w:type="dxa"/>
            <w:tcBorders>
              <w:top w:val="nil"/>
              <w:left w:val="nil"/>
              <w:bottom w:val="single" w:sz="4" w:space="0" w:color="auto"/>
              <w:right w:val="single" w:sz="4" w:space="0" w:color="auto"/>
            </w:tcBorders>
            <w:shd w:val="clear" w:color="auto" w:fill="auto"/>
            <w:noWrap/>
            <w:vAlign w:val="center"/>
            <w:hideMark/>
          </w:tcPr>
          <w:p w14:paraId="7FE1DEB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1728FA61"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33,61</w:t>
            </w:r>
          </w:p>
        </w:tc>
        <w:tc>
          <w:tcPr>
            <w:tcW w:w="1122" w:type="dxa"/>
            <w:tcBorders>
              <w:top w:val="nil"/>
              <w:left w:val="nil"/>
              <w:bottom w:val="single" w:sz="4" w:space="0" w:color="auto"/>
              <w:right w:val="single" w:sz="4" w:space="0" w:color="auto"/>
            </w:tcBorders>
            <w:shd w:val="clear" w:color="auto" w:fill="auto"/>
            <w:noWrap/>
            <w:vAlign w:val="center"/>
            <w:hideMark/>
          </w:tcPr>
          <w:p w14:paraId="1A1A193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7645C20B"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15,64</w:t>
            </w:r>
          </w:p>
        </w:tc>
        <w:tc>
          <w:tcPr>
            <w:tcW w:w="794" w:type="dxa"/>
            <w:tcBorders>
              <w:top w:val="nil"/>
              <w:left w:val="nil"/>
              <w:bottom w:val="single" w:sz="4" w:space="0" w:color="auto"/>
              <w:right w:val="single" w:sz="4" w:space="0" w:color="auto"/>
            </w:tcBorders>
            <w:shd w:val="clear" w:color="auto" w:fill="auto"/>
            <w:noWrap/>
            <w:vAlign w:val="center"/>
            <w:hideMark/>
          </w:tcPr>
          <w:p w14:paraId="6D321E3F" w14:textId="416E36DF"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87,03</w:t>
            </w:r>
          </w:p>
        </w:tc>
        <w:tc>
          <w:tcPr>
            <w:tcW w:w="907" w:type="dxa"/>
            <w:tcBorders>
              <w:top w:val="nil"/>
              <w:left w:val="nil"/>
              <w:bottom w:val="single" w:sz="4" w:space="0" w:color="auto"/>
              <w:right w:val="single" w:sz="4" w:space="0" w:color="auto"/>
            </w:tcBorders>
            <w:shd w:val="clear" w:color="auto" w:fill="auto"/>
            <w:noWrap/>
            <w:vAlign w:val="center"/>
            <w:hideMark/>
          </w:tcPr>
          <w:p w14:paraId="36BF59A3"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5DE9AB4"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w:t>
            </w:r>
          </w:p>
        </w:tc>
      </w:tr>
      <w:tr w:rsidR="00C810D9" w:rsidRPr="00527E83" w14:paraId="2ED052D4" w14:textId="77777777" w:rsidTr="005329C0">
        <w:trPr>
          <w:trHeight w:val="20"/>
          <w:jc w:val="center"/>
        </w:trPr>
        <w:tc>
          <w:tcPr>
            <w:tcW w:w="9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1F7D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119926</w:t>
            </w:r>
          </w:p>
        </w:tc>
        <w:tc>
          <w:tcPr>
            <w:tcW w:w="505" w:type="dxa"/>
            <w:tcBorders>
              <w:top w:val="nil"/>
              <w:left w:val="nil"/>
              <w:bottom w:val="single" w:sz="4" w:space="0" w:color="auto"/>
              <w:right w:val="single" w:sz="4" w:space="0" w:color="auto"/>
            </w:tcBorders>
            <w:shd w:val="clear" w:color="auto" w:fill="auto"/>
            <w:noWrap/>
            <w:vAlign w:val="center"/>
            <w:hideMark/>
          </w:tcPr>
          <w:p w14:paraId="499D943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87" w:type="dxa"/>
            <w:tcBorders>
              <w:top w:val="nil"/>
              <w:left w:val="nil"/>
              <w:bottom w:val="single" w:sz="4" w:space="0" w:color="auto"/>
              <w:right w:val="single" w:sz="4" w:space="0" w:color="auto"/>
            </w:tcBorders>
            <w:shd w:val="clear" w:color="auto" w:fill="auto"/>
            <w:noWrap/>
            <w:vAlign w:val="center"/>
            <w:hideMark/>
          </w:tcPr>
          <w:p w14:paraId="3D4C337C"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1 003,50</w:t>
            </w:r>
          </w:p>
        </w:tc>
        <w:tc>
          <w:tcPr>
            <w:tcW w:w="1091" w:type="dxa"/>
            <w:tcBorders>
              <w:top w:val="nil"/>
              <w:left w:val="nil"/>
              <w:bottom w:val="single" w:sz="4" w:space="0" w:color="auto"/>
              <w:right w:val="single" w:sz="4" w:space="0" w:color="auto"/>
            </w:tcBorders>
            <w:shd w:val="clear" w:color="auto" w:fill="auto"/>
            <w:noWrap/>
            <w:vAlign w:val="center"/>
            <w:hideMark/>
          </w:tcPr>
          <w:p w14:paraId="2F6001A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112C22D6"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1 082,36</w:t>
            </w:r>
          </w:p>
        </w:tc>
        <w:tc>
          <w:tcPr>
            <w:tcW w:w="1122" w:type="dxa"/>
            <w:tcBorders>
              <w:top w:val="nil"/>
              <w:left w:val="nil"/>
              <w:bottom w:val="single" w:sz="4" w:space="0" w:color="auto"/>
              <w:right w:val="single" w:sz="4" w:space="0" w:color="auto"/>
            </w:tcBorders>
            <w:shd w:val="clear" w:color="auto" w:fill="auto"/>
            <w:noWrap/>
            <w:vAlign w:val="center"/>
            <w:hideMark/>
          </w:tcPr>
          <w:p w14:paraId="654123F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794" w:type="dxa"/>
            <w:tcBorders>
              <w:top w:val="nil"/>
              <w:left w:val="nil"/>
              <w:bottom w:val="single" w:sz="4" w:space="0" w:color="auto"/>
              <w:right w:val="single" w:sz="4" w:space="0" w:color="auto"/>
            </w:tcBorders>
            <w:shd w:val="clear" w:color="auto" w:fill="auto"/>
            <w:noWrap/>
            <w:vAlign w:val="center"/>
            <w:hideMark/>
          </w:tcPr>
          <w:p w14:paraId="0F0C90DF"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78,86</w:t>
            </w:r>
          </w:p>
        </w:tc>
        <w:tc>
          <w:tcPr>
            <w:tcW w:w="794" w:type="dxa"/>
            <w:tcBorders>
              <w:top w:val="nil"/>
              <w:left w:val="nil"/>
              <w:bottom w:val="single" w:sz="4" w:space="0" w:color="auto"/>
              <w:right w:val="single" w:sz="4" w:space="0" w:color="auto"/>
            </w:tcBorders>
            <w:shd w:val="clear" w:color="auto" w:fill="auto"/>
            <w:noWrap/>
            <w:vAlign w:val="center"/>
            <w:hideMark/>
          </w:tcPr>
          <w:p w14:paraId="701E76F4" w14:textId="3C3BEF70"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7,86</w:t>
            </w:r>
          </w:p>
        </w:tc>
        <w:tc>
          <w:tcPr>
            <w:tcW w:w="907" w:type="dxa"/>
            <w:tcBorders>
              <w:top w:val="nil"/>
              <w:left w:val="nil"/>
              <w:bottom w:val="single" w:sz="4" w:space="0" w:color="auto"/>
              <w:right w:val="single" w:sz="4" w:space="0" w:color="auto"/>
            </w:tcBorders>
            <w:shd w:val="clear" w:color="auto" w:fill="auto"/>
            <w:noWrap/>
            <w:vAlign w:val="center"/>
            <w:hideMark/>
          </w:tcPr>
          <w:p w14:paraId="5BC65478"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62A353BD"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7FC748FE"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09064857"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5111E35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87" w:type="dxa"/>
            <w:tcBorders>
              <w:top w:val="nil"/>
              <w:left w:val="nil"/>
              <w:bottom w:val="single" w:sz="4" w:space="0" w:color="auto"/>
              <w:right w:val="single" w:sz="4" w:space="0" w:color="auto"/>
            </w:tcBorders>
            <w:shd w:val="clear" w:color="auto" w:fill="auto"/>
            <w:noWrap/>
            <w:vAlign w:val="center"/>
            <w:hideMark/>
          </w:tcPr>
          <w:p w14:paraId="364C0B47"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997,40</w:t>
            </w:r>
          </w:p>
        </w:tc>
        <w:tc>
          <w:tcPr>
            <w:tcW w:w="1091" w:type="dxa"/>
            <w:tcBorders>
              <w:top w:val="nil"/>
              <w:left w:val="nil"/>
              <w:bottom w:val="single" w:sz="4" w:space="0" w:color="auto"/>
              <w:right w:val="single" w:sz="4" w:space="0" w:color="auto"/>
            </w:tcBorders>
            <w:shd w:val="clear" w:color="auto" w:fill="auto"/>
            <w:noWrap/>
            <w:vAlign w:val="center"/>
            <w:hideMark/>
          </w:tcPr>
          <w:p w14:paraId="1E5967E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66F2E85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1 080,48</w:t>
            </w:r>
          </w:p>
        </w:tc>
        <w:tc>
          <w:tcPr>
            <w:tcW w:w="1122" w:type="dxa"/>
            <w:tcBorders>
              <w:top w:val="nil"/>
              <w:left w:val="nil"/>
              <w:bottom w:val="single" w:sz="4" w:space="0" w:color="auto"/>
              <w:right w:val="single" w:sz="4" w:space="0" w:color="auto"/>
            </w:tcBorders>
            <w:shd w:val="clear" w:color="auto" w:fill="auto"/>
            <w:noWrap/>
            <w:vAlign w:val="center"/>
            <w:hideMark/>
          </w:tcPr>
          <w:p w14:paraId="0FC86E5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173E729A"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83,08</w:t>
            </w:r>
          </w:p>
        </w:tc>
        <w:tc>
          <w:tcPr>
            <w:tcW w:w="794" w:type="dxa"/>
            <w:tcBorders>
              <w:top w:val="nil"/>
              <w:left w:val="nil"/>
              <w:bottom w:val="single" w:sz="4" w:space="0" w:color="auto"/>
              <w:right w:val="single" w:sz="4" w:space="0" w:color="auto"/>
            </w:tcBorders>
            <w:shd w:val="clear" w:color="auto" w:fill="auto"/>
            <w:noWrap/>
            <w:vAlign w:val="center"/>
            <w:hideMark/>
          </w:tcPr>
          <w:p w14:paraId="51BF33BE" w14:textId="625D8123"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8,33</w:t>
            </w:r>
          </w:p>
        </w:tc>
        <w:tc>
          <w:tcPr>
            <w:tcW w:w="907" w:type="dxa"/>
            <w:tcBorders>
              <w:top w:val="nil"/>
              <w:left w:val="nil"/>
              <w:bottom w:val="single" w:sz="4" w:space="0" w:color="auto"/>
              <w:right w:val="single" w:sz="4" w:space="0" w:color="auto"/>
            </w:tcBorders>
            <w:shd w:val="clear" w:color="auto" w:fill="auto"/>
            <w:noWrap/>
            <w:vAlign w:val="center"/>
            <w:hideMark/>
          </w:tcPr>
          <w:p w14:paraId="2F30E9E6"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c>
          <w:tcPr>
            <w:tcW w:w="1000" w:type="dxa"/>
            <w:tcBorders>
              <w:top w:val="nil"/>
              <w:left w:val="nil"/>
              <w:bottom w:val="single" w:sz="4" w:space="0" w:color="auto"/>
              <w:right w:val="single" w:sz="4" w:space="0" w:color="auto"/>
            </w:tcBorders>
            <w:shd w:val="clear" w:color="auto" w:fill="auto"/>
            <w:noWrap/>
            <w:vAlign w:val="center"/>
            <w:hideMark/>
          </w:tcPr>
          <w:p w14:paraId="0289E949"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C810D9" w:rsidRPr="00527E83" w14:paraId="4CE35FA2" w14:textId="77777777" w:rsidTr="005329C0">
        <w:trPr>
          <w:trHeight w:val="20"/>
          <w:jc w:val="center"/>
        </w:trPr>
        <w:tc>
          <w:tcPr>
            <w:tcW w:w="972" w:type="dxa"/>
            <w:vMerge/>
            <w:tcBorders>
              <w:top w:val="nil"/>
              <w:left w:val="single" w:sz="4" w:space="0" w:color="auto"/>
              <w:bottom w:val="single" w:sz="4" w:space="0" w:color="auto"/>
              <w:right w:val="single" w:sz="4" w:space="0" w:color="auto"/>
            </w:tcBorders>
            <w:shd w:val="clear" w:color="auto" w:fill="auto"/>
            <w:vAlign w:val="center"/>
            <w:hideMark/>
          </w:tcPr>
          <w:p w14:paraId="1B483050" w14:textId="77777777" w:rsidR="00C810D9" w:rsidRPr="00527E83" w:rsidRDefault="00C810D9" w:rsidP="00C810D9">
            <w:pPr>
              <w:widowControl/>
              <w:autoSpaceDE/>
              <w:autoSpaceDN/>
              <w:adjustRightInd/>
              <w:rPr>
                <w:rFonts w:asciiTheme="minorHAnsi" w:eastAsia="Times New Roman" w:hAnsiTheme="minorHAnsi" w:cstheme="minorHAns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14:paraId="3B72372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87" w:type="dxa"/>
            <w:tcBorders>
              <w:top w:val="nil"/>
              <w:left w:val="nil"/>
              <w:bottom w:val="single" w:sz="4" w:space="0" w:color="auto"/>
              <w:right w:val="single" w:sz="4" w:space="0" w:color="auto"/>
            </w:tcBorders>
            <w:shd w:val="clear" w:color="auto" w:fill="auto"/>
            <w:noWrap/>
            <w:vAlign w:val="center"/>
            <w:hideMark/>
          </w:tcPr>
          <w:p w14:paraId="27BB38C0"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1 051,88</w:t>
            </w:r>
          </w:p>
        </w:tc>
        <w:tc>
          <w:tcPr>
            <w:tcW w:w="1091" w:type="dxa"/>
            <w:tcBorders>
              <w:top w:val="nil"/>
              <w:left w:val="nil"/>
              <w:bottom w:val="single" w:sz="4" w:space="0" w:color="auto"/>
              <w:right w:val="single" w:sz="4" w:space="0" w:color="auto"/>
            </w:tcBorders>
            <w:shd w:val="clear" w:color="auto" w:fill="auto"/>
            <w:noWrap/>
            <w:vAlign w:val="center"/>
            <w:hideMark/>
          </w:tcPr>
          <w:p w14:paraId="547CE63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56984B88"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1 130,58</w:t>
            </w:r>
          </w:p>
        </w:tc>
        <w:tc>
          <w:tcPr>
            <w:tcW w:w="1122" w:type="dxa"/>
            <w:tcBorders>
              <w:top w:val="nil"/>
              <w:left w:val="nil"/>
              <w:bottom w:val="single" w:sz="4" w:space="0" w:color="auto"/>
              <w:right w:val="single" w:sz="4" w:space="0" w:color="auto"/>
            </w:tcBorders>
            <w:shd w:val="clear" w:color="auto" w:fill="auto"/>
            <w:noWrap/>
            <w:vAlign w:val="center"/>
            <w:hideMark/>
          </w:tcPr>
          <w:p w14:paraId="2B9676C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794" w:type="dxa"/>
            <w:tcBorders>
              <w:top w:val="nil"/>
              <w:left w:val="nil"/>
              <w:bottom w:val="single" w:sz="4" w:space="0" w:color="auto"/>
              <w:right w:val="single" w:sz="4" w:space="0" w:color="auto"/>
            </w:tcBorders>
            <w:shd w:val="clear" w:color="auto" w:fill="auto"/>
            <w:noWrap/>
            <w:vAlign w:val="center"/>
            <w:hideMark/>
          </w:tcPr>
          <w:p w14:paraId="46585A82" w14:textId="77777777" w:rsidR="00C810D9" w:rsidRPr="00527E83" w:rsidRDefault="00C810D9" w:rsidP="00C810D9">
            <w:pPr>
              <w:widowControl/>
              <w:autoSpaceDE/>
              <w:autoSpaceDN/>
              <w:adjustRightInd/>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78,70</w:t>
            </w:r>
          </w:p>
        </w:tc>
        <w:tc>
          <w:tcPr>
            <w:tcW w:w="794" w:type="dxa"/>
            <w:tcBorders>
              <w:top w:val="nil"/>
              <w:left w:val="nil"/>
              <w:bottom w:val="single" w:sz="4" w:space="0" w:color="auto"/>
              <w:right w:val="single" w:sz="4" w:space="0" w:color="auto"/>
            </w:tcBorders>
            <w:shd w:val="clear" w:color="auto" w:fill="auto"/>
            <w:noWrap/>
            <w:vAlign w:val="center"/>
            <w:hideMark/>
          </w:tcPr>
          <w:p w14:paraId="4695045E" w14:textId="383019AC" w:rsidR="00C810D9" w:rsidRPr="00527E83" w:rsidRDefault="00C810D9" w:rsidP="005329C0">
            <w:pPr>
              <w:widowControl/>
              <w:autoSpaceDE/>
              <w:autoSpaceDN/>
              <w:adjustRightInd/>
              <w:ind w:right="85"/>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7,48</w:t>
            </w:r>
          </w:p>
        </w:tc>
        <w:tc>
          <w:tcPr>
            <w:tcW w:w="907" w:type="dxa"/>
            <w:tcBorders>
              <w:top w:val="nil"/>
              <w:left w:val="nil"/>
              <w:bottom w:val="single" w:sz="4" w:space="0" w:color="auto"/>
              <w:right w:val="single" w:sz="4" w:space="0" w:color="auto"/>
            </w:tcBorders>
            <w:shd w:val="clear" w:color="auto" w:fill="auto"/>
            <w:noWrap/>
            <w:vAlign w:val="center"/>
            <w:hideMark/>
          </w:tcPr>
          <w:p w14:paraId="5DD56D80"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1000" w:type="dxa"/>
            <w:tcBorders>
              <w:top w:val="nil"/>
              <w:left w:val="nil"/>
              <w:bottom w:val="single" w:sz="4" w:space="0" w:color="auto"/>
              <w:right w:val="single" w:sz="4" w:space="0" w:color="auto"/>
            </w:tcBorders>
            <w:shd w:val="clear" w:color="auto" w:fill="auto"/>
            <w:noWrap/>
            <w:vAlign w:val="center"/>
            <w:hideMark/>
          </w:tcPr>
          <w:p w14:paraId="5FD6C228" w14:textId="77777777" w:rsidR="00C810D9" w:rsidRPr="00527E83" w:rsidRDefault="00C810D9" w:rsidP="005329C0">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bl>
    <w:p w14:paraId="502C651A" w14:textId="23C7DB3D" w:rsidR="000E64BD" w:rsidRPr="00527E83" w:rsidRDefault="00283A0C" w:rsidP="000F1196">
      <w:pPr>
        <w:widowControl/>
        <w:autoSpaceDE/>
        <w:autoSpaceDN/>
        <w:adjustRightInd/>
        <w:spacing w:before="40"/>
        <w:rPr>
          <w:rFonts w:asciiTheme="minorHAnsi" w:hAnsiTheme="minorHAnsi" w:cstheme="minorHAnsi"/>
        </w:rPr>
      </w:pPr>
      <w:r w:rsidRPr="00527E83">
        <w:rPr>
          <w:rFonts w:asciiTheme="minorHAnsi" w:hAnsiTheme="minorHAnsi" w:cstheme="minorHAnsi"/>
          <w:b/>
        </w:rPr>
        <w:t>Zdroj:</w:t>
      </w:r>
      <w:r w:rsidRPr="00527E83">
        <w:rPr>
          <w:rFonts w:asciiTheme="minorHAnsi" w:hAnsiTheme="minorHAnsi" w:cstheme="minorHAnsi"/>
        </w:rPr>
        <w:t xml:space="preserve"> přílohy jednotlivých kontrolních protokolů </w:t>
      </w:r>
      <w:r w:rsidR="00CB332A">
        <w:rPr>
          <w:rFonts w:asciiTheme="minorHAnsi" w:hAnsiTheme="minorHAnsi" w:cstheme="minorHAnsi"/>
        </w:rPr>
        <w:t>FN</w:t>
      </w:r>
      <w:r w:rsidRPr="00527E83">
        <w:rPr>
          <w:rFonts w:asciiTheme="minorHAnsi" w:hAnsiTheme="minorHAnsi" w:cstheme="minorHAnsi"/>
        </w:rPr>
        <w:t xml:space="preserve"> (dle faktur).</w:t>
      </w:r>
    </w:p>
    <w:p w14:paraId="27430A84" w14:textId="3B991ADF" w:rsidR="0057050A" w:rsidRDefault="00935C95" w:rsidP="00A977F1">
      <w:pPr>
        <w:widowControl/>
        <w:autoSpaceDE/>
        <w:autoSpaceDN/>
        <w:adjustRightInd/>
        <w:rPr>
          <w:rFonts w:asciiTheme="minorHAnsi" w:hAnsiTheme="minorHAnsi" w:cstheme="minorHAnsi"/>
        </w:rPr>
      </w:pPr>
      <w:r w:rsidRPr="00527E83">
        <w:rPr>
          <w:rFonts w:asciiTheme="minorHAnsi" w:hAnsiTheme="minorHAnsi" w:cstheme="minorHAnsi"/>
          <w:b/>
        </w:rPr>
        <w:t>Pozn</w:t>
      </w:r>
      <w:r w:rsidR="0057050A">
        <w:rPr>
          <w:rFonts w:asciiTheme="minorHAnsi" w:hAnsiTheme="minorHAnsi" w:cstheme="minorHAnsi"/>
          <w:b/>
        </w:rPr>
        <w:t>.</w:t>
      </w:r>
      <w:r w:rsidRPr="00527E83">
        <w:rPr>
          <w:rFonts w:asciiTheme="minorHAnsi" w:hAnsiTheme="minorHAnsi" w:cstheme="minorHAnsi"/>
          <w:b/>
        </w:rPr>
        <w:t>:</w:t>
      </w:r>
      <w:r w:rsidRPr="00527E83">
        <w:rPr>
          <w:rFonts w:asciiTheme="minorHAnsi" w:hAnsiTheme="minorHAnsi" w:cstheme="minorHAnsi"/>
        </w:rPr>
        <w:t xml:space="preserve"> </w:t>
      </w:r>
      <w:r w:rsidR="0057050A" w:rsidRPr="00527E83">
        <w:rPr>
          <w:rFonts w:asciiTheme="minorHAnsi" w:hAnsiTheme="minorHAnsi" w:cstheme="minorHAnsi"/>
        </w:rPr>
        <w:t>Zanedbatelné rozdíly ve výši 0,01 Kč na jedno balení nejsou v tabulce uvedeny.</w:t>
      </w:r>
    </w:p>
    <w:p w14:paraId="39EA1883" w14:textId="0FD25985" w:rsidR="00E156F6" w:rsidRDefault="00935C95" w:rsidP="00A977F1">
      <w:pPr>
        <w:widowControl/>
        <w:autoSpaceDE/>
        <w:autoSpaceDN/>
        <w:adjustRightInd/>
        <w:rPr>
          <w:rFonts w:asciiTheme="minorHAnsi" w:hAnsiTheme="minorHAnsi" w:cstheme="minorHAnsi"/>
          <w:b/>
        </w:rPr>
      </w:pPr>
      <w:r w:rsidRPr="00527E83">
        <w:rPr>
          <w:rFonts w:asciiTheme="minorHAnsi" w:hAnsiTheme="minorHAnsi" w:cstheme="minorHAnsi"/>
        </w:rPr>
        <w:t xml:space="preserve">* </w:t>
      </w:r>
      <w:r w:rsidR="0057050A">
        <w:rPr>
          <w:rFonts w:asciiTheme="minorHAnsi" w:hAnsiTheme="minorHAnsi" w:cstheme="minorHAnsi"/>
        </w:rPr>
        <w:t>J</w:t>
      </w:r>
      <w:r w:rsidRPr="00527E83">
        <w:rPr>
          <w:rFonts w:asciiTheme="minorHAnsi" w:hAnsiTheme="minorHAnsi" w:cstheme="minorHAnsi"/>
        </w:rPr>
        <w:t>ednalo se o ojedinělý nákup léčivého přípravku před jeho exspirací.</w:t>
      </w:r>
      <w:r w:rsidR="00A977F1" w:rsidRPr="00527E83">
        <w:rPr>
          <w:rFonts w:asciiTheme="minorHAnsi" w:hAnsiTheme="minorHAnsi" w:cstheme="minorHAnsi"/>
          <w:b/>
        </w:rPr>
        <w:t xml:space="preserve"> </w:t>
      </w:r>
    </w:p>
    <w:p w14:paraId="1871FE22" w14:textId="7BA8A517" w:rsidR="00490AD8" w:rsidRDefault="00490AD8" w:rsidP="000F1196">
      <w:pPr>
        <w:widowControl/>
        <w:autoSpaceDE/>
        <w:autoSpaceDN/>
        <w:adjustRightInd/>
        <w:rPr>
          <w:rFonts w:asciiTheme="minorHAnsi" w:hAnsiTheme="minorHAnsi" w:cstheme="minorHAnsi"/>
        </w:rPr>
      </w:pPr>
    </w:p>
    <w:p w14:paraId="5D81DD65" w14:textId="3FEA3EA4" w:rsidR="000F1196" w:rsidRDefault="000F1196" w:rsidP="000F1196">
      <w:pPr>
        <w:widowControl/>
        <w:autoSpaceDE/>
        <w:autoSpaceDN/>
        <w:adjustRightInd/>
        <w:rPr>
          <w:rFonts w:asciiTheme="minorHAnsi" w:eastAsia="Times New Roman" w:hAnsiTheme="minorHAnsi" w:cstheme="minorHAnsi"/>
          <w:b/>
          <w:sz w:val="24"/>
          <w:szCs w:val="24"/>
          <w:lang w:eastAsia="en-US"/>
        </w:rPr>
      </w:pPr>
      <w:r>
        <w:rPr>
          <w:rFonts w:asciiTheme="minorHAnsi" w:eastAsia="Times New Roman" w:hAnsiTheme="minorHAnsi" w:cstheme="minorHAnsi"/>
          <w:b/>
          <w:sz w:val="24"/>
          <w:szCs w:val="24"/>
          <w:lang w:eastAsia="en-US"/>
        </w:rPr>
        <w:br w:type="page"/>
      </w:r>
    </w:p>
    <w:p w14:paraId="79F56BF6" w14:textId="11FACC72" w:rsidR="000E64BD" w:rsidRPr="00527E83" w:rsidRDefault="000E64BD" w:rsidP="00490AD8">
      <w:pPr>
        <w:widowControl/>
        <w:autoSpaceDE/>
        <w:autoSpaceDN/>
        <w:adjustRightInd/>
        <w:spacing w:after="120"/>
        <w:jc w:val="right"/>
        <w:rPr>
          <w:rFonts w:asciiTheme="minorHAnsi" w:eastAsia="Times New Roman" w:hAnsiTheme="minorHAnsi" w:cstheme="minorHAnsi"/>
          <w:b/>
          <w:sz w:val="24"/>
          <w:szCs w:val="24"/>
          <w:lang w:eastAsia="en-US"/>
        </w:rPr>
      </w:pPr>
      <w:r w:rsidRPr="00527E83">
        <w:rPr>
          <w:rFonts w:asciiTheme="minorHAnsi" w:eastAsia="Times New Roman" w:hAnsiTheme="minorHAnsi" w:cstheme="minorHAnsi"/>
          <w:b/>
          <w:sz w:val="24"/>
          <w:szCs w:val="24"/>
          <w:lang w:eastAsia="en-US"/>
        </w:rPr>
        <w:t xml:space="preserve">Příloha č. </w:t>
      </w:r>
      <w:r w:rsidR="00F56DF7" w:rsidRPr="00527E83">
        <w:rPr>
          <w:rFonts w:asciiTheme="minorHAnsi" w:eastAsia="Times New Roman" w:hAnsiTheme="minorHAnsi" w:cstheme="minorHAnsi"/>
          <w:b/>
          <w:sz w:val="24"/>
          <w:szCs w:val="24"/>
          <w:lang w:eastAsia="en-US"/>
        </w:rPr>
        <w:t>4</w:t>
      </w:r>
    </w:p>
    <w:p w14:paraId="573BBE97" w14:textId="4968603A" w:rsidR="000E64BD" w:rsidRPr="00527E83" w:rsidRDefault="000E64BD" w:rsidP="000E64BD">
      <w:pPr>
        <w:widowControl/>
        <w:autoSpaceDE/>
        <w:autoSpaceDN/>
        <w:adjustRightInd/>
        <w:spacing w:after="120"/>
        <w:jc w:val="center"/>
        <w:rPr>
          <w:rFonts w:asciiTheme="minorHAnsi" w:eastAsia="Times New Roman" w:hAnsiTheme="minorHAnsi" w:cstheme="minorHAnsi"/>
          <w:b/>
          <w:sz w:val="24"/>
          <w:szCs w:val="24"/>
          <w:lang w:eastAsia="en-US"/>
        </w:rPr>
      </w:pPr>
      <w:r w:rsidRPr="00527E83">
        <w:rPr>
          <w:rFonts w:asciiTheme="minorHAnsi" w:eastAsia="Times New Roman" w:hAnsiTheme="minorHAnsi" w:cstheme="minorHAnsi"/>
          <w:b/>
          <w:sz w:val="24"/>
          <w:szCs w:val="24"/>
          <w:lang w:eastAsia="en-US"/>
        </w:rPr>
        <w:t>Cenové rozdíly jednotkových cen zdravotnických prostředků (SZM)</w:t>
      </w:r>
      <w:r w:rsidR="00193C04">
        <w:rPr>
          <w:rFonts w:asciiTheme="minorHAnsi" w:eastAsia="Times New Roman" w:hAnsiTheme="minorHAnsi" w:cstheme="minorHAnsi"/>
          <w:b/>
          <w:sz w:val="24"/>
          <w:szCs w:val="24"/>
          <w:lang w:eastAsia="en-US"/>
        </w:rPr>
        <w:t xml:space="preserve"> u FN</w:t>
      </w:r>
    </w:p>
    <w:tbl>
      <w:tblPr>
        <w:tblW w:w="9221" w:type="dxa"/>
        <w:tblLayout w:type="fixed"/>
        <w:tblCellMar>
          <w:left w:w="70" w:type="dxa"/>
          <w:right w:w="70" w:type="dxa"/>
        </w:tblCellMar>
        <w:tblLook w:val="04A0" w:firstRow="1" w:lastRow="0" w:firstColumn="1" w:lastColumn="0" w:noHBand="0" w:noVBand="1"/>
      </w:tblPr>
      <w:tblGrid>
        <w:gridCol w:w="708"/>
        <w:gridCol w:w="569"/>
        <w:gridCol w:w="998"/>
        <w:gridCol w:w="1531"/>
        <w:gridCol w:w="987"/>
        <w:gridCol w:w="1119"/>
        <w:gridCol w:w="866"/>
        <w:gridCol w:w="680"/>
        <w:gridCol w:w="850"/>
        <w:gridCol w:w="913"/>
      </w:tblGrid>
      <w:tr w:rsidR="009D4751" w:rsidRPr="00527E83" w14:paraId="6EEDBADD" w14:textId="77777777" w:rsidTr="009D4751">
        <w:trPr>
          <w:trHeight w:val="879"/>
        </w:trPr>
        <w:tc>
          <w:tcPr>
            <w:tcW w:w="708"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4C073947" w14:textId="1F5D9703" w:rsidR="00241D6F" w:rsidRPr="00527E83" w:rsidRDefault="00241D6F" w:rsidP="00E311DC">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Kód ZP</w:t>
            </w:r>
            <w:r w:rsidRPr="00527E83">
              <w:rPr>
                <w:rStyle w:val="Znakapoznpodarou"/>
                <w:rFonts w:asciiTheme="minorHAnsi" w:eastAsia="Times New Roman" w:hAnsiTheme="minorHAnsi" w:cstheme="minorHAnsi"/>
                <w:b/>
                <w:bCs/>
                <w:color w:val="000000"/>
                <w:sz w:val="18"/>
                <w:szCs w:val="18"/>
              </w:rPr>
              <w:footnoteReference w:id="53"/>
            </w:r>
          </w:p>
        </w:tc>
        <w:tc>
          <w:tcPr>
            <w:tcW w:w="569"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4C2D3B2C" w14:textId="77777777" w:rsidR="00241D6F" w:rsidRPr="00527E83" w:rsidRDefault="00241D6F" w:rsidP="009D4751">
            <w:pPr>
              <w:widowControl/>
              <w:autoSpaceDE/>
              <w:autoSpaceDN/>
              <w:adjustRightInd/>
              <w:ind w:lef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Rok</w:t>
            </w:r>
          </w:p>
        </w:tc>
        <w:tc>
          <w:tcPr>
            <w:tcW w:w="998"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7E43F3C7" w14:textId="77777777" w:rsidR="00241D6F" w:rsidRPr="00527E83" w:rsidRDefault="00241D6F" w:rsidP="00E311DC">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Minimální jednotková cena v Kč</w:t>
            </w:r>
          </w:p>
        </w:tc>
        <w:tc>
          <w:tcPr>
            <w:tcW w:w="1531"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0FEC0F9C" w14:textId="54A4DCD0" w:rsidR="00241D6F" w:rsidRPr="00527E83" w:rsidRDefault="00241D6F" w:rsidP="00E311DC">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FN s min. jednotkovou cenou</w:t>
            </w:r>
          </w:p>
        </w:tc>
        <w:tc>
          <w:tcPr>
            <w:tcW w:w="987"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6E1F7FF4" w14:textId="77777777" w:rsidR="00241D6F" w:rsidRPr="00527E83" w:rsidRDefault="00241D6F" w:rsidP="00E311DC">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Maximální jednotková cena v Kč</w:t>
            </w:r>
          </w:p>
        </w:tc>
        <w:tc>
          <w:tcPr>
            <w:tcW w:w="1119"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497C9AE4" w14:textId="07DF53E8" w:rsidR="00241D6F" w:rsidRPr="00527E83" w:rsidRDefault="00241D6F" w:rsidP="00E311DC">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FN s max. jednotkovou cenou</w:t>
            </w:r>
          </w:p>
        </w:tc>
        <w:tc>
          <w:tcPr>
            <w:tcW w:w="866" w:type="dxa"/>
            <w:tcBorders>
              <w:top w:val="single" w:sz="4" w:space="0" w:color="auto"/>
              <w:left w:val="nil"/>
              <w:bottom w:val="single" w:sz="4" w:space="0" w:color="auto"/>
              <w:right w:val="single" w:sz="4" w:space="0" w:color="auto"/>
            </w:tcBorders>
            <w:shd w:val="clear" w:color="000000" w:fill="E5F1FF"/>
            <w:noWrap/>
            <w:vAlign w:val="center"/>
            <w:hideMark/>
          </w:tcPr>
          <w:p w14:paraId="4C4F025B" w14:textId="4636EAFB" w:rsidR="00241D6F" w:rsidRPr="00527E83" w:rsidRDefault="00241D6F" w:rsidP="009D4751">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Rozdíl</w:t>
            </w:r>
            <w:r w:rsidR="009D4751">
              <w:rPr>
                <w:rFonts w:asciiTheme="minorHAnsi" w:eastAsia="Times New Roman" w:hAnsiTheme="minorHAnsi" w:cstheme="minorHAnsi"/>
                <w:b/>
                <w:bCs/>
                <w:color w:val="000000"/>
                <w:sz w:val="18"/>
                <w:szCs w:val="18"/>
              </w:rPr>
              <w:t xml:space="preserve"> </w:t>
            </w:r>
            <w:r w:rsidR="009D4751">
              <w:rPr>
                <w:rFonts w:asciiTheme="minorHAnsi" w:eastAsia="Times New Roman" w:hAnsiTheme="minorHAnsi" w:cstheme="minorHAnsi"/>
                <w:b/>
                <w:bCs/>
                <w:color w:val="000000"/>
                <w:sz w:val="18"/>
                <w:szCs w:val="18"/>
              </w:rPr>
              <w:br/>
            </w:r>
            <w:r w:rsidRPr="00527E83">
              <w:rPr>
                <w:rFonts w:asciiTheme="minorHAnsi" w:eastAsia="Times New Roman" w:hAnsiTheme="minorHAnsi" w:cstheme="minorHAnsi"/>
                <w:b/>
                <w:bCs/>
                <w:color w:val="000000"/>
                <w:sz w:val="18"/>
                <w:szCs w:val="18"/>
              </w:rPr>
              <w:t>v Kč</w:t>
            </w:r>
          </w:p>
        </w:tc>
        <w:tc>
          <w:tcPr>
            <w:tcW w:w="680"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0E1A3B9F" w14:textId="34856258" w:rsidR="00241D6F" w:rsidRPr="00527E83" w:rsidRDefault="00241D6F" w:rsidP="00E311DC">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 xml:space="preserve">Rozdíl </w:t>
            </w:r>
            <w:r w:rsidR="009D4751">
              <w:rPr>
                <w:rFonts w:asciiTheme="minorHAnsi" w:eastAsia="Times New Roman" w:hAnsiTheme="minorHAnsi" w:cstheme="minorHAnsi"/>
                <w:b/>
                <w:bCs/>
                <w:color w:val="000000"/>
                <w:sz w:val="18"/>
                <w:szCs w:val="18"/>
              </w:rPr>
              <w:br/>
            </w:r>
            <w:r w:rsidRPr="00527E83">
              <w:rPr>
                <w:rFonts w:asciiTheme="minorHAnsi" w:eastAsia="Times New Roman" w:hAnsiTheme="minorHAnsi" w:cstheme="minorHAnsi"/>
                <w:b/>
                <w:bCs/>
                <w:color w:val="000000"/>
                <w:sz w:val="18"/>
                <w:szCs w:val="18"/>
              </w:rPr>
              <w:t>v %</w:t>
            </w:r>
          </w:p>
        </w:tc>
        <w:tc>
          <w:tcPr>
            <w:tcW w:w="850"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1F6DFF15" w14:textId="725C3A01" w:rsidR="00241D6F" w:rsidRPr="00527E83" w:rsidRDefault="00241D6F" w:rsidP="009D4751">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Počet FN ve vzorku</w:t>
            </w:r>
          </w:p>
        </w:tc>
        <w:tc>
          <w:tcPr>
            <w:tcW w:w="913"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59DF8492" w14:textId="77777777" w:rsidR="00241D6F" w:rsidRPr="00527E83" w:rsidRDefault="00241D6F" w:rsidP="009D4751">
            <w:pPr>
              <w:widowControl/>
              <w:autoSpaceDE/>
              <w:autoSpaceDN/>
              <w:adjustRightInd/>
              <w:ind w:left="-57" w:right="-57"/>
              <w:jc w:val="center"/>
              <w:rPr>
                <w:rFonts w:asciiTheme="minorHAnsi" w:eastAsia="Times New Roman" w:hAnsiTheme="minorHAnsi" w:cstheme="minorHAnsi"/>
                <w:b/>
                <w:bCs/>
                <w:color w:val="000000"/>
                <w:sz w:val="18"/>
                <w:szCs w:val="18"/>
              </w:rPr>
            </w:pPr>
            <w:r w:rsidRPr="00527E83">
              <w:rPr>
                <w:rFonts w:asciiTheme="minorHAnsi" w:eastAsia="Times New Roman" w:hAnsiTheme="minorHAnsi" w:cstheme="minorHAnsi"/>
                <w:b/>
                <w:bCs/>
                <w:color w:val="000000"/>
                <w:sz w:val="18"/>
                <w:szCs w:val="18"/>
              </w:rPr>
              <w:t>Počet dodavatelů ve vzorku</w:t>
            </w:r>
          </w:p>
        </w:tc>
      </w:tr>
      <w:tr w:rsidR="009D4751" w:rsidRPr="00527E83" w14:paraId="0DBF0759"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25DFD1" w14:textId="77777777" w:rsidR="00241D6F" w:rsidRPr="00527E83" w:rsidRDefault="00241D6F"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142833</w:t>
            </w:r>
          </w:p>
        </w:tc>
        <w:tc>
          <w:tcPr>
            <w:tcW w:w="569" w:type="dxa"/>
            <w:tcBorders>
              <w:top w:val="nil"/>
              <w:left w:val="nil"/>
              <w:bottom w:val="single" w:sz="4" w:space="0" w:color="auto"/>
              <w:right w:val="single" w:sz="4" w:space="0" w:color="auto"/>
            </w:tcBorders>
            <w:shd w:val="clear" w:color="auto" w:fill="auto"/>
            <w:noWrap/>
            <w:vAlign w:val="center"/>
            <w:hideMark/>
          </w:tcPr>
          <w:p w14:paraId="440811EB" w14:textId="77777777" w:rsidR="00241D6F" w:rsidRPr="00527E83" w:rsidRDefault="00241D6F"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04A438AB"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73 201,00</w:t>
            </w:r>
          </w:p>
        </w:tc>
        <w:tc>
          <w:tcPr>
            <w:tcW w:w="1531" w:type="dxa"/>
            <w:tcBorders>
              <w:top w:val="nil"/>
              <w:left w:val="nil"/>
              <w:bottom w:val="single" w:sz="4" w:space="0" w:color="auto"/>
              <w:right w:val="single" w:sz="4" w:space="0" w:color="auto"/>
            </w:tcBorders>
            <w:shd w:val="clear" w:color="auto" w:fill="auto"/>
            <w:noWrap/>
            <w:vAlign w:val="center"/>
            <w:hideMark/>
          </w:tcPr>
          <w:p w14:paraId="2B1EB8DC"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4A6A75D" w14:textId="031B2C43"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1119" w:type="dxa"/>
            <w:tcBorders>
              <w:top w:val="nil"/>
              <w:left w:val="nil"/>
              <w:bottom w:val="single" w:sz="4" w:space="0" w:color="auto"/>
              <w:right w:val="single" w:sz="4" w:space="0" w:color="auto"/>
            </w:tcBorders>
            <w:shd w:val="clear" w:color="auto" w:fill="auto"/>
            <w:noWrap/>
            <w:vAlign w:val="center"/>
            <w:hideMark/>
          </w:tcPr>
          <w:p w14:paraId="186F73A7" w14:textId="1B9536FA"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06B4917B"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680" w:type="dxa"/>
            <w:tcBorders>
              <w:top w:val="nil"/>
              <w:left w:val="nil"/>
              <w:bottom w:val="single" w:sz="4" w:space="0" w:color="auto"/>
              <w:right w:val="single" w:sz="4" w:space="0" w:color="auto"/>
            </w:tcBorders>
            <w:shd w:val="clear" w:color="auto" w:fill="auto"/>
            <w:noWrap/>
            <w:vAlign w:val="center"/>
            <w:hideMark/>
          </w:tcPr>
          <w:p w14:paraId="583DDDEB" w14:textId="28559BED"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8777017"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7913F586"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39F35CEE"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489A9EF" w14:textId="77777777" w:rsidR="00241D6F" w:rsidRPr="00527E83" w:rsidRDefault="00241D6F"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60493666" w14:textId="77777777" w:rsidR="00241D6F" w:rsidRPr="00527E83" w:rsidRDefault="00241D6F"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73B8DB91"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73 201,01</w:t>
            </w:r>
          </w:p>
        </w:tc>
        <w:tc>
          <w:tcPr>
            <w:tcW w:w="1531" w:type="dxa"/>
            <w:tcBorders>
              <w:top w:val="nil"/>
              <w:left w:val="nil"/>
              <w:bottom w:val="single" w:sz="4" w:space="0" w:color="auto"/>
              <w:right w:val="single" w:sz="4" w:space="0" w:color="auto"/>
            </w:tcBorders>
            <w:shd w:val="clear" w:color="auto" w:fill="auto"/>
            <w:noWrap/>
            <w:vAlign w:val="center"/>
            <w:hideMark/>
          </w:tcPr>
          <w:p w14:paraId="15CC34D3"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 FNUSA</w:t>
            </w:r>
          </w:p>
        </w:tc>
        <w:tc>
          <w:tcPr>
            <w:tcW w:w="987" w:type="dxa"/>
            <w:tcBorders>
              <w:top w:val="nil"/>
              <w:left w:val="nil"/>
              <w:bottom w:val="single" w:sz="4" w:space="0" w:color="auto"/>
              <w:right w:val="single" w:sz="4" w:space="0" w:color="auto"/>
            </w:tcBorders>
            <w:shd w:val="clear" w:color="auto" w:fill="auto"/>
            <w:noWrap/>
            <w:vAlign w:val="center"/>
            <w:hideMark/>
          </w:tcPr>
          <w:p w14:paraId="561352E6" w14:textId="24433024"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1119" w:type="dxa"/>
            <w:tcBorders>
              <w:top w:val="nil"/>
              <w:left w:val="nil"/>
              <w:bottom w:val="single" w:sz="4" w:space="0" w:color="auto"/>
              <w:right w:val="single" w:sz="4" w:space="0" w:color="auto"/>
            </w:tcBorders>
            <w:shd w:val="clear" w:color="auto" w:fill="auto"/>
            <w:noWrap/>
            <w:vAlign w:val="center"/>
            <w:hideMark/>
          </w:tcPr>
          <w:p w14:paraId="3E603000" w14:textId="09A6FC61"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866" w:type="dxa"/>
            <w:tcBorders>
              <w:top w:val="nil"/>
              <w:left w:val="nil"/>
              <w:bottom w:val="single" w:sz="4" w:space="0" w:color="auto"/>
              <w:right w:val="single" w:sz="4" w:space="0" w:color="auto"/>
            </w:tcBorders>
            <w:shd w:val="clear" w:color="auto" w:fill="auto"/>
            <w:noWrap/>
            <w:vAlign w:val="center"/>
            <w:hideMark/>
          </w:tcPr>
          <w:p w14:paraId="0B1E3FCD"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680" w:type="dxa"/>
            <w:tcBorders>
              <w:top w:val="nil"/>
              <w:left w:val="nil"/>
              <w:bottom w:val="single" w:sz="4" w:space="0" w:color="auto"/>
              <w:right w:val="single" w:sz="4" w:space="0" w:color="auto"/>
            </w:tcBorders>
            <w:shd w:val="clear" w:color="auto" w:fill="auto"/>
            <w:noWrap/>
            <w:vAlign w:val="center"/>
            <w:hideMark/>
          </w:tcPr>
          <w:p w14:paraId="2282601C" w14:textId="774B8EAA"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7EADD454"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6DB7A9A0"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3F04DC29"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840EF67" w14:textId="77777777" w:rsidR="00241D6F" w:rsidRPr="00527E83" w:rsidRDefault="00241D6F"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7E2D0D31" w14:textId="77777777" w:rsidR="00241D6F" w:rsidRPr="00527E83" w:rsidRDefault="00241D6F"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21601BA5"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73 201,00</w:t>
            </w:r>
          </w:p>
        </w:tc>
        <w:tc>
          <w:tcPr>
            <w:tcW w:w="1531" w:type="dxa"/>
            <w:tcBorders>
              <w:top w:val="nil"/>
              <w:left w:val="nil"/>
              <w:bottom w:val="single" w:sz="4" w:space="0" w:color="auto"/>
              <w:right w:val="single" w:sz="4" w:space="0" w:color="auto"/>
            </w:tcBorders>
            <w:shd w:val="clear" w:color="auto" w:fill="auto"/>
            <w:noWrap/>
            <w:vAlign w:val="center"/>
            <w:hideMark/>
          </w:tcPr>
          <w:p w14:paraId="7F1152BE"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6A04001" w14:textId="04419814"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1119" w:type="dxa"/>
            <w:tcBorders>
              <w:top w:val="nil"/>
              <w:left w:val="nil"/>
              <w:bottom w:val="single" w:sz="4" w:space="0" w:color="auto"/>
              <w:right w:val="single" w:sz="4" w:space="0" w:color="auto"/>
            </w:tcBorders>
            <w:shd w:val="clear" w:color="auto" w:fill="auto"/>
            <w:noWrap/>
            <w:vAlign w:val="center"/>
            <w:hideMark/>
          </w:tcPr>
          <w:p w14:paraId="5CC43F4D" w14:textId="6078B681"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866" w:type="dxa"/>
            <w:tcBorders>
              <w:top w:val="nil"/>
              <w:left w:val="nil"/>
              <w:bottom w:val="single" w:sz="4" w:space="0" w:color="auto"/>
              <w:right w:val="single" w:sz="4" w:space="0" w:color="auto"/>
            </w:tcBorders>
            <w:shd w:val="clear" w:color="auto" w:fill="auto"/>
            <w:noWrap/>
            <w:vAlign w:val="center"/>
            <w:hideMark/>
          </w:tcPr>
          <w:p w14:paraId="6FBD5E1D"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680" w:type="dxa"/>
            <w:tcBorders>
              <w:top w:val="nil"/>
              <w:left w:val="nil"/>
              <w:bottom w:val="single" w:sz="4" w:space="0" w:color="auto"/>
              <w:right w:val="single" w:sz="4" w:space="0" w:color="auto"/>
            </w:tcBorders>
            <w:shd w:val="clear" w:color="auto" w:fill="auto"/>
            <w:noWrap/>
            <w:vAlign w:val="center"/>
            <w:hideMark/>
          </w:tcPr>
          <w:p w14:paraId="4ED06303" w14:textId="28ACF91C"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B735A42"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035A6C99"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0471FB16"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7EDBAC" w14:textId="77777777" w:rsidR="00241D6F" w:rsidRPr="00527E83" w:rsidRDefault="00241D6F"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21125</w:t>
            </w:r>
          </w:p>
        </w:tc>
        <w:tc>
          <w:tcPr>
            <w:tcW w:w="569" w:type="dxa"/>
            <w:tcBorders>
              <w:top w:val="nil"/>
              <w:left w:val="nil"/>
              <w:bottom w:val="single" w:sz="4" w:space="0" w:color="auto"/>
              <w:right w:val="single" w:sz="4" w:space="0" w:color="auto"/>
            </w:tcBorders>
            <w:shd w:val="clear" w:color="auto" w:fill="auto"/>
            <w:noWrap/>
            <w:vAlign w:val="center"/>
            <w:hideMark/>
          </w:tcPr>
          <w:p w14:paraId="75BE39F6" w14:textId="77777777" w:rsidR="00241D6F" w:rsidRPr="00527E83" w:rsidRDefault="00241D6F"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1DC28276"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97 750,00</w:t>
            </w:r>
          </w:p>
        </w:tc>
        <w:tc>
          <w:tcPr>
            <w:tcW w:w="1531" w:type="dxa"/>
            <w:tcBorders>
              <w:top w:val="nil"/>
              <w:left w:val="nil"/>
              <w:bottom w:val="single" w:sz="4" w:space="0" w:color="auto"/>
              <w:right w:val="single" w:sz="4" w:space="0" w:color="auto"/>
            </w:tcBorders>
            <w:shd w:val="clear" w:color="auto" w:fill="auto"/>
            <w:noWrap/>
            <w:vAlign w:val="center"/>
            <w:hideMark/>
          </w:tcPr>
          <w:p w14:paraId="4A13B884"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719A7D03" w14:textId="731514C4"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1119" w:type="dxa"/>
            <w:tcBorders>
              <w:top w:val="nil"/>
              <w:left w:val="nil"/>
              <w:bottom w:val="single" w:sz="4" w:space="0" w:color="auto"/>
              <w:right w:val="single" w:sz="4" w:space="0" w:color="auto"/>
            </w:tcBorders>
            <w:shd w:val="clear" w:color="auto" w:fill="auto"/>
            <w:noWrap/>
            <w:vAlign w:val="center"/>
            <w:hideMark/>
          </w:tcPr>
          <w:p w14:paraId="4EBACCDB" w14:textId="63C307B5"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116997">
              <w:rPr>
                <w:rFonts w:asciiTheme="minorHAnsi" w:eastAsia="Times New Roman" w:hAnsiTheme="minorHAnsi" w:cstheme="minorHAnsi"/>
                <w:color w:val="000000"/>
                <w:sz w:val="18"/>
                <w:szCs w:val="18"/>
              </w:rPr>
              <w:t>-</w:t>
            </w:r>
          </w:p>
        </w:tc>
        <w:tc>
          <w:tcPr>
            <w:tcW w:w="866" w:type="dxa"/>
            <w:tcBorders>
              <w:top w:val="nil"/>
              <w:left w:val="nil"/>
              <w:bottom w:val="single" w:sz="4" w:space="0" w:color="auto"/>
              <w:right w:val="single" w:sz="4" w:space="0" w:color="auto"/>
            </w:tcBorders>
            <w:shd w:val="clear" w:color="auto" w:fill="auto"/>
            <w:noWrap/>
            <w:vAlign w:val="center"/>
            <w:hideMark/>
          </w:tcPr>
          <w:p w14:paraId="6F51D5A2"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680" w:type="dxa"/>
            <w:tcBorders>
              <w:top w:val="nil"/>
              <w:left w:val="nil"/>
              <w:bottom w:val="single" w:sz="4" w:space="0" w:color="auto"/>
              <w:right w:val="single" w:sz="4" w:space="0" w:color="auto"/>
            </w:tcBorders>
            <w:shd w:val="clear" w:color="auto" w:fill="auto"/>
            <w:noWrap/>
            <w:vAlign w:val="center"/>
            <w:hideMark/>
          </w:tcPr>
          <w:p w14:paraId="317D8D28" w14:textId="0EDD69A3"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389D0130"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c>
          <w:tcPr>
            <w:tcW w:w="913" w:type="dxa"/>
            <w:tcBorders>
              <w:top w:val="nil"/>
              <w:left w:val="nil"/>
              <w:bottom w:val="single" w:sz="4" w:space="0" w:color="auto"/>
              <w:right w:val="single" w:sz="4" w:space="0" w:color="auto"/>
            </w:tcBorders>
            <w:shd w:val="clear" w:color="auto" w:fill="auto"/>
            <w:noWrap/>
            <w:vAlign w:val="center"/>
            <w:hideMark/>
          </w:tcPr>
          <w:p w14:paraId="7A43571D"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753D3EC3"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3BA1EBC"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3639DE6D"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6516C40D"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97 750,00</w:t>
            </w:r>
          </w:p>
        </w:tc>
        <w:tc>
          <w:tcPr>
            <w:tcW w:w="1531" w:type="dxa"/>
            <w:tcBorders>
              <w:top w:val="nil"/>
              <w:left w:val="nil"/>
              <w:bottom w:val="single" w:sz="4" w:space="0" w:color="auto"/>
              <w:right w:val="single" w:sz="4" w:space="0" w:color="auto"/>
            </w:tcBorders>
            <w:shd w:val="clear" w:color="auto" w:fill="auto"/>
            <w:noWrap/>
            <w:vAlign w:val="center"/>
            <w:hideMark/>
          </w:tcPr>
          <w:p w14:paraId="356C195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0F15DB2E"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149 500,00</w:t>
            </w:r>
          </w:p>
        </w:tc>
        <w:tc>
          <w:tcPr>
            <w:tcW w:w="1119" w:type="dxa"/>
            <w:tcBorders>
              <w:top w:val="nil"/>
              <w:left w:val="nil"/>
              <w:bottom w:val="single" w:sz="4" w:space="0" w:color="auto"/>
              <w:right w:val="single" w:sz="4" w:space="0" w:color="auto"/>
            </w:tcBorders>
            <w:shd w:val="clear" w:color="auto" w:fill="auto"/>
            <w:noWrap/>
            <w:vAlign w:val="center"/>
            <w:hideMark/>
          </w:tcPr>
          <w:p w14:paraId="548637B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866" w:type="dxa"/>
            <w:tcBorders>
              <w:top w:val="nil"/>
              <w:left w:val="nil"/>
              <w:bottom w:val="single" w:sz="4" w:space="0" w:color="auto"/>
              <w:right w:val="single" w:sz="4" w:space="0" w:color="auto"/>
            </w:tcBorders>
            <w:shd w:val="clear" w:color="auto" w:fill="auto"/>
            <w:noWrap/>
            <w:vAlign w:val="center"/>
            <w:hideMark/>
          </w:tcPr>
          <w:p w14:paraId="3C157187"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51 750,00</w:t>
            </w:r>
          </w:p>
        </w:tc>
        <w:tc>
          <w:tcPr>
            <w:tcW w:w="680" w:type="dxa"/>
            <w:tcBorders>
              <w:top w:val="nil"/>
              <w:left w:val="nil"/>
              <w:bottom w:val="single" w:sz="4" w:space="0" w:color="auto"/>
              <w:right w:val="single" w:sz="4" w:space="0" w:color="auto"/>
            </w:tcBorders>
            <w:shd w:val="clear" w:color="auto" w:fill="auto"/>
            <w:noWrap/>
            <w:vAlign w:val="center"/>
            <w:hideMark/>
          </w:tcPr>
          <w:p w14:paraId="1DB12B66" w14:textId="5F2A4A1C"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52,94</w:t>
            </w:r>
          </w:p>
        </w:tc>
        <w:tc>
          <w:tcPr>
            <w:tcW w:w="850" w:type="dxa"/>
            <w:tcBorders>
              <w:top w:val="nil"/>
              <w:left w:val="nil"/>
              <w:bottom w:val="single" w:sz="4" w:space="0" w:color="auto"/>
              <w:right w:val="single" w:sz="4" w:space="0" w:color="auto"/>
            </w:tcBorders>
            <w:shd w:val="clear" w:color="auto" w:fill="auto"/>
            <w:noWrap/>
            <w:vAlign w:val="center"/>
            <w:hideMark/>
          </w:tcPr>
          <w:p w14:paraId="30DABC5A"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5278896F"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605236D5"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99DBE11"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43917C80"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3F620AA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97 750,00</w:t>
            </w:r>
          </w:p>
        </w:tc>
        <w:tc>
          <w:tcPr>
            <w:tcW w:w="1531" w:type="dxa"/>
            <w:tcBorders>
              <w:top w:val="nil"/>
              <w:left w:val="nil"/>
              <w:bottom w:val="single" w:sz="4" w:space="0" w:color="auto"/>
              <w:right w:val="single" w:sz="4" w:space="0" w:color="auto"/>
            </w:tcBorders>
            <w:shd w:val="clear" w:color="auto" w:fill="auto"/>
            <w:noWrap/>
            <w:vAlign w:val="center"/>
            <w:hideMark/>
          </w:tcPr>
          <w:p w14:paraId="2F404FF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1486449"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185 872,65</w:t>
            </w:r>
          </w:p>
        </w:tc>
        <w:tc>
          <w:tcPr>
            <w:tcW w:w="1119" w:type="dxa"/>
            <w:tcBorders>
              <w:top w:val="nil"/>
              <w:left w:val="nil"/>
              <w:bottom w:val="single" w:sz="4" w:space="0" w:color="auto"/>
              <w:right w:val="single" w:sz="4" w:space="0" w:color="auto"/>
            </w:tcBorders>
            <w:shd w:val="clear" w:color="auto" w:fill="auto"/>
            <w:noWrap/>
            <w:vAlign w:val="center"/>
            <w:hideMark/>
          </w:tcPr>
          <w:p w14:paraId="613C2F2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5CE96420"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88 122,65</w:t>
            </w:r>
          </w:p>
        </w:tc>
        <w:tc>
          <w:tcPr>
            <w:tcW w:w="680" w:type="dxa"/>
            <w:tcBorders>
              <w:top w:val="nil"/>
              <w:left w:val="nil"/>
              <w:bottom w:val="single" w:sz="4" w:space="0" w:color="auto"/>
              <w:right w:val="single" w:sz="4" w:space="0" w:color="auto"/>
            </w:tcBorders>
            <w:shd w:val="clear" w:color="auto" w:fill="auto"/>
            <w:noWrap/>
            <w:vAlign w:val="center"/>
            <w:hideMark/>
          </w:tcPr>
          <w:p w14:paraId="00B2F69F" w14:textId="746A015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90,15</w:t>
            </w:r>
          </w:p>
        </w:tc>
        <w:tc>
          <w:tcPr>
            <w:tcW w:w="850" w:type="dxa"/>
            <w:tcBorders>
              <w:top w:val="nil"/>
              <w:left w:val="nil"/>
              <w:bottom w:val="single" w:sz="4" w:space="0" w:color="auto"/>
              <w:right w:val="single" w:sz="4" w:space="0" w:color="auto"/>
            </w:tcBorders>
            <w:shd w:val="clear" w:color="auto" w:fill="auto"/>
            <w:noWrap/>
            <w:vAlign w:val="center"/>
            <w:hideMark/>
          </w:tcPr>
          <w:p w14:paraId="6CABE0D0"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18DC8E77"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28402AAC"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E6DC8"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53632</w:t>
            </w:r>
          </w:p>
        </w:tc>
        <w:tc>
          <w:tcPr>
            <w:tcW w:w="569" w:type="dxa"/>
            <w:tcBorders>
              <w:top w:val="nil"/>
              <w:left w:val="nil"/>
              <w:bottom w:val="single" w:sz="4" w:space="0" w:color="auto"/>
              <w:right w:val="single" w:sz="4" w:space="0" w:color="auto"/>
            </w:tcBorders>
            <w:shd w:val="clear" w:color="auto" w:fill="auto"/>
            <w:noWrap/>
            <w:vAlign w:val="center"/>
            <w:hideMark/>
          </w:tcPr>
          <w:p w14:paraId="3D967AC8"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50F11E6D"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24 112,05</w:t>
            </w:r>
          </w:p>
        </w:tc>
        <w:tc>
          <w:tcPr>
            <w:tcW w:w="1531" w:type="dxa"/>
            <w:tcBorders>
              <w:top w:val="nil"/>
              <w:left w:val="nil"/>
              <w:bottom w:val="single" w:sz="4" w:space="0" w:color="auto"/>
              <w:right w:val="single" w:sz="4" w:space="0" w:color="auto"/>
            </w:tcBorders>
            <w:shd w:val="clear" w:color="auto" w:fill="auto"/>
            <w:noWrap/>
            <w:vAlign w:val="center"/>
            <w:hideMark/>
          </w:tcPr>
          <w:p w14:paraId="4D29184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987" w:type="dxa"/>
            <w:tcBorders>
              <w:top w:val="nil"/>
              <w:left w:val="nil"/>
              <w:bottom w:val="single" w:sz="4" w:space="0" w:color="auto"/>
              <w:right w:val="single" w:sz="4" w:space="0" w:color="auto"/>
            </w:tcBorders>
            <w:shd w:val="clear" w:color="auto" w:fill="auto"/>
            <w:noWrap/>
            <w:vAlign w:val="center"/>
            <w:hideMark/>
          </w:tcPr>
          <w:p w14:paraId="3C957672"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28 506,20</w:t>
            </w:r>
          </w:p>
        </w:tc>
        <w:tc>
          <w:tcPr>
            <w:tcW w:w="1119" w:type="dxa"/>
            <w:tcBorders>
              <w:top w:val="nil"/>
              <w:left w:val="nil"/>
              <w:bottom w:val="single" w:sz="4" w:space="0" w:color="auto"/>
              <w:right w:val="single" w:sz="4" w:space="0" w:color="auto"/>
            </w:tcBorders>
            <w:shd w:val="clear" w:color="auto" w:fill="auto"/>
            <w:noWrap/>
            <w:vAlign w:val="center"/>
            <w:hideMark/>
          </w:tcPr>
          <w:p w14:paraId="4CEDC9A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866" w:type="dxa"/>
            <w:tcBorders>
              <w:top w:val="nil"/>
              <w:left w:val="nil"/>
              <w:bottom w:val="single" w:sz="4" w:space="0" w:color="auto"/>
              <w:right w:val="single" w:sz="4" w:space="0" w:color="auto"/>
            </w:tcBorders>
            <w:shd w:val="clear" w:color="auto" w:fill="auto"/>
            <w:noWrap/>
            <w:vAlign w:val="center"/>
            <w:hideMark/>
          </w:tcPr>
          <w:p w14:paraId="595E0E7E"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4 394,15</w:t>
            </w:r>
          </w:p>
        </w:tc>
        <w:tc>
          <w:tcPr>
            <w:tcW w:w="680" w:type="dxa"/>
            <w:tcBorders>
              <w:top w:val="nil"/>
              <w:left w:val="nil"/>
              <w:bottom w:val="single" w:sz="4" w:space="0" w:color="auto"/>
              <w:right w:val="single" w:sz="4" w:space="0" w:color="auto"/>
            </w:tcBorders>
            <w:shd w:val="clear" w:color="auto" w:fill="auto"/>
            <w:noWrap/>
            <w:vAlign w:val="center"/>
            <w:hideMark/>
          </w:tcPr>
          <w:p w14:paraId="085ED729" w14:textId="21C25966"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18,22</w:t>
            </w:r>
          </w:p>
        </w:tc>
        <w:tc>
          <w:tcPr>
            <w:tcW w:w="850" w:type="dxa"/>
            <w:tcBorders>
              <w:top w:val="nil"/>
              <w:left w:val="nil"/>
              <w:bottom w:val="single" w:sz="4" w:space="0" w:color="auto"/>
              <w:right w:val="single" w:sz="4" w:space="0" w:color="auto"/>
            </w:tcBorders>
            <w:shd w:val="clear" w:color="auto" w:fill="auto"/>
            <w:noWrap/>
            <w:vAlign w:val="center"/>
            <w:hideMark/>
          </w:tcPr>
          <w:p w14:paraId="3970FC23"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3E85A60E"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0125D4CC"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0B1DC2E"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0258A66F"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1DF59C03"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24 112,05</w:t>
            </w:r>
          </w:p>
        </w:tc>
        <w:tc>
          <w:tcPr>
            <w:tcW w:w="1531" w:type="dxa"/>
            <w:tcBorders>
              <w:top w:val="nil"/>
              <w:left w:val="nil"/>
              <w:bottom w:val="single" w:sz="4" w:space="0" w:color="auto"/>
              <w:right w:val="single" w:sz="4" w:space="0" w:color="auto"/>
            </w:tcBorders>
            <w:shd w:val="clear" w:color="auto" w:fill="auto"/>
            <w:noWrap/>
            <w:vAlign w:val="center"/>
            <w:hideMark/>
          </w:tcPr>
          <w:p w14:paraId="726ECE9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1FF89435"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28 506,20</w:t>
            </w:r>
          </w:p>
        </w:tc>
        <w:tc>
          <w:tcPr>
            <w:tcW w:w="1119" w:type="dxa"/>
            <w:tcBorders>
              <w:top w:val="nil"/>
              <w:left w:val="nil"/>
              <w:bottom w:val="single" w:sz="4" w:space="0" w:color="auto"/>
              <w:right w:val="single" w:sz="4" w:space="0" w:color="auto"/>
            </w:tcBorders>
            <w:shd w:val="clear" w:color="auto" w:fill="auto"/>
            <w:noWrap/>
            <w:vAlign w:val="center"/>
            <w:hideMark/>
          </w:tcPr>
          <w:p w14:paraId="1E5A79D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866" w:type="dxa"/>
            <w:tcBorders>
              <w:top w:val="nil"/>
              <w:left w:val="nil"/>
              <w:bottom w:val="single" w:sz="4" w:space="0" w:color="auto"/>
              <w:right w:val="single" w:sz="4" w:space="0" w:color="auto"/>
            </w:tcBorders>
            <w:shd w:val="clear" w:color="auto" w:fill="auto"/>
            <w:noWrap/>
            <w:vAlign w:val="center"/>
            <w:hideMark/>
          </w:tcPr>
          <w:p w14:paraId="1000021F"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4 394,15</w:t>
            </w:r>
          </w:p>
        </w:tc>
        <w:tc>
          <w:tcPr>
            <w:tcW w:w="680" w:type="dxa"/>
            <w:tcBorders>
              <w:top w:val="nil"/>
              <w:left w:val="nil"/>
              <w:bottom w:val="single" w:sz="4" w:space="0" w:color="auto"/>
              <w:right w:val="single" w:sz="4" w:space="0" w:color="auto"/>
            </w:tcBorders>
            <w:shd w:val="clear" w:color="auto" w:fill="auto"/>
            <w:noWrap/>
            <w:vAlign w:val="center"/>
            <w:hideMark/>
          </w:tcPr>
          <w:p w14:paraId="6B5E25C4" w14:textId="37EC5C05"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18,22</w:t>
            </w:r>
          </w:p>
        </w:tc>
        <w:tc>
          <w:tcPr>
            <w:tcW w:w="850" w:type="dxa"/>
            <w:tcBorders>
              <w:top w:val="nil"/>
              <w:left w:val="nil"/>
              <w:bottom w:val="single" w:sz="4" w:space="0" w:color="auto"/>
              <w:right w:val="single" w:sz="4" w:space="0" w:color="auto"/>
            </w:tcBorders>
            <w:shd w:val="clear" w:color="auto" w:fill="auto"/>
            <w:noWrap/>
            <w:vAlign w:val="center"/>
            <w:hideMark/>
          </w:tcPr>
          <w:p w14:paraId="15DBCD7C"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2C66DC80"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767A1EFC"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36155BA"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68227C36"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0E041F7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24 112,05</w:t>
            </w:r>
          </w:p>
        </w:tc>
        <w:tc>
          <w:tcPr>
            <w:tcW w:w="1531" w:type="dxa"/>
            <w:tcBorders>
              <w:top w:val="nil"/>
              <w:left w:val="nil"/>
              <w:bottom w:val="single" w:sz="4" w:space="0" w:color="auto"/>
              <w:right w:val="single" w:sz="4" w:space="0" w:color="auto"/>
            </w:tcBorders>
            <w:shd w:val="clear" w:color="auto" w:fill="auto"/>
            <w:noWrap/>
            <w:vAlign w:val="center"/>
            <w:hideMark/>
          </w:tcPr>
          <w:p w14:paraId="4F36D89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 FNKV</w:t>
            </w:r>
          </w:p>
        </w:tc>
        <w:tc>
          <w:tcPr>
            <w:tcW w:w="987" w:type="dxa"/>
            <w:tcBorders>
              <w:top w:val="nil"/>
              <w:left w:val="nil"/>
              <w:bottom w:val="single" w:sz="4" w:space="0" w:color="auto"/>
              <w:right w:val="single" w:sz="4" w:space="0" w:color="auto"/>
            </w:tcBorders>
            <w:shd w:val="clear" w:color="auto" w:fill="auto"/>
            <w:noWrap/>
            <w:vAlign w:val="center"/>
            <w:hideMark/>
          </w:tcPr>
          <w:p w14:paraId="061EF418"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28 506,20</w:t>
            </w:r>
          </w:p>
        </w:tc>
        <w:tc>
          <w:tcPr>
            <w:tcW w:w="1119" w:type="dxa"/>
            <w:tcBorders>
              <w:top w:val="nil"/>
              <w:left w:val="nil"/>
              <w:bottom w:val="single" w:sz="4" w:space="0" w:color="auto"/>
              <w:right w:val="single" w:sz="4" w:space="0" w:color="auto"/>
            </w:tcBorders>
            <w:shd w:val="clear" w:color="auto" w:fill="auto"/>
            <w:noWrap/>
            <w:vAlign w:val="center"/>
            <w:hideMark/>
          </w:tcPr>
          <w:p w14:paraId="6C86DFC8"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866" w:type="dxa"/>
            <w:tcBorders>
              <w:top w:val="nil"/>
              <w:left w:val="nil"/>
              <w:bottom w:val="single" w:sz="4" w:space="0" w:color="auto"/>
              <w:right w:val="single" w:sz="4" w:space="0" w:color="auto"/>
            </w:tcBorders>
            <w:shd w:val="clear" w:color="auto" w:fill="auto"/>
            <w:noWrap/>
            <w:vAlign w:val="center"/>
            <w:hideMark/>
          </w:tcPr>
          <w:p w14:paraId="0D43FC29"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4 394,15</w:t>
            </w:r>
          </w:p>
        </w:tc>
        <w:tc>
          <w:tcPr>
            <w:tcW w:w="680" w:type="dxa"/>
            <w:tcBorders>
              <w:top w:val="nil"/>
              <w:left w:val="nil"/>
              <w:bottom w:val="single" w:sz="4" w:space="0" w:color="auto"/>
              <w:right w:val="single" w:sz="4" w:space="0" w:color="auto"/>
            </w:tcBorders>
            <w:shd w:val="clear" w:color="auto" w:fill="auto"/>
            <w:noWrap/>
            <w:vAlign w:val="center"/>
            <w:hideMark/>
          </w:tcPr>
          <w:p w14:paraId="042D7828" w14:textId="01930DFA"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18,22</w:t>
            </w:r>
          </w:p>
        </w:tc>
        <w:tc>
          <w:tcPr>
            <w:tcW w:w="850" w:type="dxa"/>
            <w:tcBorders>
              <w:top w:val="nil"/>
              <w:left w:val="nil"/>
              <w:bottom w:val="single" w:sz="4" w:space="0" w:color="auto"/>
              <w:right w:val="single" w:sz="4" w:space="0" w:color="auto"/>
            </w:tcBorders>
            <w:shd w:val="clear" w:color="auto" w:fill="auto"/>
            <w:noWrap/>
            <w:vAlign w:val="center"/>
            <w:hideMark/>
          </w:tcPr>
          <w:p w14:paraId="5F67400A"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1710B19A"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18F28194"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392AC"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70459</w:t>
            </w:r>
          </w:p>
        </w:tc>
        <w:tc>
          <w:tcPr>
            <w:tcW w:w="569" w:type="dxa"/>
            <w:tcBorders>
              <w:top w:val="nil"/>
              <w:left w:val="nil"/>
              <w:bottom w:val="single" w:sz="4" w:space="0" w:color="auto"/>
              <w:right w:val="single" w:sz="4" w:space="0" w:color="auto"/>
            </w:tcBorders>
            <w:shd w:val="clear" w:color="auto" w:fill="auto"/>
            <w:noWrap/>
            <w:vAlign w:val="center"/>
            <w:hideMark/>
          </w:tcPr>
          <w:p w14:paraId="121EA455"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3C930E2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10 235,00</w:t>
            </w:r>
          </w:p>
        </w:tc>
        <w:tc>
          <w:tcPr>
            <w:tcW w:w="1531" w:type="dxa"/>
            <w:tcBorders>
              <w:top w:val="nil"/>
              <w:left w:val="nil"/>
              <w:bottom w:val="single" w:sz="4" w:space="0" w:color="auto"/>
              <w:right w:val="single" w:sz="4" w:space="0" w:color="auto"/>
            </w:tcBorders>
            <w:shd w:val="clear" w:color="auto" w:fill="auto"/>
            <w:noWrap/>
            <w:vAlign w:val="center"/>
            <w:hideMark/>
          </w:tcPr>
          <w:p w14:paraId="709377C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987" w:type="dxa"/>
            <w:tcBorders>
              <w:top w:val="nil"/>
              <w:left w:val="nil"/>
              <w:bottom w:val="single" w:sz="4" w:space="0" w:color="auto"/>
              <w:right w:val="single" w:sz="4" w:space="0" w:color="auto"/>
            </w:tcBorders>
            <w:shd w:val="clear" w:color="auto" w:fill="auto"/>
            <w:noWrap/>
            <w:vAlign w:val="center"/>
            <w:hideMark/>
          </w:tcPr>
          <w:p w14:paraId="646756FF"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19 284,35</w:t>
            </w:r>
          </w:p>
        </w:tc>
        <w:tc>
          <w:tcPr>
            <w:tcW w:w="1119" w:type="dxa"/>
            <w:tcBorders>
              <w:top w:val="nil"/>
              <w:left w:val="nil"/>
              <w:bottom w:val="single" w:sz="4" w:space="0" w:color="auto"/>
              <w:right w:val="single" w:sz="4" w:space="0" w:color="auto"/>
            </w:tcBorders>
            <w:shd w:val="clear" w:color="auto" w:fill="auto"/>
            <w:noWrap/>
            <w:vAlign w:val="center"/>
            <w:hideMark/>
          </w:tcPr>
          <w:p w14:paraId="6B8173F0"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866" w:type="dxa"/>
            <w:tcBorders>
              <w:top w:val="nil"/>
              <w:left w:val="nil"/>
              <w:bottom w:val="single" w:sz="4" w:space="0" w:color="auto"/>
              <w:right w:val="single" w:sz="4" w:space="0" w:color="auto"/>
            </w:tcBorders>
            <w:shd w:val="clear" w:color="auto" w:fill="auto"/>
            <w:noWrap/>
            <w:vAlign w:val="center"/>
            <w:hideMark/>
          </w:tcPr>
          <w:p w14:paraId="6049AF54"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9 049,35</w:t>
            </w:r>
          </w:p>
        </w:tc>
        <w:tc>
          <w:tcPr>
            <w:tcW w:w="680" w:type="dxa"/>
            <w:tcBorders>
              <w:top w:val="nil"/>
              <w:left w:val="nil"/>
              <w:bottom w:val="single" w:sz="4" w:space="0" w:color="auto"/>
              <w:right w:val="single" w:sz="4" w:space="0" w:color="auto"/>
            </w:tcBorders>
            <w:shd w:val="clear" w:color="auto" w:fill="auto"/>
            <w:noWrap/>
            <w:vAlign w:val="center"/>
            <w:hideMark/>
          </w:tcPr>
          <w:p w14:paraId="05D80E26" w14:textId="018BE15A"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88,42</w:t>
            </w:r>
          </w:p>
        </w:tc>
        <w:tc>
          <w:tcPr>
            <w:tcW w:w="850" w:type="dxa"/>
            <w:tcBorders>
              <w:top w:val="nil"/>
              <w:left w:val="nil"/>
              <w:bottom w:val="single" w:sz="4" w:space="0" w:color="auto"/>
              <w:right w:val="single" w:sz="4" w:space="0" w:color="auto"/>
            </w:tcBorders>
            <w:shd w:val="clear" w:color="auto" w:fill="auto"/>
            <w:noWrap/>
            <w:vAlign w:val="center"/>
            <w:hideMark/>
          </w:tcPr>
          <w:p w14:paraId="4CA3791B"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3669EE94"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0C0B247A"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A61CE21"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052D86C8"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3E986260"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10 350,00</w:t>
            </w:r>
          </w:p>
        </w:tc>
        <w:tc>
          <w:tcPr>
            <w:tcW w:w="1531" w:type="dxa"/>
            <w:tcBorders>
              <w:top w:val="nil"/>
              <w:left w:val="nil"/>
              <w:bottom w:val="single" w:sz="4" w:space="0" w:color="auto"/>
              <w:right w:val="single" w:sz="4" w:space="0" w:color="auto"/>
            </w:tcBorders>
            <w:shd w:val="clear" w:color="auto" w:fill="auto"/>
            <w:noWrap/>
            <w:vAlign w:val="center"/>
            <w:hideMark/>
          </w:tcPr>
          <w:p w14:paraId="7702CDC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419DEB8B"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19 284,35</w:t>
            </w:r>
          </w:p>
        </w:tc>
        <w:tc>
          <w:tcPr>
            <w:tcW w:w="1119" w:type="dxa"/>
            <w:tcBorders>
              <w:top w:val="nil"/>
              <w:left w:val="nil"/>
              <w:bottom w:val="single" w:sz="4" w:space="0" w:color="auto"/>
              <w:right w:val="single" w:sz="4" w:space="0" w:color="auto"/>
            </w:tcBorders>
            <w:shd w:val="clear" w:color="auto" w:fill="auto"/>
            <w:noWrap/>
            <w:vAlign w:val="center"/>
            <w:hideMark/>
          </w:tcPr>
          <w:p w14:paraId="626204A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6558FCEA"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8 934,35</w:t>
            </w:r>
          </w:p>
        </w:tc>
        <w:tc>
          <w:tcPr>
            <w:tcW w:w="680" w:type="dxa"/>
            <w:tcBorders>
              <w:top w:val="nil"/>
              <w:left w:val="nil"/>
              <w:bottom w:val="single" w:sz="4" w:space="0" w:color="auto"/>
              <w:right w:val="single" w:sz="4" w:space="0" w:color="auto"/>
            </w:tcBorders>
            <w:shd w:val="clear" w:color="auto" w:fill="auto"/>
            <w:noWrap/>
            <w:vAlign w:val="center"/>
            <w:hideMark/>
          </w:tcPr>
          <w:p w14:paraId="21EB8815" w14:textId="6E50EFA4"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86,32</w:t>
            </w:r>
          </w:p>
        </w:tc>
        <w:tc>
          <w:tcPr>
            <w:tcW w:w="850" w:type="dxa"/>
            <w:tcBorders>
              <w:top w:val="nil"/>
              <w:left w:val="nil"/>
              <w:bottom w:val="single" w:sz="4" w:space="0" w:color="auto"/>
              <w:right w:val="single" w:sz="4" w:space="0" w:color="auto"/>
            </w:tcBorders>
            <w:shd w:val="clear" w:color="auto" w:fill="auto"/>
            <w:noWrap/>
            <w:vAlign w:val="center"/>
            <w:hideMark/>
          </w:tcPr>
          <w:p w14:paraId="63D056C2"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4A9D351B"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5CDDE524"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28323BB"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1BFE7462"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0BC396F7"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10 350,00</w:t>
            </w:r>
          </w:p>
        </w:tc>
        <w:tc>
          <w:tcPr>
            <w:tcW w:w="1531" w:type="dxa"/>
            <w:tcBorders>
              <w:top w:val="nil"/>
              <w:left w:val="nil"/>
              <w:bottom w:val="single" w:sz="4" w:space="0" w:color="auto"/>
              <w:right w:val="single" w:sz="4" w:space="0" w:color="auto"/>
            </w:tcBorders>
            <w:shd w:val="clear" w:color="auto" w:fill="auto"/>
            <w:noWrap/>
            <w:vAlign w:val="center"/>
            <w:hideMark/>
          </w:tcPr>
          <w:p w14:paraId="6983408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6B4F1065"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19 284,35</w:t>
            </w:r>
          </w:p>
        </w:tc>
        <w:tc>
          <w:tcPr>
            <w:tcW w:w="1119" w:type="dxa"/>
            <w:tcBorders>
              <w:top w:val="nil"/>
              <w:left w:val="nil"/>
              <w:bottom w:val="single" w:sz="4" w:space="0" w:color="auto"/>
              <w:right w:val="single" w:sz="4" w:space="0" w:color="auto"/>
            </w:tcBorders>
            <w:shd w:val="clear" w:color="auto" w:fill="auto"/>
            <w:noWrap/>
            <w:vAlign w:val="center"/>
            <w:hideMark/>
          </w:tcPr>
          <w:p w14:paraId="5334E9F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3000FC4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8 934,35</w:t>
            </w:r>
          </w:p>
        </w:tc>
        <w:tc>
          <w:tcPr>
            <w:tcW w:w="680" w:type="dxa"/>
            <w:tcBorders>
              <w:top w:val="nil"/>
              <w:left w:val="nil"/>
              <w:bottom w:val="single" w:sz="4" w:space="0" w:color="auto"/>
              <w:right w:val="single" w:sz="4" w:space="0" w:color="auto"/>
            </w:tcBorders>
            <w:shd w:val="clear" w:color="auto" w:fill="auto"/>
            <w:noWrap/>
            <w:vAlign w:val="center"/>
            <w:hideMark/>
          </w:tcPr>
          <w:p w14:paraId="30DA1AB0" w14:textId="320669E4"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86,32</w:t>
            </w:r>
          </w:p>
        </w:tc>
        <w:tc>
          <w:tcPr>
            <w:tcW w:w="850" w:type="dxa"/>
            <w:tcBorders>
              <w:top w:val="nil"/>
              <w:left w:val="nil"/>
              <w:bottom w:val="single" w:sz="4" w:space="0" w:color="auto"/>
              <w:right w:val="single" w:sz="4" w:space="0" w:color="auto"/>
            </w:tcBorders>
            <w:shd w:val="clear" w:color="auto" w:fill="auto"/>
            <w:noWrap/>
            <w:vAlign w:val="center"/>
            <w:hideMark/>
          </w:tcPr>
          <w:p w14:paraId="3A3E99F2"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0EA4A1BF"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271182EB"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AC7E3A"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70460</w:t>
            </w:r>
          </w:p>
        </w:tc>
        <w:tc>
          <w:tcPr>
            <w:tcW w:w="569" w:type="dxa"/>
            <w:tcBorders>
              <w:top w:val="nil"/>
              <w:left w:val="nil"/>
              <w:bottom w:val="single" w:sz="4" w:space="0" w:color="auto"/>
              <w:right w:val="single" w:sz="4" w:space="0" w:color="auto"/>
            </w:tcBorders>
            <w:shd w:val="clear" w:color="auto" w:fill="auto"/>
            <w:noWrap/>
            <w:vAlign w:val="center"/>
            <w:hideMark/>
          </w:tcPr>
          <w:p w14:paraId="3F736358"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48B6EC8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10 350,00</w:t>
            </w:r>
          </w:p>
        </w:tc>
        <w:tc>
          <w:tcPr>
            <w:tcW w:w="1531" w:type="dxa"/>
            <w:tcBorders>
              <w:top w:val="nil"/>
              <w:left w:val="nil"/>
              <w:bottom w:val="single" w:sz="4" w:space="0" w:color="auto"/>
              <w:right w:val="single" w:sz="4" w:space="0" w:color="auto"/>
            </w:tcBorders>
            <w:shd w:val="clear" w:color="auto" w:fill="auto"/>
            <w:noWrap/>
            <w:vAlign w:val="center"/>
            <w:hideMark/>
          </w:tcPr>
          <w:p w14:paraId="2C9BD9E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7203EA07"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20 144,55</w:t>
            </w:r>
          </w:p>
        </w:tc>
        <w:tc>
          <w:tcPr>
            <w:tcW w:w="1119" w:type="dxa"/>
            <w:tcBorders>
              <w:top w:val="nil"/>
              <w:left w:val="nil"/>
              <w:bottom w:val="single" w:sz="4" w:space="0" w:color="auto"/>
              <w:right w:val="single" w:sz="4" w:space="0" w:color="auto"/>
            </w:tcBorders>
            <w:shd w:val="clear" w:color="auto" w:fill="auto"/>
            <w:noWrap/>
            <w:vAlign w:val="center"/>
            <w:hideMark/>
          </w:tcPr>
          <w:p w14:paraId="1B3610B2"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866" w:type="dxa"/>
            <w:tcBorders>
              <w:top w:val="nil"/>
              <w:left w:val="nil"/>
              <w:bottom w:val="single" w:sz="4" w:space="0" w:color="auto"/>
              <w:right w:val="single" w:sz="4" w:space="0" w:color="auto"/>
            </w:tcBorders>
            <w:shd w:val="clear" w:color="auto" w:fill="auto"/>
            <w:noWrap/>
            <w:vAlign w:val="center"/>
            <w:hideMark/>
          </w:tcPr>
          <w:p w14:paraId="042B43C6"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9 794,55</w:t>
            </w:r>
          </w:p>
        </w:tc>
        <w:tc>
          <w:tcPr>
            <w:tcW w:w="680" w:type="dxa"/>
            <w:tcBorders>
              <w:top w:val="nil"/>
              <w:left w:val="nil"/>
              <w:bottom w:val="single" w:sz="4" w:space="0" w:color="auto"/>
              <w:right w:val="single" w:sz="4" w:space="0" w:color="auto"/>
            </w:tcBorders>
            <w:shd w:val="clear" w:color="auto" w:fill="auto"/>
            <w:noWrap/>
            <w:vAlign w:val="center"/>
            <w:hideMark/>
          </w:tcPr>
          <w:p w14:paraId="0AD3C4DF" w14:textId="3B190BFF"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94,63</w:t>
            </w:r>
          </w:p>
        </w:tc>
        <w:tc>
          <w:tcPr>
            <w:tcW w:w="850" w:type="dxa"/>
            <w:tcBorders>
              <w:top w:val="nil"/>
              <w:left w:val="nil"/>
              <w:bottom w:val="single" w:sz="4" w:space="0" w:color="auto"/>
              <w:right w:val="single" w:sz="4" w:space="0" w:color="auto"/>
            </w:tcBorders>
            <w:shd w:val="clear" w:color="auto" w:fill="auto"/>
            <w:noWrap/>
            <w:vAlign w:val="center"/>
            <w:hideMark/>
          </w:tcPr>
          <w:p w14:paraId="79344C7D"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6667616D"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32CB31B7"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5D82F8F"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31A57803"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33F9D69E"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10 350,00</w:t>
            </w:r>
          </w:p>
        </w:tc>
        <w:tc>
          <w:tcPr>
            <w:tcW w:w="1531" w:type="dxa"/>
            <w:tcBorders>
              <w:top w:val="nil"/>
              <w:left w:val="nil"/>
              <w:bottom w:val="single" w:sz="4" w:space="0" w:color="auto"/>
              <w:right w:val="single" w:sz="4" w:space="0" w:color="auto"/>
            </w:tcBorders>
            <w:shd w:val="clear" w:color="auto" w:fill="auto"/>
            <w:noWrap/>
            <w:vAlign w:val="center"/>
            <w:hideMark/>
          </w:tcPr>
          <w:p w14:paraId="12AB48D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01600A0"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20 144,55</w:t>
            </w:r>
          </w:p>
        </w:tc>
        <w:tc>
          <w:tcPr>
            <w:tcW w:w="1119" w:type="dxa"/>
            <w:tcBorders>
              <w:top w:val="nil"/>
              <w:left w:val="nil"/>
              <w:bottom w:val="single" w:sz="4" w:space="0" w:color="auto"/>
              <w:right w:val="single" w:sz="4" w:space="0" w:color="auto"/>
            </w:tcBorders>
            <w:shd w:val="clear" w:color="auto" w:fill="auto"/>
            <w:noWrap/>
            <w:vAlign w:val="center"/>
            <w:hideMark/>
          </w:tcPr>
          <w:p w14:paraId="7722CD8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0D334787"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9 794,55</w:t>
            </w:r>
          </w:p>
        </w:tc>
        <w:tc>
          <w:tcPr>
            <w:tcW w:w="680" w:type="dxa"/>
            <w:tcBorders>
              <w:top w:val="nil"/>
              <w:left w:val="nil"/>
              <w:bottom w:val="single" w:sz="4" w:space="0" w:color="auto"/>
              <w:right w:val="single" w:sz="4" w:space="0" w:color="auto"/>
            </w:tcBorders>
            <w:shd w:val="clear" w:color="auto" w:fill="auto"/>
            <w:noWrap/>
            <w:vAlign w:val="center"/>
            <w:hideMark/>
          </w:tcPr>
          <w:p w14:paraId="034BC237" w14:textId="4AEE0A01"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94,63</w:t>
            </w:r>
          </w:p>
        </w:tc>
        <w:tc>
          <w:tcPr>
            <w:tcW w:w="850" w:type="dxa"/>
            <w:tcBorders>
              <w:top w:val="nil"/>
              <w:left w:val="nil"/>
              <w:bottom w:val="single" w:sz="4" w:space="0" w:color="auto"/>
              <w:right w:val="single" w:sz="4" w:space="0" w:color="auto"/>
            </w:tcBorders>
            <w:shd w:val="clear" w:color="auto" w:fill="auto"/>
            <w:noWrap/>
            <w:vAlign w:val="center"/>
            <w:hideMark/>
          </w:tcPr>
          <w:p w14:paraId="0C6665FD"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4F63629E"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66BE467F"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83EFA5F"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6317CD86"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233484AB"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10 350,00</w:t>
            </w:r>
          </w:p>
        </w:tc>
        <w:tc>
          <w:tcPr>
            <w:tcW w:w="1531" w:type="dxa"/>
            <w:tcBorders>
              <w:top w:val="nil"/>
              <w:left w:val="nil"/>
              <w:bottom w:val="single" w:sz="4" w:space="0" w:color="auto"/>
              <w:right w:val="single" w:sz="4" w:space="0" w:color="auto"/>
            </w:tcBorders>
            <w:shd w:val="clear" w:color="auto" w:fill="auto"/>
            <w:noWrap/>
            <w:vAlign w:val="center"/>
            <w:hideMark/>
          </w:tcPr>
          <w:p w14:paraId="30D258A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10A0ECC5"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20 144,55</w:t>
            </w:r>
          </w:p>
        </w:tc>
        <w:tc>
          <w:tcPr>
            <w:tcW w:w="1119" w:type="dxa"/>
            <w:tcBorders>
              <w:top w:val="nil"/>
              <w:left w:val="nil"/>
              <w:bottom w:val="single" w:sz="4" w:space="0" w:color="auto"/>
              <w:right w:val="single" w:sz="4" w:space="0" w:color="auto"/>
            </w:tcBorders>
            <w:shd w:val="clear" w:color="auto" w:fill="auto"/>
            <w:noWrap/>
            <w:vAlign w:val="center"/>
            <w:hideMark/>
          </w:tcPr>
          <w:p w14:paraId="08A80814"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314A97D2"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9 794,55</w:t>
            </w:r>
          </w:p>
        </w:tc>
        <w:tc>
          <w:tcPr>
            <w:tcW w:w="680" w:type="dxa"/>
            <w:tcBorders>
              <w:top w:val="nil"/>
              <w:left w:val="nil"/>
              <w:bottom w:val="single" w:sz="4" w:space="0" w:color="auto"/>
              <w:right w:val="single" w:sz="4" w:space="0" w:color="auto"/>
            </w:tcBorders>
            <w:shd w:val="clear" w:color="auto" w:fill="auto"/>
            <w:noWrap/>
            <w:vAlign w:val="center"/>
            <w:hideMark/>
          </w:tcPr>
          <w:p w14:paraId="15AF21BE" w14:textId="2902B66F"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94,63</w:t>
            </w:r>
          </w:p>
        </w:tc>
        <w:tc>
          <w:tcPr>
            <w:tcW w:w="850" w:type="dxa"/>
            <w:tcBorders>
              <w:top w:val="nil"/>
              <w:left w:val="nil"/>
              <w:bottom w:val="single" w:sz="4" w:space="0" w:color="auto"/>
              <w:right w:val="single" w:sz="4" w:space="0" w:color="auto"/>
            </w:tcBorders>
            <w:shd w:val="clear" w:color="auto" w:fill="auto"/>
            <w:noWrap/>
            <w:vAlign w:val="center"/>
            <w:hideMark/>
          </w:tcPr>
          <w:p w14:paraId="7AAE3050"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07807968"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7F1373AD"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36D6D"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105447</w:t>
            </w:r>
          </w:p>
        </w:tc>
        <w:tc>
          <w:tcPr>
            <w:tcW w:w="569" w:type="dxa"/>
            <w:tcBorders>
              <w:top w:val="nil"/>
              <w:left w:val="nil"/>
              <w:bottom w:val="single" w:sz="4" w:space="0" w:color="auto"/>
              <w:right w:val="single" w:sz="4" w:space="0" w:color="auto"/>
            </w:tcBorders>
            <w:shd w:val="clear" w:color="auto" w:fill="auto"/>
            <w:noWrap/>
            <w:vAlign w:val="center"/>
            <w:hideMark/>
          </w:tcPr>
          <w:p w14:paraId="14A9A8AC"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4BB8793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17 250,00</w:t>
            </w:r>
          </w:p>
        </w:tc>
        <w:tc>
          <w:tcPr>
            <w:tcW w:w="1531" w:type="dxa"/>
            <w:tcBorders>
              <w:top w:val="nil"/>
              <w:left w:val="nil"/>
              <w:bottom w:val="single" w:sz="4" w:space="0" w:color="auto"/>
              <w:right w:val="single" w:sz="4" w:space="0" w:color="auto"/>
            </w:tcBorders>
            <w:shd w:val="clear" w:color="auto" w:fill="auto"/>
            <w:noWrap/>
            <w:vAlign w:val="center"/>
            <w:hideMark/>
          </w:tcPr>
          <w:p w14:paraId="7F0E3B2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6000CFD0"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23 944,15</w:t>
            </w:r>
          </w:p>
        </w:tc>
        <w:tc>
          <w:tcPr>
            <w:tcW w:w="1119" w:type="dxa"/>
            <w:tcBorders>
              <w:top w:val="nil"/>
              <w:left w:val="nil"/>
              <w:bottom w:val="single" w:sz="4" w:space="0" w:color="auto"/>
              <w:right w:val="single" w:sz="4" w:space="0" w:color="auto"/>
            </w:tcBorders>
            <w:shd w:val="clear" w:color="auto" w:fill="auto"/>
            <w:noWrap/>
            <w:vAlign w:val="center"/>
            <w:hideMark/>
          </w:tcPr>
          <w:p w14:paraId="1A314DA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 FNUSA</w:t>
            </w:r>
          </w:p>
        </w:tc>
        <w:tc>
          <w:tcPr>
            <w:tcW w:w="866" w:type="dxa"/>
            <w:tcBorders>
              <w:top w:val="nil"/>
              <w:left w:val="nil"/>
              <w:bottom w:val="single" w:sz="4" w:space="0" w:color="auto"/>
              <w:right w:val="single" w:sz="4" w:space="0" w:color="auto"/>
            </w:tcBorders>
            <w:shd w:val="clear" w:color="auto" w:fill="auto"/>
            <w:noWrap/>
            <w:vAlign w:val="center"/>
            <w:hideMark/>
          </w:tcPr>
          <w:p w14:paraId="707DF45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6 694,15</w:t>
            </w:r>
          </w:p>
        </w:tc>
        <w:tc>
          <w:tcPr>
            <w:tcW w:w="680" w:type="dxa"/>
            <w:tcBorders>
              <w:top w:val="nil"/>
              <w:left w:val="nil"/>
              <w:bottom w:val="single" w:sz="4" w:space="0" w:color="auto"/>
              <w:right w:val="single" w:sz="4" w:space="0" w:color="auto"/>
            </w:tcBorders>
            <w:shd w:val="clear" w:color="auto" w:fill="auto"/>
            <w:noWrap/>
            <w:vAlign w:val="center"/>
            <w:hideMark/>
          </w:tcPr>
          <w:p w14:paraId="2B1459B2" w14:textId="681D93A4"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38,81</w:t>
            </w:r>
          </w:p>
        </w:tc>
        <w:tc>
          <w:tcPr>
            <w:tcW w:w="850" w:type="dxa"/>
            <w:tcBorders>
              <w:top w:val="nil"/>
              <w:left w:val="nil"/>
              <w:bottom w:val="single" w:sz="4" w:space="0" w:color="auto"/>
              <w:right w:val="single" w:sz="4" w:space="0" w:color="auto"/>
            </w:tcBorders>
            <w:shd w:val="clear" w:color="auto" w:fill="auto"/>
            <w:noWrap/>
            <w:vAlign w:val="center"/>
            <w:hideMark/>
          </w:tcPr>
          <w:p w14:paraId="46C1C746"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13069875"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126DDB50"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849B660"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2EE64489"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52E0166F"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17 250,00</w:t>
            </w:r>
          </w:p>
        </w:tc>
        <w:tc>
          <w:tcPr>
            <w:tcW w:w="1531" w:type="dxa"/>
            <w:tcBorders>
              <w:top w:val="nil"/>
              <w:left w:val="nil"/>
              <w:bottom w:val="single" w:sz="4" w:space="0" w:color="auto"/>
              <w:right w:val="single" w:sz="4" w:space="0" w:color="auto"/>
            </w:tcBorders>
            <w:shd w:val="clear" w:color="auto" w:fill="auto"/>
            <w:noWrap/>
            <w:vAlign w:val="center"/>
            <w:hideMark/>
          </w:tcPr>
          <w:p w14:paraId="79C971EB"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40243D28"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23 944,15</w:t>
            </w:r>
          </w:p>
        </w:tc>
        <w:tc>
          <w:tcPr>
            <w:tcW w:w="1119" w:type="dxa"/>
            <w:tcBorders>
              <w:top w:val="nil"/>
              <w:left w:val="nil"/>
              <w:bottom w:val="single" w:sz="4" w:space="0" w:color="auto"/>
              <w:right w:val="single" w:sz="4" w:space="0" w:color="auto"/>
            </w:tcBorders>
            <w:shd w:val="clear" w:color="auto" w:fill="auto"/>
            <w:noWrap/>
            <w:vAlign w:val="center"/>
            <w:hideMark/>
          </w:tcPr>
          <w:p w14:paraId="494AF9E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5C60F81D"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6 694,15</w:t>
            </w:r>
          </w:p>
        </w:tc>
        <w:tc>
          <w:tcPr>
            <w:tcW w:w="680" w:type="dxa"/>
            <w:tcBorders>
              <w:top w:val="nil"/>
              <w:left w:val="nil"/>
              <w:bottom w:val="single" w:sz="4" w:space="0" w:color="auto"/>
              <w:right w:val="single" w:sz="4" w:space="0" w:color="auto"/>
            </w:tcBorders>
            <w:shd w:val="clear" w:color="auto" w:fill="auto"/>
            <w:noWrap/>
            <w:vAlign w:val="center"/>
            <w:hideMark/>
          </w:tcPr>
          <w:p w14:paraId="0F1B6667" w14:textId="51B5FA2E"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38,81</w:t>
            </w:r>
          </w:p>
        </w:tc>
        <w:tc>
          <w:tcPr>
            <w:tcW w:w="850" w:type="dxa"/>
            <w:tcBorders>
              <w:top w:val="nil"/>
              <w:left w:val="nil"/>
              <w:bottom w:val="single" w:sz="4" w:space="0" w:color="auto"/>
              <w:right w:val="single" w:sz="4" w:space="0" w:color="auto"/>
            </w:tcBorders>
            <w:shd w:val="clear" w:color="auto" w:fill="auto"/>
            <w:noWrap/>
            <w:vAlign w:val="center"/>
            <w:hideMark/>
          </w:tcPr>
          <w:p w14:paraId="2934262E"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50A9855B"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32E833AA"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B834B14"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16E40EE4"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461C0563"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17 250,00</w:t>
            </w:r>
          </w:p>
        </w:tc>
        <w:tc>
          <w:tcPr>
            <w:tcW w:w="1531" w:type="dxa"/>
            <w:tcBorders>
              <w:top w:val="nil"/>
              <w:left w:val="nil"/>
              <w:bottom w:val="single" w:sz="4" w:space="0" w:color="auto"/>
              <w:right w:val="single" w:sz="4" w:space="0" w:color="auto"/>
            </w:tcBorders>
            <w:shd w:val="clear" w:color="auto" w:fill="auto"/>
            <w:noWrap/>
            <w:vAlign w:val="center"/>
            <w:hideMark/>
          </w:tcPr>
          <w:p w14:paraId="3C07888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080D433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23 944,15</w:t>
            </w:r>
          </w:p>
        </w:tc>
        <w:tc>
          <w:tcPr>
            <w:tcW w:w="1119" w:type="dxa"/>
            <w:tcBorders>
              <w:top w:val="nil"/>
              <w:left w:val="nil"/>
              <w:bottom w:val="single" w:sz="4" w:space="0" w:color="auto"/>
              <w:right w:val="single" w:sz="4" w:space="0" w:color="auto"/>
            </w:tcBorders>
            <w:shd w:val="clear" w:color="auto" w:fill="auto"/>
            <w:noWrap/>
            <w:vAlign w:val="center"/>
            <w:hideMark/>
          </w:tcPr>
          <w:p w14:paraId="7FD75F5A"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0471F483"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6 694,15</w:t>
            </w:r>
          </w:p>
        </w:tc>
        <w:tc>
          <w:tcPr>
            <w:tcW w:w="680" w:type="dxa"/>
            <w:tcBorders>
              <w:top w:val="nil"/>
              <w:left w:val="nil"/>
              <w:bottom w:val="single" w:sz="4" w:space="0" w:color="auto"/>
              <w:right w:val="single" w:sz="4" w:space="0" w:color="auto"/>
            </w:tcBorders>
            <w:shd w:val="clear" w:color="auto" w:fill="auto"/>
            <w:noWrap/>
            <w:vAlign w:val="center"/>
            <w:hideMark/>
          </w:tcPr>
          <w:p w14:paraId="22BDFFF6" w14:textId="4D4B9D5D"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38,81</w:t>
            </w:r>
          </w:p>
        </w:tc>
        <w:tc>
          <w:tcPr>
            <w:tcW w:w="850" w:type="dxa"/>
            <w:tcBorders>
              <w:top w:val="nil"/>
              <w:left w:val="nil"/>
              <w:bottom w:val="single" w:sz="4" w:space="0" w:color="auto"/>
              <w:right w:val="single" w:sz="4" w:space="0" w:color="auto"/>
            </w:tcBorders>
            <w:shd w:val="clear" w:color="auto" w:fill="auto"/>
            <w:noWrap/>
            <w:vAlign w:val="center"/>
            <w:hideMark/>
          </w:tcPr>
          <w:p w14:paraId="6E1146F2"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27DBB62A"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76ECE19B"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12C266"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105477</w:t>
            </w:r>
          </w:p>
        </w:tc>
        <w:tc>
          <w:tcPr>
            <w:tcW w:w="569" w:type="dxa"/>
            <w:tcBorders>
              <w:top w:val="nil"/>
              <w:left w:val="nil"/>
              <w:bottom w:val="single" w:sz="4" w:space="0" w:color="auto"/>
              <w:right w:val="single" w:sz="4" w:space="0" w:color="auto"/>
            </w:tcBorders>
            <w:shd w:val="clear" w:color="auto" w:fill="auto"/>
            <w:noWrap/>
            <w:vAlign w:val="center"/>
            <w:hideMark/>
          </w:tcPr>
          <w:p w14:paraId="17B87B07"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1B548952"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15 552,60</w:t>
            </w:r>
          </w:p>
        </w:tc>
        <w:tc>
          <w:tcPr>
            <w:tcW w:w="1531" w:type="dxa"/>
            <w:tcBorders>
              <w:top w:val="nil"/>
              <w:left w:val="nil"/>
              <w:bottom w:val="single" w:sz="4" w:space="0" w:color="auto"/>
              <w:right w:val="single" w:sz="4" w:space="0" w:color="auto"/>
            </w:tcBorders>
            <w:shd w:val="clear" w:color="auto" w:fill="auto"/>
            <w:noWrap/>
            <w:vAlign w:val="center"/>
            <w:hideMark/>
          </w:tcPr>
          <w:p w14:paraId="1524D71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415C986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24 789,40</w:t>
            </w:r>
          </w:p>
        </w:tc>
        <w:tc>
          <w:tcPr>
            <w:tcW w:w="1119" w:type="dxa"/>
            <w:tcBorders>
              <w:top w:val="nil"/>
              <w:left w:val="nil"/>
              <w:bottom w:val="single" w:sz="4" w:space="0" w:color="auto"/>
              <w:right w:val="single" w:sz="4" w:space="0" w:color="auto"/>
            </w:tcBorders>
            <w:shd w:val="clear" w:color="auto" w:fill="auto"/>
            <w:noWrap/>
            <w:vAlign w:val="center"/>
            <w:hideMark/>
          </w:tcPr>
          <w:p w14:paraId="185045D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5A953F4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9 236,80</w:t>
            </w:r>
          </w:p>
        </w:tc>
        <w:tc>
          <w:tcPr>
            <w:tcW w:w="680" w:type="dxa"/>
            <w:tcBorders>
              <w:top w:val="nil"/>
              <w:left w:val="nil"/>
              <w:bottom w:val="single" w:sz="4" w:space="0" w:color="auto"/>
              <w:right w:val="single" w:sz="4" w:space="0" w:color="auto"/>
            </w:tcBorders>
            <w:shd w:val="clear" w:color="auto" w:fill="auto"/>
            <w:noWrap/>
            <w:vAlign w:val="center"/>
            <w:hideMark/>
          </w:tcPr>
          <w:p w14:paraId="2AAA24CC" w14:textId="68E0CCC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59,39</w:t>
            </w:r>
          </w:p>
        </w:tc>
        <w:tc>
          <w:tcPr>
            <w:tcW w:w="850" w:type="dxa"/>
            <w:tcBorders>
              <w:top w:val="nil"/>
              <w:left w:val="nil"/>
              <w:bottom w:val="single" w:sz="4" w:space="0" w:color="auto"/>
              <w:right w:val="single" w:sz="4" w:space="0" w:color="auto"/>
            </w:tcBorders>
            <w:shd w:val="clear" w:color="auto" w:fill="auto"/>
            <w:noWrap/>
            <w:vAlign w:val="center"/>
            <w:hideMark/>
          </w:tcPr>
          <w:p w14:paraId="5C5265F2"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601DEBD3"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3BA7081D"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897DCFC"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75059C1D"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73430C6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15 552,60</w:t>
            </w:r>
          </w:p>
        </w:tc>
        <w:tc>
          <w:tcPr>
            <w:tcW w:w="1531" w:type="dxa"/>
            <w:tcBorders>
              <w:top w:val="nil"/>
              <w:left w:val="nil"/>
              <w:bottom w:val="single" w:sz="4" w:space="0" w:color="auto"/>
              <w:right w:val="single" w:sz="4" w:space="0" w:color="auto"/>
            </w:tcBorders>
            <w:shd w:val="clear" w:color="auto" w:fill="auto"/>
            <w:noWrap/>
            <w:vAlign w:val="center"/>
            <w:hideMark/>
          </w:tcPr>
          <w:p w14:paraId="6E3ECB3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7A06DF0F"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24 789,40</w:t>
            </w:r>
          </w:p>
        </w:tc>
        <w:tc>
          <w:tcPr>
            <w:tcW w:w="1119" w:type="dxa"/>
            <w:tcBorders>
              <w:top w:val="nil"/>
              <w:left w:val="nil"/>
              <w:bottom w:val="single" w:sz="4" w:space="0" w:color="auto"/>
              <w:right w:val="single" w:sz="4" w:space="0" w:color="auto"/>
            </w:tcBorders>
            <w:shd w:val="clear" w:color="auto" w:fill="auto"/>
            <w:noWrap/>
            <w:vAlign w:val="center"/>
            <w:hideMark/>
          </w:tcPr>
          <w:p w14:paraId="74A839C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74BEA1A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9 236,80</w:t>
            </w:r>
          </w:p>
        </w:tc>
        <w:tc>
          <w:tcPr>
            <w:tcW w:w="680" w:type="dxa"/>
            <w:tcBorders>
              <w:top w:val="nil"/>
              <w:left w:val="nil"/>
              <w:bottom w:val="single" w:sz="4" w:space="0" w:color="auto"/>
              <w:right w:val="single" w:sz="4" w:space="0" w:color="auto"/>
            </w:tcBorders>
            <w:shd w:val="clear" w:color="auto" w:fill="auto"/>
            <w:noWrap/>
            <w:vAlign w:val="center"/>
            <w:hideMark/>
          </w:tcPr>
          <w:p w14:paraId="504D3DD7" w14:textId="131CDFE3"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59,39</w:t>
            </w:r>
          </w:p>
        </w:tc>
        <w:tc>
          <w:tcPr>
            <w:tcW w:w="850" w:type="dxa"/>
            <w:tcBorders>
              <w:top w:val="nil"/>
              <w:left w:val="nil"/>
              <w:bottom w:val="single" w:sz="4" w:space="0" w:color="auto"/>
              <w:right w:val="single" w:sz="4" w:space="0" w:color="auto"/>
            </w:tcBorders>
            <w:shd w:val="clear" w:color="auto" w:fill="auto"/>
            <w:noWrap/>
            <w:vAlign w:val="center"/>
            <w:hideMark/>
          </w:tcPr>
          <w:p w14:paraId="3E4A52C6"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44563E76"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42F72F4A"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1EF12CF"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1BB1539C"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7CE15B4A"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15 552,60</w:t>
            </w:r>
          </w:p>
        </w:tc>
        <w:tc>
          <w:tcPr>
            <w:tcW w:w="1531" w:type="dxa"/>
            <w:tcBorders>
              <w:top w:val="nil"/>
              <w:left w:val="nil"/>
              <w:bottom w:val="single" w:sz="4" w:space="0" w:color="auto"/>
              <w:right w:val="single" w:sz="4" w:space="0" w:color="auto"/>
            </w:tcBorders>
            <w:shd w:val="clear" w:color="auto" w:fill="auto"/>
            <w:noWrap/>
            <w:vAlign w:val="center"/>
            <w:hideMark/>
          </w:tcPr>
          <w:p w14:paraId="6C781AF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56B07EE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24 789,40</w:t>
            </w:r>
          </w:p>
        </w:tc>
        <w:tc>
          <w:tcPr>
            <w:tcW w:w="1119" w:type="dxa"/>
            <w:tcBorders>
              <w:top w:val="nil"/>
              <w:left w:val="nil"/>
              <w:bottom w:val="single" w:sz="4" w:space="0" w:color="auto"/>
              <w:right w:val="single" w:sz="4" w:space="0" w:color="auto"/>
            </w:tcBorders>
            <w:shd w:val="clear" w:color="auto" w:fill="auto"/>
            <w:noWrap/>
            <w:vAlign w:val="center"/>
            <w:hideMark/>
          </w:tcPr>
          <w:p w14:paraId="4C005A4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449415C8"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9 236,80</w:t>
            </w:r>
          </w:p>
        </w:tc>
        <w:tc>
          <w:tcPr>
            <w:tcW w:w="680" w:type="dxa"/>
            <w:tcBorders>
              <w:top w:val="nil"/>
              <w:left w:val="nil"/>
              <w:bottom w:val="single" w:sz="4" w:space="0" w:color="auto"/>
              <w:right w:val="single" w:sz="4" w:space="0" w:color="auto"/>
            </w:tcBorders>
            <w:shd w:val="clear" w:color="auto" w:fill="auto"/>
            <w:noWrap/>
            <w:vAlign w:val="center"/>
            <w:hideMark/>
          </w:tcPr>
          <w:p w14:paraId="00147825" w14:textId="55C5C90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59,39</w:t>
            </w:r>
          </w:p>
        </w:tc>
        <w:tc>
          <w:tcPr>
            <w:tcW w:w="850" w:type="dxa"/>
            <w:tcBorders>
              <w:top w:val="nil"/>
              <w:left w:val="nil"/>
              <w:bottom w:val="single" w:sz="4" w:space="0" w:color="auto"/>
              <w:right w:val="single" w:sz="4" w:space="0" w:color="auto"/>
            </w:tcBorders>
            <w:shd w:val="clear" w:color="auto" w:fill="auto"/>
            <w:noWrap/>
            <w:vAlign w:val="center"/>
            <w:hideMark/>
          </w:tcPr>
          <w:p w14:paraId="2C51D8CB"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5AF6A3CF"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21164CAA"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E03B9"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113945</w:t>
            </w:r>
          </w:p>
        </w:tc>
        <w:tc>
          <w:tcPr>
            <w:tcW w:w="569" w:type="dxa"/>
            <w:tcBorders>
              <w:top w:val="nil"/>
              <w:left w:val="nil"/>
              <w:bottom w:val="single" w:sz="4" w:space="0" w:color="auto"/>
              <w:right w:val="single" w:sz="4" w:space="0" w:color="auto"/>
            </w:tcBorders>
            <w:shd w:val="clear" w:color="auto" w:fill="auto"/>
            <w:noWrap/>
            <w:vAlign w:val="center"/>
            <w:hideMark/>
          </w:tcPr>
          <w:p w14:paraId="2341A1E2"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27EC0E2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27 600,00</w:t>
            </w:r>
          </w:p>
        </w:tc>
        <w:tc>
          <w:tcPr>
            <w:tcW w:w="1531" w:type="dxa"/>
            <w:tcBorders>
              <w:top w:val="nil"/>
              <w:left w:val="nil"/>
              <w:bottom w:val="single" w:sz="4" w:space="0" w:color="auto"/>
              <w:right w:val="single" w:sz="4" w:space="0" w:color="auto"/>
            </w:tcBorders>
            <w:shd w:val="clear" w:color="auto" w:fill="auto"/>
            <w:noWrap/>
            <w:vAlign w:val="center"/>
            <w:hideMark/>
          </w:tcPr>
          <w:p w14:paraId="25E6D63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23B4C7B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29 900,00</w:t>
            </w:r>
          </w:p>
        </w:tc>
        <w:tc>
          <w:tcPr>
            <w:tcW w:w="1119" w:type="dxa"/>
            <w:tcBorders>
              <w:top w:val="nil"/>
              <w:left w:val="nil"/>
              <w:bottom w:val="single" w:sz="4" w:space="0" w:color="auto"/>
              <w:right w:val="single" w:sz="4" w:space="0" w:color="auto"/>
            </w:tcBorders>
            <w:shd w:val="clear" w:color="auto" w:fill="auto"/>
            <w:noWrap/>
            <w:vAlign w:val="center"/>
            <w:hideMark/>
          </w:tcPr>
          <w:p w14:paraId="695F434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866" w:type="dxa"/>
            <w:tcBorders>
              <w:top w:val="nil"/>
              <w:left w:val="nil"/>
              <w:bottom w:val="single" w:sz="4" w:space="0" w:color="auto"/>
              <w:right w:val="single" w:sz="4" w:space="0" w:color="auto"/>
            </w:tcBorders>
            <w:shd w:val="clear" w:color="auto" w:fill="auto"/>
            <w:noWrap/>
            <w:vAlign w:val="center"/>
            <w:hideMark/>
          </w:tcPr>
          <w:p w14:paraId="06A4B55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2 300,00</w:t>
            </w:r>
          </w:p>
        </w:tc>
        <w:tc>
          <w:tcPr>
            <w:tcW w:w="680" w:type="dxa"/>
            <w:tcBorders>
              <w:top w:val="nil"/>
              <w:left w:val="nil"/>
              <w:bottom w:val="single" w:sz="4" w:space="0" w:color="auto"/>
              <w:right w:val="single" w:sz="4" w:space="0" w:color="auto"/>
            </w:tcBorders>
            <w:shd w:val="clear" w:color="auto" w:fill="auto"/>
            <w:noWrap/>
            <w:vAlign w:val="center"/>
            <w:hideMark/>
          </w:tcPr>
          <w:p w14:paraId="77CC9294" w14:textId="1FBDE8E9"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8,33</w:t>
            </w:r>
          </w:p>
        </w:tc>
        <w:tc>
          <w:tcPr>
            <w:tcW w:w="850" w:type="dxa"/>
            <w:tcBorders>
              <w:top w:val="nil"/>
              <w:left w:val="nil"/>
              <w:bottom w:val="single" w:sz="4" w:space="0" w:color="auto"/>
              <w:right w:val="single" w:sz="4" w:space="0" w:color="auto"/>
            </w:tcBorders>
            <w:shd w:val="clear" w:color="auto" w:fill="auto"/>
            <w:noWrap/>
            <w:vAlign w:val="center"/>
            <w:hideMark/>
          </w:tcPr>
          <w:p w14:paraId="7E2033C5"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346EFE15"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6018D7FC"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F87D1D9"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488A6599"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00686A7D"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27 600,00</w:t>
            </w:r>
          </w:p>
        </w:tc>
        <w:tc>
          <w:tcPr>
            <w:tcW w:w="1531" w:type="dxa"/>
            <w:tcBorders>
              <w:top w:val="nil"/>
              <w:left w:val="nil"/>
              <w:bottom w:val="single" w:sz="4" w:space="0" w:color="auto"/>
              <w:right w:val="single" w:sz="4" w:space="0" w:color="auto"/>
            </w:tcBorders>
            <w:shd w:val="clear" w:color="auto" w:fill="auto"/>
            <w:noWrap/>
            <w:vAlign w:val="center"/>
            <w:hideMark/>
          </w:tcPr>
          <w:p w14:paraId="40C9F0F6"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1E2DE603"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29 877,00</w:t>
            </w:r>
          </w:p>
        </w:tc>
        <w:tc>
          <w:tcPr>
            <w:tcW w:w="1119" w:type="dxa"/>
            <w:tcBorders>
              <w:top w:val="nil"/>
              <w:left w:val="nil"/>
              <w:bottom w:val="single" w:sz="4" w:space="0" w:color="auto"/>
              <w:right w:val="single" w:sz="4" w:space="0" w:color="auto"/>
            </w:tcBorders>
            <w:shd w:val="clear" w:color="auto" w:fill="auto"/>
            <w:noWrap/>
            <w:vAlign w:val="center"/>
            <w:hideMark/>
          </w:tcPr>
          <w:p w14:paraId="61DDBE6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12DD7F69"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2 277,00</w:t>
            </w:r>
          </w:p>
        </w:tc>
        <w:tc>
          <w:tcPr>
            <w:tcW w:w="680" w:type="dxa"/>
            <w:tcBorders>
              <w:top w:val="nil"/>
              <w:left w:val="nil"/>
              <w:bottom w:val="single" w:sz="4" w:space="0" w:color="auto"/>
              <w:right w:val="single" w:sz="4" w:space="0" w:color="auto"/>
            </w:tcBorders>
            <w:shd w:val="clear" w:color="auto" w:fill="auto"/>
            <w:noWrap/>
            <w:vAlign w:val="center"/>
            <w:hideMark/>
          </w:tcPr>
          <w:p w14:paraId="566D8F66" w14:textId="539D048A"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8,25</w:t>
            </w:r>
          </w:p>
        </w:tc>
        <w:tc>
          <w:tcPr>
            <w:tcW w:w="850" w:type="dxa"/>
            <w:tcBorders>
              <w:top w:val="nil"/>
              <w:left w:val="nil"/>
              <w:bottom w:val="single" w:sz="4" w:space="0" w:color="auto"/>
              <w:right w:val="single" w:sz="4" w:space="0" w:color="auto"/>
            </w:tcBorders>
            <w:shd w:val="clear" w:color="auto" w:fill="auto"/>
            <w:noWrap/>
            <w:vAlign w:val="center"/>
            <w:hideMark/>
          </w:tcPr>
          <w:p w14:paraId="442314FF"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10E9456B"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5C8A7107"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422CEA4"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365E393A"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57C64321"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21 824,70</w:t>
            </w:r>
          </w:p>
        </w:tc>
        <w:tc>
          <w:tcPr>
            <w:tcW w:w="1531" w:type="dxa"/>
            <w:tcBorders>
              <w:top w:val="nil"/>
              <w:left w:val="nil"/>
              <w:bottom w:val="single" w:sz="4" w:space="0" w:color="auto"/>
              <w:right w:val="single" w:sz="4" w:space="0" w:color="auto"/>
            </w:tcBorders>
            <w:shd w:val="clear" w:color="auto" w:fill="auto"/>
            <w:noWrap/>
            <w:vAlign w:val="center"/>
            <w:hideMark/>
          </w:tcPr>
          <w:p w14:paraId="6C0A39C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5F56891D"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29 877,00</w:t>
            </w:r>
          </w:p>
        </w:tc>
        <w:tc>
          <w:tcPr>
            <w:tcW w:w="1119" w:type="dxa"/>
            <w:tcBorders>
              <w:top w:val="nil"/>
              <w:left w:val="nil"/>
              <w:bottom w:val="single" w:sz="4" w:space="0" w:color="auto"/>
              <w:right w:val="single" w:sz="4" w:space="0" w:color="auto"/>
            </w:tcBorders>
            <w:shd w:val="clear" w:color="auto" w:fill="auto"/>
            <w:noWrap/>
            <w:vAlign w:val="center"/>
            <w:hideMark/>
          </w:tcPr>
          <w:p w14:paraId="15D6FBD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738967C9"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8 052,30</w:t>
            </w:r>
          </w:p>
        </w:tc>
        <w:tc>
          <w:tcPr>
            <w:tcW w:w="680" w:type="dxa"/>
            <w:tcBorders>
              <w:top w:val="nil"/>
              <w:left w:val="nil"/>
              <w:bottom w:val="single" w:sz="4" w:space="0" w:color="auto"/>
              <w:right w:val="single" w:sz="4" w:space="0" w:color="auto"/>
            </w:tcBorders>
            <w:shd w:val="clear" w:color="auto" w:fill="auto"/>
            <w:noWrap/>
            <w:vAlign w:val="center"/>
            <w:hideMark/>
          </w:tcPr>
          <w:p w14:paraId="795F78AF" w14:textId="49C4106D"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36,90</w:t>
            </w:r>
          </w:p>
        </w:tc>
        <w:tc>
          <w:tcPr>
            <w:tcW w:w="850" w:type="dxa"/>
            <w:tcBorders>
              <w:top w:val="nil"/>
              <w:left w:val="nil"/>
              <w:bottom w:val="single" w:sz="4" w:space="0" w:color="auto"/>
              <w:right w:val="single" w:sz="4" w:space="0" w:color="auto"/>
            </w:tcBorders>
            <w:shd w:val="clear" w:color="auto" w:fill="auto"/>
            <w:noWrap/>
            <w:vAlign w:val="center"/>
            <w:hideMark/>
          </w:tcPr>
          <w:p w14:paraId="5EA5DCB7"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1C113E29"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4A25EC15"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EF3FB" w14:textId="77777777" w:rsidR="00241D6F" w:rsidRPr="00527E83" w:rsidRDefault="00241D6F" w:rsidP="00E311DC">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192948</w:t>
            </w:r>
          </w:p>
        </w:tc>
        <w:tc>
          <w:tcPr>
            <w:tcW w:w="569" w:type="dxa"/>
            <w:tcBorders>
              <w:top w:val="nil"/>
              <w:left w:val="nil"/>
              <w:bottom w:val="single" w:sz="4" w:space="0" w:color="auto"/>
              <w:right w:val="single" w:sz="4" w:space="0" w:color="auto"/>
            </w:tcBorders>
            <w:shd w:val="clear" w:color="auto" w:fill="auto"/>
            <w:noWrap/>
            <w:vAlign w:val="center"/>
            <w:hideMark/>
          </w:tcPr>
          <w:p w14:paraId="2C82C73E" w14:textId="77777777" w:rsidR="00241D6F" w:rsidRPr="00527E83" w:rsidRDefault="00241D6F"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30224DF2"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28 461,00</w:t>
            </w:r>
          </w:p>
        </w:tc>
        <w:tc>
          <w:tcPr>
            <w:tcW w:w="1531" w:type="dxa"/>
            <w:tcBorders>
              <w:top w:val="nil"/>
              <w:left w:val="nil"/>
              <w:bottom w:val="single" w:sz="4" w:space="0" w:color="auto"/>
              <w:right w:val="single" w:sz="4" w:space="0" w:color="auto"/>
            </w:tcBorders>
            <w:shd w:val="clear" w:color="auto" w:fill="auto"/>
            <w:noWrap/>
            <w:vAlign w:val="center"/>
            <w:hideMark/>
          </w:tcPr>
          <w:p w14:paraId="2F150E23" w14:textId="52ED3E8B"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55CC2AA8" w14:textId="6BFA65F9"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283275">
              <w:rPr>
                <w:rFonts w:asciiTheme="minorHAnsi" w:eastAsia="Times New Roman" w:hAnsiTheme="minorHAnsi" w:cstheme="minorHAnsi"/>
                <w:color w:val="000000"/>
                <w:sz w:val="18"/>
                <w:szCs w:val="18"/>
              </w:rPr>
              <w:t>-</w:t>
            </w:r>
          </w:p>
        </w:tc>
        <w:tc>
          <w:tcPr>
            <w:tcW w:w="1119" w:type="dxa"/>
            <w:tcBorders>
              <w:top w:val="nil"/>
              <w:left w:val="nil"/>
              <w:bottom w:val="single" w:sz="4" w:space="0" w:color="auto"/>
              <w:right w:val="single" w:sz="4" w:space="0" w:color="auto"/>
            </w:tcBorders>
            <w:shd w:val="clear" w:color="auto" w:fill="auto"/>
            <w:noWrap/>
            <w:vAlign w:val="center"/>
            <w:hideMark/>
          </w:tcPr>
          <w:p w14:paraId="148D55FC" w14:textId="014F9002"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283275">
              <w:rPr>
                <w:rFonts w:asciiTheme="minorHAnsi" w:eastAsia="Times New Roman" w:hAnsiTheme="minorHAnsi" w:cstheme="minorHAnsi"/>
                <w:color w:val="000000"/>
                <w:sz w:val="18"/>
                <w:szCs w:val="18"/>
              </w:rPr>
              <w:t>-</w:t>
            </w:r>
          </w:p>
        </w:tc>
        <w:tc>
          <w:tcPr>
            <w:tcW w:w="866" w:type="dxa"/>
            <w:tcBorders>
              <w:top w:val="nil"/>
              <w:left w:val="nil"/>
              <w:bottom w:val="single" w:sz="4" w:space="0" w:color="auto"/>
              <w:right w:val="single" w:sz="4" w:space="0" w:color="auto"/>
            </w:tcBorders>
            <w:shd w:val="clear" w:color="auto" w:fill="auto"/>
            <w:noWrap/>
            <w:vAlign w:val="center"/>
            <w:hideMark/>
          </w:tcPr>
          <w:p w14:paraId="0D286E0E"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680" w:type="dxa"/>
            <w:tcBorders>
              <w:top w:val="nil"/>
              <w:left w:val="nil"/>
              <w:bottom w:val="single" w:sz="4" w:space="0" w:color="auto"/>
              <w:right w:val="single" w:sz="4" w:space="0" w:color="auto"/>
            </w:tcBorders>
            <w:shd w:val="clear" w:color="auto" w:fill="auto"/>
            <w:noWrap/>
            <w:vAlign w:val="center"/>
            <w:hideMark/>
          </w:tcPr>
          <w:p w14:paraId="6312C9D4" w14:textId="01B70DD4"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2D5B370"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3B51BF55"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9D4751" w:rsidRPr="00527E83" w14:paraId="154FC348"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BDEB10E" w14:textId="77777777" w:rsidR="00241D6F" w:rsidRPr="00527E83" w:rsidRDefault="00241D6F"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193B2E3F" w14:textId="77777777" w:rsidR="00241D6F" w:rsidRPr="00527E83" w:rsidRDefault="00241D6F"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0E69D74B"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28 461,01</w:t>
            </w:r>
          </w:p>
        </w:tc>
        <w:tc>
          <w:tcPr>
            <w:tcW w:w="1531" w:type="dxa"/>
            <w:tcBorders>
              <w:top w:val="nil"/>
              <w:left w:val="nil"/>
              <w:bottom w:val="single" w:sz="4" w:space="0" w:color="auto"/>
              <w:right w:val="single" w:sz="4" w:space="0" w:color="auto"/>
            </w:tcBorders>
            <w:shd w:val="clear" w:color="auto" w:fill="auto"/>
            <w:noWrap/>
            <w:vAlign w:val="center"/>
            <w:hideMark/>
          </w:tcPr>
          <w:p w14:paraId="0D7518C3" w14:textId="77777777"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987" w:type="dxa"/>
            <w:tcBorders>
              <w:top w:val="nil"/>
              <w:left w:val="nil"/>
              <w:bottom w:val="single" w:sz="4" w:space="0" w:color="auto"/>
              <w:right w:val="single" w:sz="4" w:space="0" w:color="auto"/>
            </w:tcBorders>
            <w:shd w:val="clear" w:color="auto" w:fill="auto"/>
            <w:noWrap/>
            <w:vAlign w:val="center"/>
            <w:hideMark/>
          </w:tcPr>
          <w:p w14:paraId="6043B360" w14:textId="6F24D401"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283275">
              <w:rPr>
                <w:rFonts w:asciiTheme="minorHAnsi" w:eastAsia="Times New Roman" w:hAnsiTheme="minorHAnsi" w:cstheme="minorHAnsi"/>
                <w:color w:val="000000"/>
                <w:sz w:val="18"/>
                <w:szCs w:val="18"/>
              </w:rPr>
              <w:t>-</w:t>
            </w:r>
          </w:p>
        </w:tc>
        <w:tc>
          <w:tcPr>
            <w:tcW w:w="1119" w:type="dxa"/>
            <w:tcBorders>
              <w:top w:val="nil"/>
              <w:left w:val="nil"/>
              <w:bottom w:val="single" w:sz="4" w:space="0" w:color="auto"/>
              <w:right w:val="single" w:sz="4" w:space="0" w:color="auto"/>
            </w:tcBorders>
            <w:shd w:val="clear" w:color="auto" w:fill="auto"/>
            <w:noWrap/>
            <w:vAlign w:val="center"/>
            <w:hideMark/>
          </w:tcPr>
          <w:p w14:paraId="20454F1B" w14:textId="10D7F51A" w:rsidR="00241D6F" w:rsidRPr="00527E83" w:rsidRDefault="00241D6F" w:rsidP="00241D6F">
            <w:pPr>
              <w:widowControl/>
              <w:autoSpaceDE/>
              <w:autoSpaceDN/>
              <w:adjustRightInd/>
              <w:jc w:val="center"/>
              <w:rPr>
                <w:rFonts w:asciiTheme="minorHAnsi" w:eastAsia="Times New Roman" w:hAnsiTheme="minorHAnsi" w:cstheme="minorHAnsi"/>
                <w:color w:val="000000"/>
                <w:sz w:val="18"/>
                <w:szCs w:val="18"/>
              </w:rPr>
            </w:pPr>
            <w:r w:rsidRPr="00283275">
              <w:rPr>
                <w:rFonts w:asciiTheme="minorHAnsi" w:eastAsia="Times New Roman" w:hAnsiTheme="minorHAnsi" w:cstheme="minorHAnsi"/>
                <w:color w:val="000000"/>
                <w:sz w:val="18"/>
                <w:szCs w:val="18"/>
              </w:rPr>
              <w:t>-</w:t>
            </w:r>
          </w:p>
        </w:tc>
        <w:tc>
          <w:tcPr>
            <w:tcW w:w="866" w:type="dxa"/>
            <w:tcBorders>
              <w:top w:val="nil"/>
              <w:left w:val="nil"/>
              <w:bottom w:val="single" w:sz="4" w:space="0" w:color="auto"/>
              <w:right w:val="single" w:sz="4" w:space="0" w:color="auto"/>
            </w:tcBorders>
            <w:shd w:val="clear" w:color="auto" w:fill="auto"/>
            <w:noWrap/>
            <w:vAlign w:val="center"/>
            <w:hideMark/>
          </w:tcPr>
          <w:p w14:paraId="1DF8817F" w14:textId="7777777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680" w:type="dxa"/>
            <w:tcBorders>
              <w:top w:val="nil"/>
              <w:left w:val="nil"/>
              <w:bottom w:val="single" w:sz="4" w:space="0" w:color="auto"/>
              <w:right w:val="single" w:sz="4" w:space="0" w:color="auto"/>
            </w:tcBorders>
            <w:shd w:val="clear" w:color="auto" w:fill="auto"/>
            <w:noWrap/>
            <w:vAlign w:val="center"/>
            <w:hideMark/>
          </w:tcPr>
          <w:p w14:paraId="618CB1F0" w14:textId="669A2487" w:rsidR="00241D6F" w:rsidRPr="00527E83" w:rsidRDefault="00241D6F"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D9324FE"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c>
          <w:tcPr>
            <w:tcW w:w="913" w:type="dxa"/>
            <w:tcBorders>
              <w:top w:val="nil"/>
              <w:left w:val="nil"/>
              <w:bottom w:val="single" w:sz="4" w:space="0" w:color="auto"/>
              <w:right w:val="single" w:sz="4" w:space="0" w:color="auto"/>
            </w:tcBorders>
            <w:shd w:val="clear" w:color="auto" w:fill="auto"/>
            <w:noWrap/>
            <w:vAlign w:val="center"/>
            <w:hideMark/>
          </w:tcPr>
          <w:p w14:paraId="40FF1830" w14:textId="77777777" w:rsidR="00241D6F" w:rsidRPr="00527E83" w:rsidRDefault="00241D6F"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1B4AB8FC"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0034C77"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09994AA0"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58D083F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16 675,00</w:t>
            </w:r>
          </w:p>
        </w:tc>
        <w:tc>
          <w:tcPr>
            <w:tcW w:w="1531" w:type="dxa"/>
            <w:tcBorders>
              <w:top w:val="nil"/>
              <w:left w:val="nil"/>
              <w:bottom w:val="single" w:sz="4" w:space="0" w:color="auto"/>
              <w:right w:val="single" w:sz="4" w:space="0" w:color="auto"/>
            </w:tcBorders>
            <w:shd w:val="clear" w:color="auto" w:fill="auto"/>
            <w:noWrap/>
            <w:vAlign w:val="center"/>
            <w:hideMark/>
          </w:tcPr>
          <w:p w14:paraId="52644CA9"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6CDDE1B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28 461,00</w:t>
            </w:r>
          </w:p>
        </w:tc>
        <w:tc>
          <w:tcPr>
            <w:tcW w:w="1119" w:type="dxa"/>
            <w:tcBorders>
              <w:top w:val="nil"/>
              <w:left w:val="nil"/>
              <w:bottom w:val="single" w:sz="4" w:space="0" w:color="auto"/>
              <w:right w:val="single" w:sz="4" w:space="0" w:color="auto"/>
            </w:tcBorders>
            <w:shd w:val="clear" w:color="auto" w:fill="auto"/>
            <w:noWrap/>
            <w:vAlign w:val="center"/>
            <w:hideMark/>
          </w:tcPr>
          <w:p w14:paraId="1729CA2F"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FNKV</w:t>
            </w:r>
          </w:p>
        </w:tc>
        <w:tc>
          <w:tcPr>
            <w:tcW w:w="866" w:type="dxa"/>
            <w:tcBorders>
              <w:top w:val="nil"/>
              <w:left w:val="nil"/>
              <w:bottom w:val="single" w:sz="4" w:space="0" w:color="auto"/>
              <w:right w:val="single" w:sz="4" w:space="0" w:color="auto"/>
            </w:tcBorders>
            <w:shd w:val="clear" w:color="auto" w:fill="auto"/>
            <w:noWrap/>
            <w:vAlign w:val="center"/>
            <w:hideMark/>
          </w:tcPr>
          <w:p w14:paraId="393E1B4E"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11 786,00</w:t>
            </w:r>
          </w:p>
        </w:tc>
        <w:tc>
          <w:tcPr>
            <w:tcW w:w="680" w:type="dxa"/>
            <w:tcBorders>
              <w:top w:val="nil"/>
              <w:left w:val="nil"/>
              <w:bottom w:val="single" w:sz="4" w:space="0" w:color="auto"/>
              <w:right w:val="single" w:sz="4" w:space="0" w:color="auto"/>
            </w:tcBorders>
            <w:shd w:val="clear" w:color="auto" w:fill="auto"/>
            <w:noWrap/>
            <w:vAlign w:val="center"/>
            <w:hideMark/>
          </w:tcPr>
          <w:p w14:paraId="1EAA5BF3" w14:textId="427836D2"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70,68</w:t>
            </w:r>
          </w:p>
        </w:tc>
        <w:tc>
          <w:tcPr>
            <w:tcW w:w="850" w:type="dxa"/>
            <w:tcBorders>
              <w:top w:val="nil"/>
              <w:left w:val="nil"/>
              <w:bottom w:val="single" w:sz="4" w:space="0" w:color="auto"/>
              <w:right w:val="single" w:sz="4" w:space="0" w:color="auto"/>
            </w:tcBorders>
            <w:shd w:val="clear" w:color="auto" w:fill="auto"/>
            <w:noWrap/>
            <w:vAlign w:val="center"/>
            <w:hideMark/>
          </w:tcPr>
          <w:p w14:paraId="0896403D"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w:t>
            </w:r>
          </w:p>
        </w:tc>
        <w:tc>
          <w:tcPr>
            <w:tcW w:w="913" w:type="dxa"/>
            <w:tcBorders>
              <w:top w:val="nil"/>
              <w:left w:val="nil"/>
              <w:bottom w:val="single" w:sz="4" w:space="0" w:color="auto"/>
              <w:right w:val="single" w:sz="4" w:space="0" w:color="auto"/>
            </w:tcBorders>
            <w:shd w:val="clear" w:color="auto" w:fill="auto"/>
            <w:noWrap/>
            <w:vAlign w:val="center"/>
            <w:hideMark/>
          </w:tcPr>
          <w:p w14:paraId="072B182A"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r w:rsidR="009D4751" w:rsidRPr="00527E83" w14:paraId="0D482332" w14:textId="77777777" w:rsidTr="009D4751">
        <w:trPr>
          <w:trHeight w:val="20"/>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CA75817" w14:textId="77777777" w:rsidR="00C810D9" w:rsidRPr="007E61E9" w:rsidRDefault="00C810D9" w:rsidP="00E311DC">
            <w:pPr>
              <w:widowControl/>
              <w:autoSpaceDE/>
              <w:autoSpaceDN/>
              <w:adjustRightInd/>
              <w:jc w:val="center"/>
              <w:rPr>
                <w:rFonts w:asciiTheme="minorHAnsi" w:eastAsia="Times New Roman" w:hAnsiTheme="minorHAnsi" w:cstheme="minorHAnsi"/>
                <w:color w:val="000000"/>
                <w:sz w:val="17"/>
                <w:szCs w:val="17"/>
              </w:rPr>
            </w:pPr>
            <w:r w:rsidRPr="007E61E9">
              <w:rPr>
                <w:rFonts w:asciiTheme="minorHAnsi" w:eastAsia="Times New Roman" w:hAnsiTheme="minorHAnsi" w:cstheme="minorHAnsi"/>
                <w:color w:val="000000"/>
                <w:sz w:val="17"/>
                <w:szCs w:val="17"/>
              </w:rPr>
              <w:t>Infekční vaky na zemřelé</w:t>
            </w:r>
          </w:p>
        </w:tc>
        <w:tc>
          <w:tcPr>
            <w:tcW w:w="569" w:type="dxa"/>
            <w:tcBorders>
              <w:top w:val="nil"/>
              <w:left w:val="nil"/>
              <w:bottom w:val="single" w:sz="4" w:space="0" w:color="auto"/>
              <w:right w:val="single" w:sz="4" w:space="0" w:color="auto"/>
            </w:tcBorders>
            <w:shd w:val="clear" w:color="auto" w:fill="auto"/>
            <w:noWrap/>
            <w:vAlign w:val="center"/>
            <w:hideMark/>
          </w:tcPr>
          <w:p w14:paraId="5AEB3B34"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2019</w:t>
            </w:r>
          </w:p>
        </w:tc>
        <w:tc>
          <w:tcPr>
            <w:tcW w:w="998" w:type="dxa"/>
            <w:tcBorders>
              <w:top w:val="nil"/>
              <w:left w:val="nil"/>
              <w:bottom w:val="single" w:sz="4" w:space="0" w:color="auto"/>
              <w:right w:val="single" w:sz="4" w:space="0" w:color="auto"/>
            </w:tcBorders>
            <w:shd w:val="clear" w:color="auto" w:fill="auto"/>
            <w:noWrap/>
            <w:vAlign w:val="center"/>
            <w:hideMark/>
          </w:tcPr>
          <w:p w14:paraId="0D4B135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294,43</w:t>
            </w:r>
          </w:p>
        </w:tc>
        <w:tc>
          <w:tcPr>
            <w:tcW w:w="1531" w:type="dxa"/>
            <w:tcBorders>
              <w:top w:val="nil"/>
              <w:left w:val="nil"/>
              <w:bottom w:val="single" w:sz="4" w:space="0" w:color="auto"/>
              <w:right w:val="single" w:sz="4" w:space="0" w:color="auto"/>
            </w:tcBorders>
            <w:shd w:val="clear" w:color="auto" w:fill="auto"/>
            <w:noWrap/>
            <w:vAlign w:val="center"/>
            <w:hideMark/>
          </w:tcPr>
          <w:p w14:paraId="14325F41"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6B7D083E"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299,48</w:t>
            </w:r>
          </w:p>
        </w:tc>
        <w:tc>
          <w:tcPr>
            <w:tcW w:w="1119" w:type="dxa"/>
            <w:tcBorders>
              <w:top w:val="nil"/>
              <w:left w:val="nil"/>
              <w:bottom w:val="single" w:sz="4" w:space="0" w:color="auto"/>
              <w:right w:val="single" w:sz="4" w:space="0" w:color="auto"/>
            </w:tcBorders>
            <w:shd w:val="clear" w:color="auto" w:fill="auto"/>
            <w:noWrap/>
            <w:vAlign w:val="center"/>
            <w:hideMark/>
          </w:tcPr>
          <w:p w14:paraId="36B2253D"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866" w:type="dxa"/>
            <w:tcBorders>
              <w:top w:val="nil"/>
              <w:left w:val="nil"/>
              <w:bottom w:val="single" w:sz="4" w:space="0" w:color="auto"/>
              <w:right w:val="single" w:sz="4" w:space="0" w:color="auto"/>
            </w:tcBorders>
            <w:shd w:val="clear" w:color="auto" w:fill="auto"/>
            <w:noWrap/>
            <w:vAlign w:val="center"/>
            <w:hideMark/>
          </w:tcPr>
          <w:p w14:paraId="6B4B7298"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5,05</w:t>
            </w:r>
          </w:p>
        </w:tc>
        <w:tc>
          <w:tcPr>
            <w:tcW w:w="680" w:type="dxa"/>
            <w:tcBorders>
              <w:top w:val="nil"/>
              <w:left w:val="nil"/>
              <w:bottom w:val="single" w:sz="4" w:space="0" w:color="auto"/>
              <w:right w:val="single" w:sz="4" w:space="0" w:color="auto"/>
            </w:tcBorders>
            <w:shd w:val="clear" w:color="auto" w:fill="auto"/>
            <w:noWrap/>
            <w:vAlign w:val="center"/>
            <w:hideMark/>
          </w:tcPr>
          <w:p w14:paraId="48781E77" w14:textId="18DBF6B9"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1,72</w:t>
            </w:r>
          </w:p>
        </w:tc>
        <w:tc>
          <w:tcPr>
            <w:tcW w:w="850" w:type="dxa"/>
            <w:tcBorders>
              <w:top w:val="nil"/>
              <w:left w:val="nil"/>
              <w:bottom w:val="single" w:sz="4" w:space="0" w:color="auto"/>
              <w:right w:val="single" w:sz="4" w:space="0" w:color="auto"/>
            </w:tcBorders>
            <w:shd w:val="clear" w:color="auto" w:fill="auto"/>
            <w:noWrap/>
            <w:vAlign w:val="center"/>
            <w:hideMark/>
          </w:tcPr>
          <w:p w14:paraId="43358EC7"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c>
          <w:tcPr>
            <w:tcW w:w="913" w:type="dxa"/>
            <w:tcBorders>
              <w:top w:val="nil"/>
              <w:left w:val="nil"/>
              <w:bottom w:val="single" w:sz="4" w:space="0" w:color="auto"/>
              <w:right w:val="single" w:sz="4" w:space="0" w:color="auto"/>
            </w:tcBorders>
            <w:shd w:val="clear" w:color="auto" w:fill="auto"/>
            <w:noWrap/>
            <w:vAlign w:val="center"/>
            <w:hideMark/>
          </w:tcPr>
          <w:p w14:paraId="78B33012"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r>
      <w:tr w:rsidR="009D4751" w:rsidRPr="00527E83" w14:paraId="408301C2"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37AE3FF"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3C897545"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0064A46C"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245,00</w:t>
            </w:r>
          </w:p>
        </w:tc>
        <w:tc>
          <w:tcPr>
            <w:tcW w:w="1531" w:type="dxa"/>
            <w:tcBorders>
              <w:top w:val="nil"/>
              <w:left w:val="nil"/>
              <w:bottom w:val="single" w:sz="4" w:space="0" w:color="auto"/>
              <w:right w:val="single" w:sz="4" w:space="0" w:color="auto"/>
            </w:tcBorders>
            <w:shd w:val="clear" w:color="auto" w:fill="auto"/>
            <w:noWrap/>
            <w:vAlign w:val="center"/>
            <w:hideMark/>
          </w:tcPr>
          <w:p w14:paraId="30047A3C"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36D20FB7"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863,94</w:t>
            </w:r>
          </w:p>
        </w:tc>
        <w:tc>
          <w:tcPr>
            <w:tcW w:w="1119" w:type="dxa"/>
            <w:tcBorders>
              <w:top w:val="nil"/>
              <w:left w:val="nil"/>
              <w:bottom w:val="single" w:sz="4" w:space="0" w:color="auto"/>
              <w:right w:val="single" w:sz="4" w:space="0" w:color="auto"/>
            </w:tcBorders>
            <w:shd w:val="clear" w:color="auto" w:fill="auto"/>
            <w:noWrap/>
            <w:vAlign w:val="center"/>
            <w:hideMark/>
          </w:tcPr>
          <w:p w14:paraId="33B19F05"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FNUSA</w:t>
            </w:r>
          </w:p>
        </w:tc>
        <w:tc>
          <w:tcPr>
            <w:tcW w:w="866" w:type="dxa"/>
            <w:tcBorders>
              <w:top w:val="nil"/>
              <w:left w:val="nil"/>
              <w:bottom w:val="single" w:sz="4" w:space="0" w:color="auto"/>
              <w:right w:val="single" w:sz="4" w:space="0" w:color="auto"/>
            </w:tcBorders>
            <w:shd w:val="clear" w:color="auto" w:fill="auto"/>
            <w:noWrap/>
            <w:vAlign w:val="center"/>
            <w:hideMark/>
          </w:tcPr>
          <w:p w14:paraId="402E5DDB"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618,94</w:t>
            </w:r>
          </w:p>
        </w:tc>
        <w:tc>
          <w:tcPr>
            <w:tcW w:w="680" w:type="dxa"/>
            <w:tcBorders>
              <w:top w:val="nil"/>
              <w:left w:val="nil"/>
              <w:bottom w:val="single" w:sz="4" w:space="0" w:color="auto"/>
              <w:right w:val="single" w:sz="4" w:space="0" w:color="auto"/>
            </w:tcBorders>
            <w:shd w:val="clear" w:color="auto" w:fill="auto"/>
            <w:noWrap/>
            <w:vAlign w:val="center"/>
            <w:hideMark/>
          </w:tcPr>
          <w:p w14:paraId="4DD368A2" w14:textId="4994E84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252,63</w:t>
            </w:r>
          </w:p>
        </w:tc>
        <w:tc>
          <w:tcPr>
            <w:tcW w:w="850" w:type="dxa"/>
            <w:tcBorders>
              <w:top w:val="nil"/>
              <w:left w:val="nil"/>
              <w:bottom w:val="single" w:sz="4" w:space="0" w:color="auto"/>
              <w:right w:val="single" w:sz="4" w:space="0" w:color="auto"/>
            </w:tcBorders>
            <w:shd w:val="clear" w:color="auto" w:fill="auto"/>
            <w:noWrap/>
            <w:vAlign w:val="center"/>
            <w:hideMark/>
          </w:tcPr>
          <w:p w14:paraId="4261F308"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noWrap/>
            <w:vAlign w:val="center"/>
            <w:hideMark/>
          </w:tcPr>
          <w:p w14:paraId="42B54E20"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4</w:t>
            </w:r>
          </w:p>
        </w:tc>
      </w:tr>
      <w:tr w:rsidR="009D4751" w:rsidRPr="00527E83" w14:paraId="7B02E033" w14:textId="77777777" w:rsidTr="009D4751">
        <w:trPr>
          <w:trHeight w:val="20"/>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CE74B09" w14:textId="77777777" w:rsidR="00C810D9" w:rsidRPr="00527E83" w:rsidRDefault="00C810D9" w:rsidP="00E311DC">
            <w:pPr>
              <w:widowControl/>
              <w:autoSpaceDE/>
              <w:autoSpaceDN/>
              <w:adjustRightInd/>
              <w:jc w:val="center"/>
              <w:rPr>
                <w:rFonts w:asciiTheme="minorHAnsi" w:eastAsia="Times New Roman" w:hAnsiTheme="minorHAnsi" w:cstheme="minorHAnsi"/>
                <w:color w:val="000000"/>
                <w:sz w:val="18"/>
                <w:szCs w:val="18"/>
              </w:rPr>
            </w:pPr>
          </w:p>
        </w:tc>
        <w:tc>
          <w:tcPr>
            <w:tcW w:w="569" w:type="dxa"/>
            <w:tcBorders>
              <w:top w:val="nil"/>
              <w:left w:val="nil"/>
              <w:bottom w:val="single" w:sz="4" w:space="0" w:color="auto"/>
              <w:right w:val="single" w:sz="4" w:space="0" w:color="auto"/>
            </w:tcBorders>
            <w:shd w:val="clear" w:color="auto" w:fill="auto"/>
            <w:noWrap/>
            <w:vAlign w:val="center"/>
            <w:hideMark/>
          </w:tcPr>
          <w:p w14:paraId="5036971F" w14:textId="77777777" w:rsidR="00C810D9" w:rsidRPr="00527E83" w:rsidRDefault="00C810D9" w:rsidP="009D4751">
            <w:pPr>
              <w:widowControl/>
              <w:autoSpaceDE/>
              <w:autoSpaceDN/>
              <w:adjustRightInd/>
              <w:ind w:left="-57"/>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59506E08"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208,12</w:t>
            </w:r>
          </w:p>
        </w:tc>
        <w:tc>
          <w:tcPr>
            <w:tcW w:w="1531" w:type="dxa"/>
            <w:tcBorders>
              <w:top w:val="nil"/>
              <w:left w:val="nil"/>
              <w:bottom w:val="single" w:sz="4" w:space="0" w:color="auto"/>
              <w:right w:val="single" w:sz="4" w:space="0" w:color="auto"/>
            </w:tcBorders>
            <w:shd w:val="clear" w:color="auto" w:fill="auto"/>
            <w:noWrap/>
            <w:vAlign w:val="center"/>
            <w:hideMark/>
          </w:tcPr>
          <w:p w14:paraId="7D9A06B7"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987" w:type="dxa"/>
            <w:tcBorders>
              <w:top w:val="nil"/>
              <w:left w:val="nil"/>
              <w:bottom w:val="single" w:sz="4" w:space="0" w:color="auto"/>
              <w:right w:val="single" w:sz="4" w:space="0" w:color="auto"/>
            </w:tcBorders>
            <w:shd w:val="clear" w:color="auto" w:fill="auto"/>
            <w:noWrap/>
            <w:vAlign w:val="center"/>
            <w:hideMark/>
          </w:tcPr>
          <w:p w14:paraId="19008435"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332,75</w:t>
            </w:r>
          </w:p>
        </w:tc>
        <w:tc>
          <w:tcPr>
            <w:tcW w:w="1119" w:type="dxa"/>
            <w:tcBorders>
              <w:top w:val="nil"/>
              <w:left w:val="nil"/>
              <w:bottom w:val="single" w:sz="4" w:space="0" w:color="auto"/>
              <w:right w:val="single" w:sz="4" w:space="0" w:color="auto"/>
            </w:tcBorders>
            <w:shd w:val="clear" w:color="auto" w:fill="auto"/>
            <w:noWrap/>
            <w:vAlign w:val="center"/>
            <w:hideMark/>
          </w:tcPr>
          <w:p w14:paraId="43DCA41E" w14:textId="77777777" w:rsidR="00C810D9" w:rsidRPr="00527E83" w:rsidRDefault="00C810D9" w:rsidP="00C810D9">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FNB</w:t>
            </w:r>
          </w:p>
        </w:tc>
        <w:tc>
          <w:tcPr>
            <w:tcW w:w="866" w:type="dxa"/>
            <w:tcBorders>
              <w:top w:val="nil"/>
              <w:left w:val="nil"/>
              <w:bottom w:val="single" w:sz="4" w:space="0" w:color="auto"/>
              <w:right w:val="single" w:sz="4" w:space="0" w:color="auto"/>
            </w:tcBorders>
            <w:shd w:val="clear" w:color="auto" w:fill="auto"/>
            <w:noWrap/>
            <w:vAlign w:val="center"/>
            <w:hideMark/>
          </w:tcPr>
          <w:p w14:paraId="0290FBF4" w14:textId="77777777"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124,63</w:t>
            </w:r>
          </w:p>
        </w:tc>
        <w:tc>
          <w:tcPr>
            <w:tcW w:w="680" w:type="dxa"/>
            <w:tcBorders>
              <w:top w:val="nil"/>
              <w:left w:val="nil"/>
              <w:bottom w:val="single" w:sz="4" w:space="0" w:color="auto"/>
              <w:right w:val="single" w:sz="4" w:space="0" w:color="auto"/>
            </w:tcBorders>
            <w:shd w:val="clear" w:color="auto" w:fill="auto"/>
            <w:noWrap/>
            <w:vAlign w:val="center"/>
            <w:hideMark/>
          </w:tcPr>
          <w:p w14:paraId="0F1E6615" w14:textId="709FDA29" w:rsidR="00C810D9" w:rsidRPr="00527E83" w:rsidRDefault="00C810D9" w:rsidP="009D4751">
            <w:pPr>
              <w:widowControl/>
              <w:autoSpaceDE/>
              <w:autoSpaceDN/>
              <w:adjustRightInd/>
              <w:ind w:right="-28"/>
              <w:jc w:val="right"/>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59,88</w:t>
            </w:r>
          </w:p>
        </w:tc>
        <w:tc>
          <w:tcPr>
            <w:tcW w:w="850" w:type="dxa"/>
            <w:tcBorders>
              <w:top w:val="nil"/>
              <w:left w:val="nil"/>
              <w:bottom w:val="single" w:sz="4" w:space="0" w:color="auto"/>
              <w:right w:val="single" w:sz="4" w:space="0" w:color="auto"/>
            </w:tcBorders>
            <w:shd w:val="clear" w:color="auto" w:fill="auto"/>
            <w:noWrap/>
            <w:vAlign w:val="center"/>
            <w:hideMark/>
          </w:tcPr>
          <w:p w14:paraId="1C3EEE14"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1</w:t>
            </w:r>
          </w:p>
        </w:tc>
        <w:tc>
          <w:tcPr>
            <w:tcW w:w="913" w:type="dxa"/>
            <w:tcBorders>
              <w:top w:val="nil"/>
              <w:left w:val="nil"/>
              <w:bottom w:val="single" w:sz="4" w:space="0" w:color="auto"/>
              <w:right w:val="single" w:sz="4" w:space="0" w:color="auto"/>
            </w:tcBorders>
            <w:shd w:val="clear" w:color="auto" w:fill="auto"/>
            <w:noWrap/>
            <w:vAlign w:val="center"/>
            <w:hideMark/>
          </w:tcPr>
          <w:p w14:paraId="35403375" w14:textId="77777777" w:rsidR="00C810D9" w:rsidRPr="00527E83" w:rsidRDefault="00C810D9" w:rsidP="009D4751">
            <w:pPr>
              <w:widowControl/>
              <w:autoSpaceDE/>
              <w:autoSpaceDN/>
              <w:adjustRightInd/>
              <w:jc w:val="center"/>
              <w:rPr>
                <w:rFonts w:asciiTheme="minorHAnsi" w:eastAsia="Times New Roman" w:hAnsiTheme="minorHAnsi" w:cstheme="minorHAnsi"/>
                <w:color w:val="000000"/>
                <w:sz w:val="18"/>
                <w:szCs w:val="18"/>
              </w:rPr>
            </w:pPr>
            <w:r w:rsidRPr="00527E83">
              <w:rPr>
                <w:rFonts w:asciiTheme="minorHAnsi" w:eastAsia="Times New Roman" w:hAnsiTheme="minorHAnsi" w:cstheme="minorHAnsi"/>
                <w:color w:val="000000"/>
                <w:sz w:val="18"/>
                <w:szCs w:val="18"/>
              </w:rPr>
              <w:t>2</w:t>
            </w:r>
          </w:p>
        </w:tc>
      </w:tr>
    </w:tbl>
    <w:p w14:paraId="44DE7F1F" w14:textId="35D94F28" w:rsidR="00283A0C" w:rsidRPr="00527E83" w:rsidRDefault="00283A0C" w:rsidP="00490AD8">
      <w:pPr>
        <w:spacing w:before="40"/>
        <w:rPr>
          <w:rFonts w:asciiTheme="minorHAnsi" w:hAnsiTheme="minorHAnsi" w:cstheme="minorHAnsi"/>
        </w:rPr>
      </w:pPr>
      <w:r w:rsidRPr="00527E83">
        <w:rPr>
          <w:rFonts w:asciiTheme="minorHAnsi" w:hAnsiTheme="minorHAnsi" w:cstheme="minorHAnsi"/>
          <w:b/>
        </w:rPr>
        <w:t>Zdroj:</w:t>
      </w:r>
      <w:r w:rsidRPr="00527E83">
        <w:rPr>
          <w:rFonts w:asciiTheme="minorHAnsi" w:hAnsiTheme="minorHAnsi" w:cstheme="minorHAnsi"/>
        </w:rPr>
        <w:t xml:space="preserve"> přílohy jednotlivých kontrolních protokolů </w:t>
      </w:r>
      <w:r w:rsidR="00CB332A">
        <w:rPr>
          <w:rFonts w:asciiTheme="minorHAnsi" w:hAnsiTheme="minorHAnsi" w:cstheme="minorHAnsi"/>
        </w:rPr>
        <w:t>FN</w:t>
      </w:r>
      <w:r w:rsidRPr="00527E83">
        <w:rPr>
          <w:rFonts w:asciiTheme="minorHAnsi" w:hAnsiTheme="minorHAnsi" w:cstheme="minorHAnsi"/>
        </w:rPr>
        <w:t xml:space="preserve"> (dle faktur).</w:t>
      </w:r>
    </w:p>
    <w:p w14:paraId="6156CBB5" w14:textId="34F91893" w:rsidR="00A977F1" w:rsidRPr="00527E83" w:rsidRDefault="00A977F1" w:rsidP="00A977F1">
      <w:pPr>
        <w:widowControl/>
        <w:autoSpaceDE/>
        <w:autoSpaceDN/>
        <w:adjustRightInd/>
        <w:rPr>
          <w:rFonts w:asciiTheme="minorHAnsi" w:hAnsiTheme="minorHAnsi" w:cstheme="minorHAnsi"/>
        </w:rPr>
      </w:pPr>
      <w:r w:rsidRPr="00527E83">
        <w:rPr>
          <w:rFonts w:asciiTheme="minorHAnsi" w:hAnsiTheme="minorHAnsi" w:cstheme="minorHAnsi"/>
          <w:b/>
        </w:rPr>
        <w:t>Pozn</w:t>
      </w:r>
      <w:r w:rsidR="0057050A">
        <w:rPr>
          <w:rFonts w:asciiTheme="minorHAnsi" w:hAnsiTheme="minorHAnsi" w:cstheme="minorHAnsi"/>
          <w:b/>
        </w:rPr>
        <w:t>.</w:t>
      </w:r>
      <w:r w:rsidRPr="00527E83">
        <w:rPr>
          <w:rFonts w:asciiTheme="minorHAnsi" w:hAnsiTheme="minorHAnsi" w:cstheme="minorHAnsi"/>
          <w:b/>
        </w:rPr>
        <w:t>:</w:t>
      </w:r>
      <w:r w:rsidRPr="00527E83">
        <w:rPr>
          <w:rFonts w:asciiTheme="minorHAnsi" w:hAnsiTheme="minorHAnsi" w:cstheme="minorHAnsi"/>
        </w:rPr>
        <w:t xml:space="preserve"> Zanedbatelné rozdíly ve výši 0,01 Kč na jedno balení nejsou v tabulce uvedeny.</w:t>
      </w:r>
    </w:p>
    <w:sectPr w:rsidR="00A977F1" w:rsidRPr="00527E83" w:rsidSect="00720F72">
      <w:footerReference w:type="default" r:id="rId15"/>
      <w:footerReference w:type="first" r:id="rId1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F586C" w14:textId="77777777" w:rsidR="006842B7" w:rsidRDefault="006842B7" w:rsidP="00246D13">
      <w:r>
        <w:separator/>
      </w:r>
    </w:p>
  </w:endnote>
  <w:endnote w:type="continuationSeparator" w:id="0">
    <w:p w14:paraId="10221E65" w14:textId="77777777" w:rsidR="006842B7" w:rsidRDefault="006842B7" w:rsidP="00246D13">
      <w:r>
        <w:continuationSeparator/>
      </w:r>
    </w:p>
  </w:endnote>
  <w:endnote w:type="continuationNotice" w:id="1">
    <w:p w14:paraId="54F7575E" w14:textId="77777777" w:rsidR="006842B7" w:rsidRDefault="00684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363540"/>
      <w:docPartObj>
        <w:docPartGallery w:val="Page Numbers (Bottom of Page)"/>
        <w:docPartUnique/>
      </w:docPartObj>
    </w:sdtPr>
    <w:sdtEndPr>
      <w:rPr>
        <w:rFonts w:ascii="Calibri" w:hAnsi="Calibri" w:cs="Calibri"/>
        <w:sz w:val="24"/>
      </w:rPr>
    </w:sdtEndPr>
    <w:sdtContent>
      <w:p w14:paraId="19D17C40" w14:textId="33729D44" w:rsidR="006842B7" w:rsidRPr="00720F72" w:rsidRDefault="006842B7" w:rsidP="006F4114">
        <w:pPr>
          <w:pStyle w:val="Zpat"/>
          <w:jc w:val="center"/>
          <w:rPr>
            <w:rFonts w:ascii="Calibri" w:hAnsi="Calibri" w:cs="Calibri"/>
            <w:sz w:val="24"/>
          </w:rPr>
        </w:pPr>
        <w:r w:rsidRPr="00720F72">
          <w:rPr>
            <w:rFonts w:ascii="Calibri" w:hAnsi="Calibri" w:cs="Calibri"/>
            <w:sz w:val="24"/>
          </w:rPr>
          <w:fldChar w:fldCharType="begin"/>
        </w:r>
        <w:r w:rsidRPr="00720F72">
          <w:rPr>
            <w:rFonts w:ascii="Calibri" w:hAnsi="Calibri" w:cs="Calibri"/>
            <w:sz w:val="24"/>
          </w:rPr>
          <w:instrText>PAGE   \* MERGEFORMAT</w:instrText>
        </w:r>
        <w:r w:rsidRPr="00720F72">
          <w:rPr>
            <w:rFonts w:ascii="Calibri" w:hAnsi="Calibri" w:cs="Calibri"/>
            <w:sz w:val="24"/>
          </w:rPr>
          <w:fldChar w:fldCharType="separate"/>
        </w:r>
        <w:r w:rsidRPr="00720F72">
          <w:rPr>
            <w:rFonts w:ascii="Calibri" w:hAnsi="Calibri" w:cs="Calibri"/>
            <w:sz w:val="24"/>
          </w:rPr>
          <w:t>2</w:t>
        </w:r>
        <w:r w:rsidRPr="00720F72">
          <w:rPr>
            <w:rFonts w:ascii="Calibri" w:hAnsi="Calibri" w:cs="Calibri"/>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A59D" w14:textId="77777777" w:rsidR="006842B7" w:rsidRPr="00720F72" w:rsidRDefault="006842B7" w:rsidP="00720F72">
    <w:pPr>
      <w:pStyle w:val="Zpat"/>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C3532" w14:textId="77777777" w:rsidR="006842B7" w:rsidRDefault="006842B7" w:rsidP="00246D13">
      <w:r>
        <w:separator/>
      </w:r>
    </w:p>
  </w:footnote>
  <w:footnote w:type="continuationSeparator" w:id="0">
    <w:p w14:paraId="7EC31D11" w14:textId="77777777" w:rsidR="006842B7" w:rsidRDefault="006842B7" w:rsidP="00246D13">
      <w:r>
        <w:continuationSeparator/>
      </w:r>
    </w:p>
  </w:footnote>
  <w:footnote w:type="continuationNotice" w:id="1">
    <w:p w14:paraId="76EA278C" w14:textId="77777777" w:rsidR="006842B7" w:rsidRDefault="006842B7"/>
  </w:footnote>
  <w:footnote w:id="2">
    <w:p w14:paraId="590F26D0" w14:textId="53307D24" w:rsidR="006842B7" w:rsidRPr="00220719" w:rsidRDefault="006842B7" w:rsidP="00220719">
      <w:pPr>
        <w:pStyle w:val="Textpoznpodarou"/>
        <w:ind w:left="284" w:hanging="284"/>
        <w:rPr>
          <w:rFonts w:cs="Calibri"/>
        </w:rPr>
      </w:pPr>
      <w:r w:rsidRPr="00220719">
        <w:rPr>
          <w:rStyle w:val="Znakapoznpodarou"/>
          <w:rFonts w:cs="Calibri"/>
        </w:rPr>
        <w:footnoteRef/>
      </w:r>
      <w:r w:rsidRPr="00220719">
        <w:rPr>
          <w:rFonts w:cs="Calibri"/>
        </w:rPr>
        <w:t xml:space="preserve"> </w:t>
      </w:r>
      <w:r>
        <w:rPr>
          <w:rFonts w:cs="Calibri"/>
        </w:rPr>
        <w:tab/>
      </w:r>
      <w:r w:rsidRPr="00220719">
        <w:rPr>
          <w:rFonts w:cs="Calibri"/>
        </w:rPr>
        <w:t>Zákon č. 218/2000 Sb., o rozpočtových pravidlech a o změně některých souvisejících zákonů (rozpočtová pravidla).</w:t>
      </w:r>
    </w:p>
  </w:footnote>
  <w:footnote w:id="3">
    <w:p w14:paraId="24C68F86" w14:textId="7F759DB5" w:rsidR="006842B7" w:rsidRPr="00220719" w:rsidRDefault="006842B7" w:rsidP="00220719">
      <w:pPr>
        <w:pStyle w:val="Textpoznpodarou"/>
        <w:ind w:left="284" w:hanging="284"/>
        <w:rPr>
          <w:rFonts w:cs="Calibri"/>
        </w:rPr>
      </w:pPr>
      <w:r w:rsidRPr="00220719">
        <w:rPr>
          <w:rStyle w:val="Znakapoznpodarou"/>
          <w:rFonts w:cs="Calibri"/>
        </w:rPr>
        <w:footnoteRef/>
      </w:r>
      <w:r w:rsidRPr="00220719">
        <w:rPr>
          <w:rFonts w:cs="Calibri"/>
        </w:rPr>
        <w:t xml:space="preserve"> </w:t>
      </w:r>
      <w:r>
        <w:rPr>
          <w:rFonts w:cs="Calibri"/>
        </w:rPr>
        <w:tab/>
      </w:r>
      <w:r w:rsidRPr="00220719">
        <w:rPr>
          <w:rFonts w:cs="Calibri"/>
        </w:rPr>
        <w:t>Zákon č. 219/2000 Sb., o majetku České republiky a jejím vystupování v právních vztazích (dále také „zákon o majetku státu“).</w:t>
      </w:r>
    </w:p>
  </w:footnote>
  <w:footnote w:id="4">
    <w:p w14:paraId="2EF32F08" w14:textId="4F292DC6" w:rsidR="006842B7" w:rsidRPr="00220719" w:rsidRDefault="006842B7" w:rsidP="00220719">
      <w:pPr>
        <w:pStyle w:val="Textpoznpodarou"/>
        <w:ind w:left="284" w:hanging="284"/>
        <w:rPr>
          <w:rFonts w:cs="Calibri"/>
        </w:rPr>
      </w:pPr>
      <w:r w:rsidRPr="00220719">
        <w:rPr>
          <w:rStyle w:val="Znakapoznpodarou"/>
          <w:rFonts w:cs="Calibri"/>
        </w:rPr>
        <w:footnoteRef/>
      </w:r>
      <w:r w:rsidRPr="00220719">
        <w:rPr>
          <w:rFonts w:cs="Calibri"/>
        </w:rPr>
        <w:t xml:space="preserve"> </w:t>
      </w:r>
      <w:r>
        <w:rPr>
          <w:rFonts w:cs="Calibri"/>
        </w:rPr>
        <w:tab/>
      </w:r>
      <w:r w:rsidRPr="00220719">
        <w:rPr>
          <w:rFonts w:cs="Calibri"/>
        </w:rPr>
        <w:t>Zákon č. 134/2016 Sb., o zadávání veřejných zakázek.</w:t>
      </w:r>
    </w:p>
  </w:footnote>
  <w:footnote w:id="5">
    <w:p w14:paraId="2E75B16C" w14:textId="79CDE0F0" w:rsidR="006842B7" w:rsidRPr="00220719" w:rsidRDefault="006842B7" w:rsidP="00220719">
      <w:pPr>
        <w:pStyle w:val="Textpoznpodarou"/>
        <w:ind w:left="284" w:hanging="284"/>
        <w:rPr>
          <w:rFonts w:cs="Calibri"/>
        </w:rPr>
      </w:pPr>
      <w:r w:rsidRPr="00220719">
        <w:rPr>
          <w:rStyle w:val="Znakapoznpodarou"/>
          <w:rFonts w:cs="Calibri"/>
        </w:rPr>
        <w:footnoteRef/>
      </w:r>
      <w:r w:rsidRPr="00220719">
        <w:rPr>
          <w:rFonts w:cs="Calibri"/>
        </w:rPr>
        <w:t xml:space="preserve"> </w:t>
      </w:r>
      <w:r>
        <w:rPr>
          <w:rFonts w:cs="Calibri"/>
        </w:rPr>
        <w:tab/>
      </w:r>
      <w:r w:rsidRPr="00220719">
        <w:rPr>
          <w:rFonts w:cs="Calibri"/>
        </w:rPr>
        <w:t xml:space="preserve">Zákon č. 320/2001 Sb., </w:t>
      </w:r>
      <w:r w:rsidRPr="00220719">
        <w:rPr>
          <w:rFonts w:cs="Calibri"/>
          <w:bCs/>
        </w:rPr>
        <w:t>o finanční kontrole ve veřejné správě a o změně některých zákonů (zákon o finanční kontrole).</w:t>
      </w:r>
    </w:p>
  </w:footnote>
  <w:footnote w:id="6">
    <w:p w14:paraId="32DDE5C5" w14:textId="6A3B597C" w:rsidR="006842B7" w:rsidRPr="00220719" w:rsidRDefault="006842B7" w:rsidP="00220719">
      <w:pPr>
        <w:pStyle w:val="Textpoznpodarou"/>
        <w:ind w:left="284" w:hanging="284"/>
        <w:rPr>
          <w:rFonts w:cs="Calibri"/>
        </w:rPr>
      </w:pPr>
      <w:r w:rsidRPr="00220719">
        <w:rPr>
          <w:rStyle w:val="Znakapoznpodarou"/>
          <w:rFonts w:cs="Calibri"/>
        </w:rPr>
        <w:footnoteRef/>
      </w:r>
      <w:r w:rsidRPr="00220719">
        <w:rPr>
          <w:rFonts w:cs="Calibri"/>
        </w:rPr>
        <w:t xml:space="preserve"> </w:t>
      </w:r>
      <w:r>
        <w:rPr>
          <w:rFonts w:cs="Calibri"/>
        </w:rPr>
        <w:tab/>
      </w:r>
      <w:r w:rsidRPr="00220719">
        <w:rPr>
          <w:rFonts w:cs="Calibri"/>
        </w:rPr>
        <w:t>Příspěvek na úhradu závazků po splatnosti nebo závazků nad 60 dnů od data uskutečnění zdanitelného plnění a</w:t>
      </w:r>
      <w:r>
        <w:rPr>
          <w:rFonts w:cs="Calibri"/>
        </w:rPr>
        <w:t> </w:t>
      </w:r>
      <w:proofErr w:type="spellStart"/>
      <w:r w:rsidRPr="00220719">
        <w:rPr>
          <w:rFonts w:cs="Calibri"/>
        </w:rPr>
        <w:t>přefinancovaných</w:t>
      </w:r>
      <w:proofErr w:type="spellEnd"/>
      <w:r w:rsidRPr="00220719">
        <w:rPr>
          <w:rFonts w:cs="Calibri"/>
        </w:rPr>
        <w:t xml:space="preserve"> závazků (dále také „oddlužení“), příspěvek na vyplacení odměn pracovníkům vystaveným riziku onemocnění covid-19 a příspěvek na úhrady nákladů za zřízení a provoz záložního zdravotnického zařízení u FNB.</w:t>
      </w:r>
    </w:p>
  </w:footnote>
  <w:footnote w:id="7">
    <w:p w14:paraId="6105A0A0" w14:textId="45437333" w:rsidR="006842B7" w:rsidRPr="00220719" w:rsidRDefault="006842B7" w:rsidP="00220719">
      <w:pPr>
        <w:pStyle w:val="Textpoznpodarou"/>
        <w:ind w:left="284" w:hanging="284"/>
        <w:rPr>
          <w:rFonts w:cs="Calibri"/>
        </w:rPr>
      </w:pPr>
      <w:r w:rsidRPr="00220719">
        <w:rPr>
          <w:rStyle w:val="Znakapoznpodarou"/>
          <w:rFonts w:cs="Calibri"/>
        </w:rPr>
        <w:footnoteRef/>
      </w:r>
      <w:r w:rsidRPr="00220719">
        <w:rPr>
          <w:rFonts w:cs="Calibri"/>
        </w:rPr>
        <w:t xml:space="preserve"> </w:t>
      </w:r>
      <w:r>
        <w:rPr>
          <w:rFonts w:cs="Calibri"/>
        </w:rPr>
        <w:tab/>
      </w:r>
      <w:r w:rsidRPr="00220719">
        <w:rPr>
          <w:rFonts w:cs="Calibri"/>
        </w:rPr>
        <w:t xml:space="preserve">Peněžní prostředky byly účelově uvolněny z rozpočtové kapitoly </w:t>
      </w:r>
      <w:r w:rsidRPr="005805C2">
        <w:rPr>
          <w:rFonts w:cs="Calibri"/>
          <w:i/>
        </w:rPr>
        <w:t>Všeobecná pokladní správa</w:t>
      </w:r>
      <w:r w:rsidRPr="00220719">
        <w:rPr>
          <w:rFonts w:cs="Calibri"/>
        </w:rPr>
        <w:t xml:space="preserve">, položky </w:t>
      </w:r>
      <w:r w:rsidRPr="005805C2">
        <w:rPr>
          <w:rFonts w:cs="Calibri"/>
          <w:i/>
        </w:rPr>
        <w:t>Vládní rozpočtová rezerva</w:t>
      </w:r>
      <w:r w:rsidRPr="00220719">
        <w:rPr>
          <w:rFonts w:cs="Calibri"/>
        </w:rPr>
        <w:t xml:space="preserve"> do rozpočtu kapitoly č. 335 – </w:t>
      </w:r>
      <w:r w:rsidRPr="005805C2">
        <w:rPr>
          <w:rFonts w:cs="Calibri"/>
          <w:i/>
        </w:rPr>
        <w:t>Ministerstvo zdravotnictví</w:t>
      </w:r>
      <w:r w:rsidRPr="00220719">
        <w:rPr>
          <w:rFonts w:cs="Calibri"/>
        </w:rPr>
        <w:t xml:space="preserve"> za účelem oddlužení.</w:t>
      </w:r>
    </w:p>
  </w:footnote>
  <w:footnote w:id="8">
    <w:p w14:paraId="14F54173" w14:textId="34A308A3" w:rsidR="006842B7" w:rsidRPr="00220719" w:rsidRDefault="006842B7" w:rsidP="00220719">
      <w:pPr>
        <w:pStyle w:val="Textpoznpodarou"/>
        <w:ind w:left="284" w:hanging="284"/>
        <w:rPr>
          <w:rFonts w:cs="Calibri"/>
        </w:rPr>
      </w:pPr>
      <w:r w:rsidRPr="00220719">
        <w:rPr>
          <w:rStyle w:val="Znakapoznpodarou"/>
          <w:rFonts w:cs="Calibri"/>
        </w:rPr>
        <w:footnoteRef/>
      </w:r>
      <w:r w:rsidRPr="00220719">
        <w:rPr>
          <w:rFonts w:cs="Calibri"/>
        </w:rPr>
        <w:t xml:space="preserve"> </w:t>
      </w:r>
      <w:r>
        <w:rPr>
          <w:rFonts w:cs="Calibri"/>
        </w:rPr>
        <w:tab/>
      </w:r>
      <w:r w:rsidRPr="00220719">
        <w:rPr>
          <w:rFonts w:cs="Calibri"/>
        </w:rPr>
        <w:t xml:space="preserve">Usnesení vlády České republiky ze dne 27. dubna 2020 č. 480, k jednorázovému příspěvku zřizovatele vybraným nemocnicím na úhradu závazků po splatnosti nebo závazků nad 60 dnů od data uskutečnění zdanitelného plnění a </w:t>
      </w:r>
      <w:proofErr w:type="spellStart"/>
      <w:r w:rsidRPr="00220719">
        <w:rPr>
          <w:rFonts w:cs="Calibri"/>
        </w:rPr>
        <w:t>přefinancovaných</w:t>
      </w:r>
      <w:proofErr w:type="spellEnd"/>
      <w:r w:rsidRPr="00220719">
        <w:rPr>
          <w:rFonts w:cs="Calibri"/>
        </w:rPr>
        <w:t xml:space="preserve"> závazků (dále také „usnesení vlády č. 480“). </w:t>
      </w:r>
    </w:p>
  </w:footnote>
  <w:footnote w:id="9">
    <w:p w14:paraId="40FCA504" w14:textId="7653D8E0" w:rsidR="006842B7" w:rsidRPr="00D10749" w:rsidRDefault="006842B7" w:rsidP="00972290">
      <w:pPr>
        <w:pStyle w:val="Textpoznpodarou"/>
        <w:ind w:left="284" w:hanging="284"/>
      </w:pPr>
      <w:r w:rsidRPr="00D10749">
        <w:rPr>
          <w:vertAlign w:val="superscript"/>
        </w:rPr>
        <w:footnoteRef/>
      </w:r>
      <w:r w:rsidRPr="00D10749">
        <w:t xml:space="preserve"> </w:t>
      </w:r>
      <w:r>
        <w:tab/>
      </w:r>
      <w:r w:rsidRPr="00D10749">
        <w:t>Ustanovení § 53 odst. 4 rozpočtových pravid</w:t>
      </w:r>
      <w:r>
        <w:t>e</w:t>
      </w:r>
      <w:r w:rsidRPr="00D10749">
        <w:t>l.</w:t>
      </w:r>
    </w:p>
  </w:footnote>
  <w:footnote w:id="10">
    <w:p w14:paraId="6FB6A9EE" w14:textId="08F11442" w:rsidR="006842B7" w:rsidRPr="00D10749" w:rsidRDefault="006842B7" w:rsidP="00972290">
      <w:pPr>
        <w:pStyle w:val="Textpoznpodarou"/>
        <w:ind w:left="284" w:hanging="284"/>
      </w:pPr>
      <w:r w:rsidRPr="00D10749">
        <w:rPr>
          <w:rFonts w:asciiTheme="minorHAnsi" w:hAnsiTheme="minorHAnsi" w:cstheme="minorHAnsi"/>
          <w:vertAlign w:val="superscript"/>
        </w:rPr>
        <w:footnoteRef/>
      </w:r>
      <w:r w:rsidRPr="00D10749">
        <w:rPr>
          <w:rFonts w:asciiTheme="minorHAnsi" w:hAnsiTheme="minorHAnsi" w:cstheme="minorHAnsi"/>
        </w:rPr>
        <w:t xml:space="preserve"> </w:t>
      </w:r>
      <w:r>
        <w:rPr>
          <w:rFonts w:asciiTheme="minorHAnsi" w:hAnsiTheme="minorHAnsi" w:cstheme="minorHAnsi"/>
        </w:rPr>
        <w:tab/>
      </w:r>
      <w:r w:rsidRPr="00D10749">
        <w:t>Dne 1. ledna 2021 získala Nemocnice Na Bulovce statut fakultní nemocnice a došlo ke změně jejího názvu na Fakultní nemocnice Bulovka. Z důvodu jednotnosti bude dále v textu tohoto kontrolního závěru použito pouze označení FNB.</w:t>
      </w:r>
    </w:p>
  </w:footnote>
  <w:footnote w:id="11">
    <w:p w14:paraId="05BA4B9B" w14:textId="23A2E4BF" w:rsidR="006842B7" w:rsidRPr="00D10749" w:rsidRDefault="006842B7" w:rsidP="00972290">
      <w:pPr>
        <w:pStyle w:val="Textpoznpodarou"/>
        <w:ind w:left="284" w:hanging="284"/>
      </w:pPr>
      <w:r w:rsidRPr="00D10749">
        <w:rPr>
          <w:vertAlign w:val="superscript"/>
        </w:rPr>
        <w:footnoteRef/>
      </w:r>
      <w:r w:rsidRPr="00D10749">
        <w:t xml:space="preserve"> </w:t>
      </w:r>
      <w:r>
        <w:tab/>
      </w:r>
      <w:r w:rsidRPr="00D10749">
        <w:t>U dlouhodobých závazků před splatností vznikají nákladové úroky z důvodu uzavřeného splátkového kalendáře, který tyto úroky zahrnuje. FNB splátky včetně úroku uhradila cca jeden rok před termínem splatnosti.</w:t>
      </w:r>
    </w:p>
  </w:footnote>
  <w:footnote w:id="12">
    <w:p w14:paraId="3B63E218" w14:textId="56B014D3" w:rsidR="006842B7" w:rsidRDefault="006842B7" w:rsidP="00972290">
      <w:pPr>
        <w:pStyle w:val="Textpoznpodarou"/>
        <w:ind w:left="284" w:hanging="284"/>
      </w:pPr>
      <w:r>
        <w:rPr>
          <w:rStyle w:val="Znakapoznpodarou"/>
        </w:rPr>
        <w:footnoteRef/>
      </w:r>
      <w:r>
        <w:t xml:space="preserve"> </w:t>
      </w:r>
      <w:r>
        <w:tab/>
      </w:r>
      <w:r>
        <w:rPr>
          <w:rFonts w:asciiTheme="minorHAnsi" w:hAnsiTheme="minorHAnsi" w:cstheme="minorHAnsi"/>
        </w:rPr>
        <w:t xml:space="preserve">Peněžní prostředky byly účelově uvolněny z rozpočtové kapitoly </w:t>
      </w:r>
      <w:r w:rsidRPr="005805C2">
        <w:rPr>
          <w:rFonts w:asciiTheme="minorHAnsi" w:hAnsiTheme="minorHAnsi" w:cstheme="minorHAnsi"/>
          <w:i/>
        </w:rPr>
        <w:t>Všeobecná pokladní správa</w:t>
      </w:r>
      <w:r>
        <w:rPr>
          <w:rFonts w:asciiTheme="minorHAnsi" w:hAnsiTheme="minorHAnsi" w:cstheme="minorHAnsi"/>
        </w:rPr>
        <w:t xml:space="preserve">, položky </w:t>
      </w:r>
      <w:r w:rsidRPr="005805C2">
        <w:rPr>
          <w:rFonts w:asciiTheme="minorHAnsi" w:hAnsiTheme="minorHAnsi" w:cstheme="minorHAnsi"/>
          <w:i/>
        </w:rPr>
        <w:t>Vládní rozpočtová rezerva</w:t>
      </w:r>
      <w:r>
        <w:rPr>
          <w:rFonts w:asciiTheme="minorHAnsi" w:hAnsiTheme="minorHAnsi" w:cstheme="minorHAnsi"/>
        </w:rPr>
        <w:t xml:space="preserve"> do rozpočtu kapitoly č. 335 – </w:t>
      </w:r>
      <w:r w:rsidRPr="005805C2">
        <w:rPr>
          <w:rFonts w:asciiTheme="minorHAnsi" w:hAnsiTheme="minorHAnsi" w:cstheme="minorHAnsi"/>
          <w:i/>
        </w:rPr>
        <w:t>Ministerstvo zdravotnictví</w:t>
      </w:r>
      <w:r>
        <w:rPr>
          <w:rFonts w:asciiTheme="minorHAnsi" w:hAnsiTheme="minorHAnsi" w:cstheme="minorHAnsi"/>
        </w:rPr>
        <w:t xml:space="preserve"> na </w:t>
      </w:r>
      <w:r>
        <w:t>vyplacení odměn pracovníkům vystaveným riziku onemocnění covid-19</w:t>
      </w:r>
      <w:r>
        <w:rPr>
          <w:rFonts w:asciiTheme="minorHAnsi" w:hAnsiTheme="minorHAnsi" w:cstheme="minorHAnsi"/>
        </w:rPr>
        <w:t>.</w:t>
      </w:r>
    </w:p>
  </w:footnote>
  <w:footnote w:id="13">
    <w:p w14:paraId="2D3A54D0" w14:textId="2D60FE03" w:rsidR="006842B7" w:rsidRPr="0075660A" w:rsidRDefault="006842B7" w:rsidP="00972290">
      <w:pPr>
        <w:pStyle w:val="Textpoznpodarou"/>
        <w:ind w:left="284" w:hanging="284"/>
        <w:rPr>
          <w:rFonts w:asciiTheme="minorHAnsi" w:hAnsiTheme="minorHAnsi" w:cstheme="minorHAnsi"/>
        </w:rPr>
      </w:pPr>
      <w:r w:rsidRPr="0075660A">
        <w:rPr>
          <w:rStyle w:val="Znakapoznpodarou"/>
          <w:rFonts w:asciiTheme="minorHAnsi" w:hAnsiTheme="minorHAnsi" w:cstheme="minorHAnsi"/>
        </w:rPr>
        <w:footnoteRef/>
      </w:r>
      <w:r w:rsidRPr="0075660A">
        <w:rPr>
          <w:rFonts w:asciiTheme="minorHAnsi" w:hAnsiTheme="minorHAnsi" w:cstheme="minorHAnsi"/>
        </w:rPr>
        <w:t xml:space="preserve"> </w:t>
      </w:r>
      <w:r>
        <w:rPr>
          <w:rFonts w:asciiTheme="minorHAnsi" w:hAnsiTheme="minorHAnsi" w:cstheme="minorHAnsi"/>
        </w:rPr>
        <w:tab/>
      </w:r>
      <w:r w:rsidRPr="005805C2">
        <w:rPr>
          <w:rFonts w:asciiTheme="minorHAnsi" w:hAnsiTheme="minorHAnsi" w:cstheme="minorHAnsi"/>
          <w:i/>
        </w:rPr>
        <w:t>Program podpory mimořádného finančního ohodnocení zaměstnanců přímo řízených poskytovatelů lůžkové péče v souvislosti s epidemií COVID-19 formou mimořádného příspěvku zřizovatele</w:t>
      </w:r>
      <w:r w:rsidRPr="0075660A">
        <w:rPr>
          <w:rFonts w:asciiTheme="minorHAnsi" w:hAnsiTheme="minorHAnsi" w:cstheme="minorHAnsi"/>
        </w:rPr>
        <w:t xml:space="preserve"> (dále také „Výzva 2020“).</w:t>
      </w:r>
    </w:p>
  </w:footnote>
  <w:footnote w:id="14">
    <w:p w14:paraId="25CD6F5D" w14:textId="31A27C21" w:rsidR="006842B7" w:rsidRPr="002836DB" w:rsidRDefault="006842B7" w:rsidP="00972290">
      <w:pPr>
        <w:pStyle w:val="Textpoznpodarou"/>
        <w:ind w:left="284" w:hanging="284"/>
        <w:rPr>
          <w:rFonts w:asciiTheme="minorHAnsi" w:hAnsiTheme="minorHAnsi" w:cstheme="minorHAnsi"/>
        </w:rPr>
      </w:pPr>
      <w:r w:rsidRPr="0075660A">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5805C2">
        <w:rPr>
          <w:rFonts w:asciiTheme="minorHAnsi" w:hAnsiTheme="minorHAnsi" w:cstheme="minorHAnsi"/>
          <w:i/>
        </w:rPr>
        <w:t>Podpora mimořádného finančního ohodnocení zaměstnanců poskytovatelů lůžkové péče v souvislosti s epidemií COVID-19 pro rok 2021</w:t>
      </w:r>
      <w:r w:rsidRPr="0075660A">
        <w:rPr>
          <w:rFonts w:asciiTheme="minorHAnsi" w:hAnsiTheme="minorHAnsi" w:cstheme="minorHAnsi"/>
        </w:rPr>
        <w:t xml:space="preserve"> (dále</w:t>
      </w:r>
      <w:r w:rsidRPr="002836DB">
        <w:rPr>
          <w:rFonts w:asciiTheme="minorHAnsi" w:hAnsiTheme="minorHAnsi" w:cstheme="minorHAnsi"/>
        </w:rPr>
        <w:t xml:space="preserve"> také „Výzva 2021“).</w:t>
      </w:r>
    </w:p>
  </w:footnote>
  <w:footnote w:id="15">
    <w:p w14:paraId="5129053D" w14:textId="4180CB17" w:rsidR="006842B7" w:rsidRDefault="006842B7" w:rsidP="00972290">
      <w:pPr>
        <w:pStyle w:val="Textpoznpodarou"/>
        <w:ind w:left="284" w:hanging="284"/>
      </w:pPr>
      <w:r w:rsidRPr="000402C4">
        <w:rPr>
          <w:rStyle w:val="Znakapoznpodarou"/>
        </w:rPr>
        <w:footnoteRef/>
      </w:r>
      <w:r w:rsidRPr="000402C4">
        <w:t xml:space="preserve"> </w:t>
      </w:r>
      <w:r>
        <w:tab/>
      </w:r>
      <w:r w:rsidRPr="000402C4">
        <w:t>Ustanovení § 39 odst. 3 rozpočtových pravidel.</w:t>
      </w:r>
    </w:p>
  </w:footnote>
  <w:footnote w:id="16">
    <w:p w14:paraId="1028BE07" w14:textId="67D228AA" w:rsidR="006842B7" w:rsidRPr="00D80747" w:rsidRDefault="006842B7" w:rsidP="00D80747">
      <w:pPr>
        <w:pStyle w:val="Textpoznpodarou"/>
        <w:ind w:left="284" w:hanging="284"/>
        <w:rPr>
          <w:rFonts w:cs="Calibri"/>
        </w:rPr>
      </w:pPr>
      <w:r w:rsidRPr="00D80747">
        <w:rPr>
          <w:rStyle w:val="Znakapoznpodarou"/>
          <w:rFonts w:cs="Calibri"/>
        </w:rPr>
        <w:footnoteRef/>
      </w:r>
      <w:r w:rsidRPr="00D80747">
        <w:rPr>
          <w:rFonts w:cs="Calibri"/>
        </w:rPr>
        <w:t> </w:t>
      </w:r>
      <w:r>
        <w:rPr>
          <w:rFonts w:cs="Calibri"/>
        </w:rPr>
        <w:tab/>
      </w:r>
      <w:r w:rsidRPr="00D80747">
        <w:rPr>
          <w:rFonts w:cs="Calibri"/>
        </w:rPr>
        <w:t>Záložní zdravotnické zařízení (dále také „polní nemocnice v Letňanech“ nebo „PNL“) vzniklo z důvodu pandemie onemocnění covid-19.</w:t>
      </w:r>
    </w:p>
  </w:footnote>
  <w:footnote w:id="17">
    <w:p w14:paraId="50C6B1BB" w14:textId="046EEF9B" w:rsidR="006842B7" w:rsidRPr="00D80747" w:rsidRDefault="006842B7" w:rsidP="00D80747">
      <w:pPr>
        <w:pStyle w:val="Textpoznpodarou"/>
        <w:ind w:left="284" w:hanging="284"/>
        <w:rPr>
          <w:rFonts w:cs="Calibri"/>
        </w:rPr>
      </w:pPr>
      <w:r w:rsidRPr="00D80747">
        <w:rPr>
          <w:rStyle w:val="Znakapoznpodarou"/>
          <w:rFonts w:cs="Calibri"/>
        </w:rPr>
        <w:footnoteRef/>
      </w:r>
      <w:r w:rsidRPr="00D80747">
        <w:rPr>
          <w:rFonts w:cs="Calibri"/>
        </w:rPr>
        <w:t xml:space="preserve"> </w:t>
      </w:r>
      <w:r>
        <w:rPr>
          <w:rFonts w:cs="Calibri"/>
        </w:rPr>
        <w:tab/>
      </w:r>
      <w:r w:rsidRPr="00D80747">
        <w:rPr>
          <w:rFonts w:cs="Calibri"/>
        </w:rPr>
        <w:t>Ustanovení § 14 odst. 1 zákona o majetku státu.</w:t>
      </w:r>
    </w:p>
  </w:footnote>
  <w:footnote w:id="18">
    <w:p w14:paraId="46B4B439" w14:textId="118503A5" w:rsidR="006842B7" w:rsidRPr="00D80747" w:rsidRDefault="006842B7" w:rsidP="00D80747">
      <w:pPr>
        <w:pStyle w:val="Textpoznpodarou"/>
        <w:ind w:left="284" w:hanging="284"/>
        <w:rPr>
          <w:rFonts w:cs="Calibri"/>
        </w:rPr>
      </w:pPr>
      <w:r w:rsidRPr="00D80747">
        <w:rPr>
          <w:rStyle w:val="Znakapoznpodarou"/>
          <w:rFonts w:cs="Calibri"/>
        </w:rPr>
        <w:footnoteRef/>
      </w:r>
      <w:r w:rsidRPr="00D80747">
        <w:rPr>
          <w:rFonts w:cs="Calibri"/>
        </w:rPr>
        <w:t xml:space="preserve"> </w:t>
      </w:r>
      <w:r>
        <w:rPr>
          <w:rFonts w:cs="Calibri"/>
        </w:rPr>
        <w:tab/>
      </w:r>
      <w:r w:rsidRPr="00D80747">
        <w:rPr>
          <w:rFonts w:cs="Calibri"/>
        </w:rPr>
        <w:t xml:space="preserve">KA č. 17/19 – </w:t>
      </w:r>
      <w:r w:rsidRPr="005805C2">
        <w:rPr>
          <w:rFonts w:cs="Calibri"/>
          <w:i/>
        </w:rPr>
        <w:t>Peněžní prostředky vynakládané vybranými nemocnicemi na úhradu nákladů z činnosti</w:t>
      </w:r>
      <w:r w:rsidRPr="00D80747">
        <w:rPr>
          <w:rFonts w:cs="Calibri"/>
        </w:rPr>
        <w:t>.</w:t>
      </w:r>
    </w:p>
  </w:footnote>
  <w:footnote w:id="19">
    <w:p w14:paraId="65626147" w14:textId="00965DD0" w:rsidR="006842B7" w:rsidRPr="00D80747" w:rsidRDefault="006842B7" w:rsidP="00D80747">
      <w:pPr>
        <w:pStyle w:val="Textpoznpodarou"/>
        <w:ind w:left="284" w:hanging="284"/>
        <w:rPr>
          <w:rFonts w:cs="Calibri"/>
        </w:rPr>
      </w:pPr>
      <w:r w:rsidRPr="00D80747">
        <w:rPr>
          <w:rStyle w:val="Znakapoznpodarou"/>
          <w:rFonts w:cs="Calibri"/>
        </w:rPr>
        <w:footnoteRef/>
      </w:r>
      <w:r w:rsidRPr="00D80747">
        <w:rPr>
          <w:rFonts w:cs="Calibri"/>
        </w:rPr>
        <w:t xml:space="preserve"> </w:t>
      </w:r>
      <w:r>
        <w:rPr>
          <w:rFonts w:cs="Calibri"/>
        </w:rPr>
        <w:tab/>
      </w:r>
      <w:r w:rsidRPr="00D80747">
        <w:rPr>
          <w:rFonts w:cs="Calibri"/>
        </w:rPr>
        <w:t xml:space="preserve">Ustanovení § 6 zákona o zadávání veřejných zakázek. </w:t>
      </w:r>
    </w:p>
  </w:footnote>
  <w:footnote w:id="20">
    <w:p w14:paraId="67E72150" w14:textId="36EBB5A8" w:rsidR="006842B7" w:rsidRPr="00D80747" w:rsidRDefault="006842B7" w:rsidP="00D80747">
      <w:pPr>
        <w:pStyle w:val="Textpoznpodarou"/>
        <w:ind w:left="284" w:hanging="284"/>
        <w:rPr>
          <w:rFonts w:cs="Calibri"/>
        </w:rPr>
      </w:pPr>
      <w:r w:rsidRPr="00D80747">
        <w:rPr>
          <w:rStyle w:val="Znakapoznpodarou"/>
          <w:rFonts w:cs="Calibri"/>
        </w:rPr>
        <w:footnoteRef/>
      </w:r>
      <w:r w:rsidRPr="00D80747">
        <w:rPr>
          <w:rFonts w:cs="Calibri"/>
        </w:rPr>
        <w:t xml:space="preserve"> </w:t>
      </w:r>
      <w:r>
        <w:rPr>
          <w:rFonts w:cs="Calibri"/>
        </w:rPr>
        <w:tab/>
      </w:r>
      <w:r w:rsidRPr="00D80747">
        <w:rPr>
          <w:rFonts w:cs="Calibri"/>
        </w:rPr>
        <w:t>Ustanovení § 44 odst. 1 písm. a) ve spojení s ustanovením § 3 písm. c) a písm. e) rozpočtových pravid</w:t>
      </w:r>
      <w:r>
        <w:rPr>
          <w:rFonts w:cs="Calibri"/>
        </w:rPr>
        <w:t>e</w:t>
      </w:r>
      <w:r w:rsidRPr="00D80747">
        <w:rPr>
          <w:rFonts w:cs="Calibri"/>
        </w:rPr>
        <w:t>l.</w:t>
      </w:r>
    </w:p>
  </w:footnote>
  <w:footnote w:id="21">
    <w:p w14:paraId="3641A875" w14:textId="528EEA6B" w:rsidR="006842B7" w:rsidRDefault="006842B7" w:rsidP="0028199A">
      <w:pPr>
        <w:pStyle w:val="Textpoznpodarou"/>
        <w:ind w:left="284" w:hanging="284"/>
      </w:pPr>
      <w:r>
        <w:rPr>
          <w:rStyle w:val="Znakapoznpodarou"/>
        </w:rPr>
        <w:footnoteRef/>
      </w:r>
      <w:r>
        <w:t xml:space="preserve"> </w:t>
      </w:r>
      <w:r>
        <w:tab/>
        <w:t>Jednotková nákupní cena je cena pořízení (včetně DPH) jednoho balení léčivého přípravku, resp. jednoho kusu zdravotnického prostředku.</w:t>
      </w:r>
    </w:p>
  </w:footnote>
  <w:footnote w:id="22">
    <w:p w14:paraId="0D4F3B89" w14:textId="0C20037D" w:rsidR="006842B7" w:rsidRPr="0075660A" w:rsidRDefault="006842B7" w:rsidP="0028199A">
      <w:pPr>
        <w:pStyle w:val="Textpoznpodarou"/>
        <w:ind w:left="284" w:hanging="284"/>
      </w:pPr>
      <w:r>
        <w:rPr>
          <w:rStyle w:val="Znakapoznpodarou"/>
        </w:rPr>
        <w:footnoteRef/>
      </w:r>
      <w:r>
        <w:t xml:space="preserve"> </w:t>
      </w:r>
      <w:r>
        <w:tab/>
      </w:r>
      <w:r w:rsidRPr="009E3074">
        <w:t>Druh, tj. léčivo registrované pod kódem SÚKL, který definuje mj. název léčivého přípravku, doplněk názvu, sílu, lékovou formu</w:t>
      </w:r>
      <w:r w:rsidRPr="00EE6DFD">
        <w:t xml:space="preserve">, velikost balení, účinnou látku a ATC </w:t>
      </w:r>
      <w:r w:rsidRPr="0075660A">
        <w:t xml:space="preserve">skupinu, ATC – J – </w:t>
      </w:r>
      <w:proofErr w:type="spellStart"/>
      <w:r w:rsidRPr="0075660A">
        <w:t>antiinfektiva</w:t>
      </w:r>
      <w:proofErr w:type="spellEnd"/>
      <w:r w:rsidRPr="0075660A">
        <w:t xml:space="preserve"> pro systémovou aplikaci.</w:t>
      </w:r>
    </w:p>
  </w:footnote>
  <w:footnote w:id="23">
    <w:p w14:paraId="33ABB723" w14:textId="4332843D" w:rsidR="006842B7" w:rsidRPr="0075660A" w:rsidRDefault="006842B7" w:rsidP="0028199A">
      <w:pPr>
        <w:pStyle w:val="Textpoznpodarou"/>
        <w:ind w:left="284" w:hanging="284"/>
      </w:pPr>
      <w:r w:rsidRPr="0075660A">
        <w:rPr>
          <w:rStyle w:val="Znakapoznpodarou"/>
        </w:rPr>
        <w:footnoteRef/>
      </w:r>
      <w:r w:rsidRPr="0075660A">
        <w:t xml:space="preserve"> </w:t>
      </w:r>
      <w:r>
        <w:tab/>
      </w:r>
      <w:r w:rsidRPr="0075660A">
        <w:t>V ojedinělém případu nákupu léčiva s blížící se exspirací byl zjištěn rozdíl 920,4 %.</w:t>
      </w:r>
    </w:p>
  </w:footnote>
  <w:footnote w:id="24">
    <w:p w14:paraId="4FA52BB7" w14:textId="0BA4C3E7" w:rsidR="006842B7" w:rsidRPr="0075660A" w:rsidRDefault="006842B7" w:rsidP="0028199A">
      <w:pPr>
        <w:pStyle w:val="Textpoznpodarou"/>
        <w:ind w:left="284" w:hanging="284"/>
      </w:pPr>
      <w:r w:rsidRPr="0075660A">
        <w:rPr>
          <w:rStyle w:val="Znakapoznpodarou"/>
        </w:rPr>
        <w:footnoteRef/>
      </w:r>
      <w:r w:rsidRPr="0075660A">
        <w:t> </w:t>
      </w:r>
      <w:r>
        <w:tab/>
      </w:r>
      <w:r w:rsidRPr="0075660A">
        <w:t>Zákon č. 340/2015 Sb., o zvláštních podmínkách účinnosti některých smluv, uveřejňování těchto smluv a o registru smluv (zákon o registru smluv).</w:t>
      </w:r>
    </w:p>
  </w:footnote>
  <w:footnote w:id="25">
    <w:p w14:paraId="78F6A1A8" w14:textId="3EA82983" w:rsidR="006842B7" w:rsidRPr="002168D4" w:rsidRDefault="006842B7" w:rsidP="0028199A">
      <w:pPr>
        <w:pStyle w:val="Textpoznpodarou"/>
        <w:ind w:left="284" w:hanging="284"/>
      </w:pPr>
      <w:r w:rsidRPr="0075660A">
        <w:rPr>
          <w:rStyle w:val="Znakapoznpodarou"/>
        </w:rPr>
        <w:footnoteRef/>
      </w:r>
      <w:r w:rsidRPr="0075660A">
        <w:t xml:space="preserve"> </w:t>
      </w:r>
      <w:r>
        <w:tab/>
      </w:r>
      <w:r w:rsidRPr="0075660A">
        <w:t>Ustanovení § 5 odst. 1 ve spojení s ustanovením § 5 odst. 5 zákona o registru smluv.</w:t>
      </w:r>
    </w:p>
  </w:footnote>
  <w:footnote w:id="26">
    <w:p w14:paraId="49A46AD2" w14:textId="544D4C92" w:rsidR="006842B7" w:rsidRPr="003E638C" w:rsidRDefault="006842B7" w:rsidP="0028199A">
      <w:pPr>
        <w:pStyle w:val="Textpoznpodarou"/>
        <w:ind w:left="284" w:hanging="284"/>
      </w:pPr>
      <w:r w:rsidRPr="003E638C">
        <w:rPr>
          <w:rStyle w:val="Znakapoznpodarou"/>
        </w:rPr>
        <w:footnoteRef/>
      </w:r>
      <w:r w:rsidRPr="003E638C">
        <w:t xml:space="preserve"> </w:t>
      </w:r>
      <w:r>
        <w:tab/>
      </w:r>
      <w:r w:rsidRPr="003E638C">
        <w:t>Ustanovení § 5 odst. 1 ve spojení s ustanovením § 5 odst. 5, ustanovení § 5 odst. 2 zákona o registru smluv.</w:t>
      </w:r>
    </w:p>
  </w:footnote>
  <w:footnote w:id="27">
    <w:p w14:paraId="68958BB2" w14:textId="347F6FE8" w:rsidR="006842B7" w:rsidRDefault="006842B7" w:rsidP="0028199A">
      <w:pPr>
        <w:pStyle w:val="Textpoznpodarou"/>
        <w:ind w:left="284" w:hanging="284"/>
      </w:pPr>
      <w:r>
        <w:rPr>
          <w:rStyle w:val="Znakapoznpodarou"/>
        </w:rPr>
        <w:footnoteRef/>
      </w:r>
      <w:r>
        <w:t xml:space="preserve"> </w:t>
      </w:r>
      <w:r>
        <w:tab/>
        <w:t>Ustanovení § 6 odst. 1 a ustanovení § 7 odst. 1 zákona o registru smluv.</w:t>
      </w:r>
    </w:p>
  </w:footnote>
  <w:footnote w:id="28">
    <w:p w14:paraId="11F4971D" w14:textId="4AFC2E8A" w:rsidR="006842B7" w:rsidRDefault="006842B7" w:rsidP="0028199A">
      <w:pPr>
        <w:pStyle w:val="Textpoznpodarou"/>
        <w:ind w:left="284" w:hanging="284"/>
      </w:pPr>
      <w:r>
        <w:rPr>
          <w:rStyle w:val="Znakapoznpodarou"/>
        </w:rPr>
        <w:footnoteRef/>
      </w:r>
      <w:r>
        <w:t xml:space="preserve"> </w:t>
      </w:r>
      <w:r>
        <w:tab/>
        <w:t>Zákon č. 563/1991 Sb., o účetnictví.</w:t>
      </w:r>
    </w:p>
  </w:footnote>
  <w:footnote w:id="29">
    <w:p w14:paraId="12EA81CC" w14:textId="4E8BC035" w:rsidR="006842B7" w:rsidRPr="00A71947" w:rsidRDefault="006842B7" w:rsidP="000D192D">
      <w:pPr>
        <w:pStyle w:val="Textpoznpodarou"/>
        <w:ind w:left="284" w:hanging="284"/>
        <w:rPr>
          <w:rFonts w:asciiTheme="minorHAnsi" w:hAnsiTheme="minorHAnsi" w:cstheme="minorHAnsi"/>
        </w:rPr>
      </w:pPr>
      <w:r w:rsidRPr="00A71947">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Termín „p</w:t>
      </w:r>
      <w:r w:rsidRPr="00930DAF">
        <w:rPr>
          <w:rFonts w:asciiTheme="minorHAnsi" w:hAnsiTheme="minorHAnsi" w:cstheme="minorHAnsi"/>
        </w:rPr>
        <w:t>oskytovatel</w:t>
      </w:r>
      <w:r>
        <w:rPr>
          <w:rFonts w:asciiTheme="minorHAnsi" w:hAnsiTheme="minorHAnsi" w:cstheme="minorHAnsi"/>
        </w:rPr>
        <w:t>é</w:t>
      </w:r>
      <w:r w:rsidRPr="00930DAF">
        <w:rPr>
          <w:rFonts w:asciiTheme="minorHAnsi" w:hAnsiTheme="minorHAnsi" w:cstheme="minorHAnsi"/>
        </w:rPr>
        <w:t xml:space="preserve"> lůžkové</w:t>
      </w:r>
      <w:r w:rsidRPr="00A71947">
        <w:rPr>
          <w:rFonts w:asciiTheme="minorHAnsi" w:hAnsiTheme="minorHAnsi" w:cstheme="minorHAnsi"/>
        </w:rPr>
        <w:t xml:space="preserve"> péče</w:t>
      </w:r>
      <w:r>
        <w:rPr>
          <w:rFonts w:asciiTheme="minorHAnsi" w:hAnsiTheme="minorHAnsi" w:cstheme="minorHAnsi"/>
        </w:rPr>
        <w:t>“</w:t>
      </w:r>
      <w:r w:rsidRPr="00A71947">
        <w:rPr>
          <w:rFonts w:asciiTheme="minorHAnsi" w:hAnsiTheme="minorHAnsi" w:cstheme="minorHAnsi"/>
        </w:rPr>
        <w:t xml:space="preserve"> zahrnuje jak přímo řízené organizace </w:t>
      </w:r>
      <w:proofErr w:type="spellStart"/>
      <w:r w:rsidRPr="00A71947">
        <w:rPr>
          <w:rFonts w:asciiTheme="minorHAnsi" w:hAnsiTheme="minorHAnsi" w:cstheme="minorHAnsi"/>
        </w:rPr>
        <w:t>MZ</w:t>
      </w:r>
      <w:r>
        <w:rPr>
          <w:rFonts w:asciiTheme="minorHAnsi" w:hAnsiTheme="minorHAnsi" w:cstheme="minorHAnsi"/>
        </w:rPr>
        <w:t>d</w:t>
      </w:r>
      <w:proofErr w:type="spellEnd"/>
      <w:r w:rsidRPr="00A71947">
        <w:rPr>
          <w:rFonts w:asciiTheme="minorHAnsi" w:hAnsiTheme="minorHAnsi" w:cstheme="minorHAnsi"/>
        </w:rPr>
        <w:t xml:space="preserve"> (např. fakultní nemocnice, psychiatrické nemocnice, specializované ústavy), tak </w:t>
      </w:r>
      <w:r w:rsidRPr="00930DAF">
        <w:rPr>
          <w:rFonts w:asciiTheme="minorHAnsi" w:hAnsiTheme="minorHAnsi" w:cstheme="minorHAnsi"/>
        </w:rPr>
        <w:t xml:space="preserve">poskytovatele lůžkové péče s právní formou a.s., o.p.s., </w:t>
      </w:r>
      <w:proofErr w:type="spellStart"/>
      <w:r w:rsidRPr="00930DAF">
        <w:rPr>
          <w:rFonts w:asciiTheme="minorHAnsi" w:hAnsiTheme="minorHAnsi" w:cstheme="minorHAnsi"/>
        </w:rPr>
        <w:t>z.s</w:t>
      </w:r>
      <w:proofErr w:type="spellEnd"/>
      <w:r w:rsidRPr="00930DAF">
        <w:rPr>
          <w:rFonts w:asciiTheme="minorHAnsi" w:hAnsiTheme="minorHAnsi" w:cstheme="minorHAnsi"/>
        </w:rPr>
        <w:t>., spravované církví, obcí, krajem, jejich příspěvkové organiz</w:t>
      </w:r>
      <w:r w:rsidRPr="00A71947">
        <w:rPr>
          <w:rFonts w:asciiTheme="minorHAnsi" w:hAnsiTheme="minorHAnsi" w:cstheme="minorHAnsi"/>
        </w:rPr>
        <w:t>ace atd.</w:t>
      </w:r>
    </w:p>
  </w:footnote>
  <w:footnote w:id="30">
    <w:p w14:paraId="498218B2" w14:textId="6009358C" w:rsidR="006842B7" w:rsidRPr="00A71947" w:rsidRDefault="006842B7" w:rsidP="000D192D">
      <w:pPr>
        <w:pStyle w:val="Textpoznpodarou"/>
        <w:ind w:left="284" w:hanging="284"/>
        <w:rPr>
          <w:rFonts w:asciiTheme="minorHAnsi" w:hAnsiTheme="minorHAnsi" w:cstheme="minorHAnsi"/>
        </w:rPr>
      </w:pPr>
      <w:r w:rsidRPr="00A71947">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97491A">
        <w:rPr>
          <w:rFonts w:asciiTheme="minorHAnsi" w:hAnsiTheme="minorHAnsi" w:cstheme="minorHAnsi"/>
        </w:rPr>
        <w:t xml:space="preserve">Usnesení vlády České republiky ze dne 27. července 2020 č. 809, </w:t>
      </w:r>
      <w:r w:rsidRPr="005805C2">
        <w:rPr>
          <w:rFonts w:asciiTheme="minorHAnsi" w:hAnsiTheme="minorHAnsi" w:cstheme="minorHAnsi"/>
          <w:i/>
        </w:rPr>
        <w:t>o návrhu dotačního programu na podporu mimořádného finančního ohodnocení zaměstnanců poskytovatelů lůžkové péče v souvislosti s epidemií COVID</w:t>
      </w:r>
      <w:r w:rsidRPr="005805C2">
        <w:rPr>
          <w:rFonts w:asciiTheme="minorHAnsi" w:hAnsiTheme="minorHAnsi" w:cstheme="minorHAnsi"/>
          <w:i/>
        </w:rPr>
        <w:noBreakHyphen/>
        <w:t>19</w:t>
      </w:r>
      <w:r w:rsidRPr="0097491A">
        <w:rPr>
          <w:rFonts w:asciiTheme="minorHAnsi" w:hAnsiTheme="minorHAnsi" w:cstheme="minorHAnsi"/>
        </w:rPr>
        <w:t xml:space="preserve">; usnesení vlády České republiky ze dne 24. srpna 2020 č. 870, </w:t>
      </w:r>
      <w:r w:rsidRPr="005805C2">
        <w:rPr>
          <w:rFonts w:asciiTheme="minorHAnsi" w:hAnsiTheme="minorHAnsi" w:cstheme="minorHAnsi"/>
          <w:i/>
        </w:rPr>
        <w:t>o změně usnesení vlády ze dne 27. července 2020 č. 809 a usnesení vlády ze dne 25. května 2020 č. 581 ve znění usnesení vlády ze dne 1. června 2020 č. 604</w:t>
      </w:r>
      <w:r w:rsidRPr="0097491A">
        <w:rPr>
          <w:rFonts w:asciiTheme="minorHAnsi" w:hAnsiTheme="minorHAnsi" w:cstheme="minorHAnsi"/>
        </w:rPr>
        <w:t xml:space="preserve">; usnesení vlády České republiky ze dne 8. března 2021 č. 274, </w:t>
      </w:r>
      <w:r w:rsidRPr="005805C2">
        <w:rPr>
          <w:rFonts w:asciiTheme="minorHAnsi" w:hAnsiTheme="minorHAnsi" w:cstheme="minorHAnsi"/>
          <w:i/>
        </w:rPr>
        <w:t>o návrhu dotačního programu na podporu mimořádného finančního ohodnocení zaměstnanců poskytovatelů lůžkové péče v souvislosti s epidemií COVID-19 pro rok 2021</w:t>
      </w:r>
      <w:r>
        <w:rPr>
          <w:rFonts w:asciiTheme="minorHAnsi" w:hAnsiTheme="minorHAnsi" w:cstheme="minorHAnsi"/>
        </w:rPr>
        <w:t>,</w:t>
      </w:r>
      <w:r w:rsidRPr="0097491A">
        <w:rPr>
          <w:rFonts w:asciiTheme="minorHAnsi" w:hAnsiTheme="minorHAnsi" w:cstheme="minorHAnsi"/>
        </w:rPr>
        <w:t xml:space="preserve"> a usnesení vlády České republiky ze dne 26. dubna 2021 č.</w:t>
      </w:r>
      <w:r>
        <w:rPr>
          <w:rFonts w:asciiTheme="minorHAnsi" w:hAnsiTheme="minorHAnsi" w:cstheme="minorHAnsi"/>
        </w:rPr>
        <w:t> </w:t>
      </w:r>
      <w:r w:rsidRPr="0097491A">
        <w:rPr>
          <w:rFonts w:asciiTheme="minorHAnsi" w:hAnsiTheme="minorHAnsi" w:cstheme="minorHAnsi"/>
        </w:rPr>
        <w:t xml:space="preserve">417, </w:t>
      </w:r>
      <w:r w:rsidRPr="005805C2">
        <w:rPr>
          <w:rFonts w:asciiTheme="minorHAnsi" w:hAnsiTheme="minorHAnsi" w:cstheme="minorHAnsi"/>
          <w:i/>
        </w:rPr>
        <w:t>o potřebných finančních prostředcích na odměny za období COVID-19 určené pro zaměstnance u poskytovatelů lůžkové péče v roce 2021</w:t>
      </w:r>
      <w:r w:rsidRPr="0097491A">
        <w:rPr>
          <w:rFonts w:asciiTheme="minorHAnsi" w:hAnsiTheme="minorHAnsi" w:cstheme="minorHAnsi"/>
        </w:rPr>
        <w:t>.</w:t>
      </w:r>
    </w:p>
  </w:footnote>
  <w:footnote w:id="31">
    <w:p w14:paraId="7661C71B" w14:textId="1A7BC19E" w:rsidR="006842B7" w:rsidRPr="00654C39" w:rsidRDefault="006842B7" w:rsidP="000D192D">
      <w:pPr>
        <w:pStyle w:val="Textpoznpodarou"/>
        <w:ind w:left="284" w:hanging="284"/>
      </w:pPr>
      <w:r w:rsidRPr="00654C39">
        <w:rPr>
          <w:rStyle w:val="Znakapoznpodarou"/>
        </w:rPr>
        <w:footnoteRef/>
      </w:r>
      <w:r>
        <w:t xml:space="preserve"> </w:t>
      </w:r>
      <w:r>
        <w:tab/>
      </w:r>
      <w:r w:rsidRPr="00654C39">
        <w:t xml:space="preserve">Usnesení vlády České republiky ze dne 16. října 2020 č. 1043, </w:t>
      </w:r>
      <w:r w:rsidRPr="005805C2">
        <w:rPr>
          <w:i/>
        </w:rPr>
        <w:t xml:space="preserve">o nařízení o použití Armády České republiky k záchranným pracím při ochraně obyvatelstva a prevenci šíření </w:t>
      </w:r>
      <w:proofErr w:type="spellStart"/>
      <w:r w:rsidRPr="005805C2">
        <w:rPr>
          <w:i/>
        </w:rPr>
        <w:t>koronaviru</w:t>
      </w:r>
      <w:proofErr w:type="spellEnd"/>
      <w:r w:rsidRPr="005805C2">
        <w:rPr>
          <w:i/>
        </w:rPr>
        <w:t xml:space="preserve"> SARS CoV-2 spočívající ve vybudování záložního zdravotnického zařízení a jeho částečné obsluze</w:t>
      </w:r>
      <w:r w:rsidRPr="00654C39">
        <w:t xml:space="preserve"> (dále také „</w:t>
      </w:r>
      <w:r>
        <w:t>usnesení vlády</w:t>
      </w:r>
      <w:r w:rsidRPr="00654C39">
        <w:t xml:space="preserve"> č. 1043“).</w:t>
      </w:r>
    </w:p>
  </w:footnote>
  <w:footnote w:id="32">
    <w:p w14:paraId="2020561D" w14:textId="6F7C232C" w:rsidR="006842B7" w:rsidRDefault="006842B7" w:rsidP="000D192D">
      <w:pPr>
        <w:pStyle w:val="Textpoznpodarou"/>
        <w:ind w:left="284" w:hanging="284"/>
      </w:pPr>
      <w:r w:rsidRPr="00654C39">
        <w:rPr>
          <w:rStyle w:val="Znakapoznpodarou"/>
        </w:rPr>
        <w:footnoteRef/>
      </w:r>
      <w:r>
        <w:t> </w:t>
      </w:r>
      <w:r>
        <w:tab/>
      </w:r>
      <w:r w:rsidRPr="00654C39">
        <w:t xml:space="preserve">Nařízení vlády č. 416/2020 Sb., o použití Armády České republiky k záchranným pracím při ochraně obyvatelstva a prevenci šíření </w:t>
      </w:r>
      <w:proofErr w:type="spellStart"/>
      <w:r w:rsidRPr="00654C39">
        <w:t>koronaviru</w:t>
      </w:r>
      <w:proofErr w:type="spellEnd"/>
      <w:r w:rsidRPr="00654C39">
        <w:t xml:space="preserve"> SARS CoV-2 spočívající ve vybudování záložního zdravotnického zařízení a jeho částečné obsluze.</w:t>
      </w:r>
    </w:p>
  </w:footnote>
  <w:footnote w:id="33">
    <w:p w14:paraId="466B5B91" w14:textId="0BE8D051" w:rsidR="006842B7" w:rsidRPr="000B465C" w:rsidRDefault="006842B7" w:rsidP="000D192D">
      <w:pPr>
        <w:pStyle w:val="Textpoznpodarou"/>
        <w:ind w:left="284" w:hanging="284"/>
      </w:pPr>
      <w:r w:rsidRPr="000B465C">
        <w:rPr>
          <w:rStyle w:val="Znakapoznpodarou"/>
        </w:rPr>
        <w:footnoteRef/>
      </w:r>
      <w:r>
        <w:tab/>
        <w:t>NKÚ prověřil</w:t>
      </w:r>
      <w:r w:rsidRPr="000B465C">
        <w:t xml:space="preserve"> náklady na zdravotnické </w:t>
      </w:r>
      <w:r w:rsidRPr="00F174DE">
        <w:t>prostředky, resp. na spotřební zdravotnický materiál (SZM). Zdravotnickým prostředkem se rozumí nástroj, přístroj</w:t>
      </w:r>
      <w:r w:rsidRPr="000B465C">
        <w:t>, zařízení, včetně programového vybavení</w:t>
      </w:r>
      <w:r>
        <w:t>,</w:t>
      </w:r>
      <w:r w:rsidRPr="000B465C">
        <w:t xml:space="preserve"> určen</w:t>
      </w:r>
      <w:r>
        <w:t>ý</w:t>
      </w:r>
      <w:r w:rsidRPr="000B465C">
        <w:t xml:space="preserve"> jeho výrobcem ke specifickému použití pro diagnostické nebo léčebné účely a</w:t>
      </w:r>
      <w:r>
        <w:t> </w:t>
      </w:r>
      <w:r w:rsidRPr="000B465C">
        <w:t>nezbytn</w:t>
      </w:r>
      <w:r>
        <w:t>ý</w:t>
      </w:r>
      <w:r w:rsidRPr="000B465C">
        <w:t xml:space="preserve"> ke správnému použití zdravotnického prostředku, materiál</w:t>
      </w:r>
      <w:r>
        <w:t>u</w:t>
      </w:r>
      <w:r w:rsidRPr="000B465C">
        <w:t xml:space="preserve"> nebo jin</w:t>
      </w:r>
      <w:r>
        <w:t>ého</w:t>
      </w:r>
      <w:r w:rsidRPr="000B465C">
        <w:t xml:space="preserve"> předmět</w:t>
      </w:r>
      <w:r>
        <w:t>u</w:t>
      </w:r>
      <w:r w:rsidRPr="000B465C">
        <w:t>.</w:t>
      </w:r>
    </w:p>
  </w:footnote>
  <w:footnote w:id="34">
    <w:p w14:paraId="1FA49BCD" w14:textId="37310AF2" w:rsidR="006842B7" w:rsidRPr="000B465C" w:rsidRDefault="006842B7" w:rsidP="000D192D">
      <w:pPr>
        <w:pStyle w:val="Textpoznpodarou"/>
        <w:ind w:left="284" w:hanging="284"/>
      </w:pPr>
      <w:r w:rsidRPr="000B465C">
        <w:rPr>
          <w:rStyle w:val="Znakapoznpodarou"/>
        </w:rPr>
        <w:footnoteRef/>
      </w:r>
      <w:r>
        <w:tab/>
      </w:r>
      <w:r w:rsidRPr="000B465C">
        <w:t>Pojem bonus není právně definov</w:t>
      </w:r>
      <w:r>
        <w:t>án</w:t>
      </w:r>
      <w:r w:rsidRPr="000B465C">
        <w:t xml:space="preserve">. Pro účely </w:t>
      </w:r>
      <w:r>
        <w:t>kontrolního závěru</w:t>
      </w:r>
      <w:r w:rsidRPr="000B465C">
        <w:t xml:space="preserve"> je bonus chápán jako cenové zvýhodnění poskytnuté dodavatelem při odběru předem stanoveného množství odebraného zboží za určité časové období.</w:t>
      </w:r>
      <w:r>
        <w:t xml:space="preserve"> </w:t>
      </w:r>
      <w:r w:rsidRPr="00CE7DD4">
        <w:t>Bonusy za léčivé přípravky a zdravotnické prostředky u všech FN v kontrolovaném období rostly a</w:t>
      </w:r>
      <w:r>
        <w:t> </w:t>
      </w:r>
      <w:r w:rsidRPr="00CE7DD4">
        <w:t>jednalo se především o neadresné bonusy, které nelze přiřadit ke konkrétnímu zboží.</w:t>
      </w:r>
    </w:p>
  </w:footnote>
  <w:footnote w:id="35">
    <w:p w14:paraId="1DBC79C7" w14:textId="71D1F274" w:rsidR="006842B7" w:rsidRDefault="006842B7" w:rsidP="00ED45A5">
      <w:pPr>
        <w:pStyle w:val="Textpoznpodarou"/>
        <w:ind w:left="284" w:hanging="284"/>
      </w:pPr>
      <w:r>
        <w:rPr>
          <w:rStyle w:val="Znakapoznpodarou"/>
        </w:rPr>
        <w:footnoteRef/>
      </w:r>
      <w:r>
        <w:t xml:space="preserve"> </w:t>
      </w:r>
      <w:r>
        <w:tab/>
        <w:t>Zákon České národní rady č</w:t>
      </w:r>
      <w:r w:rsidRPr="00E34A6E">
        <w:t>. 2/1969 Sb., o zřízení ministerstev a jiných ústředních orgánů státní správy České republiky (dále také „kompetenční zákon“).</w:t>
      </w:r>
    </w:p>
  </w:footnote>
  <w:footnote w:id="36">
    <w:p w14:paraId="5649C735" w14:textId="0EF5C920" w:rsidR="006842B7" w:rsidRDefault="006842B7" w:rsidP="0013289D">
      <w:pPr>
        <w:pStyle w:val="Textpoznpodarou"/>
        <w:ind w:left="284" w:hanging="284"/>
      </w:pPr>
      <w:r>
        <w:rPr>
          <w:rStyle w:val="Znakapoznpodarou"/>
        </w:rPr>
        <w:footnoteRef/>
      </w:r>
      <w:r>
        <w:t xml:space="preserve"> </w:t>
      </w:r>
      <w:r>
        <w:tab/>
      </w:r>
      <w:r w:rsidRPr="009F506B">
        <w:t xml:space="preserve">Usnesení vlády České republiky ze dne 30. července 2014 č. 627, </w:t>
      </w:r>
      <w:r w:rsidRPr="005805C2">
        <w:rPr>
          <w:i/>
        </w:rPr>
        <w:t>o zajištění prostředků pro jednorázový příspěvek na provoz Fakultní nemocnici u sv. Anny v Brně a Nemocnici Na Bulovce v Praze</w:t>
      </w:r>
      <w:r>
        <w:t>.</w:t>
      </w:r>
    </w:p>
  </w:footnote>
  <w:footnote w:id="37">
    <w:p w14:paraId="43B6B7D3" w14:textId="2316E86A" w:rsidR="006842B7" w:rsidRDefault="006842B7" w:rsidP="003B700F">
      <w:pPr>
        <w:pStyle w:val="Textpoznpodarou"/>
        <w:ind w:left="284" w:hanging="284"/>
      </w:pPr>
      <w:r>
        <w:rPr>
          <w:rStyle w:val="Znakapoznpodarou"/>
        </w:rPr>
        <w:footnoteRef/>
      </w:r>
      <w:r>
        <w:t xml:space="preserve"> </w:t>
      </w:r>
      <w:r>
        <w:tab/>
        <w:t>Ustanovení § 53 odst. 5 rozpočtových pravidel.</w:t>
      </w:r>
    </w:p>
  </w:footnote>
  <w:footnote w:id="38">
    <w:p w14:paraId="31FB0286" w14:textId="270E5972" w:rsidR="006842B7" w:rsidRDefault="006842B7" w:rsidP="00476369">
      <w:pPr>
        <w:pStyle w:val="Textpoznpodarou"/>
        <w:ind w:left="284" w:hanging="284"/>
      </w:pPr>
      <w:r>
        <w:rPr>
          <w:rStyle w:val="Znakapoznpodarou"/>
        </w:rPr>
        <w:footnoteRef/>
      </w:r>
      <w:r>
        <w:t xml:space="preserve"> </w:t>
      </w:r>
      <w:r>
        <w:tab/>
      </w:r>
      <w:r w:rsidRPr="00E34A6E">
        <w:t>Ustanovení § 21 kompetenčního zákona.</w:t>
      </w:r>
    </w:p>
  </w:footnote>
  <w:footnote w:id="39">
    <w:p w14:paraId="6374BEC9" w14:textId="29850E7B" w:rsidR="006842B7" w:rsidRPr="00E34A6E" w:rsidRDefault="006842B7" w:rsidP="00CF1B3F">
      <w:pPr>
        <w:pStyle w:val="Textpoznpodarou"/>
        <w:ind w:left="284" w:hanging="284"/>
      </w:pPr>
      <w:r>
        <w:rPr>
          <w:rStyle w:val="Znakapoznpodarou"/>
        </w:rPr>
        <w:footnoteRef/>
      </w:r>
      <w:r>
        <w:t xml:space="preserve"> </w:t>
      </w:r>
      <w:r>
        <w:tab/>
        <w:t xml:space="preserve">Ustanovení § 10 písm. a) ve spojení s ustanovením § 13 odst. 1 a 2 vyhlášky č. 416/2004 Sb. a § 10 písm. b) ve </w:t>
      </w:r>
      <w:r w:rsidRPr="00E34A6E">
        <w:t>spojení s ustanovením § 14 odst. 1 vyhlášky č. 416/2004 Sb., kterou se provádí zákon č. 320/2001 Sb., o</w:t>
      </w:r>
      <w:r>
        <w:t> </w:t>
      </w:r>
      <w:r w:rsidRPr="00E34A6E">
        <w:t>finanční kontrole ve veřejné správě a o změně některých zákonů (zákon o finanční kontrole), ve znění zákona č. 309/2002 Sb., zákona č. 320/2002 Sb. a zákona č. 123/2003 Sb., (dále také „vyhláška k finanční kontrole“)</w:t>
      </w:r>
      <w:r>
        <w:t>.</w:t>
      </w:r>
    </w:p>
  </w:footnote>
  <w:footnote w:id="40">
    <w:p w14:paraId="10C8035C" w14:textId="70895CF2" w:rsidR="006842B7" w:rsidRPr="00E34A6E" w:rsidRDefault="006842B7" w:rsidP="00CF1B3F">
      <w:pPr>
        <w:pStyle w:val="Textpoznpodarou"/>
        <w:ind w:left="284" w:hanging="284"/>
      </w:pPr>
      <w:r w:rsidRPr="00E34A6E">
        <w:rPr>
          <w:rStyle w:val="Znakapoznpodarou"/>
        </w:rPr>
        <w:footnoteRef/>
      </w:r>
      <w:r w:rsidRPr="00E34A6E">
        <w:t xml:space="preserve"> </w:t>
      </w:r>
      <w:r>
        <w:tab/>
      </w:r>
      <w:r w:rsidRPr="00E34A6E">
        <w:t>Ustanovení § 13 odst. 3 a 7 a ustanovení § 14 odst. 3 a 7 vyhlášky k finanční kontrole.</w:t>
      </w:r>
    </w:p>
  </w:footnote>
  <w:footnote w:id="41">
    <w:p w14:paraId="2511C463" w14:textId="540F1174" w:rsidR="006842B7" w:rsidRDefault="006842B7" w:rsidP="00C97535">
      <w:pPr>
        <w:pStyle w:val="Textpoznpodarou"/>
        <w:ind w:left="255" w:hanging="255"/>
      </w:pPr>
      <w:r>
        <w:rPr>
          <w:rStyle w:val="Znakapoznpodarou"/>
        </w:rPr>
        <w:footnoteRef/>
      </w:r>
      <w:r>
        <w:t xml:space="preserve"> </w:t>
      </w:r>
      <w:r>
        <w:tab/>
        <w:t xml:space="preserve">Ustanovení </w:t>
      </w:r>
      <w:r w:rsidRPr="008C7F08">
        <w:t>§ 3 odst. 1</w:t>
      </w:r>
      <w:r>
        <w:t xml:space="preserve">, § </w:t>
      </w:r>
      <w:r w:rsidRPr="008C7F08">
        <w:t>8 odst. 1</w:t>
      </w:r>
      <w:r>
        <w:t xml:space="preserve">, </w:t>
      </w:r>
      <w:r w:rsidRPr="00683E7D">
        <w:t>§ 29 odst. 1 ve spojení s</w:t>
      </w:r>
      <w:r>
        <w:t xml:space="preserve"> ustanovením </w:t>
      </w:r>
      <w:r w:rsidRPr="00683E7D">
        <w:t xml:space="preserve">§ 30 odst. 1 písm. a) </w:t>
      </w:r>
      <w:r w:rsidRPr="008C7F08">
        <w:t xml:space="preserve">zákona </w:t>
      </w:r>
      <w:r>
        <w:t>o účetnictví.</w:t>
      </w:r>
    </w:p>
  </w:footnote>
  <w:footnote w:id="42">
    <w:p w14:paraId="272CD66A" w14:textId="3E66AFE7" w:rsidR="006842B7" w:rsidRDefault="006842B7" w:rsidP="00C97535">
      <w:pPr>
        <w:pStyle w:val="Textpoznpodarou"/>
        <w:ind w:left="255" w:hanging="255"/>
      </w:pPr>
      <w:r>
        <w:rPr>
          <w:rStyle w:val="Znakapoznpodarou"/>
        </w:rPr>
        <w:footnoteRef/>
      </w:r>
      <w:r>
        <w:t xml:space="preserve"> </w:t>
      </w:r>
      <w:r>
        <w:tab/>
        <w:t>U</w:t>
      </w:r>
      <w:r w:rsidRPr="00AB152E">
        <w:t>snesení vlády České republiky ze dne 30. září 2019 č. 675</w:t>
      </w:r>
      <w:r>
        <w:t>,</w:t>
      </w:r>
      <w:r w:rsidRPr="00AB152E">
        <w:t xml:space="preserve"> </w:t>
      </w:r>
      <w:r w:rsidRPr="005805C2">
        <w:rPr>
          <w:i/>
        </w:rPr>
        <w:t>ke Kontrolnímu závěru Nejvyššího kontrolního úřadu z kontrolní akce č. 17/19 Peněžní prostředky vynakládané vybranými nemocnicemi na úhradu nákladů z činnosti</w:t>
      </w:r>
      <w:r>
        <w:t>.</w:t>
      </w:r>
    </w:p>
  </w:footnote>
  <w:footnote w:id="43">
    <w:p w14:paraId="00D58E6B" w14:textId="41BB6690" w:rsidR="006842B7" w:rsidRDefault="006842B7" w:rsidP="00C97535">
      <w:pPr>
        <w:pStyle w:val="Textpoznpodarou"/>
        <w:ind w:left="255" w:hanging="255"/>
      </w:pPr>
      <w:r>
        <w:rPr>
          <w:rStyle w:val="Znakapoznpodarou"/>
        </w:rPr>
        <w:footnoteRef/>
      </w:r>
      <w:r>
        <w:t xml:space="preserve"> </w:t>
      </w:r>
      <w:r>
        <w:tab/>
        <w:t>Ustanovení</w:t>
      </w:r>
      <w:r w:rsidRPr="00E16C26">
        <w:t xml:space="preserve"> § 19 odst. 3 zákona </w:t>
      </w:r>
      <w:r w:rsidRPr="005071E0">
        <w:t>o zadávání veřejných zakázek.</w:t>
      </w:r>
    </w:p>
  </w:footnote>
  <w:footnote w:id="44">
    <w:p w14:paraId="5D4760BF" w14:textId="3BADE12A" w:rsidR="006842B7" w:rsidRPr="006900AA" w:rsidRDefault="006842B7" w:rsidP="00C97535">
      <w:pPr>
        <w:pStyle w:val="Textpoznpodarou"/>
        <w:ind w:left="284" w:hanging="284"/>
      </w:pPr>
      <w:r w:rsidRPr="006900AA">
        <w:rPr>
          <w:rStyle w:val="Znakapoznpodarou"/>
        </w:rPr>
        <w:footnoteRef/>
      </w:r>
      <w:r w:rsidRPr="006900AA">
        <w:t xml:space="preserve"> </w:t>
      </w:r>
      <w:r>
        <w:tab/>
      </w:r>
      <w:r w:rsidRPr="006900AA">
        <w:t>Ustanovení § 24 a následující zákona o zadávání veřejných zakázek.</w:t>
      </w:r>
    </w:p>
  </w:footnote>
  <w:footnote w:id="45">
    <w:p w14:paraId="29A74228" w14:textId="50C2AA5B" w:rsidR="006842B7" w:rsidRPr="0075660A" w:rsidRDefault="006842B7" w:rsidP="00A4785F">
      <w:pPr>
        <w:pStyle w:val="Textpoznpodarou"/>
        <w:ind w:left="284" w:hanging="284"/>
      </w:pPr>
      <w:r w:rsidRPr="0075660A">
        <w:rPr>
          <w:rStyle w:val="Znakapoznpodarou"/>
        </w:rPr>
        <w:footnoteRef/>
      </w:r>
      <w:r w:rsidRPr="0075660A">
        <w:t xml:space="preserve"> </w:t>
      </w:r>
      <w:r>
        <w:tab/>
      </w:r>
      <w:r w:rsidRPr="0075660A">
        <w:t>Ve zjištěných rozdílech nejsou zohledněna nakupovaná množství jednotlivých léčiv a objem získaných množstevních neadresných bonusů od dodavatelů.</w:t>
      </w:r>
    </w:p>
  </w:footnote>
  <w:footnote w:id="46">
    <w:p w14:paraId="4A6DCF1B" w14:textId="570E4EB5" w:rsidR="006842B7" w:rsidRDefault="006842B7" w:rsidP="00A4785F">
      <w:pPr>
        <w:pStyle w:val="Textpoznpodarou"/>
        <w:ind w:left="284" w:hanging="284"/>
      </w:pPr>
      <w:r w:rsidRPr="0075660A">
        <w:rPr>
          <w:rStyle w:val="Znakapoznpodarou"/>
        </w:rPr>
        <w:footnoteRef/>
      </w:r>
      <w:r w:rsidRPr="0075660A">
        <w:t xml:space="preserve"> </w:t>
      </w:r>
      <w:r>
        <w:tab/>
      </w:r>
      <w:r w:rsidRPr="0075660A">
        <w:t>Ustanovení § 16 zákona č. 48/1997 Sb., o veřejném zdravotním pojištění a o změně a doplnění některých souvisejících zákonů.</w:t>
      </w:r>
    </w:p>
  </w:footnote>
  <w:footnote w:id="47">
    <w:p w14:paraId="11F2B1E8" w14:textId="2F1F89A4" w:rsidR="006842B7" w:rsidRPr="00A4785F" w:rsidRDefault="006842B7" w:rsidP="00A4785F">
      <w:pPr>
        <w:ind w:left="284" w:hanging="284"/>
        <w:jc w:val="both"/>
        <w:rPr>
          <w:rFonts w:ascii="Calibri" w:hAnsi="Calibri" w:cs="Calibri"/>
        </w:rPr>
      </w:pPr>
      <w:r w:rsidRPr="00A4785F">
        <w:rPr>
          <w:rStyle w:val="Znakapoznpodarou"/>
          <w:rFonts w:ascii="Calibri" w:hAnsi="Calibri" w:cs="Calibri"/>
        </w:rPr>
        <w:footnoteRef/>
      </w:r>
      <w:r w:rsidRPr="00A4785F">
        <w:rPr>
          <w:rFonts w:ascii="Calibri" w:hAnsi="Calibri" w:cs="Calibri"/>
        </w:rPr>
        <w:t xml:space="preserve"> </w:t>
      </w:r>
      <w:r>
        <w:rPr>
          <w:rFonts w:ascii="Calibri" w:hAnsi="Calibri" w:cs="Calibri"/>
        </w:rPr>
        <w:tab/>
      </w:r>
      <w:r w:rsidRPr="00A4785F">
        <w:rPr>
          <w:rFonts w:ascii="Calibri" w:hAnsi="Calibri" w:cs="Calibri"/>
        </w:rPr>
        <w:t>Největší rozdíl v procentuálním vyjádření byl zjištěn u SZM v roce 2020, kdy rozdíl činil 618,94 Kč za kus (tj.</w:t>
      </w:r>
      <w:r>
        <w:rPr>
          <w:rFonts w:ascii="Calibri" w:hAnsi="Calibri" w:cs="Calibri"/>
        </w:rPr>
        <w:t> </w:t>
      </w:r>
      <w:r w:rsidRPr="00A4785F">
        <w:rPr>
          <w:rFonts w:ascii="Calibri" w:hAnsi="Calibri" w:cs="Calibri"/>
        </w:rPr>
        <w:t>252,63 %), kdy FNB pořídila jeden kus za 245 Kč a FNUSA za 863,94 Kč. Nákupy uskutečnily FNB a FNUSA v</w:t>
      </w:r>
      <w:r>
        <w:rPr>
          <w:rFonts w:ascii="Calibri" w:hAnsi="Calibri" w:cs="Calibri"/>
        </w:rPr>
        <w:t> </w:t>
      </w:r>
      <w:r w:rsidRPr="00A4785F">
        <w:rPr>
          <w:rFonts w:ascii="Calibri" w:hAnsi="Calibri" w:cs="Calibri"/>
        </w:rPr>
        <w:t>roce 2020 bez zadávacího řízení, kdy byl v České republice vyhlášen nouzový stav. Tento SZM (infekční vaky pro zemřelé) byl v letech 2020 a 2021 nedostatkovým zbožím.</w:t>
      </w:r>
    </w:p>
  </w:footnote>
  <w:footnote w:id="48">
    <w:p w14:paraId="721809B6" w14:textId="76E6B205" w:rsidR="006842B7" w:rsidRPr="00A4785F" w:rsidRDefault="006842B7" w:rsidP="00A4785F">
      <w:pPr>
        <w:ind w:left="284" w:hanging="284"/>
        <w:jc w:val="both"/>
        <w:rPr>
          <w:rFonts w:ascii="Calibri" w:hAnsi="Calibri" w:cs="Calibri"/>
        </w:rPr>
      </w:pPr>
      <w:r w:rsidRPr="00A4785F">
        <w:rPr>
          <w:rStyle w:val="Znakapoznpodarou"/>
          <w:rFonts w:ascii="Calibri" w:hAnsi="Calibri" w:cs="Calibri"/>
        </w:rPr>
        <w:footnoteRef/>
      </w:r>
      <w:r w:rsidRPr="00A4785F">
        <w:rPr>
          <w:rStyle w:val="Znakapoznpodarou"/>
          <w:rFonts w:ascii="Calibri" w:hAnsi="Calibri" w:cs="Calibri"/>
        </w:rPr>
        <w:t xml:space="preserve"> </w:t>
      </w:r>
      <w:r>
        <w:rPr>
          <w:rFonts w:ascii="Calibri" w:hAnsi="Calibri" w:cs="Calibri"/>
        </w:rPr>
        <w:tab/>
      </w:r>
      <w:r w:rsidRPr="00A4785F">
        <w:rPr>
          <w:rFonts w:ascii="Calibri" w:hAnsi="Calibri" w:cs="Calibri"/>
        </w:rPr>
        <w:t xml:space="preserve">Kód ZP – kód přiděluje Všeobecná zdravotní pojišťovna České republiky dle platné metodiky; tento kód je jednoznačným identifikátorem příslušného zdravotnického prostředku (ZUM) a je uveden v číselníku </w:t>
      </w:r>
      <w:r>
        <w:rPr>
          <w:rFonts w:ascii="Calibri" w:hAnsi="Calibri" w:cs="Calibri"/>
        </w:rPr>
        <w:br/>
      </w:r>
      <w:r w:rsidRPr="00A4785F">
        <w:rPr>
          <w:rFonts w:ascii="Calibri" w:hAnsi="Calibri" w:cs="Calibri"/>
        </w:rPr>
        <w:t>VZP – ZP (ZUM) a v úhradovém katalogu ZP/ZUM.</w:t>
      </w:r>
    </w:p>
  </w:footnote>
  <w:footnote w:id="49">
    <w:p w14:paraId="08522F16" w14:textId="7177302F" w:rsidR="006842B7" w:rsidRPr="0075660A" w:rsidRDefault="006842B7" w:rsidP="00E26A85">
      <w:pPr>
        <w:pStyle w:val="Textpoznpodarou"/>
        <w:ind w:left="284" w:hanging="284"/>
      </w:pPr>
      <w:r>
        <w:rPr>
          <w:rStyle w:val="Znakapoznpodarou"/>
        </w:rPr>
        <w:footnoteRef/>
      </w:r>
      <w:r>
        <w:t xml:space="preserve"> </w:t>
      </w:r>
      <w:r>
        <w:tab/>
        <w:t>Daň z </w:t>
      </w:r>
      <w:r w:rsidRPr="0075660A">
        <w:t>přidané hodnoty.</w:t>
      </w:r>
    </w:p>
  </w:footnote>
  <w:footnote w:id="50">
    <w:p w14:paraId="25C274CD" w14:textId="6C93FF5D" w:rsidR="006842B7" w:rsidRDefault="006842B7" w:rsidP="00E26A85">
      <w:pPr>
        <w:pStyle w:val="Textpoznpodarou"/>
        <w:ind w:left="284" w:hanging="284"/>
      </w:pPr>
      <w:r w:rsidRPr="0075660A">
        <w:rPr>
          <w:rStyle w:val="Znakapoznpodarou"/>
        </w:rPr>
        <w:footnoteRef/>
      </w:r>
      <w:r w:rsidRPr="0075660A">
        <w:t xml:space="preserve"> </w:t>
      </w:r>
      <w:r>
        <w:tab/>
      </w:r>
      <w:r w:rsidRPr="0075660A">
        <w:t>Model DTP (</w:t>
      </w:r>
      <w:r>
        <w:t>d</w:t>
      </w:r>
      <w:r w:rsidRPr="0075660A">
        <w:t>irect-</w:t>
      </w:r>
      <w:r>
        <w:t>t</w:t>
      </w:r>
      <w:r w:rsidRPr="0075660A">
        <w:t>o-</w:t>
      </w:r>
      <w:proofErr w:type="spellStart"/>
      <w:r>
        <w:t>p</w:t>
      </w:r>
      <w:r w:rsidRPr="0075660A">
        <w:t>harmacy</w:t>
      </w:r>
      <w:proofErr w:type="spellEnd"/>
      <w:r w:rsidRPr="0075660A">
        <w:t>) kanálů (dále také „DTP“)</w:t>
      </w:r>
      <w:r>
        <w:t xml:space="preserve"> </w:t>
      </w:r>
      <w:r w:rsidRPr="0075660A">
        <w:t>představuje způsob distribuce léčiva objednávaného přímo u</w:t>
      </w:r>
      <w:r>
        <w:t> </w:t>
      </w:r>
      <w:r w:rsidRPr="0075660A">
        <w:t>výrobce a dodávaného výhradním distributorem.</w:t>
      </w:r>
    </w:p>
  </w:footnote>
  <w:footnote w:id="51">
    <w:p w14:paraId="7B4C4547" w14:textId="51FD92D8" w:rsidR="006842B7" w:rsidRDefault="006842B7" w:rsidP="00107700">
      <w:pPr>
        <w:pStyle w:val="Textpoznpodarou"/>
        <w:ind w:left="284" w:hanging="284"/>
      </w:pPr>
      <w:r>
        <w:rPr>
          <w:rStyle w:val="Znakapoznpodarou"/>
        </w:rPr>
        <w:footnoteRef/>
      </w:r>
      <w:r>
        <w:t xml:space="preserve"> </w:t>
      </w:r>
      <w:r>
        <w:tab/>
      </w:r>
      <w:r w:rsidRPr="003D2B59">
        <w:t>Kód SÚKL – kód je jednoznačným identifikátorem léčivého přípravku, přiděluje jej Státní ústav pro kontrolu léčiv.</w:t>
      </w:r>
    </w:p>
  </w:footnote>
  <w:footnote w:id="52">
    <w:p w14:paraId="55E6E1F2" w14:textId="01BA2971" w:rsidR="006842B7" w:rsidRDefault="006842B7" w:rsidP="000F1196">
      <w:pPr>
        <w:pStyle w:val="Textpoznpodarou"/>
        <w:ind w:left="284" w:hanging="284"/>
      </w:pPr>
      <w:r>
        <w:rPr>
          <w:rStyle w:val="Znakapoznpodarou"/>
        </w:rPr>
        <w:footnoteRef/>
      </w:r>
      <w:r>
        <w:t xml:space="preserve"> </w:t>
      </w:r>
      <w:r>
        <w:tab/>
      </w:r>
      <w:r w:rsidRPr="003D2B59">
        <w:t>Kód SÚKL – kód je jednoznačným identifikátorem léčivého přípravku, přiděluje jej Státní ústav pro kontrolu léčiv.</w:t>
      </w:r>
    </w:p>
  </w:footnote>
  <w:footnote w:id="53">
    <w:p w14:paraId="64771A24" w14:textId="0902FE95" w:rsidR="006842B7" w:rsidRDefault="006842B7" w:rsidP="00490AD8">
      <w:pPr>
        <w:pStyle w:val="Textpoznpodarou"/>
        <w:ind w:left="284" w:hanging="284"/>
      </w:pPr>
      <w:r>
        <w:rPr>
          <w:rStyle w:val="Znakapoznpodarou"/>
        </w:rPr>
        <w:footnoteRef/>
      </w:r>
      <w:r>
        <w:t xml:space="preserve"> </w:t>
      </w:r>
      <w:r>
        <w:tab/>
      </w:r>
      <w:r w:rsidRPr="00192F57">
        <w:t xml:space="preserve">Kód ZP – kód přiděluje Všeobecná zdravotní </w:t>
      </w:r>
      <w:r w:rsidRPr="00872351">
        <w:t xml:space="preserve">pojišťovna České republiky dle platné metodiky; tento kód je jednoznačným identifikátorem příslušného zdravotnického prostředku (ZUM) a je uveden v číselníku </w:t>
      </w:r>
      <w:r>
        <w:br/>
      </w:r>
      <w:r w:rsidRPr="00872351">
        <w:t>VZP – ZP (ZUM) a v úhradovém katalogu ZP/ZUM.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B05"/>
    <w:multiLevelType w:val="hybridMultilevel"/>
    <w:tmpl w:val="A18E7014"/>
    <w:lvl w:ilvl="0" w:tplc="14CAE51A">
      <w:start w:val="11"/>
      <w:numFmt w:val="bullet"/>
      <w:lvlText w:val="-"/>
      <w:lvlJc w:val="left"/>
      <w:pPr>
        <w:ind w:left="720" w:hanging="360"/>
      </w:pPr>
      <w:rPr>
        <w:rFonts w:ascii="Calibri" w:hAnsi="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A45EF1"/>
    <w:multiLevelType w:val="hybridMultilevel"/>
    <w:tmpl w:val="3A506C3A"/>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694795"/>
    <w:multiLevelType w:val="hybridMultilevel"/>
    <w:tmpl w:val="821E485E"/>
    <w:lvl w:ilvl="0" w:tplc="5A34E9CC">
      <w:start w:val="1"/>
      <w:numFmt w:val="bullet"/>
      <w:lvlText w:val=""/>
      <w:lvlJc w:val="left"/>
      <w:pPr>
        <w:ind w:left="720" w:hanging="360"/>
      </w:pPr>
      <w:rPr>
        <w:rFonts w:ascii="Symbol" w:hAnsi="Symbol" w:hint="default"/>
      </w:rPr>
    </w:lvl>
    <w:lvl w:ilvl="1" w:tplc="C20CED66" w:tentative="1">
      <w:start w:val="1"/>
      <w:numFmt w:val="bullet"/>
      <w:lvlText w:val="o"/>
      <w:lvlJc w:val="left"/>
      <w:pPr>
        <w:ind w:left="1440" w:hanging="360"/>
      </w:pPr>
      <w:rPr>
        <w:rFonts w:ascii="Courier New" w:hAnsi="Courier New" w:cs="Courier New" w:hint="default"/>
      </w:rPr>
    </w:lvl>
    <w:lvl w:ilvl="2" w:tplc="F73A2756" w:tentative="1">
      <w:start w:val="1"/>
      <w:numFmt w:val="bullet"/>
      <w:lvlText w:val=""/>
      <w:lvlJc w:val="left"/>
      <w:pPr>
        <w:ind w:left="2160" w:hanging="360"/>
      </w:pPr>
      <w:rPr>
        <w:rFonts w:ascii="Wingdings" w:hAnsi="Wingdings" w:hint="default"/>
      </w:rPr>
    </w:lvl>
    <w:lvl w:ilvl="3" w:tplc="85F441B6" w:tentative="1">
      <w:start w:val="1"/>
      <w:numFmt w:val="bullet"/>
      <w:lvlText w:val=""/>
      <w:lvlJc w:val="left"/>
      <w:pPr>
        <w:ind w:left="2880" w:hanging="360"/>
      </w:pPr>
      <w:rPr>
        <w:rFonts w:ascii="Symbol" w:hAnsi="Symbol" w:hint="default"/>
      </w:rPr>
    </w:lvl>
    <w:lvl w:ilvl="4" w:tplc="2D2C39AA" w:tentative="1">
      <w:start w:val="1"/>
      <w:numFmt w:val="bullet"/>
      <w:lvlText w:val="o"/>
      <w:lvlJc w:val="left"/>
      <w:pPr>
        <w:ind w:left="3600" w:hanging="360"/>
      </w:pPr>
      <w:rPr>
        <w:rFonts w:ascii="Courier New" w:hAnsi="Courier New" w:cs="Courier New" w:hint="default"/>
      </w:rPr>
    </w:lvl>
    <w:lvl w:ilvl="5" w:tplc="7842E2C0" w:tentative="1">
      <w:start w:val="1"/>
      <w:numFmt w:val="bullet"/>
      <w:lvlText w:val=""/>
      <w:lvlJc w:val="left"/>
      <w:pPr>
        <w:ind w:left="4320" w:hanging="360"/>
      </w:pPr>
      <w:rPr>
        <w:rFonts w:ascii="Wingdings" w:hAnsi="Wingdings" w:hint="default"/>
      </w:rPr>
    </w:lvl>
    <w:lvl w:ilvl="6" w:tplc="A56CA772" w:tentative="1">
      <w:start w:val="1"/>
      <w:numFmt w:val="bullet"/>
      <w:lvlText w:val=""/>
      <w:lvlJc w:val="left"/>
      <w:pPr>
        <w:ind w:left="5040" w:hanging="360"/>
      </w:pPr>
      <w:rPr>
        <w:rFonts w:ascii="Symbol" w:hAnsi="Symbol" w:hint="default"/>
      </w:rPr>
    </w:lvl>
    <w:lvl w:ilvl="7" w:tplc="3D4AC1BA" w:tentative="1">
      <w:start w:val="1"/>
      <w:numFmt w:val="bullet"/>
      <w:lvlText w:val="o"/>
      <w:lvlJc w:val="left"/>
      <w:pPr>
        <w:ind w:left="5760" w:hanging="360"/>
      </w:pPr>
      <w:rPr>
        <w:rFonts w:ascii="Courier New" w:hAnsi="Courier New" w:cs="Courier New" w:hint="default"/>
      </w:rPr>
    </w:lvl>
    <w:lvl w:ilvl="8" w:tplc="7ECCF7BE" w:tentative="1">
      <w:start w:val="1"/>
      <w:numFmt w:val="bullet"/>
      <w:lvlText w:val=""/>
      <w:lvlJc w:val="left"/>
      <w:pPr>
        <w:ind w:left="6480" w:hanging="360"/>
      </w:pPr>
      <w:rPr>
        <w:rFonts w:ascii="Wingdings" w:hAnsi="Wingdings" w:hint="default"/>
      </w:rPr>
    </w:lvl>
  </w:abstractNum>
  <w:abstractNum w:abstractNumId="3" w15:restartNumberingAfterBreak="0">
    <w:nsid w:val="0B416407"/>
    <w:multiLevelType w:val="hybridMultilevel"/>
    <w:tmpl w:val="9334B866"/>
    <w:lvl w:ilvl="0" w:tplc="27F098B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BE4ED9"/>
    <w:multiLevelType w:val="hybridMultilevel"/>
    <w:tmpl w:val="5A6071E8"/>
    <w:lvl w:ilvl="0" w:tplc="5A9469B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F1739C"/>
    <w:multiLevelType w:val="hybridMultilevel"/>
    <w:tmpl w:val="9AC61F88"/>
    <w:lvl w:ilvl="0" w:tplc="29366950">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8E2049"/>
    <w:multiLevelType w:val="hybridMultilevel"/>
    <w:tmpl w:val="87FA0B24"/>
    <w:lvl w:ilvl="0" w:tplc="69BA6A3C">
      <w:start w:val="1"/>
      <w:numFmt w:val="bullet"/>
      <w:lvlText w:val="−"/>
      <w:lvlJc w:val="left"/>
      <w:pPr>
        <w:ind w:left="720" w:hanging="360"/>
      </w:pPr>
      <w:rPr>
        <w:rFonts w:ascii="Calibri" w:hAnsi="Calibri" w:hint="default"/>
      </w:rPr>
    </w:lvl>
    <w:lvl w:ilvl="1" w:tplc="06B0F8A8" w:tentative="1">
      <w:start w:val="1"/>
      <w:numFmt w:val="bullet"/>
      <w:lvlText w:val="o"/>
      <w:lvlJc w:val="left"/>
      <w:pPr>
        <w:ind w:left="1440" w:hanging="360"/>
      </w:pPr>
      <w:rPr>
        <w:rFonts w:ascii="Courier New" w:hAnsi="Courier New" w:cs="Courier New" w:hint="default"/>
      </w:rPr>
    </w:lvl>
    <w:lvl w:ilvl="2" w:tplc="DDD4A8EE" w:tentative="1">
      <w:start w:val="1"/>
      <w:numFmt w:val="bullet"/>
      <w:lvlText w:val=""/>
      <w:lvlJc w:val="left"/>
      <w:pPr>
        <w:ind w:left="2160" w:hanging="360"/>
      </w:pPr>
      <w:rPr>
        <w:rFonts w:ascii="Wingdings" w:hAnsi="Wingdings" w:hint="default"/>
      </w:rPr>
    </w:lvl>
    <w:lvl w:ilvl="3" w:tplc="331C2468" w:tentative="1">
      <w:start w:val="1"/>
      <w:numFmt w:val="bullet"/>
      <w:lvlText w:val=""/>
      <w:lvlJc w:val="left"/>
      <w:pPr>
        <w:ind w:left="2880" w:hanging="360"/>
      </w:pPr>
      <w:rPr>
        <w:rFonts w:ascii="Symbol" w:hAnsi="Symbol" w:hint="default"/>
      </w:rPr>
    </w:lvl>
    <w:lvl w:ilvl="4" w:tplc="03F64B9E" w:tentative="1">
      <w:start w:val="1"/>
      <w:numFmt w:val="bullet"/>
      <w:lvlText w:val="o"/>
      <w:lvlJc w:val="left"/>
      <w:pPr>
        <w:ind w:left="3600" w:hanging="360"/>
      </w:pPr>
      <w:rPr>
        <w:rFonts w:ascii="Courier New" w:hAnsi="Courier New" w:cs="Courier New" w:hint="default"/>
      </w:rPr>
    </w:lvl>
    <w:lvl w:ilvl="5" w:tplc="469E66C4" w:tentative="1">
      <w:start w:val="1"/>
      <w:numFmt w:val="bullet"/>
      <w:lvlText w:val=""/>
      <w:lvlJc w:val="left"/>
      <w:pPr>
        <w:ind w:left="4320" w:hanging="360"/>
      </w:pPr>
      <w:rPr>
        <w:rFonts w:ascii="Wingdings" w:hAnsi="Wingdings" w:hint="default"/>
      </w:rPr>
    </w:lvl>
    <w:lvl w:ilvl="6" w:tplc="EC062A30" w:tentative="1">
      <w:start w:val="1"/>
      <w:numFmt w:val="bullet"/>
      <w:lvlText w:val=""/>
      <w:lvlJc w:val="left"/>
      <w:pPr>
        <w:ind w:left="5040" w:hanging="360"/>
      </w:pPr>
      <w:rPr>
        <w:rFonts w:ascii="Symbol" w:hAnsi="Symbol" w:hint="default"/>
      </w:rPr>
    </w:lvl>
    <w:lvl w:ilvl="7" w:tplc="FC7490A4" w:tentative="1">
      <w:start w:val="1"/>
      <w:numFmt w:val="bullet"/>
      <w:lvlText w:val="o"/>
      <w:lvlJc w:val="left"/>
      <w:pPr>
        <w:ind w:left="5760" w:hanging="360"/>
      </w:pPr>
      <w:rPr>
        <w:rFonts w:ascii="Courier New" w:hAnsi="Courier New" w:cs="Courier New" w:hint="default"/>
      </w:rPr>
    </w:lvl>
    <w:lvl w:ilvl="8" w:tplc="4E50A580" w:tentative="1">
      <w:start w:val="1"/>
      <w:numFmt w:val="bullet"/>
      <w:lvlText w:val=""/>
      <w:lvlJc w:val="left"/>
      <w:pPr>
        <w:ind w:left="6480" w:hanging="360"/>
      </w:pPr>
      <w:rPr>
        <w:rFonts w:ascii="Wingdings" w:hAnsi="Wingdings" w:hint="default"/>
      </w:rPr>
    </w:lvl>
  </w:abstractNum>
  <w:abstractNum w:abstractNumId="7" w15:restartNumberingAfterBreak="0">
    <w:nsid w:val="24767254"/>
    <w:multiLevelType w:val="hybridMultilevel"/>
    <w:tmpl w:val="C11859D0"/>
    <w:lvl w:ilvl="0" w:tplc="2D8E17C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126DD1"/>
    <w:multiLevelType w:val="hybridMultilevel"/>
    <w:tmpl w:val="87A0952A"/>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15704D"/>
    <w:multiLevelType w:val="hybridMultilevel"/>
    <w:tmpl w:val="09F6A02C"/>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D35571"/>
    <w:multiLevelType w:val="hybridMultilevel"/>
    <w:tmpl w:val="AFDAC6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477023"/>
    <w:multiLevelType w:val="hybridMultilevel"/>
    <w:tmpl w:val="79DC6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421934"/>
    <w:multiLevelType w:val="hybridMultilevel"/>
    <w:tmpl w:val="08C23C42"/>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7F51FA"/>
    <w:multiLevelType w:val="hybridMultilevel"/>
    <w:tmpl w:val="41C0BCE0"/>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777A81"/>
    <w:multiLevelType w:val="hybridMultilevel"/>
    <w:tmpl w:val="88EC2E16"/>
    <w:lvl w:ilvl="0" w:tplc="2DB4AFA2">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FA2309"/>
    <w:multiLevelType w:val="hybridMultilevel"/>
    <w:tmpl w:val="938CDD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0237A7"/>
    <w:multiLevelType w:val="hybridMultilevel"/>
    <w:tmpl w:val="849A9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BB4FE9"/>
    <w:multiLevelType w:val="hybridMultilevel"/>
    <w:tmpl w:val="A88696AA"/>
    <w:lvl w:ilvl="0" w:tplc="04050001">
      <w:start w:val="1"/>
      <w:numFmt w:val="bullet"/>
      <w:lvlText w:val=""/>
      <w:lvlJc w:val="left"/>
      <w:pPr>
        <w:ind w:left="7165" w:hanging="360"/>
      </w:pPr>
      <w:rPr>
        <w:rFonts w:ascii="Symbol" w:hAnsi="Symbol" w:hint="default"/>
      </w:rPr>
    </w:lvl>
    <w:lvl w:ilvl="1" w:tplc="04050003" w:tentative="1">
      <w:start w:val="1"/>
      <w:numFmt w:val="bullet"/>
      <w:lvlText w:val="o"/>
      <w:lvlJc w:val="left"/>
      <w:pPr>
        <w:ind w:left="7885" w:hanging="360"/>
      </w:pPr>
      <w:rPr>
        <w:rFonts w:ascii="Courier New" w:hAnsi="Courier New" w:cs="Courier New" w:hint="default"/>
      </w:rPr>
    </w:lvl>
    <w:lvl w:ilvl="2" w:tplc="04050005" w:tentative="1">
      <w:start w:val="1"/>
      <w:numFmt w:val="bullet"/>
      <w:lvlText w:val=""/>
      <w:lvlJc w:val="left"/>
      <w:pPr>
        <w:ind w:left="8605" w:hanging="360"/>
      </w:pPr>
      <w:rPr>
        <w:rFonts w:ascii="Wingdings" w:hAnsi="Wingdings" w:hint="default"/>
      </w:rPr>
    </w:lvl>
    <w:lvl w:ilvl="3" w:tplc="04050001" w:tentative="1">
      <w:start w:val="1"/>
      <w:numFmt w:val="bullet"/>
      <w:lvlText w:val=""/>
      <w:lvlJc w:val="left"/>
      <w:pPr>
        <w:ind w:left="9325" w:hanging="360"/>
      </w:pPr>
      <w:rPr>
        <w:rFonts w:ascii="Symbol" w:hAnsi="Symbol" w:hint="default"/>
      </w:rPr>
    </w:lvl>
    <w:lvl w:ilvl="4" w:tplc="04050003" w:tentative="1">
      <w:start w:val="1"/>
      <w:numFmt w:val="bullet"/>
      <w:lvlText w:val="o"/>
      <w:lvlJc w:val="left"/>
      <w:pPr>
        <w:ind w:left="10045" w:hanging="360"/>
      </w:pPr>
      <w:rPr>
        <w:rFonts w:ascii="Courier New" w:hAnsi="Courier New" w:cs="Courier New" w:hint="default"/>
      </w:rPr>
    </w:lvl>
    <w:lvl w:ilvl="5" w:tplc="04050005" w:tentative="1">
      <w:start w:val="1"/>
      <w:numFmt w:val="bullet"/>
      <w:lvlText w:val=""/>
      <w:lvlJc w:val="left"/>
      <w:pPr>
        <w:ind w:left="10765" w:hanging="360"/>
      </w:pPr>
      <w:rPr>
        <w:rFonts w:ascii="Wingdings" w:hAnsi="Wingdings" w:hint="default"/>
      </w:rPr>
    </w:lvl>
    <w:lvl w:ilvl="6" w:tplc="04050001" w:tentative="1">
      <w:start w:val="1"/>
      <w:numFmt w:val="bullet"/>
      <w:lvlText w:val=""/>
      <w:lvlJc w:val="left"/>
      <w:pPr>
        <w:ind w:left="11485" w:hanging="360"/>
      </w:pPr>
      <w:rPr>
        <w:rFonts w:ascii="Symbol" w:hAnsi="Symbol" w:hint="default"/>
      </w:rPr>
    </w:lvl>
    <w:lvl w:ilvl="7" w:tplc="04050003" w:tentative="1">
      <w:start w:val="1"/>
      <w:numFmt w:val="bullet"/>
      <w:lvlText w:val="o"/>
      <w:lvlJc w:val="left"/>
      <w:pPr>
        <w:ind w:left="12205" w:hanging="360"/>
      </w:pPr>
      <w:rPr>
        <w:rFonts w:ascii="Courier New" w:hAnsi="Courier New" w:cs="Courier New" w:hint="default"/>
      </w:rPr>
    </w:lvl>
    <w:lvl w:ilvl="8" w:tplc="04050005" w:tentative="1">
      <w:start w:val="1"/>
      <w:numFmt w:val="bullet"/>
      <w:lvlText w:val=""/>
      <w:lvlJc w:val="left"/>
      <w:pPr>
        <w:ind w:left="12925" w:hanging="360"/>
      </w:pPr>
      <w:rPr>
        <w:rFonts w:ascii="Wingdings" w:hAnsi="Wingdings" w:hint="default"/>
      </w:rPr>
    </w:lvl>
  </w:abstractNum>
  <w:abstractNum w:abstractNumId="18" w15:restartNumberingAfterBreak="0">
    <w:nsid w:val="40CC1E28"/>
    <w:multiLevelType w:val="multilevel"/>
    <w:tmpl w:val="576C5DC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348DB"/>
    <w:multiLevelType w:val="hybridMultilevel"/>
    <w:tmpl w:val="57A269FC"/>
    <w:lvl w:ilvl="0" w:tplc="2D8E17C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FC7AB3"/>
    <w:multiLevelType w:val="hybridMultilevel"/>
    <w:tmpl w:val="D9E4B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9E3BA6"/>
    <w:multiLevelType w:val="hybridMultilevel"/>
    <w:tmpl w:val="1FECE98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22" w15:restartNumberingAfterBreak="0">
    <w:nsid w:val="57616B28"/>
    <w:multiLevelType w:val="hybridMultilevel"/>
    <w:tmpl w:val="1E6C604E"/>
    <w:lvl w:ilvl="0" w:tplc="E422AFC8">
      <w:start w:val="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B976A2"/>
    <w:multiLevelType w:val="hybridMultilevel"/>
    <w:tmpl w:val="20302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102F4A"/>
    <w:multiLevelType w:val="hybridMultilevel"/>
    <w:tmpl w:val="CBA86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6A2A95"/>
    <w:multiLevelType w:val="hybridMultilevel"/>
    <w:tmpl w:val="83364138"/>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787FF4"/>
    <w:multiLevelType w:val="hybridMultilevel"/>
    <w:tmpl w:val="EB7A3E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AA7946"/>
    <w:multiLevelType w:val="hybridMultilevel"/>
    <w:tmpl w:val="870C5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965FAF"/>
    <w:multiLevelType w:val="hybridMultilevel"/>
    <w:tmpl w:val="2A486C2A"/>
    <w:lvl w:ilvl="0" w:tplc="27F098B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4665DF"/>
    <w:multiLevelType w:val="hybridMultilevel"/>
    <w:tmpl w:val="B348851C"/>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853474"/>
    <w:multiLevelType w:val="hybridMultilevel"/>
    <w:tmpl w:val="01381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0637CB"/>
    <w:multiLevelType w:val="hybridMultilevel"/>
    <w:tmpl w:val="61429AA6"/>
    <w:lvl w:ilvl="0" w:tplc="2D8E17C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462DDE"/>
    <w:multiLevelType w:val="hybridMultilevel"/>
    <w:tmpl w:val="3CEA451C"/>
    <w:lvl w:ilvl="0" w:tplc="E19A8972">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633D95"/>
    <w:multiLevelType w:val="hybridMultilevel"/>
    <w:tmpl w:val="7EC0333A"/>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73219B"/>
    <w:multiLevelType w:val="hybridMultilevel"/>
    <w:tmpl w:val="CA70DF42"/>
    <w:lvl w:ilvl="0" w:tplc="5A9469B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4616D7"/>
    <w:multiLevelType w:val="hybridMultilevel"/>
    <w:tmpl w:val="E72E95AE"/>
    <w:lvl w:ilvl="0" w:tplc="2D8E17C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BB23FB"/>
    <w:multiLevelType w:val="hybridMultilevel"/>
    <w:tmpl w:val="70C22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A15DD9"/>
    <w:multiLevelType w:val="hybridMultilevel"/>
    <w:tmpl w:val="9154D8DE"/>
    <w:lvl w:ilvl="0" w:tplc="7A30F1A0">
      <w:start w:val="1"/>
      <w:numFmt w:val="decimal"/>
      <w:pStyle w:val="tabulkaKP"/>
      <w:suff w:val="space"/>
      <w:lvlText w:val="Tabulka č. %1:"/>
      <w:lvlJc w:val="left"/>
      <w:pPr>
        <w:ind w:left="424" w:firstLine="710"/>
      </w:pPr>
      <w:rPr>
        <w:rFonts w:ascii="Calibri" w:hAnsi="Calibri" w:cstheme="minorHAnsi" w:hint="default"/>
        <w:b w:val="0"/>
        <w:i w:val="0"/>
        <w:caps w:val="0"/>
        <w:strike w:val="0"/>
        <w:dstrike w:val="0"/>
        <w:shadow w:val="0"/>
        <w:emboss w:val="0"/>
        <w:imprint w:val="0"/>
        <w:vanish w:val="0"/>
        <w:sz w:val="24"/>
        <w:vertAlign w:val="baseli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AEB5818"/>
    <w:multiLevelType w:val="hybridMultilevel"/>
    <w:tmpl w:val="BE369D92"/>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E51EFC"/>
    <w:multiLevelType w:val="hybridMultilevel"/>
    <w:tmpl w:val="2CF4DDC6"/>
    <w:lvl w:ilvl="0" w:tplc="84867ED4">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5B5C28"/>
    <w:multiLevelType w:val="hybridMultilevel"/>
    <w:tmpl w:val="20302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1B2292"/>
    <w:multiLevelType w:val="hybridMultilevel"/>
    <w:tmpl w:val="009CB75C"/>
    <w:lvl w:ilvl="0" w:tplc="65246E5E">
      <w:start w:val="1"/>
      <w:numFmt w:val="bullet"/>
      <w:lvlText w:val=""/>
      <w:lvlJc w:val="left"/>
      <w:pPr>
        <w:ind w:left="720" w:hanging="360"/>
      </w:pPr>
      <w:rPr>
        <w:rFonts w:ascii="Symbol" w:hAnsi="Symbol" w:hint="default"/>
        <w:color w:val="000000"/>
      </w:rPr>
    </w:lvl>
    <w:lvl w:ilvl="1" w:tplc="99062A84">
      <w:start w:val="1"/>
      <w:numFmt w:val="bullet"/>
      <w:lvlText w:val="-"/>
      <w:lvlJc w:val="left"/>
      <w:pPr>
        <w:ind w:left="1440" w:hanging="360"/>
      </w:pPr>
      <w:rPr>
        <w:rFonts w:ascii="Calibri" w:eastAsia="Times New Roman" w:hAnsi="Calibri" w:cs="Calibri" w:hint="default"/>
        <w:color w:val="000000"/>
      </w:rPr>
    </w:lvl>
    <w:lvl w:ilvl="2" w:tplc="53AA1456" w:tentative="1">
      <w:start w:val="1"/>
      <w:numFmt w:val="bullet"/>
      <w:lvlText w:val=""/>
      <w:lvlJc w:val="left"/>
      <w:pPr>
        <w:ind w:left="2160" w:hanging="360"/>
      </w:pPr>
      <w:rPr>
        <w:rFonts w:ascii="Wingdings" w:hAnsi="Wingdings" w:hint="default"/>
      </w:rPr>
    </w:lvl>
    <w:lvl w:ilvl="3" w:tplc="9578954A" w:tentative="1">
      <w:start w:val="1"/>
      <w:numFmt w:val="bullet"/>
      <w:lvlText w:val=""/>
      <w:lvlJc w:val="left"/>
      <w:pPr>
        <w:ind w:left="2880" w:hanging="360"/>
      </w:pPr>
      <w:rPr>
        <w:rFonts w:ascii="Symbol" w:hAnsi="Symbol" w:hint="default"/>
      </w:rPr>
    </w:lvl>
    <w:lvl w:ilvl="4" w:tplc="BFA25454" w:tentative="1">
      <w:start w:val="1"/>
      <w:numFmt w:val="bullet"/>
      <w:lvlText w:val="o"/>
      <w:lvlJc w:val="left"/>
      <w:pPr>
        <w:ind w:left="3600" w:hanging="360"/>
      </w:pPr>
      <w:rPr>
        <w:rFonts w:ascii="Courier New" w:hAnsi="Courier New" w:cs="Courier New" w:hint="default"/>
      </w:rPr>
    </w:lvl>
    <w:lvl w:ilvl="5" w:tplc="93304686" w:tentative="1">
      <w:start w:val="1"/>
      <w:numFmt w:val="bullet"/>
      <w:lvlText w:val=""/>
      <w:lvlJc w:val="left"/>
      <w:pPr>
        <w:ind w:left="4320" w:hanging="360"/>
      </w:pPr>
      <w:rPr>
        <w:rFonts w:ascii="Wingdings" w:hAnsi="Wingdings" w:hint="default"/>
      </w:rPr>
    </w:lvl>
    <w:lvl w:ilvl="6" w:tplc="EF10C97C" w:tentative="1">
      <w:start w:val="1"/>
      <w:numFmt w:val="bullet"/>
      <w:lvlText w:val=""/>
      <w:lvlJc w:val="left"/>
      <w:pPr>
        <w:ind w:left="5040" w:hanging="360"/>
      </w:pPr>
      <w:rPr>
        <w:rFonts w:ascii="Symbol" w:hAnsi="Symbol" w:hint="default"/>
      </w:rPr>
    </w:lvl>
    <w:lvl w:ilvl="7" w:tplc="254C3968" w:tentative="1">
      <w:start w:val="1"/>
      <w:numFmt w:val="bullet"/>
      <w:lvlText w:val="o"/>
      <w:lvlJc w:val="left"/>
      <w:pPr>
        <w:ind w:left="5760" w:hanging="360"/>
      </w:pPr>
      <w:rPr>
        <w:rFonts w:ascii="Courier New" w:hAnsi="Courier New" w:cs="Courier New" w:hint="default"/>
      </w:rPr>
    </w:lvl>
    <w:lvl w:ilvl="8" w:tplc="A2980D70"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7"/>
  </w:num>
  <w:num w:numId="4">
    <w:abstractNumId w:val="3"/>
  </w:num>
  <w:num w:numId="5">
    <w:abstractNumId w:val="27"/>
  </w:num>
  <w:num w:numId="6">
    <w:abstractNumId w:val="20"/>
  </w:num>
  <w:num w:numId="7">
    <w:abstractNumId w:val="21"/>
  </w:num>
  <w:num w:numId="8">
    <w:abstractNumId w:val="19"/>
  </w:num>
  <w:num w:numId="9">
    <w:abstractNumId w:val="7"/>
  </w:num>
  <w:num w:numId="10">
    <w:abstractNumId w:val="35"/>
  </w:num>
  <w:num w:numId="11">
    <w:abstractNumId w:val="31"/>
  </w:num>
  <w:num w:numId="12">
    <w:abstractNumId w:val="41"/>
  </w:num>
  <w:num w:numId="13">
    <w:abstractNumId w:val="2"/>
  </w:num>
  <w:num w:numId="14">
    <w:abstractNumId w:val="6"/>
  </w:num>
  <w:num w:numId="15">
    <w:abstractNumId w:val="5"/>
  </w:num>
  <w:num w:numId="16">
    <w:abstractNumId w:val="39"/>
  </w:num>
  <w:num w:numId="17">
    <w:abstractNumId w:val="14"/>
  </w:num>
  <w:num w:numId="18">
    <w:abstractNumId w:val="34"/>
  </w:num>
  <w:num w:numId="19">
    <w:abstractNumId w:val="30"/>
  </w:num>
  <w:num w:numId="20">
    <w:abstractNumId w:val="22"/>
  </w:num>
  <w:num w:numId="21">
    <w:abstractNumId w:val="15"/>
  </w:num>
  <w:num w:numId="22">
    <w:abstractNumId w:val="24"/>
  </w:num>
  <w:num w:numId="23">
    <w:abstractNumId w:val="26"/>
  </w:num>
  <w:num w:numId="24">
    <w:abstractNumId w:val="34"/>
  </w:num>
  <w:num w:numId="25">
    <w:abstractNumId w:val="36"/>
  </w:num>
  <w:num w:numId="26">
    <w:abstractNumId w:val="32"/>
  </w:num>
  <w:num w:numId="27">
    <w:abstractNumId w:val="28"/>
  </w:num>
  <w:num w:numId="28">
    <w:abstractNumId w:val="0"/>
  </w:num>
  <w:num w:numId="29">
    <w:abstractNumId w:val="40"/>
  </w:num>
  <w:num w:numId="30">
    <w:abstractNumId w:val="23"/>
  </w:num>
  <w:num w:numId="31">
    <w:abstractNumId w:val="16"/>
  </w:num>
  <w:num w:numId="32">
    <w:abstractNumId w:val="11"/>
  </w:num>
  <w:num w:numId="33">
    <w:abstractNumId w:val="4"/>
  </w:num>
  <w:num w:numId="34">
    <w:abstractNumId w:val="18"/>
  </w:num>
  <w:num w:numId="35">
    <w:abstractNumId w:val="9"/>
  </w:num>
  <w:num w:numId="36">
    <w:abstractNumId w:val="25"/>
  </w:num>
  <w:num w:numId="37">
    <w:abstractNumId w:val="12"/>
  </w:num>
  <w:num w:numId="38">
    <w:abstractNumId w:val="1"/>
  </w:num>
  <w:num w:numId="39">
    <w:abstractNumId w:val="13"/>
  </w:num>
  <w:num w:numId="40">
    <w:abstractNumId w:val="38"/>
  </w:num>
  <w:num w:numId="41">
    <w:abstractNumId w:val="8"/>
  </w:num>
  <w:num w:numId="42">
    <w:abstractNumId w:val="29"/>
  </w:num>
  <w:num w:numId="4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08"/>
    <w:rsid w:val="000012AD"/>
    <w:rsid w:val="000013B6"/>
    <w:rsid w:val="00001827"/>
    <w:rsid w:val="0000202B"/>
    <w:rsid w:val="00002A2E"/>
    <w:rsid w:val="00003646"/>
    <w:rsid w:val="0000375E"/>
    <w:rsid w:val="00003C21"/>
    <w:rsid w:val="00004C29"/>
    <w:rsid w:val="00004E36"/>
    <w:rsid w:val="0000502C"/>
    <w:rsid w:val="000100E7"/>
    <w:rsid w:val="00010D9F"/>
    <w:rsid w:val="000119AD"/>
    <w:rsid w:val="00012B8C"/>
    <w:rsid w:val="000135C7"/>
    <w:rsid w:val="000135DF"/>
    <w:rsid w:val="00013C37"/>
    <w:rsid w:val="00013CD5"/>
    <w:rsid w:val="00013DA3"/>
    <w:rsid w:val="00014012"/>
    <w:rsid w:val="00014E7B"/>
    <w:rsid w:val="0001599B"/>
    <w:rsid w:val="0001663D"/>
    <w:rsid w:val="000172EE"/>
    <w:rsid w:val="00017E9A"/>
    <w:rsid w:val="000203E7"/>
    <w:rsid w:val="000218BC"/>
    <w:rsid w:val="00021C31"/>
    <w:rsid w:val="00021C74"/>
    <w:rsid w:val="00021E95"/>
    <w:rsid w:val="00022794"/>
    <w:rsid w:val="00022A6E"/>
    <w:rsid w:val="00023620"/>
    <w:rsid w:val="00023A32"/>
    <w:rsid w:val="00024098"/>
    <w:rsid w:val="00026A71"/>
    <w:rsid w:val="000272AC"/>
    <w:rsid w:val="00031568"/>
    <w:rsid w:val="00031ADD"/>
    <w:rsid w:val="00031BBF"/>
    <w:rsid w:val="0003297C"/>
    <w:rsid w:val="0003346F"/>
    <w:rsid w:val="00033E7C"/>
    <w:rsid w:val="00035444"/>
    <w:rsid w:val="00035633"/>
    <w:rsid w:val="00035F8E"/>
    <w:rsid w:val="00036356"/>
    <w:rsid w:val="00036FF7"/>
    <w:rsid w:val="000377D6"/>
    <w:rsid w:val="00037B9A"/>
    <w:rsid w:val="00037C71"/>
    <w:rsid w:val="000402C4"/>
    <w:rsid w:val="00040E9E"/>
    <w:rsid w:val="000429AE"/>
    <w:rsid w:val="00042DB9"/>
    <w:rsid w:val="000439DE"/>
    <w:rsid w:val="00043EBF"/>
    <w:rsid w:val="00044F5A"/>
    <w:rsid w:val="00044FB1"/>
    <w:rsid w:val="000463E9"/>
    <w:rsid w:val="00046F1F"/>
    <w:rsid w:val="000472EE"/>
    <w:rsid w:val="0004731D"/>
    <w:rsid w:val="0004774C"/>
    <w:rsid w:val="000502C3"/>
    <w:rsid w:val="000503E3"/>
    <w:rsid w:val="00050A13"/>
    <w:rsid w:val="000515E5"/>
    <w:rsid w:val="00051828"/>
    <w:rsid w:val="00052A13"/>
    <w:rsid w:val="00052F95"/>
    <w:rsid w:val="00054583"/>
    <w:rsid w:val="000548D8"/>
    <w:rsid w:val="000561EE"/>
    <w:rsid w:val="00056B3D"/>
    <w:rsid w:val="00056E4E"/>
    <w:rsid w:val="000578EE"/>
    <w:rsid w:val="00060605"/>
    <w:rsid w:val="00060DB2"/>
    <w:rsid w:val="000632F8"/>
    <w:rsid w:val="00063D7C"/>
    <w:rsid w:val="0006412A"/>
    <w:rsid w:val="0006430F"/>
    <w:rsid w:val="000649C1"/>
    <w:rsid w:val="00065469"/>
    <w:rsid w:val="0006566E"/>
    <w:rsid w:val="0006645F"/>
    <w:rsid w:val="000668D1"/>
    <w:rsid w:val="00067F75"/>
    <w:rsid w:val="000703E4"/>
    <w:rsid w:val="0007068E"/>
    <w:rsid w:val="00071433"/>
    <w:rsid w:val="000741CB"/>
    <w:rsid w:val="00074ED2"/>
    <w:rsid w:val="00075FA1"/>
    <w:rsid w:val="000766D5"/>
    <w:rsid w:val="000766F8"/>
    <w:rsid w:val="00076AC5"/>
    <w:rsid w:val="00076B02"/>
    <w:rsid w:val="00077D2B"/>
    <w:rsid w:val="00081B69"/>
    <w:rsid w:val="00081CB0"/>
    <w:rsid w:val="00082432"/>
    <w:rsid w:val="00082866"/>
    <w:rsid w:val="00083208"/>
    <w:rsid w:val="00084F35"/>
    <w:rsid w:val="00086920"/>
    <w:rsid w:val="00086F8A"/>
    <w:rsid w:val="00090E30"/>
    <w:rsid w:val="00092EC2"/>
    <w:rsid w:val="0009334F"/>
    <w:rsid w:val="00094546"/>
    <w:rsid w:val="0009667C"/>
    <w:rsid w:val="00096EC7"/>
    <w:rsid w:val="000A0B88"/>
    <w:rsid w:val="000A1142"/>
    <w:rsid w:val="000A1744"/>
    <w:rsid w:val="000A1DF7"/>
    <w:rsid w:val="000A4B05"/>
    <w:rsid w:val="000A53A9"/>
    <w:rsid w:val="000A54D6"/>
    <w:rsid w:val="000A6DBC"/>
    <w:rsid w:val="000A79D9"/>
    <w:rsid w:val="000B25BC"/>
    <w:rsid w:val="000B2731"/>
    <w:rsid w:val="000B4339"/>
    <w:rsid w:val="000B4A61"/>
    <w:rsid w:val="000B4DC6"/>
    <w:rsid w:val="000B559E"/>
    <w:rsid w:val="000B733E"/>
    <w:rsid w:val="000B7C3A"/>
    <w:rsid w:val="000B7FC6"/>
    <w:rsid w:val="000C117A"/>
    <w:rsid w:val="000C1871"/>
    <w:rsid w:val="000C1EAD"/>
    <w:rsid w:val="000C2060"/>
    <w:rsid w:val="000C2ADC"/>
    <w:rsid w:val="000C2B72"/>
    <w:rsid w:val="000C3962"/>
    <w:rsid w:val="000C3A0E"/>
    <w:rsid w:val="000C3F98"/>
    <w:rsid w:val="000C494D"/>
    <w:rsid w:val="000C6008"/>
    <w:rsid w:val="000C7A04"/>
    <w:rsid w:val="000D0334"/>
    <w:rsid w:val="000D0572"/>
    <w:rsid w:val="000D06EC"/>
    <w:rsid w:val="000D09D7"/>
    <w:rsid w:val="000D192D"/>
    <w:rsid w:val="000D1D4E"/>
    <w:rsid w:val="000D3278"/>
    <w:rsid w:val="000D34AB"/>
    <w:rsid w:val="000D36C6"/>
    <w:rsid w:val="000D3A48"/>
    <w:rsid w:val="000D3ED6"/>
    <w:rsid w:val="000D4599"/>
    <w:rsid w:val="000D5800"/>
    <w:rsid w:val="000D65AD"/>
    <w:rsid w:val="000D74CA"/>
    <w:rsid w:val="000D7BC9"/>
    <w:rsid w:val="000D7F23"/>
    <w:rsid w:val="000D7FC3"/>
    <w:rsid w:val="000E0274"/>
    <w:rsid w:val="000E02D1"/>
    <w:rsid w:val="000E324C"/>
    <w:rsid w:val="000E509A"/>
    <w:rsid w:val="000E5A29"/>
    <w:rsid w:val="000E64BD"/>
    <w:rsid w:val="000E79CC"/>
    <w:rsid w:val="000F02AE"/>
    <w:rsid w:val="000F0A41"/>
    <w:rsid w:val="000F1196"/>
    <w:rsid w:val="000F1225"/>
    <w:rsid w:val="000F159C"/>
    <w:rsid w:val="000F285F"/>
    <w:rsid w:val="000F4E26"/>
    <w:rsid w:val="000F5088"/>
    <w:rsid w:val="000F5C2D"/>
    <w:rsid w:val="000F6AAD"/>
    <w:rsid w:val="000F736A"/>
    <w:rsid w:val="000F7637"/>
    <w:rsid w:val="001017B9"/>
    <w:rsid w:val="001018FB"/>
    <w:rsid w:val="00101A17"/>
    <w:rsid w:val="00102777"/>
    <w:rsid w:val="0010293A"/>
    <w:rsid w:val="00102EE1"/>
    <w:rsid w:val="00103111"/>
    <w:rsid w:val="0010383A"/>
    <w:rsid w:val="00104E87"/>
    <w:rsid w:val="00104FC9"/>
    <w:rsid w:val="00105F74"/>
    <w:rsid w:val="0010616E"/>
    <w:rsid w:val="0010636D"/>
    <w:rsid w:val="00107700"/>
    <w:rsid w:val="001104B5"/>
    <w:rsid w:val="00110B43"/>
    <w:rsid w:val="00112291"/>
    <w:rsid w:val="00112466"/>
    <w:rsid w:val="00112674"/>
    <w:rsid w:val="00112765"/>
    <w:rsid w:val="001130FE"/>
    <w:rsid w:val="001132E3"/>
    <w:rsid w:val="001134B6"/>
    <w:rsid w:val="00113B95"/>
    <w:rsid w:val="00113B9B"/>
    <w:rsid w:val="0011466A"/>
    <w:rsid w:val="001154B8"/>
    <w:rsid w:val="001169C5"/>
    <w:rsid w:val="001176F4"/>
    <w:rsid w:val="001204F4"/>
    <w:rsid w:val="00120CBC"/>
    <w:rsid w:val="00120E4E"/>
    <w:rsid w:val="00121A65"/>
    <w:rsid w:val="00125003"/>
    <w:rsid w:val="00125006"/>
    <w:rsid w:val="00126927"/>
    <w:rsid w:val="00127BBC"/>
    <w:rsid w:val="00130FED"/>
    <w:rsid w:val="0013122B"/>
    <w:rsid w:val="00131F19"/>
    <w:rsid w:val="0013289D"/>
    <w:rsid w:val="00132F0A"/>
    <w:rsid w:val="00133414"/>
    <w:rsid w:val="00133813"/>
    <w:rsid w:val="00133A6C"/>
    <w:rsid w:val="00133AAB"/>
    <w:rsid w:val="001342CF"/>
    <w:rsid w:val="00134A7C"/>
    <w:rsid w:val="00135A1D"/>
    <w:rsid w:val="001405C8"/>
    <w:rsid w:val="001414F4"/>
    <w:rsid w:val="00142281"/>
    <w:rsid w:val="00142C2B"/>
    <w:rsid w:val="00143DB0"/>
    <w:rsid w:val="00143EB6"/>
    <w:rsid w:val="00143F1B"/>
    <w:rsid w:val="00144EDE"/>
    <w:rsid w:val="0014501F"/>
    <w:rsid w:val="00146E4D"/>
    <w:rsid w:val="00147BF2"/>
    <w:rsid w:val="00150290"/>
    <w:rsid w:val="00151D33"/>
    <w:rsid w:val="00152617"/>
    <w:rsid w:val="00152A75"/>
    <w:rsid w:val="00152AC4"/>
    <w:rsid w:val="0015455E"/>
    <w:rsid w:val="00156310"/>
    <w:rsid w:val="00156F89"/>
    <w:rsid w:val="00157B55"/>
    <w:rsid w:val="001609DB"/>
    <w:rsid w:val="00160C92"/>
    <w:rsid w:val="00160F35"/>
    <w:rsid w:val="00160FB2"/>
    <w:rsid w:val="00162872"/>
    <w:rsid w:val="00163CED"/>
    <w:rsid w:val="00164D20"/>
    <w:rsid w:val="00165C9B"/>
    <w:rsid w:val="00165ED9"/>
    <w:rsid w:val="0016654C"/>
    <w:rsid w:val="00170BA6"/>
    <w:rsid w:val="0017120F"/>
    <w:rsid w:val="0017220F"/>
    <w:rsid w:val="001723A5"/>
    <w:rsid w:val="001724FD"/>
    <w:rsid w:val="00172951"/>
    <w:rsid w:val="00173A84"/>
    <w:rsid w:val="00173E7A"/>
    <w:rsid w:val="00174815"/>
    <w:rsid w:val="00175F0D"/>
    <w:rsid w:val="001760E5"/>
    <w:rsid w:val="00176B09"/>
    <w:rsid w:val="0018195E"/>
    <w:rsid w:val="00184208"/>
    <w:rsid w:val="00184327"/>
    <w:rsid w:val="00184E6E"/>
    <w:rsid w:val="00184FCB"/>
    <w:rsid w:val="00186F3F"/>
    <w:rsid w:val="00190062"/>
    <w:rsid w:val="001902C4"/>
    <w:rsid w:val="00190630"/>
    <w:rsid w:val="00191BE2"/>
    <w:rsid w:val="0019355D"/>
    <w:rsid w:val="00193C04"/>
    <w:rsid w:val="001942AE"/>
    <w:rsid w:val="00194D1F"/>
    <w:rsid w:val="00195637"/>
    <w:rsid w:val="00195AAF"/>
    <w:rsid w:val="001968BB"/>
    <w:rsid w:val="00197F63"/>
    <w:rsid w:val="001A056C"/>
    <w:rsid w:val="001A063B"/>
    <w:rsid w:val="001A0C8C"/>
    <w:rsid w:val="001A154F"/>
    <w:rsid w:val="001A1B2C"/>
    <w:rsid w:val="001A280D"/>
    <w:rsid w:val="001A3017"/>
    <w:rsid w:val="001A335A"/>
    <w:rsid w:val="001A360D"/>
    <w:rsid w:val="001A3BA3"/>
    <w:rsid w:val="001A48ED"/>
    <w:rsid w:val="001A53CE"/>
    <w:rsid w:val="001A6033"/>
    <w:rsid w:val="001A6CD2"/>
    <w:rsid w:val="001A7620"/>
    <w:rsid w:val="001A7AEE"/>
    <w:rsid w:val="001B03BC"/>
    <w:rsid w:val="001B138F"/>
    <w:rsid w:val="001B13D5"/>
    <w:rsid w:val="001B224D"/>
    <w:rsid w:val="001B29A7"/>
    <w:rsid w:val="001B2A1D"/>
    <w:rsid w:val="001B3681"/>
    <w:rsid w:val="001B5C56"/>
    <w:rsid w:val="001C0CBC"/>
    <w:rsid w:val="001C0E41"/>
    <w:rsid w:val="001C15B0"/>
    <w:rsid w:val="001C1D01"/>
    <w:rsid w:val="001C26DB"/>
    <w:rsid w:val="001C5502"/>
    <w:rsid w:val="001C59FC"/>
    <w:rsid w:val="001C6B02"/>
    <w:rsid w:val="001C6F3B"/>
    <w:rsid w:val="001C715C"/>
    <w:rsid w:val="001C777E"/>
    <w:rsid w:val="001D0AF6"/>
    <w:rsid w:val="001D27BF"/>
    <w:rsid w:val="001D44C2"/>
    <w:rsid w:val="001D46D7"/>
    <w:rsid w:val="001D4A07"/>
    <w:rsid w:val="001D527D"/>
    <w:rsid w:val="001D6C0A"/>
    <w:rsid w:val="001D6F30"/>
    <w:rsid w:val="001D7B5E"/>
    <w:rsid w:val="001E0294"/>
    <w:rsid w:val="001E27C8"/>
    <w:rsid w:val="001E2C12"/>
    <w:rsid w:val="001E2DE2"/>
    <w:rsid w:val="001E4E72"/>
    <w:rsid w:val="001E4EDB"/>
    <w:rsid w:val="001E689D"/>
    <w:rsid w:val="001E69F0"/>
    <w:rsid w:val="001E7286"/>
    <w:rsid w:val="001E7918"/>
    <w:rsid w:val="001F0773"/>
    <w:rsid w:val="001F0E5C"/>
    <w:rsid w:val="001F17C4"/>
    <w:rsid w:val="001F2038"/>
    <w:rsid w:val="001F2C02"/>
    <w:rsid w:val="001F4FF9"/>
    <w:rsid w:val="001F62E8"/>
    <w:rsid w:val="001F6E81"/>
    <w:rsid w:val="001F79AE"/>
    <w:rsid w:val="00200066"/>
    <w:rsid w:val="002008BB"/>
    <w:rsid w:val="00201AA0"/>
    <w:rsid w:val="00201F01"/>
    <w:rsid w:val="00203580"/>
    <w:rsid w:val="00203AD5"/>
    <w:rsid w:val="00203F6F"/>
    <w:rsid w:val="0020417A"/>
    <w:rsid w:val="002044A8"/>
    <w:rsid w:val="00204C67"/>
    <w:rsid w:val="00204EA0"/>
    <w:rsid w:val="002058AD"/>
    <w:rsid w:val="00206849"/>
    <w:rsid w:val="0021062E"/>
    <w:rsid w:val="00210BFB"/>
    <w:rsid w:val="00211D24"/>
    <w:rsid w:val="0021246C"/>
    <w:rsid w:val="00212DE0"/>
    <w:rsid w:val="002140AC"/>
    <w:rsid w:val="00215F15"/>
    <w:rsid w:val="002166DE"/>
    <w:rsid w:val="002168D4"/>
    <w:rsid w:val="00216AED"/>
    <w:rsid w:val="00216DA3"/>
    <w:rsid w:val="002178C7"/>
    <w:rsid w:val="0022011B"/>
    <w:rsid w:val="00220719"/>
    <w:rsid w:val="00221334"/>
    <w:rsid w:val="0022136B"/>
    <w:rsid w:val="002219E6"/>
    <w:rsid w:val="00221ACB"/>
    <w:rsid w:val="00223533"/>
    <w:rsid w:val="00223A57"/>
    <w:rsid w:val="00223B56"/>
    <w:rsid w:val="00225CAA"/>
    <w:rsid w:val="002274EB"/>
    <w:rsid w:val="00227863"/>
    <w:rsid w:val="00227EA9"/>
    <w:rsid w:val="002310D9"/>
    <w:rsid w:val="00231156"/>
    <w:rsid w:val="00231221"/>
    <w:rsid w:val="00231B38"/>
    <w:rsid w:val="0023235E"/>
    <w:rsid w:val="00233243"/>
    <w:rsid w:val="00235CB8"/>
    <w:rsid w:val="00235E85"/>
    <w:rsid w:val="002374E9"/>
    <w:rsid w:val="00240356"/>
    <w:rsid w:val="002407AC"/>
    <w:rsid w:val="002409FD"/>
    <w:rsid w:val="00241D6F"/>
    <w:rsid w:val="00242A4A"/>
    <w:rsid w:val="002445C7"/>
    <w:rsid w:val="002445EF"/>
    <w:rsid w:val="00244F9A"/>
    <w:rsid w:val="0024503B"/>
    <w:rsid w:val="002453DF"/>
    <w:rsid w:val="00245CF0"/>
    <w:rsid w:val="00246D13"/>
    <w:rsid w:val="00247DC2"/>
    <w:rsid w:val="00247F6D"/>
    <w:rsid w:val="00250E5A"/>
    <w:rsid w:val="00251590"/>
    <w:rsid w:val="00251BD9"/>
    <w:rsid w:val="0025305B"/>
    <w:rsid w:val="00253BF1"/>
    <w:rsid w:val="00253DD6"/>
    <w:rsid w:val="00254FCB"/>
    <w:rsid w:val="002559B6"/>
    <w:rsid w:val="00255F4F"/>
    <w:rsid w:val="00256FB7"/>
    <w:rsid w:val="002606DD"/>
    <w:rsid w:val="002625EB"/>
    <w:rsid w:val="00262ABA"/>
    <w:rsid w:val="00263226"/>
    <w:rsid w:val="002638FB"/>
    <w:rsid w:val="00263F6B"/>
    <w:rsid w:val="002642CD"/>
    <w:rsid w:val="002643A4"/>
    <w:rsid w:val="002659B9"/>
    <w:rsid w:val="00265C08"/>
    <w:rsid w:val="00265F13"/>
    <w:rsid w:val="00266299"/>
    <w:rsid w:val="00267CD7"/>
    <w:rsid w:val="00267E50"/>
    <w:rsid w:val="0027054B"/>
    <w:rsid w:val="00270901"/>
    <w:rsid w:val="00271765"/>
    <w:rsid w:val="00271C87"/>
    <w:rsid w:val="002723D1"/>
    <w:rsid w:val="00272A1E"/>
    <w:rsid w:val="00274026"/>
    <w:rsid w:val="002752D2"/>
    <w:rsid w:val="00275445"/>
    <w:rsid w:val="0027595A"/>
    <w:rsid w:val="00275B57"/>
    <w:rsid w:val="00276960"/>
    <w:rsid w:val="00276B1E"/>
    <w:rsid w:val="00276F27"/>
    <w:rsid w:val="0027705E"/>
    <w:rsid w:val="0028199A"/>
    <w:rsid w:val="00281A5F"/>
    <w:rsid w:val="002836DB"/>
    <w:rsid w:val="00283A0C"/>
    <w:rsid w:val="00283D64"/>
    <w:rsid w:val="002840F9"/>
    <w:rsid w:val="00284311"/>
    <w:rsid w:val="00285C2D"/>
    <w:rsid w:val="002866EA"/>
    <w:rsid w:val="002868C6"/>
    <w:rsid w:val="00287250"/>
    <w:rsid w:val="002906A7"/>
    <w:rsid w:val="00291B1F"/>
    <w:rsid w:val="00291B20"/>
    <w:rsid w:val="00292812"/>
    <w:rsid w:val="002931A4"/>
    <w:rsid w:val="00294328"/>
    <w:rsid w:val="00295372"/>
    <w:rsid w:val="0029677F"/>
    <w:rsid w:val="00297A3B"/>
    <w:rsid w:val="00297B52"/>
    <w:rsid w:val="002A08CC"/>
    <w:rsid w:val="002A09BC"/>
    <w:rsid w:val="002A1249"/>
    <w:rsid w:val="002A20D5"/>
    <w:rsid w:val="002A21F2"/>
    <w:rsid w:val="002A2264"/>
    <w:rsid w:val="002A22BE"/>
    <w:rsid w:val="002A3BD4"/>
    <w:rsid w:val="002B0798"/>
    <w:rsid w:val="002B1D7E"/>
    <w:rsid w:val="002B41BB"/>
    <w:rsid w:val="002B691A"/>
    <w:rsid w:val="002B6D99"/>
    <w:rsid w:val="002C0E3F"/>
    <w:rsid w:val="002C1E4D"/>
    <w:rsid w:val="002C2537"/>
    <w:rsid w:val="002C29DF"/>
    <w:rsid w:val="002C3CBF"/>
    <w:rsid w:val="002C405A"/>
    <w:rsid w:val="002C46D4"/>
    <w:rsid w:val="002C5971"/>
    <w:rsid w:val="002C6EB0"/>
    <w:rsid w:val="002C7338"/>
    <w:rsid w:val="002C7425"/>
    <w:rsid w:val="002D2EBA"/>
    <w:rsid w:val="002D3194"/>
    <w:rsid w:val="002D3EB9"/>
    <w:rsid w:val="002D4430"/>
    <w:rsid w:val="002D46EE"/>
    <w:rsid w:val="002D4A9F"/>
    <w:rsid w:val="002D4C4D"/>
    <w:rsid w:val="002D5074"/>
    <w:rsid w:val="002D5A2E"/>
    <w:rsid w:val="002D5C5B"/>
    <w:rsid w:val="002D6AA1"/>
    <w:rsid w:val="002D6B08"/>
    <w:rsid w:val="002D6BED"/>
    <w:rsid w:val="002D724E"/>
    <w:rsid w:val="002D7491"/>
    <w:rsid w:val="002D7F98"/>
    <w:rsid w:val="002E078E"/>
    <w:rsid w:val="002E09FD"/>
    <w:rsid w:val="002E1476"/>
    <w:rsid w:val="002E2C70"/>
    <w:rsid w:val="002E3811"/>
    <w:rsid w:val="002E4859"/>
    <w:rsid w:val="002E65E7"/>
    <w:rsid w:val="002E6A67"/>
    <w:rsid w:val="002E702D"/>
    <w:rsid w:val="002E76A6"/>
    <w:rsid w:val="002F066E"/>
    <w:rsid w:val="002F1570"/>
    <w:rsid w:val="002F17EF"/>
    <w:rsid w:val="002F2BD0"/>
    <w:rsid w:val="002F324F"/>
    <w:rsid w:val="002F36D8"/>
    <w:rsid w:val="002F3A63"/>
    <w:rsid w:val="002F4982"/>
    <w:rsid w:val="002F4B9F"/>
    <w:rsid w:val="002F4E48"/>
    <w:rsid w:val="002F5006"/>
    <w:rsid w:val="002F5F26"/>
    <w:rsid w:val="002F62DD"/>
    <w:rsid w:val="002F6874"/>
    <w:rsid w:val="002F6B7C"/>
    <w:rsid w:val="002F7493"/>
    <w:rsid w:val="002F7595"/>
    <w:rsid w:val="002F7C06"/>
    <w:rsid w:val="002F7EC2"/>
    <w:rsid w:val="00301DF4"/>
    <w:rsid w:val="00301EB9"/>
    <w:rsid w:val="00302436"/>
    <w:rsid w:val="00302808"/>
    <w:rsid w:val="00305599"/>
    <w:rsid w:val="003056DB"/>
    <w:rsid w:val="0030586A"/>
    <w:rsid w:val="003071DB"/>
    <w:rsid w:val="00307DDB"/>
    <w:rsid w:val="0031061F"/>
    <w:rsid w:val="00311552"/>
    <w:rsid w:val="00313B28"/>
    <w:rsid w:val="0031435A"/>
    <w:rsid w:val="003148AB"/>
    <w:rsid w:val="00316209"/>
    <w:rsid w:val="0031662F"/>
    <w:rsid w:val="00316658"/>
    <w:rsid w:val="00320778"/>
    <w:rsid w:val="003219B5"/>
    <w:rsid w:val="00322751"/>
    <w:rsid w:val="00322822"/>
    <w:rsid w:val="00322F65"/>
    <w:rsid w:val="003233E4"/>
    <w:rsid w:val="0032362C"/>
    <w:rsid w:val="003241C8"/>
    <w:rsid w:val="003241D5"/>
    <w:rsid w:val="00324ACA"/>
    <w:rsid w:val="00325655"/>
    <w:rsid w:val="00325794"/>
    <w:rsid w:val="00325FD5"/>
    <w:rsid w:val="003264DE"/>
    <w:rsid w:val="00326B31"/>
    <w:rsid w:val="00327A55"/>
    <w:rsid w:val="003306E4"/>
    <w:rsid w:val="00330940"/>
    <w:rsid w:val="00330F30"/>
    <w:rsid w:val="003310CC"/>
    <w:rsid w:val="00331BE5"/>
    <w:rsid w:val="00331DE2"/>
    <w:rsid w:val="00331F86"/>
    <w:rsid w:val="00332564"/>
    <w:rsid w:val="00332A1A"/>
    <w:rsid w:val="00332BF2"/>
    <w:rsid w:val="00333FC7"/>
    <w:rsid w:val="00334F88"/>
    <w:rsid w:val="00335F2B"/>
    <w:rsid w:val="00336984"/>
    <w:rsid w:val="00337513"/>
    <w:rsid w:val="003401EB"/>
    <w:rsid w:val="003415A1"/>
    <w:rsid w:val="003426A9"/>
    <w:rsid w:val="003440A1"/>
    <w:rsid w:val="00344BF2"/>
    <w:rsid w:val="00344D94"/>
    <w:rsid w:val="00345417"/>
    <w:rsid w:val="00345734"/>
    <w:rsid w:val="00345AA6"/>
    <w:rsid w:val="00345E86"/>
    <w:rsid w:val="003463F7"/>
    <w:rsid w:val="00346B18"/>
    <w:rsid w:val="00346C0A"/>
    <w:rsid w:val="00347574"/>
    <w:rsid w:val="00347855"/>
    <w:rsid w:val="00347AF6"/>
    <w:rsid w:val="00347D27"/>
    <w:rsid w:val="00350189"/>
    <w:rsid w:val="0035099D"/>
    <w:rsid w:val="00350B87"/>
    <w:rsid w:val="00350EF4"/>
    <w:rsid w:val="00351903"/>
    <w:rsid w:val="0035234B"/>
    <w:rsid w:val="00353424"/>
    <w:rsid w:val="00353F7C"/>
    <w:rsid w:val="00356702"/>
    <w:rsid w:val="003567DC"/>
    <w:rsid w:val="00356955"/>
    <w:rsid w:val="0036028C"/>
    <w:rsid w:val="003604ED"/>
    <w:rsid w:val="0036096C"/>
    <w:rsid w:val="00363237"/>
    <w:rsid w:val="00363915"/>
    <w:rsid w:val="00363DB2"/>
    <w:rsid w:val="0036417C"/>
    <w:rsid w:val="00364C7B"/>
    <w:rsid w:val="00365F05"/>
    <w:rsid w:val="00366626"/>
    <w:rsid w:val="003676B2"/>
    <w:rsid w:val="003705E3"/>
    <w:rsid w:val="00370FF8"/>
    <w:rsid w:val="003732DE"/>
    <w:rsid w:val="003735EB"/>
    <w:rsid w:val="00373A61"/>
    <w:rsid w:val="003773BE"/>
    <w:rsid w:val="00380CA3"/>
    <w:rsid w:val="00380D8F"/>
    <w:rsid w:val="00381B7A"/>
    <w:rsid w:val="00381F5B"/>
    <w:rsid w:val="003834F3"/>
    <w:rsid w:val="00383CCF"/>
    <w:rsid w:val="00383E20"/>
    <w:rsid w:val="00385698"/>
    <w:rsid w:val="00386CF6"/>
    <w:rsid w:val="00387268"/>
    <w:rsid w:val="003930F0"/>
    <w:rsid w:val="00395F1C"/>
    <w:rsid w:val="00396384"/>
    <w:rsid w:val="0039693A"/>
    <w:rsid w:val="00397361"/>
    <w:rsid w:val="003975F6"/>
    <w:rsid w:val="003976A6"/>
    <w:rsid w:val="00397AA0"/>
    <w:rsid w:val="003A0059"/>
    <w:rsid w:val="003A10D3"/>
    <w:rsid w:val="003A1A84"/>
    <w:rsid w:val="003A1BB5"/>
    <w:rsid w:val="003A1C0A"/>
    <w:rsid w:val="003A249E"/>
    <w:rsid w:val="003A2664"/>
    <w:rsid w:val="003A2F0D"/>
    <w:rsid w:val="003A4511"/>
    <w:rsid w:val="003A4680"/>
    <w:rsid w:val="003A65C6"/>
    <w:rsid w:val="003A7648"/>
    <w:rsid w:val="003B0735"/>
    <w:rsid w:val="003B0C01"/>
    <w:rsid w:val="003B10AC"/>
    <w:rsid w:val="003B1C70"/>
    <w:rsid w:val="003B2D7B"/>
    <w:rsid w:val="003B2E80"/>
    <w:rsid w:val="003B3062"/>
    <w:rsid w:val="003B3F20"/>
    <w:rsid w:val="003B4A6F"/>
    <w:rsid w:val="003B5789"/>
    <w:rsid w:val="003B5A46"/>
    <w:rsid w:val="003B6C3E"/>
    <w:rsid w:val="003B700F"/>
    <w:rsid w:val="003C0AD1"/>
    <w:rsid w:val="003C1CB8"/>
    <w:rsid w:val="003C252C"/>
    <w:rsid w:val="003C270C"/>
    <w:rsid w:val="003C2F1B"/>
    <w:rsid w:val="003C31BA"/>
    <w:rsid w:val="003C379B"/>
    <w:rsid w:val="003C3DC8"/>
    <w:rsid w:val="003C49A1"/>
    <w:rsid w:val="003C4CE2"/>
    <w:rsid w:val="003C58CB"/>
    <w:rsid w:val="003C5DC6"/>
    <w:rsid w:val="003C6421"/>
    <w:rsid w:val="003C6EDA"/>
    <w:rsid w:val="003C6FA6"/>
    <w:rsid w:val="003C7EA5"/>
    <w:rsid w:val="003D0E0F"/>
    <w:rsid w:val="003D1E3E"/>
    <w:rsid w:val="003D2825"/>
    <w:rsid w:val="003D2A04"/>
    <w:rsid w:val="003D2AAB"/>
    <w:rsid w:val="003D32B2"/>
    <w:rsid w:val="003D38F5"/>
    <w:rsid w:val="003D571D"/>
    <w:rsid w:val="003D5934"/>
    <w:rsid w:val="003D6976"/>
    <w:rsid w:val="003D6F0B"/>
    <w:rsid w:val="003D749F"/>
    <w:rsid w:val="003D7D5A"/>
    <w:rsid w:val="003E234C"/>
    <w:rsid w:val="003E33A2"/>
    <w:rsid w:val="003E4795"/>
    <w:rsid w:val="003E638C"/>
    <w:rsid w:val="003E63A6"/>
    <w:rsid w:val="003E65C5"/>
    <w:rsid w:val="003E77C0"/>
    <w:rsid w:val="003F0114"/>
    <w:rsid w:val="003F038D"/>
    <w:rsid w:val="003F304A"/>
    <w:rsid w:val="003F316F"/>
    <w:rsid w:val="003F370A"/>
    <w:rsid w:val="003F3A41"/>
    <w:rsid w:val="003F4B4B"/>
    <w:rsid w:val="003F4D68"/>
    <w:rsid w:val="003F4D70"/>
    <w:rsid w:val="003F5411"/>
    <w:rsid w:val="003F6E88"/>
    <w:rsid w:val="003F72CC"/>
    <w:rsid w:val="003F7CB1"/>
    <w:rsid w:val="0040012A"/>
    <w:rsid w:val="004014D8"/>
    <w:rsid w:val="00401B90"/>
    <w:rsid w:val="00402003"/>
    <w:rsid w:val="0040214F"/>
    <w:rsid w:val="00402C34"/>
    <w:rsid w:val="00402E8D"/>
    <w:rsid w:val="004034BE"/>
    <w:rsid w:val="00403BE5"/>
    <w:rsid w:val="00404753"/>
    <w:rsid w:val="00404A39"/>
    <w:rsid w:val="00404F0B"/>
    <w:rsid w:val="00406CAF"/>
    <w:rsid w:val="004076BC"/>
    <w:rsid w:val="00407FAD"/>
    <w:rsid w:val="004106C7"/>
    <w:rsid w:val="0041203E"/>
    <w:rsid w:val="00412485"/>
    <w:rsid w:val="00413489"/>
    <w:rsid w:val="00413A49"/>
    <w:rsid w:val="00420640"/>
    <w:rsid w:val="00420B48"/>
    <w:rsid w:val="00420D94"/>
    <w:rsid w:val="00420E99"/>
    <w:rsid w:val="00420F7E"/>
    <w:rsid w:val="00421571"/>
    <w:rsid w:val="004216F8"/>
    <w:rsid w:val="00423E61"/>
    <w:rsid w:val="004245D6"/>
    <w:rsid w:val="004274A0"/>
    <w:rsid w:val="00430B36"/>
    <w:rsid w:val="00431B33"/>
    <w:rsid w:val="00431E17"/>
    <w:rsid w:val="004324C5"/>
    <w:rsid w:val="004325AA"/>
    <w:rsid w:val="00433589"/>
    <w:rsid w:val="00433631"/>
    <w:rsid w:val="00433AEB"/>
    <w:rsid w:val="00433BC7"/>
    <w:rsid w:val="00434794"/>
    <w:rsid w:val="00437B94"/>
    <w:rsid w:val="0044139F"/>
    <w:rsid w:val="00442584"/>
    <w:rsid w:val="0044353E"/>
    <w:rsid w:val="00443AF5"/>
    <w:rsid w:val="00443C48"/>
    <w:rsid w:val="00444284"/>
    <w:rsid w:val="00444898"/>
    <w:rsid w:val="0044513A"/>
    <w:rsid w:val="0044534F"/>
    <w:rsid w:val="00445B2E"/>
    <w:rsid w:val="00447890"/>
    <w:rsid w:val="00447ACC"/>
    <w:rsid w:val="00450C4A"/>
    <w:rsid w:val="00451692"/>
    <w:rsid w:val="00451706"/>
    <w:rsid w:val="00451A15"/>
    <w:rsid w:val="004520C6"/>
    <w:rsid w:val="00452153"/>
    <w:rsid w:val="004524E1"/>
    <w:rsid w:val="00452548"/>
    <w:rsid w:val="004529CE"/>
    <w:rsid w:val="00453E1E"/>
    <w:rsid w:val="00455AB1"/>
    <w:rsid w:val="004561E1"/>
    <w:rsid w:val="00456427"/>
    <w:rsid w:val="004600DE"/>
    <w:rsid w:val="00460334"/>
    <w:rsid w:val="004610D3"/>
    <w:rsid w:val="0046286B"/>
    <w:rsid w:val="00463DFF"/>
    <w:rsid w:val="00464F0E"/>
    <w:rsid w:val="0046582A"/>
    <w:rsid w:val="00466AD6"/>
    <w:rsid w:val="00466B4F"/>
    <w:rsid w:val="0046727F"/>
    <w:rsid w:val="00467A38"/>
    <w:rsid w:val="00470BB2"/>
    <w:rsid w:val="004721A9"/>
    <w:rsid w:val="00472762"/>
    <w:rsid w:val="00473AEA"/>
    <w:rsid w:val="004753DC"/>
    <w:rsid w:val="00475C02"/>
    <w:rsid w:val="00476369"/>
    <w:rsid w:val="004770E5"/>
    <w:rsid w:val="0047744B"/>
    <w:rsid w:val="00477B84"/>
    <w:rsid w:val="0048095C"/>
    <w:rsid w:val="00481E0D"/>
    <w:rsid w:val="00482983"/>
    <w:rsid w:val="00483539"/>
    <w:rsid w:val="00483AB5"/>
    <w:rsid w:val="00483BDC"/>
    <w:rsid w:val="004866C1"/>
    <w:rsid w:val="004878D4"/>
    <w:rsid w:val="00487D3C"/>
    <w:rsid w:val="0049023D"/>
    <w:rsid w:val="004903D3"/>
    <w:rsid w:val="00490AD8"/>
    <w:rsid w:val="00490E2A"/>
    <w:rsid w:val="004927B0"/>
    <w:rsid w:val="00493DB5"/>
    <w:rsid w:val="004941C1"/>
    <w:rsid w:val="0049494B"/>
    <w:rsid w:val="004950C6"/>
    <w:rsid w:val="00495F47"/>
    <w:rsid w:val="004963E0"/>
    <w:rsid w:val="00496EFD"/>
    <w:rsid w:val="004A034C"/>
    <w:rsid w:val="004A0973"/>
    <w:rsid w:val="004A189B"/>
    <w:rsid w:val="004A20C6"/>
    <w:rsid w:val="004A3283"/>
    <w:rsid w:val="004A35B3"/>
    <w:rsid w:val="004A3661"/>
    <w:rsid w:val="004A4FA0"/>
    <w:rsid w:val="004A5469"/>
    <w:rsid w:val="004A5A60"/>
    <w:rsid w:val="004A6AE1"/>
    <w:rsid w:val="004A743F"/>
    <w:rsid w:val="004A7F76"/>
    <w:rsid w:val="004B07AC"/>
    <w:rsid w:val="004B1AA0"/>
    <w:rsid w:val="004B1CEF"/>
    <w:rsid w:val="004B1F6C"/>
    <w:rsid w:val="004B1FD2"/>
    <w:rsid w:val="004B253A"/>
    <w:rsid w:val="004B29B3"/>
    <w:rsid w:val="004B2AE2"/>
    <w:rsid w:val="004B2E50"/>
    <w:rsid w:val="004B3B89"/>
    <w:rsid w:val="004B4A27"/>
    <w:rsid w:val="004B4FF1"/>
    <w:rsid w:val="004B5A69"/>
    <w:rsid w:val="004B5AA0"/>
    <w:rsid w:val="004B5BCC"/>
    <w:rsid w:val="004B7E0E"/>
    <w:rsid w:val="004C0FAB"/>
    <w:rsid w:val="004C10DC"/>
    <w:rsid w:val="004C20CF"/>
    <w:rsid w:val="004C30E4"/>
    <w:rsid w:val="004C3BDF"/>
    <w:rsid w:val="004C6960"/>
    <w:rsid w:val="004C7C52"/>
    <w:rsid w:val="004D0073"/>
    <w:rsid w:val="004D07B1"/>
    <w:rsid w:val="004D1017"/>
    <w:rsid w:val="004D1451"/>
    <w:rsid w:val="004D3B12"/>
    <w:rsid w:val="004D4BD3"/>
    <w:rsid w:val="004D4FA1"/>
    <w:rsid w:val="004D5446"/>
    <w:rsid w:val="004D5685"/>
    <w:rsid w:val="004D60CA"/>
    <w:rsid w:val="004D6A19"/>
    <w:rsid w:val="004E0142"/>
    <w:rsid w:val="004E08C8"/>
    <w:rsid w:val="004E0C03"/>
    <w:rsid w:val="004E1869"/>
    <w:rsid w:val="004E30B8"/>
    <w:rsid w:val="004E4DD8"/>
    <w:rsid w:val="004E592E"/>
    <w:rsid w:val="004E624C"/>
    <w:rsid w:val="004E6805"/>
    <w:rsid w:val="004E7047"/>
    <w:rsid w:val="004E7250"/>
    <w:rsid w:val="004E78A9"/>
    <w:rsid w:val="004E7D67"/>
    <w:rsid w:val="004F0BB1"/>
    <w:rsid w:val="004F0C99"/>
    <w:rsid w:val="004F0CEB"/>
    <w:rsid w:val="004F0F44"/>
    <w:rsid w:val="004F13B7"/>
    <w:rsid w:val="004F164B"/>
    <w:rsid w:val="004F3B39"/>
    <w:rsid w:val="004F3DBE"/>
    <w:rsid w:val="004F454F"/>
    <w:rsid w:val="004F464D"/>
    <w:rsid w:val="004F49A7"/>
    <w:rsid w:val="004F5177"/>
    <w:rsid w:val="004F6368"/>
    <w:rsid w:val="004F6F23"/>
    <w:rsid w:val="0050041F"/>
    <w:rsid w:val="0050193C"/>
    <w:rsid w:val="00502793"/>
    <w:rsid w:val="005029B3"/>
    <w:rsid w:val="0050413C"/>
    <w:rsid w:val="00505F76"/>
    <w:rsid w:val="005071B3"/>
    <w:rsid w:val="005071E0"/>
    <w:rsid w:val="00507D99"/>
    <w:rsid w:val="00514036"/>
    <w:rsid w:val="005142FE"/>
    <w:rsid w:val="00514AA4"/>
    <w:rsid w:val="00514C8F"/>
    <w:rsid w:val="00517F76"/>
    <w:rsid w:val="005202EA"/>
    <w:rsid w:val="0052050E"/>
    <w:rsid w:val="00520872"/>
    <w:rsid w:val="00521308"/>
    <w:rsid w:val="005214D7"/>
    <w:rsid w:val="005228B7"/>
    <w:rsid w:val="00523687"/>
    <w:rsid w:val="005251C2"/>
    <w:rsid w:val="00525809"/>
    <w:rsid w:val="00525B1E"/>
    <w:rsid w:val="00526FAB"/>
    <w:rsid w:val="005274A8"/>
    <w:rsid w:val="005276E3"/>
    <w:rsid w:val="00527E83"/>
    <w:rsid w:val="005311E0"/>
    <w:rsid w:val="005329C0"/>
    <w:rsid w:val="00533073"/>
    <w:rsid w:val="005335BA"/>
    <w:rsid w:val="005350C8"/>
    <w:rsid w:val="005358C3"/>
    <w:rsid w:val="00535CA8"/>
    <w:rsid w:val="00536660"/>
    <w:rsid w:val="0053799A"/>
    <w:rsid w:val="00542FB4"/>
    <w:rsid w:val="005436C6"/>
    <w:rsid w:val="00543CC2"/>
    <w:rsid w:val="00543FF1"/>
    <w:rsid w:val="005442B3"/>
    <w:rsid w:val="0054493F"/>
    <w:rsid w:val="00545BCE"/>
    <w:rsid w:val="00545DFF"/>
    <w:rsid w:val="0054746C"/>
    <w:rsid w:val="0055087F"/>
    <w:rsid w:val="00553E06"/>
    <w:rsid w:val="0055421F"/>
    <w:rsid w:val="005546A3"/>
    <w:rsid w:val="005550D9"/>
    <w:rsid w:val="00555CB8"/>
    <w:rsid w:val="00556236"/>
    <w:rsid w:val="00557535"/>
    <w:rsid w:val="00557C77"/>
    <w:rsid w:val="00557F1A"/>
    <w:rsid w:val="00561FA6"/>
    <w:rsid w:val="005625B9"/>
    <w:rsid w:val="00562993"/>
    <w:rsid w:val="00562CE9"/>
    <w:rsid w:val="00563B6D"/>
    <w:rsid w:val="00563D64"/>
    <w:rsid w:val="00564066"/>
    <w:rsid w:val="00565106"/>
    <w:rsid w:val="00566155"/>
    <w:rsid w:val="00566240"/>
    <w:rsid w:val="0057050A"/>
    <w:rsid w:val="005716C1"/>
    <w:rsid w:val="00573F80"/>
    <w:rsid w:val="00574516"/>
    <w:rsid w:val="00574753"/>
    <w:rsid w:val="00575BBB"/>
    <w:rsid w:val="005766B8"/>
    <w:rsid w:val="00576EE0"/>
    <w:rsid w:val="005805C2"/>
    <w:rsid w:val="00580DB2"/>
    <w:rsid w:val="00581C35"/>
    <w:rsid w:val="00583A33"/>
    <w:rsid w:val="005853D0"/>
    <w:rsid w:val="00585789"/>
    <w:rsid w:val="00585797"/>
    <w:rsid w:val="00586C1C"/>
    <w:rsid w:val="00586F25"/>
    <w:rsid w:val="0059011E"/>
    <w:rsid w:val="00590DEB"/>
    <w:rsid w:val="005914F6"/>
    <w:rsid w:val="00591AB5"/>
    <w:rsid w:val="00591BEB"/>
    <w:rsid w:val="00592117"/>
    <w:rsid w:val="00592239"/>
    <w:rsid w:val="00593C0B"/>
    <w:rsid w:val="00594472"/>
    <w:rsid w:val="00594A77"/>
    <w:rsid w:val="005956AC"/>
    <w:rsid w:val="00595B45"/>
    <w:rsid w:val="00595F57"/>
    <w:rsid w:val="005962E4"/>
    <w:rsid w:val="005965B0"/>
    <w:rsid w:val="00596A40"/>
    <w:rsid w:val="00596BB3"/>
    <w:rsid w:val="005973A3"/>
    <w:rsid w:val="005A0139"/>
    <w:rsid w:val="005A106B"/>
    <w:rsid w:val="005A196A"/>
    <w:rsid w:val="005A1CA0"/>
    <w:rsid w:val="005A4BF1"/>
    <w:rsid w:val="005A51A5"/>
    <w:rsid w:val="005A5E7A"/>
    <w:rsid w:val="005A7D8C"/>
    <w:rsid w:val="005B08CE"/>
    <w:rsid w:val="005B2289"/>
    <w:rsid w:val="005B3916"/>
    <w:rsid w:val="005B4C8F"/>
    <w:rsid w:val="005B61BF"/>
    <w:rsid w:val="005B6C83"/>
    <w:rsid w:val="005B7015"/>
    <w:rsid w:val="005B711C"/>
    <w:rsid w:val="005B71AD"/>
    <w:rsid w:val="005B7440"/>
    <w:rsid w:val="005C0014"/>
    <w:rsid w:val="005C059F"/>
    <w:rsid w:val="005C0E89"/>
    <w:rsid w:val="005C0FBC"/>
    <w:rsid w:val="005C1994"/>
    <w:rsid w:val="005C207C"/>
    <w:rsid w:val="005C22E4"/>
    <w:rsid w:val="005C2DA7"/>
    <w:rsid w:val="005C3B10"/>
    <w:rsid w:val="005C3F93"/>
    <w:rsid w:val="005C405A"/>
    <w:rsid w:val="005C454B"/>
    <w:rsid w:val="005C4E0E"/>
    <w:rsid w:val="005C602C"/>
    <w:rsid w:val="005C676C"/>
    <w:rsid w:val="005D02D1"/>
    <w:rsid w:val="005D0A8D"/>
    <w:rsid w:val="005D0C0D"/>
    <w:rsid w:val="005D26BD"/>
    <w:rsid w:val="005D2BC5"/>
    <w:rsid w:val="005D2E0D"/>
    <w:rsid w:val="005D36BB"/>
    <w:rsid w:val="005D39DF"/>
    <w:rsid w:val="005D41B1"/>
    <w:rsid w:val="005D4377"/>
    <w:rsid w:val="005D48BC"/>
    <w:rsid w:val="005D4960"/>
    <w:rsid w:val="005D60FB"/>
    <w:rsid w:val="005D63EA"/>
    <w:rsid w:val="005D6488"/>
    <w:rsid w:val="005D6650"/>
    <w:rsid w:val="005D6FE3"/>
    <w:rsid w:val="005D7806"/>
    <w:rsid w:val="005D7A8A"/>
    <w:rsid w:val="005D7D97"/>
    <w:rsid w:val="005E0689"/>
    <w:rsid w:val="005E0F23"/>
    <w:rsid w:val="005E1359"/>
    <w:rsid w:val="005E1EC9"/>
    <w:rsid w:val="005E444A"/>
    <w:rsid w:val="005E4A27"/>
    <w:rsid w:val="005E702C"/>
    <w:rsid w:val="005E788C"/>
    <w:rsid w:val="005F05F0"/>
    <w:rsid w:val="005F0F3E"/>
    <w:rsid w:val="005F0FF6"/>
    <w:rsid w:val="005F49DD"/>
    <w:rsid w:val="005F4F92"/>
    <w:rsid w:val="005F560E"/>
    <w:rsid w:val="005F57E7"/>
    <w:rsid w:val="005F61F7"/>
    <w:rsid w:val="005F68AE"/>
    <w:rsid w:val="005F710A"/>
    <w:rsid w:val="00600F5E"/>
    <w:rsid w:val="00600F63"/>
    <w:rsid w:val="00601F8B"/>
    <w:rsid w:val="00602EEC"/>
    <w:rsid w:val="00602F60"/>
    <w:rsid w:val="0060406A"/>
    <w:rsid w:val="006057C1"/>
    <w:rsid w:val="00605A52"/>
    <w:rsid w:val="006068DE"/>
    <w:rsid w:val="00606EB1"/>
    <w:rsid w:val="0060733A"/>
    <w:rsid w:val="006074B7"/>
    <w:rsid w:val="00607D05"/>
    <w:rsid w:val="0061121B"/>
    <w:rsid w:val="0061124B"/>
    <w:rsid w:val="006128C2"/>
    <w:rsid w:val="00613064"/>
    <w:rsid w:val="006136A3"/>
    <w:rsid w:val="0061468F"/>
    <w:rsid w:val="0061592D"/>
    <w:rsid w:val="00616403"/>
    <w:rsid w:val="0061672D"/>
    <w:rsid w:val="00616CFD"/>
    <w:rsid w:val="00616EBD"/>
    <w:rsid w:val="00617023"/>
    <w:rsid w:val="006175F8"/>
    <w:rsid w:val="0062190B"/>
    <w:rsid w:val="00624296"/>
    <w:rsid w:val="006244D5"/>
    <w:rsid w:val="00624A57"/>
    <w:rsid w:val="00624AF9"/>
    <w:rsid w:val="00624D7B"/>
    <w:rsid w:val="00625B7A"/>
    <w:rsid w:val="00625F44"/>
    <w:rsid w:val="006261F9"/>
    <w:rsid w:val="006301E8"/>
    <w:rsid w:val="0063047E"/>
    <w:rsid w:val="00630EEC"/>
    <w:rsid w:val="00631A52"/>
    <w:rsid w:val="00631CEC"/>
    <w:rsid w:val="00631DBE"/>
    <w:rsid w:val="00631E29"/>
    <w:rsid w:val="006339C0"/>
    <w:rsid w:val="0063421E"/>
    <w:rsid w:val="0063436A"/>
    <w:rsid w:val="006349CE"/>
    <w:rsid w:val="00636086"/>
    <w:rsid w:val="00636932"/>
    <w:rsid w:val="00636E48"/>
    <w:rsid w:val="00637ED9"/>
    <w:rsid w:val="00640306"/>
    <w:rsid w:val="0064298A"/>
    <w:rsid w:val="0064298D"/>
    <w:rsid w:val="00643E2F"/>
    <w:rsid w:val="006447F3"/>
    <w:rsid w:val="0064588C"/>
    <w:rsid w:val="006460F1"/>
    <w:rsid w:val="00646B8B"/>
    <w:rsid w:val="00646D7F"/>
    <w:rsid w:val="00647384"/>
    <w:rsid w:val="00647808"/>
    <w:rsid w:val="00650119"/>
    <w:rsid w:val="00650236"/>
    <w:rsid w:val="0065025C"/>
    <w:rsid w:val="0065075F"/>
    <w:rsid w:val="00650E30"/>
    <w:rsid w:val="00651664"/>
    <w:rsid w:val="00651C11"/>
    <w:rsid w:val="00651E02"/>
    <w:rsid w:val="00651E40"/>
    <w:rsid w:val="00653699"/>
    <w:rsid w:val="00654C39"/>
    <w:rsid w:val="00654D16"/>
    <w:rsid w:val="006553F3"/>
    <w:rsid w:val="00655BFC"/>
    <w:rsid w:val="00655FF6"/>
    <w:rsid w:val="0065757C"/>
    <w:rsid w:val="00657C2F"/>
    <w:rsid w:val="00660461"/>
    <w:rsid w:val="00661C0B"/>
    <w:rsid w:val="00662837"/>
    <w:rsid w:val="00663133"/>
    <w:rsid w:val="00664212"/>
    <w:rsid w:val="006647CC"/>
    <w:rsid w:val="00664E47"/>
    <w:rsid w:val="006659BC"/>
    <w:rsid w:val="0066668F"/>
    <w:rsid w:val="00666A48"/>
    <w:rsid w:val="00666C1F"/>
    <w:rsid w:val="006673E1"/>
    <w:rsid w:val="00670556"/>
    <w:rsid w:val="006706A4"/>
    <w:rsid w:val="00671100"/>
    <w:rsid w:val="00671608"/>
    <w:rsid w:val="00671E42"/>
    <w:rsid w:val="00672BEE"/>
    <w:rsid w:val="00673EB0"/>
    <w:rsid w:val="00674844"/>
    <w:rsid w:val="00676798"/>
    <w:rsid w:val="00680B51"/>
    <w:rsid w:val="0068102B"/>
    <w:rsid w:val="00681510"/>
    <w:rsid w:val="00683E7D"/>
    <w:rsid w:val="006842B7"/>
    <w:rsid w:val="006850B6"/>
    <w:rsid w:val="0068677B"/>
    <w:rsid w:val="0068728E"/>
    <w:rsid w:val="00687F3C"/>
    <w:rsid w:val="006900AA"/>
    <w:rsid w:val="00691E25"/>
    <w:rsid w:val="006923AA"/>
    <w:rsid w:val="00692457"/>
    <w:rsid w:val="0069336B"/>
    <w:rsid w:val="00694A2F"/>
    <w:rsid w:val="006954CD"/>
    <w:rsid w:val="00697FD3"/>
    <w:rsid w:val="006A0297"/>
    <w:rsid w:val="006A0480"/>
    <w:rsid w:val="006A1087"/>
    <w:rsid w:val="006A33F9"/>
    <w:rsid w:val="006A41FE"/>
    <w:rsid w:val="006A5980"/>
    <w:rsid w:val="006A5B52"/>
    <w:rsid w:val="006A7F33"/>
    <w:rsid w:val="006B0AC9"/>
    <w:rsid w:val="006B225B"/>
    <w:rsid w:val="006B23B3"/>
    <w:rsid w:val="006B3693"/>
    <w:rsid w:val="006B592A"/>
    <w:rsid w:val="006B5D9D"/>
    <w:rsid w:val="006B607E"/>
    <w:rsid w:val="006B6500"/>
    <w:rsid w:val="006B72A6"/>
    <w:rsid w:val="006B778E"/>
    <w:rsid w:val="006C0783"/>
    <w:rsid w:val="006C18AB"/>
    <w:rsid w:val="006C1D77"/>
    <w:rsid w:val="006C4426"/>
    <w:rsid w:val="006C449D"/>
    <w:rsid w:val="006C4F08"/>
    <w:rsid w:val="006C5368"/>
    <w:rsid w:val="006C703A"/>
    <w:rsid w:val="006D0076"/>
    <w:rsid w:val="006D00F8"/>
    <w:rsid w:val="006D13C4"/>
    <w:rsid w:val="006D396A"/>
    <w:rsid w:val="006D6821"/>
    <w:rsid w:val="006D745D"/>
    <w:rsid w:val="006D7989"/>
    <w:rsid w:val="006E0669"/>
    <w:rsid w:val="006E0CF4"/>
    <w:rsid w:val="006E0DB7"/>
    <w:rsid w:val="006E0F3E"/>
    <w:rsid w:val="006E1802"/>
    <w:rsid w:val="006E2058"/>
    <w:rsid w:val="006E2F02"/>
    <w:rsid w:val="006E3463"/>
    <w:rsid w:val="006E3D3B"/>
    <w:rsid w:val="006E4356"/>
    <w:rsid w:val="006E451F"/>
    <w:rsid w:val="006E4808"/>
    <w:rsid w:val="006E67B9"/>
    <w:rsid w:val="006E79CD"/>
    <w:rsid w:val="006E7EFE"/>
    <w:rsid w:val="006F087D"/>
    <w:rsid w:val="006F1352"/>
    <w:rsid w:val="006F192B"/>
    <w:rsid w:val="006F3552"/>
    <w:rsid w:val="006F4114"/>
    <w:rsid w:val="006F4979"/>
    <w:rsid w:val="006F5256"/>
    <w:rsid w:val="006F574B"/>
    <w:rsid w:val="006F5CD8"/>
    <w:rsid w:val="006F7071"/>
    <w:rsid w:val="00700455"/>
    <w:rsid w:val="0070155A"/>
    <w:rsid w:val="00703EC3"/>
    <w:rsid w:val="00704602"/>
    <w:rsid w:val="00705429"/>
    <w:rsid w:val="007060A5"/>
    <w:rsid w:val="00706D51"/>
    <w:rsid w:val="00707BFF"/>
    <w:rsid w:val="00711AE2"/>
    <w:rsid w:val="00711FF7"/>
    <w:rsid w:val="007127B4"/>
    <w:rsid w:val="0071286C"/>
    <w:rsid w:val="007142F6"/>
    <w:rsid w:val="007143A5"/>
    <w:rsid w:val="007147D7"/>
    <w:rsid w:val="00715B2F"/>
    <w:rsid w:val="00715C85"/>
    <w:rsid w:val="007161D8"/>
    <w:rsid w:val="0071755E"/>
    <w:rsid w:val="00717CCF"/>
    <w:rsid w:val="00720F72"/>
    <w:rsid w:val="00721114"/>
    <w:rsid w:val="00721261"/>
    <w:rsid w:val="007218EB"/>
    <w:rsid w:val="0072194C"/>
    <w:rsid w:val="00721A0A"/>
    <w:rsid w:val="00721A67"/>
    <w:rsid w:val="00721AAC"/>
    <w:rsid w:val="00722500"/>
    <w:rsid w:val="007237BD"/>
    <w:rsid w:val="00723E9E"/>
    <w:rsid w:val="0072435F"/>
    <w:rsid w:val="007247E6"/>
    <w:rsid w:val="00727B71"/>
    <w:rsid w:val="00730134"/>
    <w:rsid w:val="007303B8"/>
    <w:rsid w:val="00730D66"/>
    <w:rsid w:val="00730F65"/>
    <w:rsid w:val="0073232C"/>
    <w:rsid w:val="00733A67"/>
    <w:rsid w:val="00733B9E"/>
    <w:rsid w:val="00736288"/>
    <w:rsid w:val="00736338"/>
    <w:rsid w:val="00737427"/>
    <w:rsid w:val="00740AD3"/>
    <w:rsid w:val="00741B97"/>
    <w:rsid w:val="00741D78"/>
    <w:rsid w:val="00743C03"/>
    <w:rsid w:val="00745356"/>
    <w:rsid w:val="00745C63"/>
    <w:rsid w:val="007464C7"/>
    <w:rsid w:val="00746F44"/>
    <w:rsid w:val="007471BB"/>
    <w:rsid w:val="00747BFE"/>
    <w:rsid w:val="00750125"/>
    <w:rsid w:val="00750596"/>
    <w:rsid w:val="00750A9A"/>
    <w:rsid w:val="00750FBE"/>
    <w:rsid w:val="0075264B"/>
    <w:rsid w:val="00752CAB"/>
    <w:rsid w:val="007548E6"/>
    <w:rsid w:val="00755480"/>
    <w:rsid w:val="00755732"/>
    <w:rsid w:val="00755CCF"/>
    <w:rsid w:val="00755E67"/>
    <w:rsid w:val="0075660A"/>
    <w:rsid w:val="0075687D"/>
    <w:rsid w:val="00756CCC"/>
    <w:rsid w:val="00757632"/>
    <w:rsid w:val="00757988"/>
    <w:rsid w:val="00761191"/>
    <w:rsid w:val="00761AB5"/>
    <w:rsid w:val="00761E00"/>
    <w:rsid w:val="00762336"/>
    <w:rsid w:val="007623B0"/>
    <w:rsid w:val="00762D77"/>
    <w:rsid w:val="00763555"/>
    <w:rsid w:val="00763751"/>
    <w:rsid w:val="00765360"/>
    <w:rsid w:val="007656AC"/>
    <w:rsid w:val="007665CC"/>
    <w:rsid w:val="007669EB"/>
    <w:rsid w:val="007673D6"/>
    <w:rsid w:val="007702E7"/>
    <w:rsid w:val="007705B4"/>
    <w:rsid w:val="00770C2E"/>
    <w:rsid w:val="00770C4A"/>
    <w:rsid w:val="00771703"/>
    <w:rsid w:val="00771C39"/>
    <w:rsid w:val="00771E0F"/>
    <w:rsid w:val="00772EDC"/>
    <w:rsid w:val="007733CC"/>
    <w:rsid w:val="00773A24"/>
    <w:rsid w:val="00773CE7"/>
    <w:rsid w:val="00774935"/>
    <w:rsid w:val="00774BB5"/>
    <w:rsid w:val="0077545F"/>
    <w:rsid w:val="007756F1"/>
    <w:rsid w:val="00776D46"/>
    <w:rsid w:val="00776E76"/>
    <w:rsid w:val="00777706"/>
    <w:rsid w:val="00780D5E"/>
    <w:rsid w:val="00780F08"/>
    <w:rsid w:val="007846A0"/>
    <w:rsid w:val="0078521C"/>
    <w:rsid w:val="00785997"/>
    <w:rsid w:val="00785BFB"/>
    <w:rsid w:val="0079113E"/>
    <w:rsid w:val="00791DEF"/>
    <w:rsid w:val="00796293"/>
    <w:rsid w:val="007973E1"/>
    <w:rsid w:val="00797C5E"/>
    <w:rsid w:val="007A0DD6"/>
    <w:rsid w:val="007A138E"/>
    <w:rsid w:val="007A216C"/>
    <w:rsid w:val="007A35F5"/>
    <w:rsid w:val="007A3A74"/>
    <w:rsid w:val="007A3E89"/>
    <w:rsid w:val="007A44C1"/>
    <w:rsid w:val="007A5127"/>
    <w:rsid w:val="007A55E5"/>
    <w:rsid w:val="007A5F57"/>
    <w:rsid w:val="007A7A74"/>
    <w:rsid w:val="007A7AFB"/>
    <w:rsid w:val="007A7FDC"/>
    <w:rsid w:val="007B0877"/>
    <w:rsid w:val="007B20D4"/>
    <w:rsid w:val="007B2E83"/>
    <w:rsid w:val="007B2EEE"/>
    <w:rsid w:val="007B5B41"/>
    <w:rsid w:val="007B5DD4"/>
    <w:rsid w:val="007B5DDE"/>
    <w:rsid w:val="007B60A6"/>
    <w:rsid w:val="007B6D6A"/>
    <w:rsid w:val="007B73F4"/>
    <w:rsid w:val="007B7B5D"/>
    <w:rsid w:val="007C0133"/>
    <w:rsid w:val="007C0DBF"/>
    <w:rsid w:val="007C12B9"/>
    <w:rsid w:val="007C1770"/>
    <w:rsid w:val="007C1AA5"/>
    <w:rsid w:val="007C3A00"/>
    <w:rsid w:val="007C621E"/>
    <w:rsid w:val="007C6459"/>
    <w:rsid w:val="007C68AE"/>
    <w:rsid w:val="007C6BFE"/>
    <w:rsid w:val="007C71E4"/>
    <w:rsid w:val="007C7B41"/>
    <w:rsid w:val="007C7CEC"/>
    <w:rsid w:val="007D05C8"/>
    <w:rsid w:val="007D1186"/>
    <w:rsid w:val="007D13FC"/>
    <w:rsid w:val="007D240F"/>
    <w:rsid w:val="007D3960"/>
    <w:rsid w:val="007D54AB"/>
    <w:rsid w:val="007D59E7"/>
    <w:rsid w:val="007D5E09"/>
    <w:rsid w:val="007D61B5"/>
    <w:rsid w:val="007D6539"/>
    <w:rsid w:val="007D67F3"/>
    <w:rsid w:val="007E0A83"/>
    <w:rsid w:val="007E2E9F"/>
    <w:rsid w:val="007E40FA"/>
    <w:rsid w:val="007E43BB"/>
    <w:rsid w:val="007E5087"/>
    <w:rsid w:val="007E50A3"/>
    <w:rsid w:val="007E5684"/>
    <w:rsid w:val="007E61E9"/>
    <w:rsid w:val="007E6595"/>
    <w:rsid w:val="007E6B85"/>
    <w:rsid w:val="007E7959"/>
    <w:rsid w:val="007F01A5"/>
    <w:rsid w:val="007F02F7"/>
    <w:rsid w:val="007F079A"/>
    <w:rsid w:val="007F0811"/>
    <w:rsid w:val="007F193C"/>
    <w:rsid w:val="007F1CA3"/>
    <w:rsid w:val="007F1E84"/>
    <w:rsid w:val="007F25CB"/>
    <w:rsid w:val="007F3204"/>
    <w:rsid w:val="007F3265"/>
    <w:rsid w:val="007F327F"/>
    <w:rsid w:val="007F341A"/>
    <w:rsid w:val="007F3529"/>
    <w:rsid w:val="007F3C96"/>
    <w:rsid w:val="007F4D1D"/>
    <w:rsid w:val="007F4F04"/>
    <w:rsid w:val="007F55B3"/>
    <w:rsid w:val="007F624F"/>
    <w:rsid w:val="007F65D2"/>
    <w:rsid w:val="007F68F4"/>
    <w:rsid w:val="007F6926"/>
    <w:rsid w:val="007F7130"/>
    <w:rsid w:val="00800429"/>
    <w:rsid w:val="008005DD"/>
    <w:rsid w:val="008011C7"/>
    <w:rsid w:val="008012B7"/>
    <w:rsid w:val="008038EE"/>
    <w:rsid w:val="00803A32"/>
    <w:rsid w:val="008041FF"/>
    <w:rsid w:val="008046ED"/>
    <w:rsid w:val="00804981"/>
    <w:rsid w:val="00804A3F"/>
    <w:rsid w:val="00804EAC"/>
    <w:rsid w:val="00805260"/>
    <w:rsid w:val="0080663C"/>
    <w:rsid w:val="00806842"/>
    <w:rsid w:val="00807D13"/>
    <w:rsid w:val="0081020A"/>
    <w:rsid w:val="00810536"/>
    <w:rsid w:val="0081088F"/>
    <w:rsid w:val="00810B19"/>
    <w:rsid w:val="00810EEB"/>
    <w:rsid w:val="008119ED"/>
    <w:rsid w:val="008121B8"/>
    <w:rsid w:val="008125E5"/>
    <w:rsid w:val="008128F8"/>
    <w:rsid w:val="00812EA4"/>
    <w:rsid w:val="00813000"/>
    <w:rsid w:val="008133ED"/>
    <w:rsid w:val="00813B0A"/>
    <w:rsid w:val="00813FCD"/>
    <w:rsid w:val="00813FDB"/>
    <w:rsid w:val="00814F79"/>
    <w:rsid w:val="0081585C"/>
    <w:rsid w:val="00815FCE"/>
    <w:rsid w:val="0081606C"/>
    <w:rsid w:val="00820D2A"/>
    <w:rsid w:val="00821087"/>
    <w:rsid w:val="008226A5"/>
    <w:rsid w:val="00823DD2"/>
    <w:rsid w:val="008252C0"/>
    <w:rsid w:val="008258FE"/>
    <w:rsid w:val="00826F1A"/>
    <w:rsid w:val="00827033"/>
    <w:rsid w:val="008271CF"/>
    <w:rsid w:val="0082746C"/>
    <w:rsid w:val="00832BBB"/>
    <w:rsid w:val="00833E7B"/>
    <w:rsid w:val="008343C7"/>
    <w:rsid w:val="008343CF"/>
    <w:rsid w:val="008369C8"/>
    <w:rsid w:val="0083702C"/>
    <w:rsid w:val="00837C7E"/>
    <w:rsid w:val="00837F69"/>
    <w:rsid w:val="008407A2"/>
    <w:rsid w:val="008440EB"/>
    <w:rsid w:val="00845575"/>
    <w:rsid w:val="00845921"/>
    <w:rsid w:val="0084608E"/>
    <w:rsid w:val="008464F6"/>
    <w:rsid w:val="00846E77"/>
    <w:rsid w:val="00851871"/>
    <w:rsid w:val="008525A1"/>
    <w:rsid w:val="00852727"/>
    <w:rsid w:val="00852CCE"/>
    <w:rsid w:val="0085359F"/>
    <w:rsid w:val="00854964"/>
    <w:rsid w:val="0085513F"/>
    <w:rsid w:val="00860C15"/>
    <w:rsid w:val="008621AB"/>
    <w:rsid w:val="00862358"/>
    <w:rsid w:val="00863317"/>
    <w:rsid w:val="0086375B"/>
    <w:rsid w:val="00863836"/>
    <w:rsid w:val="00865464"/>
    <w:rsid w:val="00865F5E"/>
    <w:rsid w:val="00872104"/>
    <w:rsid w:val="00872351"/>
    <w:rsid w:val="00873A3D"/>
    <w:rsid w:val="00875320"/>
    <w:rsid w:val="0087571B"/>
    <w:rsid w:val="00875798"/>
    <w:rsid w:val="00876097"/>
    <w:rsid w:val="00877812"/>
    <w:rsid w:val="00880377"/>
    <w:rsid w:val="00882382"/>
    <w:rsid w:val="008853B2"/>
    <w:rsid w:val="008871A7"/>
    <w:rsid w:val="00887BC3"/>
    <w:rsid w:val="00887E66"/>
    <w:rsid w:val="008907EE"/>
    <w:rsid w:val="00891B8D"/>
    <w:rsid w:val="00891D94"/>
    <w:rsid w:val="008921A9"/>
    <w:rsid w:val="00893190"/>
    <w:rsid w:val="008934C7"/>
    <w:rsid w:val="008935B6"/>
    <w:rsid w:val="00893E13"/>
    <w:rsid w:val="00894A98"/>
    <w:rsid w:val="00894D16"/>
    <w:rsid w:val="00895A10"/>
    <w:rsid w:val="00896B18"/>
    <w:rsid w:val="00896CFB"/>
    <w:rsid w:val="0089788A"/>
    <w:rsid w:val="008A0278"/>
    <w:rsid w:val="008A113E"/>
    <w:rsid w:val="008A1955"/>
    <w:rsid w:val="008A1A8B"/>
    <w:rsid w:val="008A2171"/>
    <w:rsid w:val="008A2993"/>
    <w:rsid w:val="008A2AA1"/>
    <w:rsid w:val="008A355D"/>
    <w:rsid w:val="008A3932"/>
    <w:rsid w:val="008A4C7A"/>
    <w:rsid w:val="008A547C"/>
    <w:rsid w:val="008A6225"/>
    <w:rsid w:val="008A6D0B"/>
    <w:rsid w:val="008A70B8"/>
    <w:rsid w:val="008B00D1"/>
    <w:rsid w:val="008B15E2"/>
    <w:rsid w:val="008B1973"/>
    <w:rsid w:val="008B2922"/>
    <w:rsid w:val="008B38BF"/>
    <w:rsid w:val="008B4072"/>
    <w:rsid w:val="008B49B5"/>
    <w:rsid w:val="008B50BC"/>
    <w:rsid w:val="008B7205"/>
    <w:rsid w:val="008C001F"/>
    <w:rsid w:val="008C0C01"/>
    <w:rsid w:val="008C2A95"/>
    <w:rsid w:val="008C3B84"/>
    <w:rsid w:val="008C3DB2"/>
    <w:rsid w:val="008C44DC"/>
    <w:rsid w:val="008C5426"/>
    <w:rsid w:val="008C68F9"/>
    <w:rsid w:val="008C6BDA"/>
    <w:rsid w:val="008C7F08"/>
    <w:rsid w:val="008D058F"/>
    <w:rsid w:val="008D0AED"/>
    <w:rsid w:val="008D1B52"/>
    <w:rsid w:val="008D24C3"/>
    <w:rsid w:val="008D2B5E"/>
    <w:rsid w:val="008D3514"/>
    <w:rsid w:val="008D3DFF"/>
    <w:rsid w:val="008D4A88"/>
    <w:rsid w:val="008D4AEE"/>
    <w:rsid w:val="008D4F6A"/>
    <w:rsid w:val="008D51D3"/>
    <w:rsid w:val="008D5258"/>
    <w:rsid w:val="008D7534"/>
    <w:rsid w:val="008D7BA6"/>
    <w:rsid w:val="008D7F65"/>
    <w:rsid w:val="008E0793"/>
    <w:rsid w:val="008E09F4"/>
    <w:rsid w:val="008E0EF1"/>
    <w:rsid w:val="008E1B58"/>
    <w:rsid w:val="008E20C1"/>
    <w:rsid w:val="008E31BA"/>
    <w:rsid w:val="008E336D"/>
    <w:rsid w:val="008E358B"/>
    <w:rsid w:val="008E5078"/>
    <w:rsid w:val="008E57BD"/>
    <w:rsid w:val="008E6839"/>
    <w:rsid w:val="008E69F0"/>
    <w:rsid w:val="008E7509"/>
    <w:rsid w:val="008E76EA"/>
    <w:rsid w:val="008E7B0E"/>
    <w:rsid w:val="008F0484"/>
    <w:rsid w:val="008F16FB"/>
    <w:rsid w:val="008F1E02"/>
    <w:rsid w:val="008F1E5D"/>
    <w:rsid w:val="008F1F86"/>
    <w:rsid w:val="008F2B1E"/>
    <w:rsid w:val="008F301A"/>
    <w:rsid w:val="008F36C7"/>
    <w:rsid w:val="008F3844"/>
    <w:rsid w:val="008F411B"/>
    <w:rsid w:val="008F58D2"/>
    <w:rsid w:val="008F5DFA"/>
    <w:rsid w:val="008F791F"/>
    <w:rsid w:val="008F7A82"/>
    <w:rsid w:val="0090032B"/>
    <w:rsid w:val="009004DF"/>
    <w:rsid w:val="009007FA"/>
    <w:rsid w:val="00900993"/>
    <w:rsid w:val="009009F5"/>
    <w:rsid w:val="009010CF"/>
    <w:rsid w:val="00902C86"/>
    <w:rsid w:val="009039DE"/>
    <w:rsid w:val="009041B5"/>
    <w:rsid w:val="009043D2"/>
    <w:rsid w:val="00905563"/>
    <w:rsid w:val="00906ADD"/>
    <w:rsid w:val="00907121"/>
    <w:rsid w:val="00907257"/>
    <w:rsid w:val="009076D1"/>
    <w:rsid w:val="009102B8"/>
    <w:rsid w:val="00910A4A"/>
    <w:rsid w:val="009110CA"/>
    <w:rsid w:val="0091244D"/>
    <w:rsid w:val="00913D22"/>
    <w:rsid w:val="00913F57"/>
    <w:rsid w:val="0091422F"/>
    <w:rsid w:val="00916191"/>
    <w:rsid w:val="00916965"/>
    <w:rsid w:val="009179C2"/>
    <w:rsid w:val="00917F65"/>
    <w:rsid w:val="00921B4A"/>
    <w:rsid w:val="00921D47"/>
    <w:rsid w:val="0092217E"/>
    <w:rsid w:val="00923247"/>
    <w:rsid w:val="00923A4B"/>
    <w:rsid w:val="00924C13"/>
    <w:rsid w:val="00924E8F"/>
    <w:rsid w:val="009277FB"/>
    <w:rsid w:val="00927938"/>
    <w:rsid w:val="009318E4"/>
    <w:rsid w:val="00934652"/>
    <w:rsid w:val="00934CD4"/>
    <w:rsid w:val="00935C95"/>
    <w:rsid w:val="00935DEF"/>
    <w:rsid w:val="009361D2"/>
    <w:rsid w:val="00936570"/>
    <w:rsid w:val="00937EE0"/>
    <w:rsid w:val="009400D8"/>
    <w:rsid w:val="00940FAD"/>
    <w:rsid w:val="0094231E"/>
    <w:rsid w:val="00942C43"/>
    <w:rsid w:val="00943474"/>
    <w:rsid w:val="009435AF"/>
    <w:rsid w:val="00943921"/>
    <w:rsid w:val="0094510D"/>
    <w:rsid w:val="00945302"/>
    <w:rsid w:val="00946C51"/>
    <w:rsid w:val="009471F8"/>
    <w:rsid w:val="009502FC"/>
    <w:rsid w:val="00951B70"/>
    <w:rsid w:val="00951C87"/>
    <w:rsid w:val="00953795"/>
    <w:rsid w:val="00954D4A"/>
    <w:rsid w:val="00954F81"/>
    <w:rsid w:val="00955C0B"/>
    <w:rsid w:val="0095696B"/>
    <w:rsid w:val="00957DE6"/>
    <w:rsid w:val="00957E4A"/>
    <w:rsid w:val="00960380"/>
    <w:rsid w:val="00960E6F"/>
    <w:rsid w:val="00961CB2"/>
    <w:rsid w:val="00962015"/>
    <w:rsid w:val="0096208E"/>
    <w:rsid w:val="009630DB"/>
    <w:rsid w:val="00963CD3"/>
    <w:rsid w:val="00964495"/>
    <w:rsid w:val="00970A2F"/>
    <w:rsid w:val="009714AD"/>
    <w:rsid w:val="009717DC"/>
    <w:rsid w:val="00971C6A"/>
    <w:rsid w:val="00971EFA"/>
    <w:rsid w:val="00972194"/>
    <w:rsid w:val="00972290"/>
    <w:rsid w:val="009728CB"/>
    <w:rsid w:val="0097333E"/>
    <w:rsid w:val="00974265"/>
    <w:rsid w:val="0097491A"/>
    <w:rsid w:val="00974927"/>
    <w:rsid w:val="0097715B"/>
    <w:rsid w:val="0097725F"/>
    <w:rsid w:val="00977DCB"/>
    <w:rsid w:val="00981AE0"/>
    <w:rsid w:val="00981DDD"/>
    <w:rsid w:val="00982D52"/>
    <w:rsid w:val="00983EBA"/>
    <w:rsid w:val="0098714E"/>
    <w:rsid w:val="00987C8E"/>
    <w:rsid w:val="00987F47"/>
    <w:rsid w:val="00990E06"/>
    <w:rsid w:val="00992365"/>
    <w:rsid w:val="00992769"/>
    <w:rsid w:val="00993026"/>
    <w:rsid w:val="009944AD"/>
    <w:rsid w:val="009947B4"/>
    <w:rsid w:val="00994A69"/>
    <w:rsid w:val="00995B25"/>
    <w:rsid w:val="00997FEE"/>
    <w:rsid w:val="009A01EE"/>
    <w:rsid w:val="009A114B"/>
    <w:rsid w:val="009A33CC"/>
    <w:rsid w:val="009A410B"/>
    <w:rsid w:val="009A46C0"/>
    <w:rsid w:val="009A4EEB"/>
    <w:rsid w:val="009A53B6"/>
    <w:rsid w:val="009A586E"/>
    <w:rsid w:val="009A5B9D"/>
    <w:rsid w:val="009A79D6"/>
    <w:rsid w:val="009B1466"/>
    <w:rsid w:val="009B1F25"/>
    <w:rsid w:val="009B79C2"/>
    <w:rsid w:val="009B7C3B"/>
    <w:rsid w:val="009C01B2"/>
    <w:rsid w:val="009C0A37"/>
    <w:rsid w:val="009C1A32"/>
    <w:rsid w:val="009C23C1"/>
    <w:rsid w:val="009C30C7"/>
    <w:rsid w:val="009C32EE"/>
    <w:rsid w:val="009C456F"/>
    <w:rsid w:val="009C4CDD"/>
    <w:rsid w:val="009C53CD"/>
    <w:rsid w:val="009C5C4D"/>
    <w:rsid w:val="009C6FC0"/>
    <w:rsid w:val="009D0DDF"/>
    <w:rsid w:val="009D158A"/>
    <w:rsid w:val="009D2A39"/>
    <w:rsid w:val="009D3A2E"/>
    <w:rsid w:val="009D4751"/>
    <w:rsid w:val="009D4778"/>
    <w:rsid w:val="009D4956"/>
    <w:rsid w:val="009D5611"/>
    <w:rsid w:val="009D6F9F"/>
    <w:rsid w:val="009D75E4"/>
    <w:rsid w:val="009E1384"/>
    <w:rsid w:val="009E199A"/>
    <w:rsid w:val="009E2389"/>
    <w:rsid w:val="009E25E4"/>
    <w:rsid w:val="009E3074"/>
    <w:rsid w:val="009E3171"/>
    <w:rsid w:val="009E402F"/>
    <w:rsid w:val="009E44A0"/>
    <w:rsid w:val="009E4622"/>
    <w:rsid w:val="009E4757"/>
    <w:rsid w:val="009E499E"/>
    <w:rsid w:val="009E4BD5"/>
    <w:rsid w:val="009E539C"/>
    <w:rsid w:val="009E6CE2"/>
    <w:rsid w:val="009E7938"/>
    <w:rsid w:val="009F1C65"/>
    <w:rsid w:val="009F265B"/>
    <w:rsid w:val="009F38A5"/>
    <w:rsid w:val="009F3A18"/>
    <w:rsid w:val="009F3AFC"/>
    <w:rsid w:val="009F428C"/>
    <w:rsid w:val="009F506B"/>
    <w:rsid w:val="009F6A5A"/>
    <w:rsid w:val="009F6A82"/>
    <w:rsid w:val="009F6C4A"/>
    <w:rsid w:val="009F72A5"/>
    <w:rsid w:val="009F7C7F"/>
    <w:rsid w:val="00A01810"/>
    <w:rsid w:val="00A01BA2"/>
    <w:rsid w:val="00A02D9B"/>
    <w:rsid w:val="00A034C1"/>
    <w:rsid w:val="00A04AD2"/>
    <w:rsid w:val="00A04CF3"/>
    <w:rsid w:val="00A04FE4"/>
    <w:rsid w:val="00A05494"/>
    <w:rsid w:val="00A06331"/>
    <w:rsid w:val="00A0685D"/>
    <w:rsid w:val="00A075A5"/>
    <w:rsid w:val="00A07770"/>
    <w:rsid w:val="00A10FA9"/>
    <w:rsid w:val="00A110EB"/>
    <w:rsid w:val="00A11D98"/>
    <w:rsid w:val="00A13181"/>
    <w:rsid w:val="00A133D6"/>
    <w:rsid w:val="00A133DA"/>
    <w:rsid w:val="00A14D39"/>
    <w:rsid w:val="00A16068"/>
    <w:rsid w:val="00A16CD6"/>
    <w:rsid w:val="00A22516"/>
    <w:rsid w:val="00A22886"/>
    <w:rsid w:val="00A22D79"/>
    <w:rsid w:val="00A2511D"/>
    <w:rsid w:val="00A25931"/>
    <w:rsid w:val="00A27328"/>
    <w:rsid w:val="00A27575"/>
    <w:rsid w:val="00A3013D"/>
    <w:rsid w:val="00A30445"/>
    <w:rsid w:val="00A30D0D"/>
    <w:rsid w:val="00A3227F"/>
    <w:rsid w:val="00A33F09"/>
    <w:rsid w:val="00A34ABA"/>
    <w:rsid w:val="00A3577B"/>
    <w:rsid w:val="00A365BE"/>
    <w:rsid w:val="00A37B4A"/>
    <w:rsid w:val="00A37DCB"/>
    <w:rsid w:val="00A40632"/>
    <w:rsid w:val="00A4083E"/>
    <w:rsid w:val="00A40A80"/>
    <w:rsid w:val="00A40F3C"/>
    <w:rsid w:val="00A410AC"/>
    <w:rsid w:val="00A410EF"/>
    <w:rsid w:val="00A41164"/>
    <w:rsid w:val="00A42D90"/>
    <w:rsid w:val="00A42EC7"/>
    <w:rsid w:val="00A4321F"/>
    <w:rsid w:val="00A44DB8"/>
    <w:rsid w:val="00A45104"/>
    <w:rsid w:val="00A4650C"/>
    <w:rsid w:val="00A465DB"/>
    <w:rsid w:val="00A4785F"/>
    <w:rsid w:val="00A500BA"/>
    <w:rsid w:val="00A51EC7"/>
    <w:rsid w:val="00A52AEA"/>
    <w:rsid w:val="00A52C55"/>
    <w:rsid w:val="00A5406C"/>
    <w:rsid w:val="00A546AB"/>
    <w:rsid w:val="00A557D0"/>
    <w:rsid w:val="00A576A1"/>
    <w:rsid w:val="00A6062E"/>
    <w:rsid w:val="00A618CA"/>
    <w:rsid w:val="00A626BE"/>
    <w:rsid w:val="00A64836"/>
    <w:rsid w:val="00A648D6"/>
    <w:rsid w:val="00A650EA"/>
    <w:rsid w:val="00A65283"/>
    <w:rsid w:val="00A65B36"/>
    <w:rsid w:val="00A65B77"/>
    <w:rsid w:val="00A668A1"/>
    <w:rsid w:val="00A66A16"/>
    <w:rsid w:val="00A66B07"/>
    <w:rsid w:val="00A67233"/>
    <w:rsid w:val="00A7004B"/>
    <w:rsid w:val="00A70C06"/>
    <w:rsid w:val="00A72296"/>
    <w:rsid w:val="00A728A3"/>
    <w:rsid w:val="00A72A2D"/>
    <w:rsid w:val="00A72B5E"/>
    <w:rsid w:val="00A72CCC"/>
    <w:rsid w:val="00A74A98"/>
    <w:rsid w:val="00A75C12"/>
    <w:rsid w:val="00A76DA1"/>
    <w:rsid w:val="00A77254"/>
    <w:rsid w:val="00A77FF5"/>
    <w:rsid w:val="00A8018D"/>
    <w:rsid w:val="00A8055B"/>
    <w:rsid w:val="00A82811"/>
    <w:rsid w:val="00A82C29"/>
    <w:rsid w:val="00A8479B"/>
    <w:rsid w:val="00A84DF5"/>
    <w:rsid w:val="00A84FBA"/>
    <w:rsid w:val="00A87192"/>
    <w:rsid w:val="00A91B73"/>
    <w:rsid w:val="00A921F9"/>
    <w:rsid w:val="00A926D4"/>
    <w:rsid w:val="00A9277B"/>
    <w:rsid w:val="00A93DFB"/>
    <w:rsid w:val="00A94106"/>
    <w:rsid w:val="00A9410D"/>
    <w:rsid w:val="00A94CD2"/>
    <w:rsid w:val="00A9769E"/>
    <w:rsid w:val="00A97793"/>
    <w:rsid w:val="00A977F1"/>
    <w:rsid w:val="00A97980"/>
    <w:rsid w:val="00AA0B00"/>
    <w:rsid w:val="00AA1588"/>
    <w:rsid w:val="00AA1A71"/>
    <w:rsid w:val="00AA1E67"/>
    <w:rsid w:val="00AA295F"/>
    <w:rsid w:val="00AA36FB"/>
    <w:rsid w:val="00AA4301"/>
    <w:rsid w:val="00AA5254"/>
    <w:rsid w:val="00AA543F"/>
    <w:rsid w:val="00AA698C"/>
    <w:rsid w:val="00AA698E"/>
    <w:rsid w:val="00AA6A2E"/>
    <w:rsid w:val="00AA6F40"/>
    <w:rsid w:val="00AA7255"/>
    <w:rsid w:val="00AA7AF6"/>
    <w:rsid w:val="00AB087B"/>
    <w:rsid w:val="00AB0A65"/>
    <w:rsid w:val="00AB0A9A"/>
    <w:rsid w:val="00AB119B"/>
    <w:rsid w:val="00AB1272"/>
    <w:rsid w:val="00AB152E"/>
    <w:rsid w:val="00AB22F3"/>
    <w:rsid w:val="00AB2B20"/>
    <w:rsid w:val="00AB4523"/>
    <w:rsid w:val="00AB4F3D"/>
    <w:rsid w:val="00AB5DB0"/>
    <w:rsid w:val="00AB6164"/>
    <w:rsid w:val="00AB6CBE"/>
    <w:rsid w:val="00AC0D57"/>
    <w:rsid w:val="00AC132A"/>
    <w:rsid w:val="00AC3351"/>
    <w:rsid w:val="00AC372C"/>
    <w:rsid w:val="00AC3EA2"/>
    <w:rsid w:val="00AC4E8C"/>
    <w:rsid w:val="00AC5338"/>
    <w:rsid w:val="00AC5DDF"/>
    <w:rsid w:val="00AC5DEA"/>
    <w:rsid w:val="00AC66B0"/>
    <w:rsid w:val="00AD2142"/>
    <w:rsid w:val="00AD2BB7"/>
    <w:rsid w:val="00AD306A"/>
    <w:rsid w:val="00AD34A1"/>
    <w:rsid w:val="00AD3528"/>
    <w:rsid w:val="00AD352A"/>
    <w:rsid w:val="00AD3C30"/>
    <w:rsid w:val="00AD409B"/>
    <w:rsid w:val="00AD4B85"/>
    <w:rsid w:val="00AD5541"/>
    <w:rsid w:val="00AD5E7B"/>
    <w:rsid w:val="00AD61D3"/>
    <w:rsid w:val="00AD6A05"/>
    <w:rsid w:val="00AD703C"/>
    <w:rsid w:val="00AD7C9C"/>
    <w:rsid w:val="00AE12F5"/>
    <w:rsid w:val="00AE2C96"/>
    <w:rsid w:val="00AE31D4"/>
    <w:rsid w:val="00AE438B"/>
    <w:rsid w:val="00AE4ABA"/>
    <w:rsid w:val="00AE56E3"/>
    <w:rsid w:val="00AE5D09"/>
    <w:rsid w:val="00AE5ED5"/>
    <w:rsid w:val="00AE60FB"/>
    <w:rsid w:val="00AE6327"/>
    <w:rsid w:val="00AE7DF9"/>
    <w:rsid w:val="00AE7F91"/>
    <w:rsid w:val="00AF273B"/>
    <w:rsid w:val="00AF2E57"/>
    <w:rsid w:val="00AF4C02"/>
    <w:rsid w:val="00AF5656"/>
    <w:rsid w:val="00AF6B46"/>
    <w:rsid w:val="00AF6EF6"/>
    <w:rsid w:val="00B004E8"/>
    <w:rsid w:val="00B02545"/>
    <w:rsid w:val="00B02D15"/>
    <w:rsid w:val="00B0429D"/>
    <w:rsid w:val="00B050F1"/>
    <w:rsid w:val="00B06DC7"/>
    <w:rsid w:val="00B1013D"/>
    <w:rsid w:val="00B1149E"/>
    <w:rsid w:val="00B1194A"/>
    <w:rsid w:val="00B119F9"/>
    <w:rsid w:val="00B11DD7"/>
    <w:rsid w:val="00B12B7E"/>
    <w:rsid w:val="00B12C76"/>
    <w:rsid w:val="00B14073"/>
    <w:rsid w:val="00B14424"/>
    <w:rsid w:val="00B14D59"/>
    <w:rsid w:val="00B14FF4"/>
    <w:rsid w:val="00B1561B"/>
    <w:rsid w:val="00B1566F"/>
    <w:rsid w:val="00B17046"/>
    <w:rsid w:val="00B1724D"/>
    <w:rsid w:val="00B20960"/>
    <w:rsid w:val="00B20A5E"/>
    <w:rsid w:val="00B20B83"/>
    <w:rsid w:val="00B22ABD"/>
    <w:rsid w:val="00B22B38"/>
    <w:rsid w:val="00B232E6"/>
    <w:rsid w:val="00B2458F"/>
    <w:rsid w:val="00B24A05"/>
    <w:rsid w:val="00B26CB9"/>
    <w:rsid w:val="00B2746C"/>
    <w:rsid w:val="00B2763B"/>
    <w:rsid w:val="00B305C9"/>
    <w:rsid w:val="00B318E5"/>
    <w:rsid w:val="00B32E66"/>
    <w:rsid w:val="00B3368F"/>
    <w:rsid w:val="00B35870"/>
    <w:rsid w:val="00B363AE"/>
    <w:rsid w:val="00B36C64"/>
    <w:rsid w:val="00B41C2C"/>
    <w:rsid w:val="00B42B45"/>
    <w:rsid w:val="00B43030"/>
    <w:rsid w:val="00B4314D"/>
    <w:rsid w:val="00B431FE"/>
    <w:rsid w:val="00B43EF0"/>
    <w:rsid w:val="00B4493C"/>
    <w:rsid w:val="00B45B3B"/>
    <w:rsid w:val="00B46DE0"/>
    <w:rsid w:val="00B507E0"/>
    <w:rsid w:val="00B50913"/>
    <w:rsid w:val="00B50F36"/>
    <w:rsid w:val="00B525D9"/>
    <w:rsid w:val="00B540B2"/>
    <w:rsid w:val="00B544AE"/>
    <w:rsid w:val="00B544CC"/>
    <w:rsid w:val="00B548E7"/>
    <w:rsid w:val="00B57174"/>
    <w:rsid w:val="00B5749D"/>
    <w:rsid w:val="00B5781C"/>
    <w:rsid w:val="00B6060A"/>
    <w:rsid w:val="00B60C67"/>
    <w:rsid w:val="00B618CF"/>
    <w:rsid w:val="00B61BBA"/>
    <w:rsid w:val="00B623C5"/>
    <w:rsid w:val="00B626A0"/>
    <w:rsid w:val="00B64552"/>
    <w:rsid w:val="00B64E5F"/>
    <w:rsid w:val="00B65C22"/>
    <w:rsid w:val="00B66235"/>
    <w:rsid w:val="00B667FB"/>
    <w:rsid w:val="00B66F67"/>
    <w:rsid w:val="00B700A3"/>
    <w:rsid w:val="00B7213B"/>
    <w:rsid w:val="00B74093"/>
    <w:rsid w:val="00B744FC"/>
    <w:rsid w:val="00B750BA"/>
    <w:rsid w:val="00B754B1"/>
    <w:rsid w:val="00B7596D"/>
    <w:rsid w:val="00B75C9D"/>
    <w:rsid w:val="00B76D3E"/>
    <w:rsid w:val="00B80AB7"/>
    <w:rsid w:val="00B83B42"/>
    <w:rsid w:val="00B840E1"/>
    <w:rsid w:val="00B8560B"/>
    <w:rsid w:val="00B85D46"/>
    <w:rsid w:val="00B85FC4"/>
    <w:rsid w:val="00B86385"/>
    <w:rsid w:val="00B877F5"/>
    <w:rsid w:val="00B879CC"/>
    <w:rsid w:val="00B9045A"/>
    <w:rsid w:val="00B9490B"/>
    <w:rsid w:val="00B94FAC"/>
    <w:rsid w:val="00B966FC"/>
    <w:rsid w:val="00B96A95"/>
    <w:rsid w:val="00B97E68"/>
    <w:rsid w:val="00BA035D"/>
    <w:rsid w:val="00BA0CB8"/>
    <w:rsid w:val="00BA15C8"/>
    <w:rsid w:val="00BA23F7"/>
    <w:rsid w:val="00BA26B0"/>
    <w:rsid w:val="00BA3099"/>
    <w:rsid w:val="00BA37DE"/>
    <w:rsid w:val="00BA3AC2"/>
    <w:rsid w:val="00BA40C1"/>
    <w:rsid w:val="00BA479F"/>
    <w:rsid w:val="00BA47A8"/>
    <w:rsid w:val="00BA79C1"/>
    <w:rsid w:val="00BA7BCB"/>
    <w:rsid w:val="00BA7E9D"/>
    <w:rsid w:val="00BB14A4"/>
    <w:rsid w:val="00BB2012"/>
    <w:rsid w:val="00BB2554"/>
    <w:rsid w:val="00BB2F26"/>
    <w:rsid w:val="00BB3A62"/>
    <w:rsid w:val="00BB3DB5"/>
    <w:rsid w:val="00BB4FEF"/>
    <w:rsid w:val="00BB5409"/>
    <w:rsid w:val="00BB6408"/>
    <w:rsid w:val="00BB6739"/>
    <w:rsid w:val="00BB701F"/>
    <w:rsid w:val="00BC1273"/>
    <w:rsid w:val="00BC168F"/>
    <w:rsid w:val="00BC2440"/>
    <w:rsid w:val="00BC2FD7"/>
    <w:rsid w:val="00BC3BB3"/>
    <w:rsid w:val="00BC4962"/>
    <w:rsid w:val="00BC4A00"/>
    <w:rsid w:val="00BC52E4"/>
    <w:rsid w:val="00BC64D0"/>
    <w:rsid w:val="00BC651A"/>
    <w:rsid w:val="00BC7D3A"/>
    <w:rsid w:val="00BC7D42"/>
    <w:rsid w:val="00BC7F32"/>
    <w:rsid w:val="00BD073A"/>
    <w:rsid w:val="00BD2BEC"/>
    <w:rsid w:val="00BD5759"/>
    <w:rsid w:val="00BD58CB"/>
    <w:rsid w:val="00BD5D9E"/>
    <w:rsid w:val="00BD66CB"/>
    <w:rsid w:val="00BD6E09"/>
    <w:rsid w:val="00BD7743"/>
    <w:rsid w:val="00BE07CD"/>
    <w:rsid w:val="00BE19F3"/>
    <w:rsid w:val="00BE34BB"/>
    <w:rsid w:val="00BE3736"/>
    <w:rsid w:val="00BE5B9E"/>
    <w:rsid w:val="00BE65E7"/>
    <w:rsid w:val="00BE671F"/>
    <w:rsid w:val="00BF0536"/>
    <w:rsid w:val="00BF089D"/>
    <w:rsid w:val="00BF0E3E"/>
    <w:rsid w:val="00BF0EC8"/>
    <w:rsid w:val="00BF144C"/>
    <w:rsid w:val="00BF2191"/>
    <w:rsid w:val="00BF257A"/>
    <w:rsid w:val="00BF2678"/>
    <w:rsid w:val="00BF28AC"/>
    <w:rsid w:val="00BF72A2"/>
    <w:rsid w:val="00BF734E"/>
    <w:rsid w:val="00C00A1D"/>
    <w:rsid w:val="00C014C3"/>
    <w:rsid w:val="00C01C01"/>
    <w:rsid w:val="00C0358D"/>
    <w:rsid w:val="00C04236"/>
    <w:rsid w:val="00C0534E"/>
    <w:rsid w:val="00C05D8B"/>
    <w:rsid w:val="00C05FFC"/>
    <w:rsid w:val="00C106E5"/>
    <w:rsid w:val="00C10D97"/>
    <w:rsid w:val="00C11D53"/>
    <w:rsid w:val="00C1281C"/>
    <w:rsid w:val="00C135D0"/>
    <w:rsid w:val="00C1394C"/>
    <w:rsid w:val="00C13A49"/>
    <w:rsid w:val="00C141B2"/>
    <w:rsid w:val="00C1445B"/>
    <w:rsid w:val="00C14586"/>
    <w:rsid w:val="00C15212"/>
    <w:rsid w:val="00C15D49"/>
    <w:rsid w:val="00C16AD7"/>
    <w:rsid w:val="00C20344"/>
    <w:rsid w:val="00C219F3"/>
    <w:rsid w:val="00C21CEE"/>
    <w:rsid w:val="00C22109"/>
    <w:rsid w:val="00C22169"/>
    <w:rsid w:val="00C22F3E"/>
    <w:rsid w:val="00C25D92"/>
    <w:rsid w:val="00C25E12"/>
    <w:rsid w:val="00C261D2"/>
    <w:rsid w:val="00C26FED"/>
    <w:rsid w:val="00C273A3"/>
    <w:rsid w:val="00C30A3D"/>
    <w:rsid w:val="00C31127"/>
    <w:rsid w:val="00C31486"/>
    <w:rsid w:val="00C316D2"/>
    <w:rsid w:val="00C32255"/>
    <w:rsid w:val="00C3262B"/>
    <w:rsid w:val="00C33C44"/>
    <w:rsid w:val="00C33EFD"/>
    <w:rsid w:val="00C35922"/>
    <w:rsid w:val="00C35C21"/>
    <w:rsid w:val="00C3650A"/>
    <w:rsid w:val="00C3666F"/>
    <w:rsid w:val="00C3683B"/>
    <w:rsid w:val="00C368AF"/>
    <w:rsid w:val="00C369F7"/>
    <w:rsid w:val="00C3783A"/>
    <w:rsid w:val="00C401B4"/>
    <w:rsid w:val="00C40739"/>
    <w:rsid w:val="00C417C1"/>
    <w:rsid w:val="00C425EA"/>
    <w:rsid w:val="00C439CA"/>
    <w:rsid w:val="00C44B27"/>
    <w:rsid w:val="00C451D5"/>
    <w:rsid w:val="00C4520D"/>
    <w:rsid w:val="00C465CC"/>
    <w:rsid w:val="00C468F5"/>
    <w:rsid w:val="00C46BA8"/>
    <w:rsid w:val="00C501E1"/>
    <w:rsid w:val="00C5071D"/>
    <w:rsid w:val="00C50BC6"/>
    <w:rsid w:val="00C517A9"/>
    <w:rsid w:val="00C520D4"/>
    <w:rsid w:val="00C52B52"/>
    <w:rsid w:val="00C533A2"/>
    <w:rsid w:val="00C55573"/>
    <w:rsid w:val="00C557EC"/>
    <w:rsid w:val="00C55835"/>
    <w:rsid w:val="00C57694"/>
    <w:rsid w:val="00C57D6F"/>
    <w:rsid w:val="00C57DD4"/>
    <w:rsid w:val="00C57EA4"/>
    <w:rsid w:val="00C60141"/>
    <w:rsid w:val="00C60B37"/>
    <w:rsid w:val="00C60DB5"/>
    <w:rsid w:val="00C618F8"/>
    <w:rsid w:val="00C619F0"/>
    <w:rsid w:val="00C62016"/>
    <w:rsid w:val="00C63E10"/>
    <w:rsid w:val="00C6503F"/>
    <w:rsid w:val="00C6566B"/>
    <w:rsid w:val="00C66A17"/>
    <w:rsid w:val="00C67E77"/>
    <w:rsid w:val="00C708F2"/>
    <w:rsid w:val="00C710EE"/>
    <w:rsid w:val="00C729A4"/>
    <w:rsid w:val="00C74625"/>
    <w:rsid w:val="00C76E43"/>
    <w:rsid w:val="00C77A21"/>
    <w:rsid w:val="00C810D9"/>
    <w:rsid w:val="00C82147"/>
    <w:rsid w:val="00C839AC"/>
    <w:rsid w:val="00C85FC5"/>
    <w:rsid w:val="00C861C0"/>
    <w:rsid w:val="00C8687A"/>
    <w:rsid w:val="00C86923"/>
    <w:rsid w:val="00C875A1"/>
    <w:rsid w:val="00C87DD5"/>
    <w:rsid w:val="00C87E80"/>
    <w:rsid w:val="00C90710"/>
    <w:rsid w:val="00C913A0"/>
    <w:rsid w:val="00C92B42"/>
    <w:rsid w:val="00C933D5"/>
    <w:rsid w:val="00C95140"/>
    <w:rsid w:val="00C955A6"/>
    <w:rsid w:val="00C95A2E"/>
    <w:rsid w:val="00C95D8C"/>
    <w:rsid w:val="00C97478"/>
    <w:rsid w:val="00C97535"/>
    <w:rsid w:val="00C97577"/>
    <w:rsid w:val="00C97BD2"/>
    <w:rsid w:val="00CA024C"/>
    <w:rsid w:val="00CA0B7F"/>
    <w:rsid w:val="00CA185B"/>
    <w:rsid w:val="00CA1C68"/>
    <w:rsid w:val="00CA1DBD"/>
    <w:rsid w:val="00CA338F"/>
    <w:rsid w:val="00CA4175"/>
    <w:rsid w:val="00CA44CC"/>
    <w:rsid w:val="00CA4981"/>
    <w:rsid w:val="00CA5993"/>
    <w:rsid w:val="00CA670D"/>
    <w:rsid w:val="00CA6896"/>
    <w:rsid w:val="00CA7208"/>
    <w:rsid w:val="00CA7970"/>
    <w:rsid w:val="00CA7DE0"/>
    <w:rsid w:val="00CA7FE9"/>
    <w:rsid w:val="00CB0CB3"/>
    <w:rsid w:val="00CB1161"/>
    <w:rsid w:val="00CB14AA"/>
    <w:rsid w:val="00CB246F"/>
    <w:rsid w:val="00CB332A"/>
    <w:rsid w:val="00CB3650"/>
    <w:rsid w:val="00CB3903"/>
    <w:rsid w:val="00CB3D43"/>
    <w:rsid w:val="00CB3F29"/>
    <w:rsid w:val="00CB4029"/>
    <w:rsid w:val="00CB418F"/>
    <w:rsid w:val="00CB5153"/>
    <w:rsid w:val="00CB53F5"/>
    <w:rsid w:val="00CB7ACD"/>
    <w:rsid w:val="00CC0E39"/>
    <w:rsid w:val="00CC1390"/>
    <w:rsid w:val="00CC3CE7"/>
    <w:rsid w:val="00CC55EB"/>
    <w:rsid w:val="00CC64CE"/>
    <w:rsid w:val="00CC6DBE"/>
    <w:rsid w:val="00CC7026"/>
    <w:rsid w:val="00CC76E2"/>
    <w:rsid w:val="00CC7EF8"/>
    <w:rsid w:val="00CD0CE8"/>
    <w:rsid w:val="00CD1737"/>
    <w:rsid w:val="00CD241D"/>
    <w:rsid w:val="00CD2918"/>
    <w:rsid w:val="00CD34C3"/>
    <w:rsid w:val="00CD36D9"/>
    <w:rsid w:val="00CD4867"/>
    <w:rsid w:val="00CD4DEC"/>
    <w:rsid w:val="00CD5268"/>
    <w:rsid w:val="00CD530B"/>
    <w:rsid w:val="00CD5B2D"/>
    <w:rsid w:val="00CD62B8"/>
    <w:rsid w:val="00CE04B3"/>
    <w:rsid w:val="00CE062E"/>
    <w:rsid w:val="00CE20CE"/>
    <w:rsid w:val="00CE26B2"/>
    <w:rsid w:val="00CE3104"/>
    <w:rsid w:val="00CE3A24"/>
    <w:rsid w:val="00CE5076"/>
    <w:rsid w:val="00CE5D4C"/>
    <w:rsid w:val="00CE6C2D"/>
    <w:rsid w:val="00CE7DD4"/>
    <w:rsid w:val="00CF1518"/>
    <w:rsid w:val="00CF19D7"/>
    <w:rsid w:val="00CF1B3F"/>
    <w:rsid w:val="00CF2969"/>
    <w:rsid w:val="00CF50BB"/>
    <w:rsid w:val="00CF51B5"/>
    <w:rsid w:val="00CF546B"/>
    <w:rsid w:val="00CF5A8A"/>
    <w:rsid w:val="00CF5DF6"/>
    <w:rsid w:val="00CF75D5"/>
    <w:rsid w:val="00CF7B8D"/>
    <w:rsid w:val="00CF7C5F"/>
    <w:rsid w:val="00CF7D29"/>
    <w:rsid w:val="00D015E8"/>
    <w:rsid w:val="00D02ED1"/>
    <w:rsid w:val="00D03421"/>
    <w:rsid w:val="00D039D9"/>
    <w:rsid w:val="00D03E19"/>
    <w:rsid w:val="00D054A8"/>
    <w:rsid w:val="00D06095"/>
    <w:rsid w:val="00D06A42"/>
    <w:rsid w:val="00D06B02"/>
    <w:rsid w:val="00D0738D"/>
    <w:rsid w:val="00D10749"/>
    <w:rsid w:val="00D10A35"/>
    <w:rsid w:val="00D10B25"/>
    <w:rsid w:val="00D11CAB"/>
    <w:rsid w:val="00D12036"/>
    <w:rsid w:val="00D126EC"/>
    <w:rsid w:val="00D1299E"/>
    <w:rsid w:val="00D13AD0"/>
    <w:rsid w:val="00D13CFA"/>
    <w:rsid w:val="00D14956"/>
    <w:rsid w:val="00D1576D"/>
    <w:rsid w:val="00D170C0"/>
    <w:rsid w:val="00D17B3D"/>
    <w:rsid w:val="00D20325"/>
    <w:rsid w:val="00D20AD5"/>
    <w:rsid w:val="00D21DF8"/>
    <w:rsid w:val="00D21EBD"/>
    <w:rsid w:val="00D22EDD"/>
    <w:rsid w:val="00D2341D"/>
    <w:rsid w:val="00D23802"/>
    <w:rsid w:val="00D2395C"/>
    <w:rsid w:val="00D2461A"/>
    <w:rsid w:val="00D24BD7"/>
    <w:rsid w:val="00D259B6"/>
    <w:rsid w:val="00D25A50"/>
    <w:rsid w:val="00D26933"/>
    <w:rsid w:val="00D273D5"/>
    <w:rsid w:val="00D27588"/>
    <w:rsid w:val="00D27E20"/>
    <w:rsid w:val="00D27E95"/>
    <w:rsid w:val="00D301DD"/>
    <w:rsid w:val="00D305D4"/>
    <w:rsid w:val="00D30C21"/>
    <w:rsid w:val="00D31448"/>
    <w:rsid w:val="00D322BE"/>
    <w:rsid w:val="00D3267F"/>
    <w:rsid w:val="00D335AA"/>
    <w:rsid w:val="00D338E3"/>
    <w:rsid w:val="00D33B06"/>
    <w:rsid w:val="00D33CF3"/>
    <w:rsid w:val="00D34287"/>
    <w:rsid w:val="00D352CC"/>
    <w:rsid w:val="00D36465"/>
    <w:rsid w:val="00D369C8"/>
    <w:rsid w:val="00D36F60"/>
    <w:rsid w:val="00D36FFF"/>
    <w:rsid w:val="00D37859"/>
    <w:rsid w:val="00D4046D"/>
    <w:rsid w:val="00D41179"/>
    <w:rsid w:val="00D416EB"/>
    <w:rsid w:val="00D41758"/>
    <w:rsid w:val="00D42F25"/>
    <w:rsid w:val="00D431EC"/>
    <w:rsid w:val="00D4362B"/>
    <w:rsid w:val="00D44E00"/>
    <w:rsid w:val="00D454E9"/>
    <w:rsid w:val="00D45BA3"/>
    <w:rsid w:val="00D461B3"/>
    <w:rsid w:val="00D46A18"/>
    <w:rsid w:val="00D4789C"/>
    <w:rsid w:val="00D478BE"/>
    <w:rsid w:val="00D479C4"/>
    <w:rsid w:val="00D47A58"/>
    <w:rsid w:val="00D50B66"/>
    <w:rsid w:val="00D52A8E"/>
    <w:rsid w:val="00D54180"/>
    <w:rsid w:val="00D54932"/>
    <w:rsid w:val="00D54968"/>
    <w:rsid w:val="00D549B6"/>
    <w:rsid w:val="00D571EC"/>
    <w:rsid w:val="00D5738E"/>
    <w:rsid w:val="00D606D0"/>
    <w:rsid w:val="00D60D16"/>
    <w:rsid w:val="00D60F35"/>
    <w:rsid w:val="00D62603"/>
    <w:rsid w:val="00D627E5"/>
    <w:rsid w:val="00D62D57"/>
    <w:rsid w:val="00D634AB"/>
    <w:rsid w:val="00D6451E"/>
    <w:rsid w:val="00D65993"/>
    <w:rsid w:val="00D66FF3"/>
    <w:rsid w:val="00D67162"/>
    <w:rsid w:val="00D674F1"/>
    <w:rsid w:val="00D67E9E"/>
    <w:rsid w:val="00D70E3A"/>
    <w:rsid w:val="00D74324"/>
    <w:rsid w:val="00D74ECD"/>
    <w:rsid w:val="00D753DE"/>
    <w:rsid w:val="00D754DA"/>
    <w:rsid w:val="00D7585E"/>
    <w:rsid w:val="00D75CBC"/>
    <w:rsid w:val="00D761C7"/>
    <w:rsid w:val="00D76F47"/>
    <w:rsid w:val="00D80747"/>
    <w:rsid w:val="00D8077C"/>
    <w:rsid w:val="00D807B5"/>
    <w:rsid w:val="00D81722"/>
    <w:rsid w:val="00D835D8"/>
    <w:rsid w:val="00D8390C"/>
    <w:rsid w:val="00D84865"/>
    <w:rsid w:val="00D8522B"/>
    <w:rsid w:val="00D85274"/>
    <w:rsid w:val="00D85614"/>
    <w:rsid w:val="00D9018D"/>
    <w:rsid w:val="00D91A82"/>
    <w:rsid w:val="00D92D64"/>
    <w:rsid w:val="00D9438C"/>
    <w:rsid w:val="00D9444C"/>
    <w:rsid w:val="00D94F30"/>
    <w:rsid w:val="00D95702"/>
    <w:rsid w:val="00D968F5"/>
    <w:rsid w:val="00DA032B"/>
    <w:rsid w:val="00DA0EEE"/>
    <w:rsid w:val="00DA145B"/>
    <w:rsid w:val="00DA14BE"/>
    <w:rsid w:val="00DA2090"/>
    <w:rsid w:val="00DA22BD"/>
    <w:rsid w:val="00DA2B6A"/>
    <w:rsid w:val="00DA7F27"/>
    <w:rsid w:val="00DB0172"/>
    <w:rsid w:val="00DB04BA"/>
    <w:rsid w:val="00DB10B8"/>
    <w:rsid w:val="00DB1137"/>
    <w:rsid w:val="00DB1B22"/>
    <w:rsid w:val="00DB2DD9"/>
    <w:rsid w:val="00DB3F77"/>
    <w:rsid w:val="00DB5367"/>
    <w:rsid w:val="00DB5CF8"/>
    <w:rsid w:val="00DC05FC"/>
    <w:rsid w:val="00DC0CE9"/>
    <w:rsid w:val="00DC0DCC"/>
    <w:rsid w:val="00DC1F46"/>
    <w:rsid w:val="00DC2332"/>
    <w:rsid w:val="00DC2971"/>
    <w:rsid w:val="00DC2C8A"/>
    <w:rsid w:val="00DC475D"/>
    <w:rsid w:val="00DC4E17"/>
    <w:rsid w:val="00DC53AF"/>
    <w:rsid w:val="00DC5C91"/>
    <w:rsid w:val="00DC7337"/>
    <w:rsid w:val="00DC73F6"/>
    <w:rsid w:val="00DC7EC2"/>
    <w:rsid w:val="00DC7F10"/>
    <w:rsid w:val="00DD1927"/>
    <w:rsid w:val="00DD1AED"/>
    <w:rsid w:val="00DD2A96"/>
    <w:rsid w:val="00DD345E"/>
    <w:rsid w:val="00DD5CC4"/>
    <w:rsid w:val="00DD5FCF"/>
    <w:rsid w:val="00DD6251"/>
    <w:rsid w:val="00DD6280"/>
    <w:rsid w:val="00DD7331"/>
    <w:rsid w:val="00DD7C3E"/>
    <w:rsid w:val="00DE04C7"/>
    <w:rsid w:val="00DE190D"/>
    <w:rsid w:val="00DE19A7"/>
    <w:rsid w:val="00DE336F"/>
    <w:rsid w:val="00DE3A10"/>
    <w:rsid w:val="00DE47E9"/>
    <w:rsid w:val="00DE4FF1"/>
    <w:rsid w:val="00DE5309"/>
    <w:rsid w:val="00DE56DF"/>
    <w:rsid w:val="00DE6794"/>
    <w:rsid w:val="00DE6DE5"/>
    <w:rsid w:val="00DF0FBA"/>
    <w:rsid w:val="00DF1946"/>
    <w:rsid w:val="00DF1FA7"/>
    <w:rsid w:val="00DF3DA7"/>
    <w:rsid w:val="00DF4A3D"/>
    <w:rsid w:val="00DF4F01"/>
    <w:rsid w:val="00DF7ED9"/>
    <w:rsid w:val="00DF7FA3"/>
    <w:rsid w:val="00E00A1D"/>
    <w:rsid w:val="00E00CED"/>
    <w:rsid w:val="00E02250"/>
    <w:rsid w:val="00E02739"/>
    <w:rsid w:val="00E03079"/>
    <w:rsid w:val="00E03EBF"/>
    <w:rsid w:val="00E046A7"/>
    <w:rsid w:val="00E053FE"/>
    <w:rsid w:val="00E05431"/>
    <w:rsid w:val="00E06275"/>
    <w:rsid w:val="00E07DE9"/>
    <w:rsid w:val="00E102B7"/>
    <w:rsid w:val="00E103EB"/>
    <w:rsid w:val="00E11287"/>
    <w:rsid w:val="00E115C7"/>
    <w:rsid w:val="00E11A39"/>
    <w:rsid w:val="00E121E2"/>
    <w:rsid w:val="00E13540"/>
    <w:rsid w:val="00E14E2A"/>
    <w:rsid w:val="00E156F6"/>
    <w:rsid w:val="00E16724"/>
    <w:rsid w:val="00E16818"/>
    <w:rsid w:val="00E16C26"/>
    <w:rsid w:val="00E20550"/>
    <w:rsid w:val="00E207A0"/>
    <w:rsid w:val="00E20A9D"/>
    <w:rsid w:val="00E2126F"/>
    <w:rsid w:val="00E22674"/>
    <w:rsid w:val="00E23748"/>
    <w:rsid w:val="00E24B0F"/>
    <w:rsid w:val="00E25789"/>
    <w:rsid w:val="00E260F1"/>
    <w:rsid w:val="00E26A85"/>
    <w:rsid w:val="00E26D87"/>
    <w:rsid w:val="00E27F35"/>
    <w:rsid w:val="00E3048C"/>
    <w:rsid w:val="00E307B9"/>
    <w:rsid w:val="00E3119E"/>
    <w:rsid w:val="00E311DC"/>
    <w:rsid w:val="00E316F8"/>
    <w:rsid w:val="00E32081"/>
    <w:rsid w:val="00E341CB"/>
    <w:rsid w:val="00E3443C"/>
    <w:rsid w:val="00E3460B"/>
    <w:rsid w:val="00E347A3"/>
    <w:rsid w:val="00E34A6E"/>
    <w:rsid w:val="00E34AB7"/>
    <w:rsid w:val="00E358BA"/>
    <w:rsid w:val="00E36BD0"/>
    <w:rsid w:val="00E4021E"/>
    <w:rsid w:val="00E4110C"/>
    <w:rsid w:val="00E420BA"/>
    <w:rsid w:val="00E43E96"/>
    <w:rsid w:val="00E45016"/>
    <w:rsid w:val="00E45333"/>
    <w:rsid w:val="00E45F70"/>
    <w:rsid w:val="00E46BEA"/>
    <w:rsid w:val="00E505D6"/>
    <w:rsid w:val="00E50DEE"/>
    <w:rsid w:val="00E5196E"/>
    <w:rsid w:val="00E5221D"/>
    <w:rsid w:val="00E528AF"/>
    <w:rsid w:val="00E53336"/>
    <w:rsid w:val="00E53875"/>
    <w:rsid w:val="00E53F07"/>
    <w:rsid w:val="00E54A94"/>
    <w:rsid w:val="00E54FCC"/>
    <w:rsid w:val="00E557D3"/>
    <w:rsid w:val="00E55AD5"/>
    <w:rsid w:val="00E55C7E"/>
    <w:rsid w:val="00E56D3F"/>
    <w:rsid w:val="00E56EC1"/>
    <w:rsid w:val="00E571DC"/>
    <w:rsid w:val="00E577D6"/>
    <w:rsid w:val="00E57BE3"/>
    <w:rsid w:val="00E57E5D"/>
    <w:rsid w:val="00E57EAC"/>
    <w:rsid w:val="00E60AB8"/>
    <w:rsid w:val="00E60DD4"/>
    <w:rsid w:val="00E6129E"/>
    <w:rsid w:val="00E62427"/>
    <w:rsid w:val="00E65657"/>
    <w:rsid w:val="00E65A40"/>
    <w:rsid w:val="00E70006"/>
    <w:rsid w:val="00E7014F"/>
    <w:rsid w:val="00E724D1"/>
    <w:rsid w:val="00E72570"/>
    <w:rsid w:val="00E72C4A"/>
    <w:rsid w:val="00E740D7"/>
    <w:rsid w:val="00E74635"/>
    <w:rsid w:val="00E75C84"/>
    <w:rsid w:val="00E75FF2"/>
    <w:rsid w:val="00E76F81"/>
    <w:rsid w:val="00E7795B"/>
    <w:rsid w:val="00E77F33"/>
    <w:rsid w:val="00E83692"/>
    <w:rsid w:val="00E83C14"/>
    <w:rsid w:val="00E851BC"/>
    <w:rsid w:val="00E862B4"/>
    <w:rsid w:val="00E8667C"/>
    <w:rsid w:val="00E869A5"/>
    <w:rsid w:val="00E87039"/>
    <w:rsid w:val="00E8755B"/>
    <w:rsid w:val="00E92154"/>
    <w:rsid w:val="00E922E0"/>
    <w:rsid w:val="00E9286E"/>
    <w:rsid w:val="00E94173"/>
    <w:rsid w:val="00E94367"/>
    <w:rsid w:val="00E955DC"/>
    <w:rsid w:val="00E95C6C"/>
    <w:rsid w:val="00E95D6D"/>
    <w:rsid w:val="00E96AD9"/>
    <w:rsid w:val="00E97575"/>
    <w:rsid w:val="00E97893"/>
    <w:rsid w:val="00EA2259"/>
    <w:rsid w:val="00EA2B5A"/>
    <w:rsid w:val="00EA3E1C"/>
    <w:rsid w:val="00EA45D1"/>
    <w:rsid w:val="00EA4768"/>
    <w:rsid w:val="00EA48F4"/>
    <w:rsid w:val="00EA4A2B"/>
    <w:rsid w:val="00EA4BE0"/>
    <w:rsid w:val="00EA63C4"/>
    <w:rsid w:val="00EA6FEF"/>
    <w:rsid w:val="00EA7526"/>
    <w:rsid w:val="00EA7FC9"/>
    <w:rsid w:val="00EB0251"/>
    <w:rsid w:val="00EB1062"/>
    <w:rsid w:val="00EB198F"/>
    <w:rsid w:val="00EB1F73"/>
    <w:rsid w:val="00EB244C"/>
    <w:rsid w:val="00EB3433"/>
    <w:rsid w:val="00EB349F"/>
    <w:rsid w:val="00EB394E"/>
    <w:rsid w:val="00EB47DC"/>
    <w:rsid w:val="00EB4923"/>
    <w:rsid w:val="00EB64BF"/>
    <w:rsid w:val="00EB71CC"/>
    <w:rsid w:val="00EB7F88"/>
    <w:rsid w:val="00EC38AE"/>
    <w:rsid w:val="00EC3A49"/>
    <w:rsid w:val="00EC4359"/>
    <w:rsid w:val="00EC512A"/>
    <w:rsid w:val="00EC601C"/>
    <w:rsid w:val="00EC6971"/>
    <w:rsid w:val="00EC6D78"/>
    <w:rsid w:val="00EC776B"/>
    <w:rsid w:val="00ED0FBC"/>
    <w:rsid w:val="00ED1E47"/>
    <w:rsid w:val="00ED38C9"/>
    <w:rsid w:val="00ED3F68"/>
    <w:rsid w:val="00ED45A5"/>
    <w:rsid w:val="00ED5163"/>
    <w:rsid w:val="00ED55F1"/>
    <w:rsid w:val="00ED5D40"/>
    <w:rsid w:val="00ED721A"/>
    <w:rsid w:val="00ED7A3A"/>
    <w:rsid w:val="00EE0264"/>
    <w:rsid w:val="00EE093E"/>
    <w:rsid w:val="00EE1E37"/>
    <w:rsid w:val="00EE54A1"/>
    <w:rsid w:val="00EE5BAB"/>
    <w:rsid w:val="00EE6C2F"/>
    <w:rsid w:val="00EE6DFD"/>
    <w:rsid w:val="00EE7031"/>
    <w:rsid w:val="00EF027D"/>
    <w:rsid w:val="00EF0B9F"/>
    <w:rsid w:val="00EF0F53"/>
    <w:rsid w:val="00EF1D26"/>
    <w:rsid w:val="00EF3D7B"/>
    <w:rsid w:val="00EF4000"/>
    <w:rsid w:val="00EF5085"/>
    <w:rsid w:val="00EF59DA"/>
    <w:rsid w:val="00EF6477"/>
    <w:rsid w:val="00EF7B3E"/>
    <w:rsid w:val="00F01BA9"/>
    <w:rsid w:val="00F02ED2"/>
    <w:rsid w:val="00F05692"/>
    <w:rsid w:val="00F06438"/>
    <w:rsid w:val="00F07045"/>
    <w:rsid w:val="00F0724E"/>
    <w:rsid w:val="00F077D9"/>
    <w:rsid w:val="00F07C96"/>
    <w:rsid w:val="00F10866"/>
    <w:rsid w:val="00F11E29"/>
    <w:rsid w:val="00F1296B"/>
    <w:rsid w:val="00F13BBC"/>
    <w:rsid w:val="00F13C8F"/>
    <w:rsid w:val="00F16B82"/>
    <w:rsid w:val="00F174DE"/>
    <w:rsid w:val="00F175AB"/>
    <w:rsid w:val="00F217C2"/>
    <w:rsid w:val="00F21FDB"/>
    <w:rsid w:val="00F2470E"/>
    <w:rsid w:val="00F2517A"/>
    <w:rsid w:val="00F25315"/>
    <w:rsid w:val="00F25464"/>
    <w:rsid w:val="00F26EE2"/>
    <w:rsid w:val="00F30E22"/>
    <w:rsid w:val="00F318DC"/>
    <w:rsid w:val="00F31B8D"/>
    <w:rsid w:val="00F325FC"/>
    <w:rsid w:val="00F32E47"/>
    <w:rsid w:val="00F345A9"/>
    <w:rsid w:val="00F3481C"/>
    <w:rsid w:val="00F364E6"/>
    <w:rsid w:val="00F36530"/>
    <w:rsid w:val="00F36AD9"/>
    <w:rsid w:val="00F402BA"/>
    <w:rsid w:val="00F4157C"/>
    <w:rsid w:val="00F42BF7"/>
    <w:rsid w:val="00F42DBB"/>
    <w:rsid w:val="00F431A9"/>
    <w:rsid w:val="00F43267"/>
    <w:rsid w:val="00F4422E"/>
    <w:rsid w:val="00F444D8"/>
    <w:rsid w:val="00F4671F"/>
    <w:rsid w:val="00F46E04"/>
    <w:rsid w:val="00F47889"/>
    <w:rsid w:val="00F50354"/>
    <w:rsid w:val="00F520BE"/>
    <w:rsid w:val="00F5255D"/>
    <w:rsid w:val="00F52E39"/>
    <w:rsid w:val="00F55145"/>
    <w:rsid w:val="00F5536D"/>
    <w:rsid w:val="00F554F4"/>
    <w:rsid w:val="00F55964"/>
    <w:rsid w:val="00F562D4"/>
    <w:rsid w:val="00F56480"/>
    <w:rsid w:val="00F56BA6"/>
    <w:rsid w:val="00F56DF7"/>
    <w:rsid w:val="00F607D7"/>
    <w:rsid w:val="00F60FB0"/>
    <w:rsid w:val="00F61253"/>
    <w:rsid w:val="00F61630"/>
    <w:rsid w:val="00F61C7F"/>
    <w:rsid w:val="00F6270D"/>
    <w:rsid w:val="00F63713"/>
    <w:rsid w:val="00F654C8"/>
    <w:rsid w:val="00F65B9F"/>
    <w:rsid w:val="00F662EF"/>
    <w:rsid w:val="00F66852"/>
    <w:rsid w:val="00F66A5A"/>
    <w:rsid w:val="00F67D4E"/>
    <w:rsid w:val="00F70020"/>
    <w:rsid w:val="00F70064"/>
    <w:rsid w:val="00F72837"/>
    <w:rsid w:val="00F72C46"/>
    <w:rsid w:val="00F74C2F"/>
    <w:rsid w:val="00F76D5A"/>
    <w:rsid w:val="00F76FD1"/>
    <w:rsid w:val="00F7708C"/>
    <w:rsid w:val="00F807AE"/>
    <w:rsid w:val="00F80865"/>
    <w:rsid w:val="00F81AB9"/>
    <w:rsid w:val="00F81E5E"/>
    <w:rsid w:val="00F821E3"/>
    <w:rsid w:val="00F82465"/>
    <w:rsid w:val="00F82E3C"/>
    <w:rsid w:val="00F83C99"/>
    <w:rsid w:val="00F844D3"/>
    <w:rsid w:val="00F8475B"/>
    <w:rsid w:val="00F8482A"/>
    <w:rsid w:val="00F84EE0"/>
    <w:rsid w:val="00F856E9"/>
    <w:rsid w:val="00F8604E"/>
    <w:rsid w:val="00F90036"/>
    <w:rsid w:val="00F907FC"/>
    <w:rsid w:val="00F921FB"/>
    <w:rsid w:val="00F92AE1"/>
    <w:rsid w:val="00F9397D"/>
    <w:rsid w:val="00F94403"/>
    <w:rsid w:val="00F9528F"/>
    <w:rsid w:val="00F953C8"/>
    <w:rsid w:val="00FA06E2"/>
    <w:rsid w:val="00FA1679"/>
    <w:rsid w:val="00FA24FC"/>
    <w:rsid w:val="00FA28EB"/>
    <w:rsid w:val="00FA2992"/>
    <w:rsid w:val="00FA6ABB"/>
    <w:rsid w:val="00FA74ED"/>
    <w:rsid w:val="00FA7F70"/>
    <w:rsid w:val="00FB18DF"/>
    <w:rsid w:val="00FB1A9D"/>
    <w:rsid w:val="00FB1CF9"/>
    <w:rsid w:val="00FB2060"/>
    <w:rsid w:val="00FB236D"/>
    <w:rsid w:val="00FB25DA"/>
    <w:rsid w:val="00FB58DD"/>
    <w:rsid w:val="00FC1A76"/>
    <w:rsid w:val="00FC1BBE"/>
    <w:rsid w:val="00FC30C3"/>
    <w:rsid w:val="00FC3483"/>
    <w:rsid w:val="00FC3C03"/>
    <w:rsid w:val="00FC4C1E"/>
    <w:rsid w:val="00FC57DA"/>
    <w:rsid w:val="00FC60CC"/>
    <w:rsid w:val="00FC6879"/>
    <w:rsid w:val="00FC6B53"/>
    <w:rsid w:val="00FC6F30"/>
    <w:rsid w:val="00FC7042"/>
    <w:rsid w:val="00FD1922"/>
    <w:rsid w:val="00FD1F53"/>
    <w:rsid w:val="00FD3C98"/>
    <w:rsid w:val="00FD51F2"/>
    <w:rsid w:val="00FD6A55"/>
    <w:rsid w:val="00FE030B"/>
    <w:rsid w:val="00FE03A3"/>
    <w:rsid w:val="00FE1BEA"/>
    <w:rsid w:val="00FE20A1"/>
    <w:rsid w:val="00FE2477"/>
    <w:rsid w:val="00FE2671"/>
    <w:rsid w:val="00FE29B8"/>
    <w:rsid w:val="00FE4416"/>
    <w:rsid w:val="00FE4EFA"/>
    <w:rsid w:val="00FE5ACC"/>
    <w:rsid w:val="00FE6F0F"/>
    <w:rsid w:val="00FE7238"/>
    <w:rsid w:val="00FE78F3"/>
    <w:rsid w:val="00FE7FB2"/>
    <w:rsid w:val="00FF0061"/>
    <w:rsid w:val="00FF07E3"/>
    <w:rsid w:val="00FF1820"/>
    <w:rsid w:val="00FF293E"/>
    <w:rsid w:val="00FF2E70"/>
    <w:rsid w:val="00FF32DF"/>
    <w:rsid w:val="00FF33AB"/>
    <w:rsid w:val="00FF427B"/>
    <w:rsid w:val="00FF54E9"/>
    <w:rsid w:val="00FF58A0"/>
    <w:rsid w:val="00FF5CC9"/>
    <w:rsid w:val="00FF6124"/>
    <w:rsid w:val="00FF6CA0"/>
    <w:rsid w:val="00FF6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CF0B800"/>
  <w15:chartTrackingRefBased/>
  <w15:docId w15:val="{20AD0E28-22D9-4EFA-858F-716AB83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2C12"/>
    <w:pPr>
      <w:widowControl w:val="0"/>
      <w:autoSpaceDE w:val="0"/>
      <w:autoSpaceDN w:val="0"/>
      <w:adjustRightInd w:val="0"/>
      <w:spacing w:after="0" w:line="240" w:lineRule="auto"/>
    </w:pPr>
    <w:rPr>
      <w:rFonts w:ascii="Arial" w:eastAsiaTheme="minorEastAsia" w:hAnsi="Arial" w:cs="Arial"/>
      <w:sz w:val="20"/>
      <w:szCs w:val="20"/>
      <w:lang w:eastAsia="cs-CZ"/>
    </w:rPr>
  </w:style>
  <w:style w:type="paragraph" w:styleId="Nadpis2">
    <w:name w:val="heading 2"/>
    <w:basedOn w:val="Normln"/>
    <w:next w:val="Normln"/>
    <w:link w:val="Nadpis2Char"/>
    <w:uiPriority w:val="9"/>
    <w:semiHidden/>
    <w:unhideWhenUsed/>
    <w:qFormat/>
    <w:rsid w:val="00FB18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8">
    <w:name w:val="heading 8"/>
    <w:basedOn w:val="Normln"/>
    <w:next w:val="Normln"/>
    <w:link w:val="Nadpis8Char"/>
    <w:uiPriority w:val="9"/>
    <w:qFormat/>
    <w:rsid w:val="00246D13"/>
    <w:pPr>
      <w:keepNext/>
      <w:widowControl/>
      <w:autoSpaceDE/>
      <w:autoSpaceDN/>
      <w:adjustRightInd/>
      <w:jc w:val="center"/>
      <w:outlineLvl w:val="7"/>
    </w:pPr>
    <w:rPr>
      <w:rFonts w:ascii="Calibri" w:hAnsi="Calibri" w:cs="Times New Roman"/>
      <w:b/>
      <w:bCs/>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rsid w:val="00246D13"/>
    <w:rPr>
      <w:rFonts w:ascii="Calibri" w:eastAsiaTheme="minorEastAsia" w:hAnsi="Calibri" w:cs="Times New Roman"/>
      <w:b/>
      <w:bCs/>
      <w:noProof/>
      <w:sz w:val="24"/>
      <w:szCs w:val="20"/>
      <w:lang w:eastAsia="cs-CZ"/>
    </w:rPr>
  </w:style>
  <w:style w:type="paragraph" w:styleId="Zkladntext">
    <w:name w:val="Body Text"/>
    <w:aliases w:val="?????1,Body ...,Body Text Char,Body Text Char Char,Body Text Char Char Char,Body Text Char1 Char Char,Body Text Char2 Char,Corps de texte INTSUM,Nornální,Základní text - D,b,Číslovaný seznam (i),Текст1"/>
    <w:basedOn w:val="Normln"/>
    <w:link w:val="ZkladntextChar"/>
    <w:uiPriority w:val="99"/>
    <w:rsid w:val="00246D13"/>
    <w:pPr>
      <w:widowControl/>
      <w:autoSpaceDE/>
      <w:autoSpaceDN/>
      <w:adjustRightInd/>
      <w:jc w:val="both"/>
    </w:pPr>
    <w:rPr>
      <w:rFonts w:ascii="Calibri" w:hAnsi="Calibri" w:cs="Times New Roman"/>
      <w:b/>
      <w:bCs/>
      <w:sz w:val="28"/>
      <w:szCs w:val="28"/>
    </w:rPr>
  </w:style>
  <w:style w:type="character" w:customStyle="1" w:styleId="ZkladntextChar">
    <w:name w:val="Základní text Char"/>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uiPriority w:val="99"/>
    <w:rsid w:val="00246D13"/>
    <w:rPr>
      <w:rFonts w:ascii="Calibri" w:eastAsiaTheme="minorEastAsia" w:hAnsi="Calibri" w:cs="Times New Roman"/>
      <w:b/>
      <w:bCs/>
      <w:sz w:val="28"/>
      <w:szCs w:val="28"/>
      <w:lang w:eastAsia="cs-CZ"/>
    </w:rPr>
  </w:style>
  <w:style w:type="paragraph" w:customStyle="1" w:styleId="Zkladn">
    <w:name w:val="Základní"/>
    <w:basedOn w:val="Normln"/>
    <w:rsid w:val="00246D13"/>
    <w:pPr>
      <w:widowControl/>
      <w:autoSpaceDE/>
      <w:autoSpaceDN/>
      <w:adjustRightInd/>
      <w:spacing w:before="120"/>
      <w:jc w:val="both"/>
    </w:pPr>
    <w:rPr>
      <w:rFonts w:cs="Times New Roman"/>
      <w:sz w:val="24"/>
      <w:szCs w:val="24"/>
      <w:lang w:eastAsia="en-US"/>
    </w:rPr>
  </w:style>
  <w:style w:type="paragraph" w:styleId="Textpoznpodarou">
    <w:name w:val="footnote text"/>
    <w:aliases w:val="fn,Char,Char Char Char1,Char Char1,FSR footnote,Footnote Text Char1,Fußnote,Geneva 9,Plonk,Schriftart: 10 pt,Schriftart: 8 pt,Schriftart: 9 pt,Text pozn. pod čarou1,Text pozn. pod čarou_martin_ang,f,lábléc,pozn. pod čarou,Footnote"/>
    <w:basedOn w:val="Normln"/>
    <w:link w:val="TextpoznpodarouChar"/>
    <w:uiPriority w:val="99"/>
    <w:unhideWhenUsed/>
    <w:rsid w:val="00246D13"/>
    <w:pPr>
      <w:widowControl/>
      <w:autoSpaceDE/>
      <w:autoSpaceDN/>
      <w:adjustRightInd/>
      <w:jc w:val="both"/>
    </w:pPr>
    <w:rPr>
      <w:rFonts w:ascii="Calibri" w:hAnsi="Calibri" w:cs="Times New Roman"/>
    </w:rPr>
  </w:style>
  <w:style w:type="character" w:customStyle="1" w:styleId="TextpoznpodarouChar">
    <w:name w:val="Text pozn. pod čarou Char"/>
    <w:aliases w:val="fn Char,Char Char,Char Char Char1 Char,Char Char1 Char,FSR footnote Char,Footnote Text Char1 Char,Fußnote Char,Geneva 9 Char,Plonk Char,Schriftart: 10 pt Char,Schriftart: 8 pt Char,Schriftart: 9 pt Char,f Char,lábléc Char"/>
    <w:basedOn w:val="Standardnpsmoodstavce"/>
    <w:link w:val="Textpoznpodarou"/>
    <w:uiPriority w:val="99"/>
    <w:rsid w:val="00246D13"/>
    <w:rPr>
      <w:rFonts w:ascii="Calibri" w:eastAsiaTheme="minorEastAsia" w:hAnsi="Calibri" w:cs="Times New Roman"/>
      <w:sz w:val="20"/>
      <w:szCs w:val="20"/>
      <w:lang w:eastAsia="cs-CZ"/>
    </w:rPr>
  </w:style>
  <w:style w:type="character" w:styleId="Znakapoznpodarou">
    <w:name w:val="footnote reference"/>
    <w:aliases w:val="BVI fnr Char Char Char,Char1 Char Char Char,Footnote Char Char Char,Footnote reference number Char Char Char,Footnote symbol Char Char Char,Ref Char Char Char,Times 10 Point Char Char Char,de nota al pie Char Char Char,12 b."/>
    <w:basedOn w:val="Standardnpsmoodstavce"/>
    <w:link w:val="BVIfnrCharChar"/>
    <w:uiPriority w:val="99"/>
    <w:unhideWhenUsed/>
    <w:rsid w:val="00246D13"/>
    <w:rPr>
      <w:rFonts w:cs="Times New Roman"/>
      <w:vertAlign w:val="superscript"/>
    </w:rPr>
  </w:style>
  <w:style w:type="character" w:customStyle="1" w:styleId="Titulektabulky">
    <w:name w:val="Titulek tabulky_"/>
    <w:link w:val="Titulektabulky0"/>
    <w:locked/>
    <w:rsid w:val="00246D13"/>
    <w:rPr>
      <w:rFonts w:ascii="Calibri" w:hAnsi="Calibri"/>
      <w:shd w:val="clear" w:color="auto" w:fill="FFFFFF"/>
    </w:rPr>
  </w:style>
  <w:style w:type="paragraph" w:customStyle="1" w:styleId="Titulektabulky0">
    <w:name w:val="Titulek tabulky"/>
    <w:basedOn w:val="Normln"/>
    <w:link w:val="Titulektabulky"/>
    <w:rsid w:val="00246D13"/>
    <w:pPr>
      <w:shd w:val="clear" w:color="auto" w:fill="FFFFFF"/>
      <w:autoSpaceDE/>
      <w:autoSpaceDN/>
      <w:adjustRightInd/>
    </w:pPr>
    <w:rPr>
      <w:rFonts w:ascii="Calibri" w:eastAsiaTheme="minorHAnsi" w:hAnsi="Calibri" w:cstheme="minorBidi"/>
      <w:sz w:val="22"/>
      <w:szCs w:val="22"/>
      <w:lang w:eastAsia="en-US"/>
    </w:rPr>
  </w:style>
  <w:style w:type="paragraph" w:styleId="Odstavecseseznamem">
    <w:name w:val="List Paragraph"/>
    <w:aliases w:val="odrážky,Nadpis pro KZ,Styl 3,Odstavec se seznamem a odrážkou,1 úroveň Odstavec se seznamem,List Paragraph_0,můj Nadpis 2,List Paragraph1,List Paragraph2,Nad,Nad1,Nad2,Odstavec_muj,Odstavec_muj1,Odstavec_muj10,Odstavec_muj11,nad 1"/>
    <w:basedOn w:val="Normln"/>
    <w:link w:val="OdstavecseseznamemChar"/>
    <w:uiPriority w:val="34"/>
    <w:qFormat/>
    <w:rsid w:val="00246D13"/>
    <w:pPr>
      <w:ind w:left="720"/>
      <w:contextualSpacing/>
    </w:pPr>
  </w:style>
  <w:style w:type="character" w:customStyle="1" w:styleId="OdstavecseseznamemChar">
    <w:name w:val="Odstavec se seznamem Char"/>
    <w:aliases w:val="odrážky Char,Nadpis pro KZ Char,Styl 3 Char,Odstavec se seznamem a odrážkou Char,1 úroveň Odstavec se seznamem Char,List Paragraph_0 Char,můj Nadpis 2 Char,List Paragraph1 Char,List Paragraph2 Char,Nad Char,Nad1 Char,Nad2 Char"/>
    <w:link w:val="Odstavecseseznamem"/>
    <w:uiPriority w:val="34"/>
    <w:qFormat/>
    <w:locked/>
    <w:rsid w:val="00246D13"/>
    <w:rPr>
      <w:rFonts w:ascii="Arial" w:eastAsiaTheme="minorEastAsia" w:hAnsi="Arial" w:cs="Arial"/>
      <w:sz w:val="20"/>
      <w:szCs w:val="20"/>
      <w:lang w:eastAsia="cs-CZ"/>
    </w:rPr>
  </w:style>
  <w:style w:type="paragraph" w:customStyle="1" w:styleId="tabulka">
    <w:name w:val="tabulka"/>
    <w:basedOn w:val="Normln"/>
    <w:link w:val="tabulkaChar"/>
    <w:qFormat/>
    <w:rsid w:val="00A01810"/>
    <w:pPr>
      <w:widowControl/>
      <w:autoSpaceDE/>
      <w:autoSpaceDN/>
      <w:adjustRightInd/>
      <w:jc w:val="both"/>
    </w:pPr>
    <w:rPr>
      <w:rFonts w:eastAsia="Times New Roman"/>
      <w:sz w:val="18"/>
      <w:szCs w:val="18"/>
      <w:lang w:eastAsia="en-US"/>
    </w:rPr>
  </w:style>
  <w:style w:type="character" w:customStyle="1" w:styleId="tabulkaChar">
    <w:name w:val="tabulka Char"/>
    <w:link w:val="tabulka"/>
    <w:locked/>
    <w:rsid w:val="00A01810"/>
    <w:rPr>
      <w:rFonts w:ascii="Arial" w:eastAsia="Times New Roman" w:hAnsi="Arial" w:cs="Arial"/>
      <w:sz w:val="18"/>
      <w:szCs w:val="18"/>
    </w:rPr>
  </w:style>
  <w:style w:type="paragraph" w:customStyle="1" w:styleId="tabulkaKP">
    <w:name w:val="tabulka KP"/>
    <w:qFormat/>
    <w:rsid w:val="00A01810"/>
    <w:pPr>
      <w:numPr>
        <w:numId w:val="1"/>
      </w:numPr>
      <w:spacing w:after="0" w:line="240" w:lineRule="auto"/>
      <w:jc w:val="both"/>
    </w:pPr>
    <w:rPr>
      <w:rFonts w:ascii="Calibri" w:eastAsia="Times New Roman" w:hAnsi="Calibri" w:cs="Times New Roman"/>
      <w:sz w:val="24"/>
      <w:szCs w:val="20"/>
      <w:lang w:eastAsia="cs-CZ"/>
    </w:rPr>
  </w:style>
  <w:style w:type="table" w:customStyle="1" w:styleId="Mkatabulky1">
    <w:name w:val="Mřížka tabulky1"/>
    <w:basedOn w:val="Normlntabulka"/>
    <w:next w:val="Mkatabulky"/>
    <w:rsid w:val="00A018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A0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2A1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FB18DF"/>
    <w:rPr>
      <w:rFonts w:asciiTheme="majorHAnsi" w:eastAsiaTheme="majorEastAsia" w:hAnsiTheme="majorHAnsi" w:cstheme="majorBidi"/>
      <w:color w:val="2E74B5" w:themeColor="accent1" w:themeShade="BF"/>
      <w:sz w:val="26"/>
      <w:szCs w:val="26"/>
      <w:lang w:eastAsia="cs-CZ"/>
    </w:rPr>
  </w:style>
  <w:style w:type="paragraph" w:styleId="Bezmezer">
    <w:name w:val="No Spacing"/>
    <w:uiPriority w:val="1"/>
    <w:qFormat/>
    <w:rsid w:val="005214D7"/>
    <w:pPr>
      <w:spacing w:after="0" w:line="240" w:lineRule="auto"/>
      <w:jc w:val="both"/>
    </w:pPr>
    <w:rPr>
      <w:rFonts w:ascii="Times New Roman" w:eastAsia="Times New Roman" w:hAnsi="Times New Roman" w:cs="Times New Roman"/>
      <w:sz w:val="24"/>
      <w:szCs w:val="24"/>
      <w:lang w:val="en-US" w:eastAsia="cs-CZ"/>
    </w:rPr>
  </w:style>
  <w:style w:type="paragraph" w:styleId="Normlnweb">
    <w:name w:val="Normal (Web)"/>
    <w:basedOn w:val="Normln"/>
    <w:uiPriority w:val="99"/>
    <w:rsid w:val="00945302"/>
    <w:pPr>
      <w:widowControl/>
      <w:autoSpaceDE/>
      <w:autoSpaceDN/>
      <w:adjustRightInd/>
      <w:jc w:val="both"/>
    </w:pPr>
    <w:rPr>
      <w:rFonts w:ascii="Calibri" w:eastAsia="Times New Roman" w:hAnsi="Calibri" w:cs="Times New Roman"/>
      <w:sz w:val="24"/>
      <w:szCs w:val="24"/>
      <w:lang w:eastAsia="en-US"/>
    </w:rPr>
  </w:style>
  <w:style w:type="paragraph" w:styleId="Textkomente">
    <w:name w:val="annotation text"/>
    <w:basedOn w:val="Normln"/>
    <w:link w:val="TextkomenteChar"/>
    <w:uiPriority w:val="99"/>
    <w:semiHidden/>
    <w:unhideWhenUsed/>
    <w:rsid w:val="00C52B52"/>
    <w:pPr>
      <w:widowControl/>
      <w:autoSpaceDE/>
      <w:autoSpaceDN/>
      <w:adjustRightInd/>
    </w:pPr>
    <w:rPr>
      <w:rFonts w:ascii="Times New Roman" w:eastAsia="Times New Roman" w:hAnsi="Times New Roman" w:cs="Times New Roman"/>
      <w:noProof/>
      <w:lang w:eastAsia="en-US"/>
    </w:rPr>
  </w:style>
  <w:style w:type="character" w:customStyle="1" w:styleId="TextkomenteChar">
    <w:name w:val="Text komentáře Char"/>
    <w:basedOn w:val="Standardnpsmoodstavce"/>
    <w:link w:val="Textkomente"/>
    <w:uiPriority w:val="99"/>
    <w:semiHidden/>
    <w:rsid w:val="00C52B52"/>
    <w:rPr>
      <w:rFonts w:ascii="Times New Roman" w:eastAsia="Times New Roman" w:hAnsi="Times New Roman" w:cs="Times New Roman"/>
      <w:noProof/>
      <w:sz w:val="20"/>
      <w:szCs w:val="20"/>
    </w:rPr>
  </w:style>
  <w:style w:type="character" w:styleId="Odkaznakoment">
    <w:name w:val="annotation reference"/>
    <w:basedOn w:val="Standardnpsmoodstavce"/>
    <w:uiPriority w:val="99"/>
    <w:semiHidden/>
    <w:unhideWhenUsed/>
    <w:rsid w:val="008E336D"/>
    <w:rPr>
      <w:sz w:val="16"/>
      <w:szCs w:val="16"/>
    </w:rPr>
  </w:style>
  <w:style w:type="paragraph" w:styleId="Pedmtkomente">
    <w:name w:val="annotation subject"/>
    <w:basedOn w:val="Textkomente"/>
    <w:next w:val="Textkomente"/>
    <w:link w:val="PedmtkomenteChar"/>
    <w:uiPriority w:val="99"/>
    <w:semiHidden/>
    <w:unhideWhenUsed/>
    <w:rsid w:val="008E336D"/>
    <w:pPr>
      <w:widowControl w:val="0"/>
      <w:autoSpaceDE w:val="0"/>
      <w:autoSpaceDN w:val="0"/>
      <w:adjustRightInd w:val="0"/>
    </w:pPr>
    <w:rPr>
      <w:rFonts w:ascii="Arial" w:eastAsiaTheme="minorEastAsia" w:hAnsi="Arial" w:cs="Arial"/>
      <w:b/>
      <w:bCs/>
      <w:noProof w:val="0"/>
      <w:lang w:eastAsia="cs-CZ"/>
    </w:rPr>
  </w:style>
  <w:style w:type="character" w:customStyle="1" w:styleId="PedmtkomenteChar">
    <w:name w:val="Předmět komentáře Char"/>
    <w:basedOn w:val="TextkomenteChar"/>
    <w:link w:val="Pedmtkomente"/>
    <w:uiPriority w:val="99"/>
    <w:semiHidden/>
    <w:rsid w:val="008E336D"/>
    <w:rPr>
      <w:rFonts w:ascii="Arial" w:eastAsiaTheme="minorEastAsia" w:hAnsi="Arial" w:cs="Arial"/>
      <w:b/>
      <w:bCs/>
      <w:noProof/>
      <w:sz w:val="20"/>
      <w:szCs w:val="20"/>
      <w:lang w:eastAsia="cs-CZ"/>
    </w:rPr>
  </w:style>
  <w:style w:type="paragraph" w:styleId="Textbubliny">
    <w:name w:val="Balloon Text"/>
    <w:basedOn w:val="Normln"/>
    <w:link w:val="TextbublinyChar"/>
    <w:uiPriority w:val="99"/>
    <w:semiHidden/>
    <w:unhideWhenUsed/>
    <w:rsid w:val="008E33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336D"/>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CF5A8A"/>
    <w:pPr>
      <w:tabs>
        <w:tab w:val="center" w:pos="4536"/>
        <w:tab w:val="right" w:pos="9072"/>
      </w:tabs>
    </w:pPr>
  </w:style>
  <w:style w:type="character" w:customStyle="1" w:styleId="ZhlavChar">
    <w:name w:val="Záhlaví Char"/>
    <w:basedOn w:val="Standardnpsmoodstavce"/>
    <w:link w:val="Zhlav"/>
    <w:uiPriority w:val="99"/>
    <w:rsid w:val="00CF5A8A"/>
    <w:rPr>
      <w:rFonts w:ascii="Arial" w:eastAsiaTheme="minorEastAsia" w:hAnsi="Arial" w:cs="Arial"/>
      <w:sz w:val="20"/>
      <w:szCs w:val="20"/>
      <w:lang w:eastAsia="cs-CZ"/>
    </w:rPr>
  </w:style>
  <w:style w:type="paragraph" w:styleId="Zpat">
    <w:name w:val="footer"/>
    <w:basedOn w:val="Normln"/>
    <w:link w:val="ZpatChar"/>
    <w:uiPriority w:val="99"/>
    <w:unhideWhenUsed/>
    <w:rsid w:val="00CF5A8A"/>
    <w:pPr>
      <w:tabs>
        <w:tab w:val="center" w:pos="4536"/>
        <w:tab w:val="right" w:pos="9072"/>
      </w:tabs>
    </w:pPr>
  </w:style>
  <w:style w:type="character" w:customStyle="1" w:styleId="ZpatChar">
    <w:name w:val="Zápatí Char"/>
    <w:basedOn w:val="Standardnpsmoodstavce"/>
    <w:link w:val="Zpat"/>
    <w:uiPriority w:val="99"/>
    <w:rsid w:val="00CF5A8A"/>
    <w:rPr>
      <w:rFonts w:ascii="Arial" w:eastAsiaTheme="minorEastAsia" w:hAnsi="Arial" w:cs="Arial"/>
      <w:sz w:val="20"/>
      <w:szCs w:val="20"/>
      <w:lang w:eastAsia="cs-CZ"/>
    </w:rPr>
  </w:style>
  <w:style w:type="character" w:customStyle="1" w:styleId="A5">
    <w:name w:val="A5"/>
    <w:uiPriority w:val="99"/>
    <w:rsid w:val="008D2B5E"/>
    <w:rPr>
      <w:b/>
      <w:bCs/>
      <w:color w:val="000000"/>
      <w:sz w:val="40"/>
      <w:szCs w:val="40"/>
    </w:rPr>
  </w:style>
  <w:style w:type="paragraph" w:customStyle="1" w:styleId="Zdroj">
    <w:name w:val="Zdroj"/>
    <w:basedOn w:val="Normln"/>
    <w:link w:val="ZdrojChar"/>
    <w:qFormat/>
    <w:rsid w:val="00C8687A"/>
    <w:pPr>
      <w:widowControl/>
      <w:autoSpaceDE/>
      <w:autoSpaceDN/>
      <w:adjustRightInd/>
      <w:jc w:val="both"/>
    </w:pPr>
    <w:rPr>
      <w:rFonts w:ascii="Calibri" w:eastAsia="Times New Roman" w:hAnsi="Calibri" w:cs="Calibri"/>
      <w:i/>
      <w:szCs w:val="22"/>
      <w:lang w:eastAsia="en-US"/>
    </w:rPr>
  </w:style>
  <w:style w:type="character" w:customStyle="1" w:styleId="ZdrojChar">
    <w:name w:val="Zdroj Char"/>
    <w:link w:val="Zdroj"/>
    <w:rsid w:val="00C8687A"/>
    <w:rPr>
      <w:rFonts w:ascii="Calibri" w:eastAsia="Times New Roman" w:hAnsi="Calibri" w:cs="Calibri"/>
      <w:i/>
      <w:sz w:val="20"/>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E57EAC"/>
    <w:pPr>
      <w:widowControl/>
      <w:autoSpaceDE/>
      <w:autoSpaceDN/>
      <w:adjustRightInd/>
      <w:spacing w:after="160" w:line="240" w:lineRule="exact"/>
      <w:jc w:val="both"/>
    </w:pPr>
    <w:rPr>
      <w:rFonts w:asciiTheme="minorHAnsi" w:eastAsiaTheme="minorHAnsi" w:hAnsiTheme="minorHAnsi" w:cs="Times New Roman"/>
      <w:sz w:val="22"/>
      <w:szCs w:val="22"/>
      <w:vertAlign w:val="superscript"/>
      <w:lang w:eastAsia="en-US"/>
    </w:rPr>
  </w:style>
  <w:style w:type="paragraph" w:styleId="Zkladntext3">
    <w:name w:val="Body Text 3"/>
    <w:basedOn w:val="Normln"/>
    <w:link w:val="Zkladntext3Char"/>
    <w:unhideWhenUsed/>
    <w:rsid w:val="00120CBC"/>
    <w:pPr>
      <w:widowControl/>
      <w:autoSpaceDE/>
      <w:autoSpaceDN/>
      <w:adjustRightInd/>
      <w:spacing w:after="120"/>
      <w:jc w:val="both"/>
    </w:pPr>
    <w:rPr>
      <w:rFonts w:ascii="Calibri" w:eastAsia="Times New Roman" w:hAnsi="Calibri" w:cs="Times New Roman"/>
      <w:sz w:val="16"/>
      <w:szCs w:val="16"/>
    </w:rPr>
  </w:style>
  <w:style w:type="character" w:customStyle="1" w:styleId="Zkladntext3Char">
    <w:name w:val="Základní text 3 Char"/>
    <w:basedOn w:val="Standardnpsmoodstavce"/>
    <w:link w:val="Zkladntext3"/>
    <w:rsid w:val="00120CBC"/>
    <w:rPr>
      <w:rFonts w:ascii="Calibri" w:eastAsia="Times New Roman" w:hAnsi="Calibri" w:cs="Times New Roman"/>
      <w:sz w:val="16"/>
      <w:szCs w:val="16"/>
      <w:lang w:eastAsia="cs-CZ"/>
    </w:rPr>
  </w:style>
  <w:style w:type="paragraph" w:customStyle="1" w:styleId="Pa18">
    <w:name w:val="Pa18"/>
    <w:basedOn w:val="Normln"/>
    <w:next w:val="Normln"/>
    <w:uiPriority w:val="99"/>
    <w:rsid w:val="004770E5"/>
    <w:pPr>
      <w:widowControl/>
      <w:spacing w:line="211" w:lineRule="atLeast"/>
    </w:pPr>
    <w:rPr>
      <w:rFonts w:ascii="Calibri" w:eastAsia="Times New Roman" w:hAnsi="Calibri" w:cs="Times New Roman"/>
      <w:sz w:val="24"/>
      <w:szCs w:val="24"/>
    </w:rPr>
  </w:style>
  <w:style w:type="character" w:customStyle="1" w:styleId="A14">
    <w:name w:val="A14"/>
    <w:uiPriority w:val="99"/>
    <w:rsid w:val="004770E5"/>
    <w:rPr>
      <w:b/>
      <w:color w:val="000000"/>
      <w:sz w:val="54"/>
    </w:rPr>
  </w:style>
  <w:style w:type="paragraph" w:customStyle="1" w:styleId="Pa19">
    <w:name w:val="Pa19"/>
    <w:basedOn w:val="Normln"/>
    <w:next w:val="Normln"/>
    <w:uiPriority w:val="99"/>
    <w:rsid w:val="004770E5"/>
    <w:pPr>
      <w:widowControl/>
      <w:spacing w:line="211" w:lineRule="atLeast"/>
    </w:pPr>
    <w:rPr>
      <w:rFonts w:ascii="Calibri" w:eastAsia="Times New Roman" w:hAnsi="Calibri" w:cs="Times New Roman"/>
      <w:sz w:val="24"/>
      <w:szCs w:val="24"/>
    </w:rPr>
  </w:style>
  <w:style w:type="character" w:styleId="Hypertextovodkaz">
    <w:name w:val="Hyperlink"/>
    <w:basedOn w:val="Standardnpsmoodstavce"/>
    <w:uiPriority w:val="99"/>
    <w:semiHidden/>
    <w:unhideWhenUsed/>
    <w:rsid w:val="00373A61"/>
    <w:rPr>
      <w:color w:val="0563C1"/>
      <w:u w:val="single"/>
    </w:rPr>
  </w:style>
  <w:style w:type="paragraph" w:customStyle="1" w:styleId="Default">
    <w:name w:val="Default"/>
    <w:rsid w:val="001D6F30"/>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1357">
      <w:bodyDiv w:val="1"/>
      <w:marLeft w:val="0"/>
      <w:marRight w:val="0"/>
      <w:marTop w:val="0"/>
      <w:marBottom w:val="0"/>
      <w:divBdr>
        <w:top w:val="none" w:sz="0" w:space="0" w:color="auto"/>
        <w:left w:val="none" w:sz="0" w:space="0" w:color="auto"/>
        <w:bottom w:val="none" w:sz="0" w:space="0" w:color="auto"/>
        <w:right w:val="none" w:sz="0" w:space="0" w:color="auto"/>
      </w:divBdr>
    </w:div>
    <w:div w:id="163128024">
      <w:bodyDiv w:val="1"/>
      <w:marLeft w:val="0"/>
      <w:marRight w:val="0"/>
      <w:marTop w:val="0"/>
      <w:marBottom w:val="0"/>
      <w:divBdr>
        <w:top w:val="none" w:sz="0" w:space="0" w:color="auto"/>
        <w:left w:val="none" w:sz="0" w:space="0" w:color="auto"/>
        <w:bottom w:val="none" w:sz="0" w:space="0" w:color="auto"/>
        <w:right w:val="none" w:sz="0" w:space="0" w:color="auto"/>
      </w:divBdr>
    </w:div>
    <w:div w:id="177471851">
      <w:bodyDiv w:val="1"/>
      <w:marLeft w:val="0"/>
      <w:marRight w:val="0"/>
      <w:marTop w:val="0"/>
      <w:marBottom w:val="0"/>
      <w:divBdr>
        <w:top w:val="none" w:sz="0" w:space="0" w:color="auto"/>
        <w:left w:val="none" w:sz="0" w:space="0" w:color="auto"/>
        <w:bottom w:val="none" w:sz="0" w:space="0" w:color="auto"/>
        <w:right w:val="none" w:sz="0" w:space="0" w:color="auto"/>
      </w:divBdr>
    </w:div>
    <w:div w:id="485165574">
      <w:bodyDiv w:val="1"/>
      <w:marLeft w:val="0"/>
      <w:marRight w:val="0"/>
      <w:marTop w:val="0"/>
      <w:marBottom w:val="0"/>
      <w:divBdr>
        <w:top w:val="none" w:sz="0" w:space="0" w:color="auto"/>
        <w:left w:val="none" w:sz="0" w:space="0" w:color="auto"/>
        <w:bottom w:val="none" w:sz="0" w:space="0" w:color="auto"/>
        <w:right w:val="none" w:sz="0" w:space="0" w:color="auto"/>
      </w:divBdr>
    </w:div>
    <w:div w:id="491801634">
      <w:bodyDiv w:val="1"/>
      <w:marLeft w:val="0"/>
      <w:marRight w:val="0"/>
      <w:marTop w:val="0"/>
      <w:marBottom w:val="0"/>
      <w:divBdr>
        <w:top w:val="none" w:sz="0" w:space="0" w:color="auto"/>
        <w:left w:val="none" w:sz="0" w:space="0" w:color="auto"/>
        <w:bottom w:val="none" w:sz="0" w:space="0" w:color="auto"/>
        <w:right w:val="none" w:sz="0" w:space="0" w:color="auto"/>
      </w:divBdr>
    </w:div>
    <w:div w:id="588269419">
      <w:bodyDiv w:val="1"/>
      <w:marLeft w:val="0"/>
      <w:marRight w:val="0"/>
      <w:marTop w:val="0"/>
      <w:marBottom w:val="0"/>
      <w:divBdr>
        <w:top w:val="none" w:sz="0" w:space="0" w:color="auto"/>
        <w:left w:val="none" w:sz="0" w:space="0" w:color="auto"/>
        <w:bottom w:val="none" w:sz="0" w:space="0" w:color="auto"/>
        <w:right w:val="none" w:sz="0" w:space="0" w:color="auto"/>
      </w:divBdr>
    </w:div>
    <w:div w:id="702553755">
      <w:bodyDiv w:val="1"/>
      <w:marLeft w:val="0"/>
      <w:marRight w:val="0"/>
      <w:marTop w:val="0"/>
      <w:marBottom w:val="0"/>
      <w:divBdr>
        <w:top w:val="none" w:sz="0" w:space="0" w:color="auto"/>
        <w:left w:val="none" w:sz="0" w:space="0" w:color="auto"/>
        <w:bottom w:val="none" w:sz="0" w:space="0" w:color="auto"/>
        <w:right w:val="none" w:sz="0" w:space="0" w:color="auto"/>
      </w:divBdr>
    </w:div>
    <w:div w:id="706485410">
      <w:bodyDiv w:val="1"/>
      <w:marLeft w:val="0"/>
      <w:marRight w:val="0"/>
      <w:marTop w:val="0"/>
      <w:marBottom w:val="0"/>
      <w:divBdr>
        <w:top w:val="none" w:sz="0" w:space="0" w:color="auto"/>
        <w:left w:val="none" w:sz="0" w:space="0" w:color="auto"/>
        <w:bottom w:val="none" w:sz="0" w:space="0" w:color="auto"/>
        <w:right w:val="none" w:sz="0" w:space="0" w:color="auto"/>
      </w:divBdr>
    </w:div>
    <w:div w:id="760224975">
      <w:bodyDiv w:val="1"/>
      <w:marLeft w:val="0"/>
      <w:marRight w:val="0"/>
      <w:marTop w:val="0"/>
      <w:marBottom w:val="0"/>
      <w:divBdr>
        <w:top w:val="none" w:sz="0" w:space="0" w:color="auto"/>
        <w:left w:val="none" w:sz="0" w:space="0" w:color="auto"/>
        <w:bottom w:val="none" w:sz="0" w:space="0" w:color="auto"/>
        <w:right w:val="none" w:sz="0" w:space="0" w:color="auto"/>
      </w:divBdr>
    </w:div>
    <w:div w:id="776483208">
      <w:bodyDiv w:val="1"/>
      <w:marLeft w:val="0"/>
      <w:marRight w:val="0"/>
      <w:marTop w:val="0"/>
      <w:marBottom w:val="0"/>
      <w:divBdr>
        <w:top w:val="none" w:sz="0" w:space="0" w:color="auto"/>
        <w:left w:val="none" w:sz="0" w:space="0" w:color="auto"/>
        <w:bottom w:val="none" w:sz="0" w:space="0" w:color="auto"/>
        <w:right w:val="none" w:sz="0" w:space="0" w:color="auto"/>
      </w:divBdr>
    </w:div>
    <w:div w:id="1268343790">
      <w:bodyDiv w:val="1"/>
      <w:marLeft w:val="0"/>
      <w:marRight w:val="0"/>
      <w:marTop w:val="0"/>
      <w:marBottom w:val="0"/>
      <w:divBdr>
        <w:top w:val="none" w:sz="0" w:space="0" w:color="auto"/>
        <w:left w:val="none" w:sz="0" w:space="0" w:color="auto"/>
        <w:bottom w:val="none" w:sz="0" w:space="0" w:color="auto"/>
        <w:right w:val="none" w:sz="0" w:space="0" w:color="auto"/>
      </w:divBdr>
    </w:div>
    <w:div w:id="1390765724">
      <w:bodyDiv w:val="1"/>
      <w:marLeft w:val="0"/>
      <w:marRight w:val="0"/>
      <w:marTop w:val="0"/>
      <w:marBottom w:val="0"/>
      <w:divBdr>
        <w:top w:val="none" w:sz="0" w:space="0" w:color="auto"/>
        <w:left w:val="none" w:sz="0" w:space="0" w:color="auto"/>
        <w:bottom w:val="none" w:sz="0" w:space="0" w:color="auto"/>
        <w:right w:val="none" w:sz="0" w:space="0" w:color="auto"/>
      </w:divBdr>
    </w:div>
    <w:div w:id="1696732497">
      <w:bodyDiv w:val="1"/>
      <w:marLeft w:val="0"/>
      <w:marRight w:val="0"/>
      <w:marTop w:val="0"/>
      <w:marBottom w:val="0"/>
      <w:divBdr>
        <w:top w:val="none" w:sz="0" w:space="0" w:color="auto"/>
        <w:left w:val="none" w:sz="0" w:space="0" w:color="auto"/>
        <w:bottom w:val="none" w:sz="0" w:space="0" w:color="auto"/>
        <w:right w:val="none" w:sz="0" w:space="0" w:color="auto"/>
      </w:divBdr>
    </w:div>
    <w:div w:id="1772969001">
      <w:bodyDiv w:val="1"/>
      <w:marLeft w:val="0"/>
      <w:marRight w:val="0"/>
      <w:marTop w:val="0"/>
      <w:marBottom w:val="0"/>
      <w:divBdr>
        <w:top w:val="none" w:sz="0" w:space="0" w:color="auto"/>
        <w:left w:val="none" w:sz="0" w:space="0" w:color="auto"/>
        <w:bottom w:val="none" w:sz="0" w:space="0" w:color="auto"/>
        <w:right w:val="none" w:sz="0" w:space="0" w:color="auto"/>
      </w:divBdr>
    </w:div>
    <w:div w:id="1854227201">
      <w:bodyDiv w:val="1"/>
      <w:marLeft w:val="0"/>
      <w:marRight w:val="0"/>
      <w:marTop w:val="0"/>
      <w:marBottom w:val="0"/>
      <w:divBdr>
        <w:top w:val="none" w:sz="0" w:space="0" w:color="auto"/>
        <w:left w:val="none" w:sz="0" w:space="0" w:color="auto"/>
        <w:bottom w:val="none" w:sz="0" w:space="0" w:color="auto"/>
        <w:right w:val="none" w:sz="0" w:space="0" w:color="auto"/>
      </w:divBdr>
    </w:div>
    <w:div w:id="1868517590">
      <w:bodyDiv w:val="1"/>
      <w:marLeft w:val="0"/>
      <w:marRight w:val="0"/>
      <w:marTop w:val="0"/>
      <w:marBottom w:val="0"/>
      <w:divBdr>
        <w:top w:val="none" w:sz="0" w:space="0" w:color="auto"/>
        <w:left w:val="none" w:sz="0" w:space="0" w:color="auto"/>
        <w:bottom w:val="none" w:sz="0" w:space="0" w:color="auto"/>
        <w:right w:val="none" w:sz="0" w:space="0" w:color="auto"/>
      </w:divBdr>
    </w:div>
    <w:div w:id="1945647105">
      <w:bodyDiv w:val="1"/>
      <w:marLeft w:val="0"/>
      <w:marRight w:val="0"/>
      <w:marTop w:val="0"/>
      <w:marBottom w:val="0"/>
      <w:divBdr>
        <w:top w:val="none" w:sz="0" w:space="0" w:color="auto"/>
        <w:left w:val="none" w:sz="0" w:space="0" w:color="auto"/>
        <w:bottom w:val="none" w:sz="0" w:space="0" w:color="auto"/>
        <w:right w:val="none" w:sz="0" w:space="0" w:color="auto"/>
      </w:divBdr>
    </w:div>
    <w:div w:id="1977566162">
      <w:bodyDiv w:val="1"/>
      <w:marLeft w:val="0"/>
      <w:marRight w:val="0"/>
      <w:marTop w:val="0"/>
      <w:marBottom w:val="0"/>
      <w:divBdr>
        <w:top w:val="none" w:sz="0" w:space="0" w:color="auto"/>
        <w:left w:val="none" w:sz="0" w:space="0" w:color="auto"/>
        <w:bottom w:val="none" w:sz="0" w:space="0" w:color="auto"/>
        <w:right w:val="none" w:sz="0" w:space="0" w:color="auto"/>
      </w:divBdr>
    </w:div>
    <w:div w:id="20004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ocal_VASUTOVA\INetCache\Content.MSO\CE02722C.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nitor.statnipokladn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ocal_VASUTOVA\INetCache\Content.MSO\CE02722C.xls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FB92-1C48-4263-A755-0728158F0946}">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945C0E7-E6E1-4639-BD18-16FA0275C433}">
  <ds:schemaRefs>
    <ds:schemaRef ds:uri="http://schemas.microsoft.com/sharepoint/v3/contenttype/forms"/>
  </ds:schemaRefs>
</ds:datastoreItem>
</file>

<file path=customXml/itemProps3.xml><?xml version="1.0" encoding="utf-8"?>
<ds:datastoreItem xmlns:ds="http://schemas.openxmlformats.org/officeDocument/2006/customXml" ds:itemID="{37D2C4E4-6184-46FC-9DA7-B2799D23E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C70FF-E378-4DED-ABB0-874AE7D8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9515</Words>
  <Characters>56145</Characters>
  <Application>Microsoft Office Word</Application>
  <DocSecurity>0</DocSecurity>
  <Lines>467</Lines>
  <Paragraphs>131</Paragraphs>
  <ScaleCrop>false</ScaleCrop>
  <HeadingPairs>
    <vt:vector size="2" baseType="variant">
      <vt:variant>
        <vt:lpstr>Název</vt:lpstr>
      </vt:variant>
      <vt:variant>
        <vt:i4>1</vt:i4>
      </vt:variant>
    </vt:vector>
  </HeadingPairs>
  <TitlesOfParts>
    <vt:vector size="1" baseType="lpstr">
      <vt:lpstr>Kontrolní závěr z kontrolní akce NKÚ č. 22/13 - Majetek a peněžní prostředky státu, s nimiž hospodaří vybrané fakultní nemocnice</vt:lpstr>
    </vt:vector>
  </TitlesOfParts>
  <Company>NKU</Company>
  <LinksUpToDate>false</LinksUpToDate>
  <CharactersWithSpaces>65529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22/13 - Majetek a peněžní prostředky státu, s nimiž hospodaří vybrané fakultní nemocnice</dc:title>
  <dc:subject>Kontrolní závěr z kontrolní akce NKÚ č. 22/13 - Majetek a peněžní prostředky státu, s nimiž hospodaří vybrané fakultní nemocnice</dc:subject>
  <dc:creator>Nejvyšší kontrolní úřad</dc:creator>
  <cp:keywords>kontrolní závěr; fakultní nemocnice; zdravotnictví</cp:keywords>
  <dc:description/>
  <cp:lastModifiedBy>KOKRDA Daniel</cp:lastModifiedBy>
  <cp:revision>3</cp:revision>
  <cp:lastPrinted>2023-07-26T04:47:00Z</cp:lastPrinted>
  <dcterms:created xsi:type="dcterms:W3CDTF">2023-08-03T09:31:00Z</dcterms:created>
  <dcterms:modified xsi:type="dcterms:W3CDTF">2023-08-03T09:32:00Z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