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7140" w14:textId="77777777" w:rsidR="00865B55" w:rsidRDefault="002A4F69" w:rsidP="00F96F3C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3002FE09" wp14:editId="7DD87489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50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D93BE" w14:textId="77777777" w:rsidR="00BD4334" w:rsidRDefault="00BD4334" w:rsidP="00F96F3C">
      <w:pPr>
        <w:jc w:val="center"/>
      </w:pPr>
    </w:p>
    <w:p w14:paraId="6ED9C4A6" w14:textId="77777777" w:rsidR="00BD4334" w:rsidRDefault="00BD4334" w:rsidP="00F96F3C">
      <w:pPr>
        <w:jc w:val="center"/>
      </w:pPr>
    </w:p>
    <w:p w14:paraId="335A1256" w14:textId="77777777" w:rsidR="00BD4334" w:rsidRDefault="00BD4334" w:rsidP="00F96F3C">
      <w:pPr>
        <w:jc w:val="center"/>
      </w:pPr>
    </w:p>
    <w:p w14:paraId="217E34CD" w14:textId="77777777" w:rsidR="00BD4334" w:rsidRDefault="002A4F69" w:rsidP="00731D38">
      <w:pPr>
        <w:jc w:val="center"/>
        <w:rPr>
          <w:b/>
          <w:sz w:val="28"/>
        </w:rPr>
      </w:pPr>
      <w:r w:rsidRPr="00731D38">
        <w:rPr>
          <w:b/>
          <w:sz w:val="28"/>
        </w:rPr>
        <w:t>Kontrolní závěr z kontrolní akce</w:t>
      </w:r>
    </w:p>
    <w:p w14:paraId="01BC61DC" w14:textId="77777777" w:rsidR="00731D38" w:rsidRDefault="00731D38" w:rsidP="00731D38">
      <w:pPr>
        <w:jc w:val="center"/>
        <w:rPr>
          <w:b/>
          <w:sz w:val="28"/>
        </w:rPr>
      </w:pPr>
    </w:p>
    <w:p w14:paraId="3302F00B" w14:textId="77777777" w:rsidR="00731D38" w:rsidRDefault="002A4F69" w:rsidP="00731D38">
      <w:pPr>
        <w:jc w:val="center"/>
        <w:rPr>
          <w:b/>
          <w:sz w:val="28"/>
        </w:rPr>
      </w:pPr>
      <w:r>
        <w:rPr>
          <w:b/>
          <w:sz w:val="28"/>
        </w:rPr>
        <w:t>22/08</w:t>
      </w:r>
    </w:p>
    <w:p w14:paraId="12BF958A" w14:textId="77777777" w:rsidR="00731D38" w:rsidRDefault="00731D38" w:rsidP="00731D38">
      <w:pPr>
        <w:jc w:val="center"/>
        <w:rPr>
          <w:b/>
          <w:sz w:val="28"/>
        </w:rPr>
      </w:pPr>
    </w:p>
    <w:p w14:paraId="5AD89ACF" w14:textId="77777777" w:rsidR="00731D38" w:rsidRDefault="002A4F69" w:rsidP="00731D38">
      <w:pPr>
        <w:jc w:val="center"/>
        <w:rPr>
          <w:b/>
          <w:sz w:val="28"/>
        </w:rPr>
      </w:pPr>
      <w:r w:rsidRPr="00731D38">
        <w:rPr>
          <w:b/>
          <w:sz w:val="28"/>
        </w:rPr>
        <w:t>Peněžní prostředky státu a Evropské unie určené na výstavbu dálnice D35</w:t>
      </w:r>
    </w:p>
    <w:p w14:paraId="42B7E292" w14:textId="77777777" w:rsidR="00731D38" w:rsidRDefault="00731D38" w:rsidP="00731D38"/>
    <w:p w14:paraId="237BE00B" w14:textId="77777777" w:rsidR="00731D38" w:rsidRDefault="00731D38" w:rsidP="00731D38"/>
    <w:p w14:paraId="624EDA24" w14:textId="77777777" w:rsidR="00731D38" w:rsidRDefault="002A4F69" w:rsidP="00731D38">
      <w:r w:rsidRPr="00731D38">
        <w:t>Kontrolní akce byla zařazena do plánu kontrolní činnosti Nejvyššího kontrolního úřadu (dále také „NKÚ“) na rok 20</w:t>
      </w:r>
      <w:r>
        <w:t>22</w:t>
      </w:r>
      <w:r w:rsidRPr="00731D38">
        <w:t xml:space="preserve"> pod číslem </w:t>
      </w:r>
      <w:r>
        <w:t>22</w:t>
      </w:r>
      <w:r w:rsidRPr="00731D38">
        <w:t>/</w:t>
      </w:r>
      <w:r>
        <w:t>08</w:t>
      </w:r>
      <w:r w:rsidRPr="00731D38">
        <w:t>. Kontrolní akci řídil člen NKÚ Ing.</w:t>
      </w:r>
      <w:r w:rsidR="008C379A">
        <w:t> </w:t>
      </w:r>
      <w:r w:rsidRPr="00731D38">
        <w:t>Jan Málek a</w:t>
      </w:r>
      <w:r w:rsidR="00890456">
        <w:t> </w:t>
      </w:r>
      <w:r w:rsidRPr="00731D38">
        <w:t>kontrolní závěr vypracoval člen NKÚ Ing.</w:t>
      </w:r>
      <w:r w:rsidR="008C379A">
        <w:t> </w:t>
      </w:r>
      <w:r w:rsidRPr="00731D38">
        <w:t>Michal</w:t>
      </w:r>
      <w:r>
        <w:t xml:space="preserve"> </w:t>
      </w:r>
      <w:r w:rsidRPr="00731D38">
        <w:t>Šmucr.</w:t>
      </w:r>
    </w:p>
    <w:p w14:paraId="0613703F" w14:textId="77777777" w:rsidR="00731D38" w:rsidRDefault="00731D38" w:rsidP="00731D38"/>
    <w:p w14:paraId="32C5DA35" w14:textId="77777777" w:rsidR="00731D38" w:rsidRDefault="002A4F69" w:rsidP="00731D38">
      <w:r w:rsidRPr="00731D38">
        <w:t xml:space="preserve">Cílem kontroly bylo </w:t>
      </w:r>
      <w:r>
        <w:t>prověřit, zda byly peněžní prostředky státu a Evropské unie určené na přípravu a výstavbu dálnice D35 vynakládány účelně, hospodárně a v souladu s právními předpisy</w:t>
      </w:r>
      <w:r w:rsidRPr="00731D38">
        <w:t>.</w:t>
      </w:r>
    </w:p>
    <w:p w14:paraId="6B50FB5E" w14:textId="77777777" w:rsidR="00731D38" w:rsidRDefault="00731D38" w:rsidP="00731D38"/>
    <w:p w14:paraId="1CC8365E" w14:textId="77777777" w:rsidR="00731D38" w:rsidRDefault="002A4F69" w:rsidP="00731D38">
      <w:r w:rsidRPr="00963743">
        <w:t xml:space="preserve">Kontrola byla prováděna u kontrolovaných osob v období od </w:t>
      </w:r>
      <w:r>
        <w:t>dubna</w:t>
      </w:r>
      <w:r w:rsidRPr="00963743">
        <w:t xml:space="preserve"> 20</w:t>
      </w:r>
      <w:r>
        <w:t>22</w:t>
      </w:r>
      <w:r w:rsidRPr="00963743">
        <w:t xml:space="preserve"> do </w:t>
      </w:r>
      <w:r>
        <w:t>května</w:t>
      </w:r>
      <w:r w:rsidRPr="00963743">
        <w:t xml:space="preserve"> 20</w:t>
      </w:r>
      <w:r>
        <w:t>23</w:t>
      </w:r>
      <w:r w:rsidRPr="00963743">
        <w:t>. Kontrolováno bylo období od roku 20</w:t>
      </w:r>
      <w:r>
        <w:t>17</w:t>
      </w:r>
      <w:r w:rsidRPr="00963743">
        <w:t xml:space="preserve"> do </w:t>
      </w:r>
      <w:r w:rsidR="00B51061">
        <w:t>doby ukončení kontroly</w:t>
      </w:r>
      <w:r w:rsidRPr="00963743">
        <w:t>, v případě věcných souvislostí i období předcházející.</w:t>
      </w:r>
    </w:p>
    <w:p w14:paraId="47DA794F" w14:textId="77777777" w:rsidR="00731D38" w:rsidRDefault="00731D38" w:rsidP="00731D38"/>
    <w:p w14:paraId="236C9847" w14:textId="77777777" w:rsidR="001E5856" w:rsidRPr="001E5856" w:rsidRDefault="002A4F69" w:rsidP="001E5856">
      <w:pPr>
        <w:rPr>
          <w:b/>
        </w:rPr>
      </w:pPr>
      <w:r w:rsidRPr="001E5856">
        <w:rPr>
          <w:b/>
        </w:rPr>
        <w:t>Kontrolované osoby:</w:t>
      </w:r>
    </w:p>
    <w:p w14:paraId="181AA7B3" w14:textId="77777777" w:rsidR="001E5856" w:rsidRDefault="002A4F69" w:rsidP="001E5856">
      <w:r>
        <w:t>Ministerstvo dopravy (dále také „MD“),</w:t>
      </w:r>
    </w:p>
    <w:p w14:paraId="51A03194" w14:textId="77777777" w:rsidR="00731D38" w:rsidRDefault="002A4F69" w:rsidP="001E5856">
      <w:r>
        <w:t>Ředitelství silnic a dálnic ČR, Praha (dále také „ŘSD“).</w:t>
      </w:r>
    </w:p>
    <w:p w14:paraId="099AD369" w14:textId="77777777" w:rsidR="00731D38" w:rsidRDefault="00731D38" w:rsidP="00731D38"/>
    <w:p w14:paraId="13AD120D" w14:textId="77777777" w:rsidR="001E5856" w:rsidRDefault="001E5856" w:rsidP="00731D38"/>
    <w:p w14:paraId="719A4B52" w14:textId="77777777" w:rsidR="002B36E3" w:rsidRDefault="002B36E3" w:rsidP="00731D38"/>
    <w:p w14:paraId="47487762" w14:textId="77777777" w:rsidR="001E5856" w:rsidRDefault="002A4F69" w:rsidP="001E5856">
      <w:pPr>
        <w:spacing w:after="120"/>
      </w:pPr>
      <w:r w:rsidRPr="00F66C33">
        <w:rPr>
          <w:b/>
          <w:i/>
          <w:spacing w:val="60"/>
        </w:rPr>
        <w:t>Kolegium NKÚ</w:t>
      </w:r>
      <w:r>
        <w:rPr>
          <w:spacing w:val="60"/>
        </w:rPr>
        <w:t xml:space="preserve"> </w:t>
      </w:r>
      <w:r>
        <w:t xml:space="preserve">na </w:t>
      </w:r>
      <w:r w:rsidRPr="000B44FC">
        <w:t>svém</w:t>
      </w:r>
      <w:r w:rsidR="005A34D8" w:rsidRPr="000B44FC">
        <w:t xml:space="preserve"> </w:t>
      </w:r>
      <w:r w:rsidR="000B44FC" w:rsidRPr="000B44FC">
        <w:t xml:space="preserve">XIV. </w:t>
      </w:r>
      <w:r w:rsidRPr="000B44FC">
        <w:t>jednání</w:t>
      </w:r>
      <w:r>
        <w:t>, které se konalo dne</w:t>
      </w:r>
      <w:r w:rsidR="000B44FC">
        <w:t xml:space="preserve"> 18. září </w:t>
      </w:r>
      <w:r>
        <w:t xml:space="preserve">2023, </w:t>
      </w:r>
    </w:p>
    <w:p w14:paraId="4218C856" w14:textId="77777777" w:rsidR="001E5856" w:rsidRDefault="002A4F69" w:rsidP="001E5856">
      <w:pPr>
        <w:spacing w:after="120"/>
      </w:pPr>
      <w:r w:rsidRPr="00F66C33">
        <w:rPr>
          <w:b/>
          <w:i/>
          <w:spacing w:val="60"/>
        </w:rPr>
        <w:t>schválilo</w:t>
      </w:r>
      <w:r>
        <w:rPr>
          <w:b/>
          <w:i/>
          <w:spacing w:val="60"/>
        </w:rPr>
        <w:t xml:space="preserve"> </w:t>
      </w:r>
      <w:r>
        <w:t xml:space="preserve">usnesením </w:t>
      </w:r>
      <w:r w:rsidRPr="000B44FC">
        <w:t>č.</w:t>
      </w:r>
      <w:r w:rsidR="00F40A66">
        <w:t xml:space="preserve"> 9</w:t>
      </w:r>
      <w:r w:rsidR="000B44FC" w:rsidRPr="000B44FC">
        <w:t>/XIV</w:t>
      </w:r>
      <w:r w:rsidRPr="000B44FC">
        <w:t>/2023</w:t>
      </w:r>
    </w:p>
    <w:p w14:paraId="4BCA6DFF" w14:textId="77777777" w:rsidR="001E5856" w:rsidRDefault="002A4F69" w:rsidP="001E5856">
      <w:r w:rsidRPr="00F66C33">
        <w:rPr>
          <w:b/>
          <w:i/>
          <w:spacing w:val="60"/>
        </w:rPr>
        <w:t>kontroln</w:t>
      </w:r>
      <w:r>
        <w:rPr>
          <w:b/>
          <w:i/>
          <w:spacing w:val="60"/>
        </w:rPr>
        <w:t xml:space="preserve">í </w:t>
      </w:r>
      <w:r w:rsidRPr="00F66C33">
        <w:rPr>
          <w:b/>
          <w:i/>
          <w:spacing w:val="60"/>
        </w:rPr>
        <w:t>závěr</w:t>
      </w:r>
      <w:r>
        <w:rPr>
          <w:b/>
          <w:i/>
          <w:spacing w:val="60"/>
        </w:rPr>
        <w:t xml:space="preserve"> </w:t>
      </w:r>
      <w:r>
        <w:t>v tomto znění:</w:t>
      </w:r>
    </w:p>
    <w:p w14:paraId="2FEAB8EA" w14:textId="77777777" w:rsidR="001E5856" w:rsidRDefault="001E5856" w:rsidP="00731D38"/>
    <w:p w14:paraId="5AC4A45A" w14:textId="77777777" w:rsidR="001E5856" w:rsidRDefault="001E5856" w:rsidP="00731D38"/>
    <w:p w14:paraId="44E1E524" w14:textId="77777777" w:rsidR="001E5856" w:rsidRDefault="001E5856" w:rsidP="00731D38"/>
    <w:p w14:paraId="292064C1" w14:textId="77777777" w:rsidR="00565B11" w:rsidRDefault="00565B11">
      <w:pPr>
        <w:spacing w:after="160" w:line="259" w:lineRule="auto"/>
        <w:jc w:val="left"/>
      </w:pPr>
      <w:r>
        <w:br w:type="page"/>
      </w:r>
    </w:p>
    <w:p w14:paraId="5AC60F50" w14:textId="77777777" w:rsidR="001E5856" w:rsidRPr="00E62732" w:rsidRDefault="002A4F69" w:rsidP="00983A6B">
      <w:pPr>
        <w:spacing w:before="480"/>
        <w:jc w:val="center"/>
        <w:rPr>
          <w:color w:val="004595"/>
          <w:sz w:val="32"/>
        </w:rPr>
      </w:pPr>
      <w:r w:rsidRPr="00E62732">
        <w:rPr>
          <w:b/>
          <w:color w:val="004595"/>
          <w:sz w:val="36"/>
        </w:rPr>
        <w:lastRenderedPageBreak/>
        <w:t>Výstavba dálnice D35</w:t>
      </w:r>
    </w:p>
    <w:p w14:paraId="7B4649AC" w14:textId="77777777" w:rsidR="00933E43" w:rsidRDefault="00933E43" w:rsidP="00B56DC4">
      <w:pPr>
        <w:spacing w:after="120"/>
      </w:pPr>
    </w:p>
    <w:p w14:paraId="528554FA" w14:textId="77777777" w:rsidR="00B56DC4" w:rsidRDefault="00CF67AC" w:rsidP="00731D38">
      <w:r w:rsidRPr="00E62732">
        <w:rPr>
          <w:b/>
          <w:noProof/>
          <w:color w:val="004595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BA0BB" wp14:editId="1752149B">
                <wp:simplePos x="0" y="0"/>
                <wp:positionH relativeFrom="margin">
                  <wp:posOffset>12065</wp:posOffset>
                </wp:positionH>
                <wp:positionV relativeFrom="paragraph">
                  <wp:posOffset>117670</wp:posOffset>
                </wp:positionV>
                <wp:extent cx="5760000" cy="11430"/>
                <wp:effectExtent l="0" t="0" r="31750" b="2667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5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38E2D" id="Přímá spojnice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9.25pt" to="454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j87AEAABMEAAAOAAAAZHJzL2Uyb0RvYy54bWysU0tu2zAQ3RfoHQjua0lJnDaC5SwSpJui&#10;NfrJnqaGFgP+QLKWfJQue4CeIui9MqRkNWiLACmqBaHhzHuc94ZcXQ5akT34IK1paLUoKQHDbSvN&#10;rqFfPt+8ekNJiMy0TFkDDT1AoJfrly9WvavhxHZWteAJkphQ966hXYyuLorAO9AsLKwDg0lhvWYR&#10;Q78rWs96ZNeqOCnL86K3vnXecggBd6/HJF1nfiGAxw9CBIhENRR7i3n1ed2mtVivWL3zzHWST22w&#10;f+hCM2nw0JnqmkVGvnr5B5WW3NtgRVxwqwsrhOSQNaCaqvxNzaeOOcha0JzgZpvC/6Pl7/cbT2SL&#10;s0N7DNM4o83Pb/c/9P13Epy9M9ggwRwa1btQY/2V2fgpCm7jk+pBeE2Eku4WebIPqIwM2ebDbDMM&#10;kXDcXL4+L/GjhGOuqs5OM3sx0iQ650N8C1aT9NNQJU1ygdVs/y5EPBpLjyVpW5m0BqtkeyOVyoHf&#10;ba+UJ3uW5l6eLS+WSQECH5VhlKBF0jUqyX/xoGCk/QgCrcGOR035UsJMyzgHE6uJVxmsTjCBLczA&#10;Mvf9JHCqT1DIF/Y54BmRT7YmzmAtjfV/Oz0Ox5bFWH90YNSdLNja9pBnnK3Bm5edm15JutqP4wz/&#10;9ZbXDwAAAP//AwBQSwMEFAAGAAgAAAAhAOPihDrcAAAABwEAAA8AAABkcnMvZG93bnJldi54bWxM&#10;j8FOwzAQRO9I/IO1SNyo3VSgJsSpIiSuSKQ05ejGSxI1Xkexm4a/ZznBaTWa0eybfLe4Qcw4hd6T&#10;hvVKgUBqvO2p1fCxf33YggjRkDWDJ9TwjQF2xe1NbjLrr/SOcxVbwSUUMqOhi3HMpAxNh86ElR+R&#10;2PvykzOR5dRKO5krl7tBJko9SWd64g+dGfGlw+ZcXZyGOv109aau9uvzYU6OsSoPb0Op9f3dUj6D&#10;iLjEvzD84jM6FMx08heyQQysUw7y2T6CYDtVKU87aUjUBmSRy//8xQ8AAAD//wMAUEsBAi0AFAAG&#10;AAgAAAAhALaDOJL+AAAA4QEAABMAAAAAAAAAAAAAAAAAAAAAAFtDb250ZW50X1R5cGVzXS54bWxQ&#10;SwECLQAUAAYACAAAACEAOP0h/9YAAACUAQAACwAAAAAAAAAAAAAAAAAvAQAAX3JlbHMvLnJlbHNQ&#10;SwECLQAUAAYACAAAACEAmzUo/OwBAAATBAAADgAAAAAAAAAAAAAAAAAuAgAAZHJzL2Uyb0RvYy54&#10;bWxQSwECLQAUAAYACAAAACEA4+KEOtwAAAAHAQAADwAAAAAAAAAAAAAAAABGBAAAZHJzL2Rvd25y&#10;ZXYueG1sUEsFBgAAAAAEAAQA8wAAAE8FAAAAAA==&#10;" strokecolor="#004595" strokeweight=".5pt">
                <v:stroke joinstyle="miter"/>
                <w10:wrap anchorx="margin"/>
              </v:line>
            </w:pict>
          </mc:Fallback>
        </mc:AlternateContent>
      </w:r>
    </w:p>
    <w:p w14:paraId="6019E0A5" w14:textId="77777777" w:rsidR="00B94B80" w:rsidRDefault="00B94B80" w:rsidP="00CF67AC">
      <w:pPr>
        <w:tabs>
          <w:tab w:val="left" w:pos="1115"/>
        </w:tabs>
        <w:ind w:left="1416" w:hanging="1416"/>
      </w:pPr>
    </w:p>
    <w:p w14:paraId="5BCC145F" w14:textId="77777777" w:rsidR="001E5856" w:rsidRDefault="001E5856" w:rsidP="00CF67AC">
      <w:pPr>
        <w:tabs>
          <w:tab w:val="left" w:pos="1115"/>
        </w:tabs>
        <w:ind w:left="1416" w:hanging="1416"/>
      </w:pPr>
    </w:p>
    <w:tbl>
      <w:tblPr>
        <w:tblpPr w:leftFromText="141" w:rightFromText="141" w:vertAnchor="text" w:horzAnchor="margin" w:tblpY="265"/>
        <w:tblOverlap w:val="never"/>
        <w:tblW w:w="5000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056F" w:rsidRPr="00E06AAB" w14:paraId="1F1B8B69" w14:textId="77777777" w:rsidTr="00D61281">
        <w:trPr>
          <w:trHeight w:val="2015"/>
        </w:trPr>
        <w:tc>
          <w:tcPr>
            <w:tcW w:w="1667" w:type="pct"/>
          </w:tcPr>
          <w:p w14:paraId="3F367912" w14:textId="77777777" w:rsidR="00D4056F" w:rsidRPr="009F0AC7" w:rsidRDefault="00D4056F" w:rsidP="00D4056F">
            <w:pPr>
              <w:spacing w:line="36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bookmarkStart w:id="1" w:name="_Hlk129164814"/>
            <w:r w:rsidRPr="00B56DC4">
              <w:rPr>
                <w:rFonts w:eastAsia="MS Gothic"/>
                <w:b/>
                <w:bCs/>
                <w:color w:val="000000"/>
                <w:sz w:val="48"/>
                <w:szCs w:val="36"/>
              </w:rPr>
              <w:t>90 km (43 %)</w:t>
            </w:r>
          </w:p>
          <w:p w14:paraId="27CF8B58" w14:textId="77777777" w:rsidR="00D4056F" w:rsidRPr="00D4056F" w:rsidRDefault="00D4056F" w:rsidP="00D4056F">
            <w:pPr>
              <w:jc w:val="center"/>
              <w:rPr>
                <w:color w:val="000000" w:themeColor="text1"/>
                <w:sz w:val="22"/>
              </w:rPr>
            </w:pPr>
            <w:r w:rsidRPr="00B56DC4">
              <w:rPr>
                <w:color w:val="000000" w:themeColor="text1"/>
              </w:rPr>
              <w:t>zprovozněno z 210 km celkové plánované délky dálnice D35</w:t>
            </w:r>
            <w:r w:rsidRPr="00B56DC4">
              <w:rPr>
                <w:sz w:val="20"/>
                <w:szCs w:val="20"/>
              </w:rPr>
              <w:t xml:space="preserve"> </w:t>
            </w:r>
          </w:p>
          <w:bookmarkEnd w:id="1"/>
          <w:p w14:paraId="602186B5" w14:textId="77777777" w:rsidR="00D4056F" w:rsidRPr="00DC0359" w:rsidRDefault="00D4056F" w:rsidP="00D4056F">
            <w:pPr>
              <w:ind w:right="-26"/>
              <w:jc w:val="center"/>
              <w:rPr>
                <w:rStyle w:val="A1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0139C27F" w14:textId="77777777" w:rsidR="00D4056F" w:rsidRPr="00B56DC4" w:rsidRDefault="00D4056F" w:rsidP="00D4056F">
            <w:pPr>
              <w:spacing w:line="360" w:lineRule="auto"/>
              <w:jc w:val="center"/>
              <w:rPr>
                <w:rFonts w:cstheme="minorHAnsi"/>
                <w:b/>
                <w:sz w:val="48"/>
                <w:szCs w:val="36"/>
              </w:rPr>
            </w:pPr>
            <w:r w:rsidRPr="00B56DC4">
              <w:rPr>
                <w:rFonts w:cstheme="minorHAnsi"/>
                <w:b/>
                <w:bCs/>
                <w:color w:val="FF0000"/>
                <w:sz w:val="48"/>
                <w:szCs w:val="36"/>
              </w:rPr>
              <w:t>12 let</w:t>
            </w:r>
          </w:p>
          <w:p w14:paraId="1FE73577" w14:textId="77777777" w:rsidR="00D4056F" w:rsidRPr="00B512E4" w:rsidRDefault="00D4056F" w:rsidP="00D4056F">
            <w:pPr>
              <w:jc w:val="center"/>
              <w:rPr>
                <w:color w:val="000000" w:themeColor="text1"/>
              </w:rPr>
            </w:pPr>
            <w:r w:rsidRPr="00B56DC4">
              <w:rPr>
                <w:color w:val="000000" w:themeColor="text1"/>
              </w:rPr>
              <w:t xml:space="preserve">průměrná doba trvání přípravy </w:t>
            </w:r>
            <w:r w:rsidR="00B56DC4" w:rsidRPr="00B56DC4">
              <w:rPr>
                <w:color w:val="000000" w:themeColor="text1"/>
              </w:rPr>
              <w:t xml:space="preserve">14 kontrolovaných úseků </w:t>
            </w:r>
            <w:r w:rsidRPr="00B56DC4">
              <w:rPr>
                <w:color w:val="000000" w:themeColor="text1"/>
              </w:rPr>
              <w:t>dálnice D35</w:t>
            </w:r>
          </w:p>
        </w:tc>
        <w:tc>
          <w:tcPr>
            <w:tcW w:w="1666" w:type="pct"/>
          </w:tcPr>
          <w:p w14:paraId="03FAD9F9" w14:textId="77777777" w:rsidR="00D4056F" w:rsidRPr="009F0AC7" w:rsidRDefault="00D4056F" w:rsidP="00D4056F">
            <w:pPr>
              <w:spacing w:line="36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56DC4">
              <w:rPr>
                <w:rFonts w:cstheme="minorHAnsi"/>
                <w:b/>
                <w:bCs/>
                <w:sz w:val="48"/>
                <w:szCs w:val="36"/>
              </w:rPr>
              <w:t>96,6 mld. Kč</w:t>
            </w:r>
          </w:p>
          <w:p w14:paraId="4988C5DD" w14:textId="77777777" w:rsidR="00D4056F" w:rsidRPr="00B512E4" w:rsidRDefault="00D4056F" w:rsidP="00D4056F">
            <w:pPr>
              <w:jc w:val="center"/>
              <w:rPr>
                <w:color w:val="000000" w:themeColor="text1"/>
              </w:rPr>
            </w:pPr>
            <w:r w:rsidRPr="00B56DC4">
              <w:rPr>
                <w:color w:val="000000" w:themeColor="text1"/>
              </w:rPr>
              <w:t>předpokládané náklady na přípravu a výstavbu 14 kontrolovaných úseků dálnice D35</w:t>
            </w:r>
          </w:p>
        </w:tc>
      </w:tr>
    </w:tbl>
    <w:p w14:paraId="7EC00E50" w14:textId="77777777" w:rsidR="002A086B" w:rsidRDefault="002A086B" w:rsidP="00B56DC4">
      <w:pPr>
        <w:spacing w:after="120"/>
      </w:pPr>
    </w:p>
    <w:p w14:paraId="28F204BB" w14:textId="77777777" w:rsidR="00B56DC4" w:rsidRDefault="00B56DC4" w:rsidP="00731D38"/>
    <w:p w14:paraId="67AC4289" w14:textId="77777777" w:rsidR="002A086B" w:rsidRDefault="00D4056F" w:rsidP="00CF67AC">
      <w:pPr>
        <w:tabs>
          <w:tab w:val="left" w:pos="1747"/>
          <w:tab w:val="center" w:pos="4536"/>
        </w:tabs>
      </w:pPr>
      <w:r w:rsidRPr="00E62732">
        <w:rPr>
          <w:b/>
          <w:noProof/>
          <w:color w:val="004595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D3CB9" wp14:editId="223F6AD0">
                <wp:simplePos x="0" y="0"/>
                <wp:positionH relativeFrom="margin">
                  <wp:posOffset>2207615</wp:posOffset>
                </wp:positionH>
                <wp:positionV relativeFrom="paragraph">
                  <wp:posOffset>76663</wp:posOffset>
                </wp:positionV>
                <wp:extent cx="3564341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34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5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B3969" id="Přímá spojnice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85pt,6.05pt" to="454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5K4AEAAAUEAAAOAAAAZHJzL2Uyb0RvYy54bWysU0tu2zAQ3RfIHQjua0mJHTSC5SwSJJsg&#10;Nfo5AE0NLRb8gWQt+Shd9gA9RdB7dUjJStAWKFp0M9KQ8968eSTX14NW5AA+SGsaWi1KSsBw20qz&#10;b+jHD3ev31ASIjMtU9ZAQ48Q6PXm7NW6dzWc286qFjxBEhPq3jW0i9HVRRF4B5qFhXVgcFNYr1nE&#10;1O+L1rMe2bUqzsvysuitb523HELA1dtxk24yvxDA41shAkSiGoraYo4+x12KxWbN6r1nrpN8ksH+&#10;QYVm0mDTmeqWRUY+e/kLlZbc22BFXHCrCyuE5JBnwGmq8qdp3nfMQZ4FzQlutin8P1r+eNh6Ils8&#10;uytKDNN4RtvvX56+6aevJDj7yaBAgntoVO9CjfU3ZuunLLitT1MPwuv0xXnIkM09zubCEAnHxYvV&#10;5fJiWVHCT3vFM9D5EO/BapJ+GqqkSXOzmh0eQsRmWHoqScvKpBisku2dVConfr+7UZ4cWDrpcrm6&#10;WiXNCHxRhlmCFmmSUXv+i0cFI+07EGgGqq1y+3wNYaZlnIOJ1cSrDFYnmEAJM7D8M3CqT1DIV/Rv&#10;wDMid7YmzmAtjfW/6x6Hk2Qx1p8cGOdOFuxse8ynmq3Bu5adm95Fuswv8wx/fr2bHwAAAP//AwBQ&#10;SwMEFAAGAAgAAAAhAG2isWrfAAAACQEAAA8AAABkcnMvZG93bnJldi54bWxMj81OwzAQhO9IfQdr&#10;kbhUrdNStTTEqQpSOXCjPxLc3HhJosbrYLtNeHsWcaDHnfk0O5OtetuIC/pQO1IwGScgkApnaioV&#10;7Heb0QOIEDUZ3ThCBd8YYJUPbjKdGtfRG162sRQcQiHVCqoY21TKUFRodRi7Fom9T+etjnz6Uhqv&#10;Ow63jZwmyVxaXRN/qHSLzxUWp+3ZKpDDbvb69CXxvfXrl+HHLmwOh6DU3W2/fgQRsY//MPzW5+qQ&#10;c6ejO5MJolFwP1ssGGVjOgHBwDJZ8rjjnyDzTF4vyH8AAAD//wMAUEsBAi0AFAAGAAgAAAAhALaD&#10;OJL+AAAA4QEAABMAAAAAAAAAAAAAAAAAAAAAAFtDb250ZW50X1R5cGVzXS54bWxQSwECLQAUAAYA&#10;CAAAACEAOP0h/9YAAACUAQAACwAAAAAAAAAAAAAAAAAvAQAAX3JlbHMvLnJlbHNQSwECLQAUAAYA&#10;CAAAACEAdTT+SuABAAAFBAAADgAAAAAAAAAAAAAAAAAuAgAAZHJzL2Uyb0RvYy54bWxQSwECLQAU&#10;AAYACAAAACEAbaKxat8AAAAJAQAADwAAAAAAAAAAAAAAAAA6BAAAZHJzL2Rvd25yZXYueG1sUEsF&#10;BgAAAAAEAAQA8wAAAEYFAAAAAA==&#10;" strokecolor="#004595" strokeweight=".5pt">
                <v:stroke joinstyle="miter"/>
                <w10:wrap anchorx="margin"/>
              </v:line>
            </w:pict>
          </mc:Fallback>
        </mc:AlternateContent>
      </w:r>
      <w:r w:rsidRPr="00E62732">
        <w:rPr>
          <w:b/>
          <w:noProof/>
          <w:color w:val="004595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16CB9" wp14:editId="49E4FA21">
                <wp:simplePos x="0" y="0"/>
                <wp:positionH relativeFrom="margin">
                  <wp:posOffset>-635</wp:posOffset>
                </wp:positionH>
                <wp:positionV relativeFrom="paragraph">
                  <wp:posOffset>77470</wp:posOffset>
                </wp:positionV>
                <wp:extent cx="2346960" cy="0"/>
                <wp:effectExtent l="0" t="0" r="0" b="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5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9353F" id="Přímá spojnice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6.1pt" to="18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yV3wEAAAUEAAAOAAAAZHJzL2Uyb0RvYy54bWysU82O0zAQviPxDpbv1GnZrdio6R52tVwQ&#10;VLA8gOuMGyP/yTZN+igceQCeYsV7MXbS7AqQEIiLk7Hn++abb+zN9WA0OUKIytmGLhcVJWCFa5U9&#10;NPTj/d2LV5TExG3LtbPQ0BNEer19/mzT+xpWrnO6hUCQxMa69w3tUvI1Y1F0YHhcOA8WD6ULhicM&#10;w4G1gffIbjRbVdWa9S60PjgBMeLu7XhIt4VfShDpnZQREtENRW2prKGs+7yy7YbXh8B9p8Qkg/+D&#10;CsOVxaIz1S1PnHwO6hcqo0Rw0cm0EM4wJ6USUHrAbpbVT9186LiH0guaE/1sU/x/tOLtcReIanF2&#10;OCnLDc5o9/3Lwzfz8JVE7z5ZFEjwDI3qfawx/8buwhRFvwu560EGk7/YDxmKuafZXBgSEbi5enmx&#10;vlrjDMT5jD0CfYjpNThD8k9DtbK5b17z45uYsBimnlPytrZ5jU6r9k5pXYJw2N/oQI48T7q6uLy6&#10;zJoR+CQNowxluZNRe/lLJw0j7XuQaAaqXZby5RrCTMuFAJuWE6+2mJ1hEiXMwOrPwCk/Q6Fc0b8B&#10;z4hS2dk0g42yLvyuehrOkuWYf3Zg7DtbsHftqUy1WIN3rTg3vYt8mZ/GBf74erc/AAAA//8DAFBL&#10;AwQUAAYACAAAACEAmM+YgtwAAAAHAQAADwAAAGRycy9kb3ducmV2LnhtbEyOzU7CQBSF9ya8w+SS&#10;uCEwpSrR2ilBE1y4AyTR3dC5to2dO3VmoOXtvYaFLs9Pzvny5WBbcUIfGkcK5rMEBFLpTEOVgrfd&#10;enoPIkRNRreOUMEZAyyL0VWuM+N62uBpGyvBIxQyraCOscukDGWNVoeZ65A4+3Te6sjSV9J43fO4&#10;bWWaJAtpdUP8UOsOn2ssv7ZHq0BO+tvXp2+J751fvUw+dmG93welrsfD6hFExCH+leEXn9GhYKaD&#10;O5IJolUwnXOR7TQFwfHN4uEOxOFiyCKX//mLHwAAAP//AwBQSwECLQAUAAYACAAAACEAtoM4kv4A&#10;AADhAQAAEwAAAAAAAAAAAAAAAAAAAAAAW0NvbnRlbnRfVHlwZXNdLnhtbFBLAQItABQABgAIAAAA&#10;IQA4/SH/1gAAAJQBAAALAAAAAAAAAAAAAAAAAC8BAABfcmVscy8ucmVsc1BLAQItABQABgAIAAAA&#10;IQCu5ZyV3wEAAAUEAAAOAAAAAAAAAAAAAAAAAC4CAABkcnMvZTJvRG9jLnhtbFBLAQItABQABgAI&#10;AAAAIQCYz5iC3AAAAAcBAAAPAAAAAAAAAAAAAAAAADkEAABkcnMvZG93bnJldi54bWxQSwUGAAAA&#10;AAQABADzAAAAQgUAAAAA&#10;" strokecolor="#004595" strokeweight=".5pt">
                <v:stroke joinstyle="miter"/>
                <w10:wrap anchorx="margin"/>
              </v:line>
            </w:pict>
          </mc:Fallback>
        </mc:AlternateContent>
      </w:r>
    </w:p>
    <w:p w14:paraId="56818258" w14:textId="77777777" w:rsidR="00B56DC4" w:rsidRDefault="00B56DC4" w:rsidP="00B56DC4"/>
    <w:p w14:paraId="41725E7C" w14:textId="77777777" w:rsidR="00D4056F" w:rsidRPr="00D4056F" w:rsidRDefault="00D4056F" w:rsidP="00B56DC4">
      <w:pPr>
        <w:spacing w:after="120"/>
        <w:ind w:left="3119" w:hanging="2977"/>
        <w:rPr>
          <w:color w:val="000000" w:themeColor="text1"/>
          <w:sz w:val="22"/>
          <w:szCs w:val="22"/>
        </w:rPr>
      </w:pPr>
      <w:r w:rsidRPr="00B56DC4">
        <w:rPr>
          <w:b/>
          <w:bCs/>
          <w:sz w:val="36"/>
          <w:szCs w:val="36"/>
        </w:rPr>
        <w:t>13,4 mld. Kč</w:t>
      </w:r>
      <w:r w:rsidR="00B56DC4" w:rsidRPr="00B56DC4">
        <w:rPr>
          <w:sz w:val="22"/>
          <w:szCs w:val="22"/>
        </w:rPr>
        <w:tab/>
      </w:r>
      <w:r w:rsidRPr="00E62732">
        <w:rPr>
          <w:color w:val="000000" w:themeColor="text1"/>
          <w:szCs w:val="22"/>
        </w:rPr>
        <w:t>vynaloženo na přípravu a výstavbu 14 kontrolovaných úseků</w:t>
      </w:r>
    </w:p>
    <w:p w14:paraId="5B9F7FD4" w14:textId="77777777" w:rsidR="00D4056F" w:rsidRPr="00B56DC4" w:rsidRDefault="00D4056F" w:rsidP="00D4056F">
      <w:pPr>
        <w:rPr>
          <w:color w:val="000000" w:themeColor="text1"/>
        </w:rPr>
      </w:pPr>
    </w:p>
    <w:p w14:paraId="10F7DE7B" w14:textId="77777777" w:rsidR="00D4056F" w:rsidRPr="00D4056F" w:rsidRDefault="00D4056F" w:rsidP="00B56DC4">
      <w:pPr>
        <w:spacing w:after="120"/>
        <w:ind w:left="3119" w:hanging="2977"/>
        <w:rPr>
          <w:color w:val="000000" w:themeColor="text1"/>
          <w:sz w:val="22"/>
          <w:szCs w:val="22"/>
        </w:rPr>
      </w:pPr>
      <w:r w:rsidRPr="00B56DC4">
        <w:rPr>
          <w:b/>
          <w:bCs/>
          <w:sz w:val="36"/>
          <w:szCs w:val="36"/>
        </w:rPr>
        <w:t>1978</w:t>
      </w:r>
      <w:r w:rsidRPr="00B56DC4">
        <w:rPr>
          <w:sz w:val="22"/>
          <w:szCs w:val="22"/>
        </w:rPr>
        <w:tab/>
      </w:r>
      <w:r w:rsidRPr="00E62732">
        <w:rPr>
          <w:color w:val="000000" w:themeColor="text1"/>
          <w:szCs w:val="22"/>
        </w:rPr>
        <w:t>rok zprovoznění prvního úseku</w:t>
      </w:r>
    </w:p>
    <w:p w14:paraId="101ECED5" w14:textId="77777777" w:rsidR="00D4056F" w:rsidRPr="00B56DC4" w:rsidRDefault="00D4056F" w:rsidP="00D4056F">
      <w:pPr>
        <w:rPr>
          <w:b/>
        </w:rPr>
      </w:pPr>
    </w:p>
    <w:p w14:paraId="08F1730F" w14:textId="77777777" w:rsidR="00D4056F" w:rsidRPr="00D4056F" w:rsidRDefault="00D4056F" w:rsidP="00B56DC4">
      <w:pPr>
        <w:spacing w:after="120"/>
        <w:ind w:left="3119" w:hanging="2977"/>
        <w:rPr>
          <w:b/>
          <w:color w:val="000000" w:themeColor="text1"/>
          <w:sz w:val="22"/>
          <w:szCs w:val="22"/>
        </w:rPr>
      </w:pPr>
      <w:r w:rsidRPr="00B56DC4">
        <w:rPr>
          <w:b/>
          <w:bCs/>
          <w:sz w:val="36"/>
          <w:szCs w:val="36"/>
        </w:rPr>
        <w:t>2030</w:t>
      </w:r>
      <w:r w:rsidRPr="00B56DC4">
        <w:rPr>
          <w:sz w:val="22"/>
          <w:szCs w:val="22"/>
        </w:rPr>
        <w:tab/>
      </w:r>
      <w:r w:rsidRPr="00E62732">
        <w:rPr>
          <w:color w:val="000000" w:themeColor="text1"/>
          <w:szCs w:val="22"/>
        </w:rPr>
        <w:t>rok předpokládaného dokončení výstavby dálnice D35</w:t>
      </w:r>
    </w:p>
    <w:p w14:paraId="31D7CA56" w14:textId="77777777" w:rsidR="00D4056F" w:rsidRPr="00B56DC4" w:rsidRDefault="00D4056F" w:rsidP="00D4056F">
      <w:pPr>
        <w:rPr>
          <w:b/>
          <w:color w:val="000000" w:themeColor="text1"/>
        </w:rPr>
      </w:pPr>
    </w:p>
    <w:p w14:paraId="3E7A0E73" w14:textId="77777777" w:rsidR="00D4056F" w:rsidRPr="00D4056F" w:rsidRDefault="00D4056F" w:rsidP="00B56DC4">
      <w:pPr>
        <w:spacing w:after="120"/>
        <w:ind w:left="3119" w:hanging="2977"/>
        <w:rPr>
          <w:b/>
          <w:color w:val="000000" w:themeColor="text1"/>
          <w:sz w:val="22"/>
          <w:szCs w:val="22"/>
        </w:rPr>
      </w:pPr>
      <w:r w:rsidRPr="00B56DC4">
        <w:rPr>
          <w:b/>
          <w:color w:val="000000" w:themeColor="text1"/>
          <w:sz w:val="36"/>
          <w:szCs w:val="36"/>
        </w:rPr>
        <w:t xml:space="preserve">1,5 </w:t>
      </w:r>
      <w:r w:rsidRPr="00B56DC4">
        <w:rPr>
          <w:b/>
          <w:bCs/>
          <w:sz w:val="36"/>
          <w:szCs w:val="36"/>
        </w:rPr>
        <w:t>mld</w:t>
      </w:r>
      <w:r w:rsidRPr="00B56DC4">
        <w:rPr>
          <w:b/>
          <w:color w:val="000000" w:themeColor="text1"/>
          <w:sz w:val="36"/>
          <w:szCs w:val="36"/>
        </w:rPr>
        <w:t>. Kč</w:t>
      </w:r>
      <w:r w:rsidRPr="00B56DC4">
        <w:rPr>
          <w:color w:val="000000" w:themeColor="text1"/>
          <w:sz w:val="22"/>
          <w:szCs w:val="22"/>
        </w:rPr>
        <w:tab/>
      </w:r>
      <w:r w:rsidRPr="00E62732">
        <w:rPr>
          <w:color w:val="000000" w:themeColor="text1"/>
          <w:szCs w:val="22"/>
        </w:rPr>
        <w:t xml:space="preserve">hodnota smluv uzavřených do </w:t>
      </w:r>
      <w:r w:rsidR="003A6E59" w:rsidRPr="00E62732">
        <w:rPr>
          <w:color w:val="000000" w:themeColor="text1"/>
          <w:szCs w:val="22"/>
        </w:rPr>
        <w:t>dubna 2023</w:t>
      </w:r>
      <w:r w:rsidRPr="00E62732">
        <w:rPr>
          <w:color w:val="000000" w:themeColor="text1"/>
          <w:szCs w:val="22"/>
        </w:rPr>
        <w:t xml:space="preserve"> v souvislosti s prováděním záchranného archeologického výzkumu</w:t>
      </w:r>
    </w:p>
    <w:p w14:paraId="6B891702" w14:textId="77777777" w:rsidR="00D4056F" w:rsidRPr="00B56DC4" w:rsidRDefault="00D4056F" w:rsidP="00D4056F">
      <w:pPr>
        <w:rPr>
          <w:b/>
          <w:color w:val="000000" w:themeColor="text1"/>
        </w:rPr>
      </w:pPr>
    </w:p>
    <w:p w14:paraId="0544A1A4" w14:textId="77777777" w:rsidR="00D4056F" w:rsidRPr="00D4056F" w:rsidRDefault="00D4056F" w:rsidP="00B56DC4">
      <w:pPr>
        <w:ind w:left="3119" w:hanging="2977"/>
        <w:rPr>
          <w:color w:val="000000" w:themeColor="text1"/>
          <w:sz w:val="22"/>
          <w:szCs w:val="22"/>
        </w:rPr>
      </w:pPr>
      <w:r w:rsidRPr="00B56DC4">
        <w:rPr>
          <w:b/>
          <w:color w:val="000000" w:themeColor="text1"/>
          <w:sz w:val="36"/>
          <w:szCs w:val="22"/>
        </w:rPr>
        <w:t>7,6 mld. Kč (24 %)</w:t>
      </w:r>
      <w:r w:rsidR="00E62732" w:rsidRPr="00B56DC4">
        <w:rPr>
          <w:color w:val="000000" w:themeColor="text1"/>
          <w:sz w:val="22"/>
          <w:szCs w:val="22"/>
        </w:rPr>
        <w:tab/>
      </w:r>
      <w:r w:rsidRPr="00E62732">
        <w:rPr>
          <w:color w:val="000000" w:themeColor="text1"/>
          <w:szCs w:val="22"/>
        </w:rPr>
        <w:t>nárůst nákladů v</w:t>
      </w:r>
      <w:r w:rsidR="003A6E59" w:rsidRPr="00E62732">
        <w:rPr>
          <w:color w:val="000000" w:themeColor="text1"/>
          <w:szCs w:val="22"/>
        </w:rPr>
        <w:t> letech 2017–2023</w:t>
      </w:r>
      <w:r w:rsidRPr="00E62732">
        <w:rPr>
          <w:color w:val="000000" w:themeColor="text1"/>
          <w:szCs w:val="22"/>
        </w:rPr>
        <w:t xml:space="preserve"> oproti předpokladům</w:t>
      </w:r>
      <w:r w:rsidR="003A6E59" w:rsidRPr="00E62732">
        <w:rPr>
          <w:color w:val="000000" w:themeColor="text1"/>
          <w:szCs w:val="22"/>
        </w:rPr>
        <w:t xml:space="preserve"> </w:t>
      </w:r>
      <w:r w:rsidRPr="00E62732">
        <w:rPr>
          <w:color w:val="000000" w:themeColor="text1"/>
          <w:szCs w:val="22"/>
        </w:rPr>
        <w:t>uvedeným</w:t>
      </w:r>
      <w:r w:rsidR="003A6E59" w:rsidRPr="00E62732">
        <w:rPr>
          <w:color w:val="000000" w:themeColor="text1"/>
          <w:szCs w:val="22"/>
        </w:rPr>
        <w:t xml:space="preserve"> </w:t>
      </w:r>
      <w:r w:rsidRPr="00E62732">
        <w:rPr>
          <w:color w:val="000000" w:themeColor="text1"/>
          <w:szCs w:val="22"/>
        </w:rPr>
        <w:t>v koncepčním materiálu</w:t>
      </w:r>
      <w:r w:rsidR="003A6E59" w:rsidRPr="00E62732">
        <w:rPr>
          <w:color w:val="000000" w:themeColor="text1"/>
          <w:szCs w:val="22"/>
        </w:rPr>
        <w:t>*</w:t>
      </w:r>
      <w:r w:rsidRPr="00E62732">
        <w:rPr>
          <w:color w:val="000000" w:themeColor="text1"/>
          <w:szCs w:val="22"/>
        </w:rPr>
        <w:t xml:space="preserve"> MD</w:t>
      </w:r>
      <w:r w:rsidR="00933E43" w:rsidRPr="00E62732">
        <w:rPr>
          <w:color w:val="000000" w:themeColor="text1"/>
          <w:szCs w:val="22"/>
        </w:rPr>
        <w:t xml:space="preserve"> </w:t>
      </w:r>
    </w:p>
    <w:p w14:paraId="34F9B212" w14:textId="77777777" w:rsidR="006A2E9B" w:rsidRDefault="006A2E9B" w:rsidP="00731D38"/>
    <w:p w14:paraId="6A313DCB" w14:textId="77777777" w:rsidR="006A2E9B" w:rsidRDefault="006A2E9B" w:rsidP="00731D38"/>
    <w:p w14:paraId="7E1C8C1A" w14:textId="77777777" w:rsidR="006A2E9B" w:rsidRDefault="006A2E9B" w:rsidP="00731D38"/>
    <w:p w14:paraId="2837CF36" w14:textId="77777777" w:rsidR="006A2E9B" w:rsidRDefault="006A2E9B" w:rsidP="00731D38"/>
    <w:p w14:paraId="00151793" w14:textId="77777777" w:rsidR="006A2E9B" w:rsidRDefault="006A2E9B" w:rsidP="00731D38"/>
    <w:p w14:paraId="4436046B" w14:textId="77777777" w:rsidR="00AA5D69" w:rsidRDefault="00AA5D69" w:rsidP="00731D38"/>
    <w:p w14:paraId="6754688B" w14:textId="77777777" w:rsidR="00AA5D69" w:rsidRDefault="00AA5D69" w:rsidP="00731D38"/>
    <w:p w14:paraId="2C3B84A6" w14:textId="77777777" w:rsidR="00AA5D69" w:rsidRDefault="00AA5D69" w:rsidP="00731D38"/>
    <w:p w14:paraId="025C9A38" w14:textId="77777777" w:rsidR="00AA5D69" w:rsidRDefault="00AA5D69" w:rsidP="00731D38"/>
    <w:p w14:paraId="3594F584" w14:textId="77777777" w:rsidR="00564475" w:rsidRDefault="00564475" w:rsidP="00731D38"/>
    <w:p w14:paraId="2E9B9203" w14:textId="77777777" w:rsidR="00B56DC4" w:rsidRDefault="00B56DC4" w:rsidP="00731D38"/>
    <w:p w14:paraId="213D4B64" w14:textId="77777777" w:rsidR="00564475" w:rsidRPr="003A6E59" w:rsidRDefault="00564475" w:rsidP="00B56DC4">
      <w:pPr>
        <w:spacing w:before="120"/>
        <w:rPr>
          <w:sz w:val="22"/>
          <w:szCs w:val="22"/>
        </w:rPr>
      </w:pPr>
      <w:r w:rsidRPr="00933E43">
        <w:rPr>
          <w:b/>
          <w:sz w:val="22"/>
          <w:szCs w:val="22"/>
        </w:rPr>
        <w:t>*</w:t>
      </w:r>
      <w:r w:rsidRPr="00933E43">
        <w:rPr>
          <w:sz w:val="22"/>
          <w:szCs w:val="22"/>
        </w:rPr>
        <w:t xml:space="preserve"> </w:t>
      </w:r>
      <w:r w:rsidRPr="00933E43">
        <w:rPr>
          <w:i/>
          <w:sz w:val="22"/>
          <w:szCs w:val="22"/>
        </w:rPr>
        <w:t>Dopravní sektorové strategie</w:t>
      </w:r>
      <w:r w:rsidR="00565B11" w:rsidRPr="00933E43">
        <w:rPr>
          <w:i/>
          <w:sz w:val="22"/>
          <w:szCs w:val="22"/>
        </w:rPr>
        <w:t>,</w:t>
      </w:r>
      <w:r w:rsidRPr="00933E43">
        <w:rPr>
          <w:i/>
          <w:sz w:val="22"/>
          <w:szCs w:val="22"/>
        </w:rPr>
        <w:t xml:space="preserve"> 2. fáze</w:t>
      </w:r>
      <w:r w:rsidR="00565B11" w:rsidRPr="00933E43">
        <w:rPr>
          <w:i/>
          <w:sz w:val="22"/>
          <w:szCs w:val="22"/>
        </w:rPr>
        <w:t xml:space="preserve"> – Aktualizace 2017</w:t>
      </w:r>
      <w:r w:rsidRPr="00933E43">
        <w:rPr>
          <w:sz w:val="22"/>
          <w:szCs w:val="22"/>
        </w:rPr>
        <w:t>.</w:t>
      </w:r>
    </w:p>
    <w:p w14:paraId="47820E0C" w14:textId="77777777" w:rsidR="005A2715" w:rsidRPr="00B51061" w:rsidRDefault="002A4F69" w:rsidP="005838DB">
      <w:pPr>
        <w:keepNext/>
        <w:spacing w:before="600" w:after="240"/>
        <w:jc w:val="center"/>
        <w:rPr>
          <w:b/>
          <w:sz w:val="28"/>
        </w:rPr>
      </w:pPr>
      <w:r w:rsidRPr="00B51061">
        <w:rPr>
          <w:b/>
          <w:sz w:val="28"/>
        </w:rPr>
        <w:lastRenderedPageBreak/>
        <w:t>I. Shrnutí a vyhodnocení</w:t>
      </w:r>
    </w:p>
    <w:p w14:paraId="6361D094" w14:textId="77777777" w:rsidR="005A2715" w:rsidRDefault="002A4F69" w:rsidP="00731D38">
      <w:r w:rsidRPr="00174FDA">
        <w:rPr>
          <w:b/>
        </w:rPr>
        <w:t>1.1</w:t>
      </w:r>
      <w:r>
        <w:t xml:space="preserve"> </w:t>
      </w:r>
      <w:r w:rsidRPr="005A0CE2">
        <w:t xml:space="preserve">NKÚ provedl kontrolu peněžních prostředků státu a Evropské unie (dále také „EU“) určených na výstavbu dálnice D35. Cílem bylo prověřit, zda peněžní prostředky určené na přípravu a výstavbu dálnice D35 </w:t>
      </w:r>
      <w:r w:rsidR="00277032">
        <w:t xml:space="preserve">byly </w:t>
      </w:r>
      <w:r w:rsidRPr="005A0CE2">
        <w:t>vynakládány účelně, hospodárně a</w:t>
      </w:r>
      <w:r>
        <w:t> </w:t>
      </w:r>
      <w:r w:rsidRPr="005A0CE2">
        <w:t>v</w:t>
      </w:r>
      <w:r>
        <w:t> </w:t>
      </w:r>
      <w:r w:rsidRPr="005A0CE2">
        <w:t>souladu s</w:t>
      </w:r>
      <w:r>
        <w:t> </w:t>
      </w:r>
      <w:r w:rsidRPr="005A0CE2">
        <w:t>právními předpisy.</w:t>
      </w:r>
    </w:p>
    <w:p w14:paraId="3A8B9F06" w14:textId="77777777" w:rsidR="005A2715" w:rsidRDefault="005A2715" w:rsidP="00731D38"/>
    <w:p w14:paraId="19607A2E" w14:textId="77777777" w:rsidR="00F35707" w:rsidRPr="00B75CC2" w:rsidRDefault="00B75CC2" w:rsidP="00E714D2">
      <w:pPr>
        <w:spacing w:after="240"/>
        <w:rPr>
          <w:b/>
        </w:rPr>
      </w:pPr>
      <w:r w:rsidRPr="00011DEA">
        <w:rPr>
          <w:b/>
        </w:rPr>
        <w:t xml:space="preserve">1.2 </w:t>
      </w:r>
      <w:r w:rsidR="00B55526">
        <w:rPr>
          <w:b/>
        </w:rPr>
        <w:t xml:space="preserve">NKÚ </w:t>
      </w:r>
      <w:r w:rsidR="00AA58F2" w:rsidRPr="00011DEA">
        <w:rPr>
          <w:b/>
        </w:rPr>
        <w:t xml:space="preserve">v oblasti přípravy a výstavby dálnice D35 zjistil skutečnosti, které </w:t>
      </w:r>
      <w:r w:rsidR="005A3594">
        <w:rPr>
          <w:b/>
        </w:rPr>
        <w:t>významně snižují</w:t>
      </w:r>
      <w:r w:rsidR="00AA58F2" w:rsidRPr="00011DEA">
        <w:rPr>
          <w:b/>
        </w:rPr>
        <w:t xml:space="preserve"> </w:t>
      </w:r>
      <w:r w:rsidR="00E717C8">
        <w:rPr>
          <w:b/>
        </w:rPr>
        <w:t xml:space="preserve">účelnost a </w:t>
      </w:r>
      <w:r w:rsidR="00AA58F2" w:rsidRPr="00011DEA">
        <w:rPr>
          <w:b/>
        </w:rPr>
        <w:t>hospodárnost vynakládání peněžních prostředků. Jednalo se zejména o</w:t>
      </w:r>
      <w:r w:rsidR="00AB38ED">
        <w:rPr>
          <w:b/>
        </w:rPr>
        <w:t> </w:t>
      </w:r>
      <w:r w:rsidR="00AA58F2" w:rsidRPr="00011DEA">
        <w:rPr>
          <w:b/>
        </w:rPr>
        <w:t>neplnění koncepčních záměrů výstavby dálnice D35, zpoždění staveb z důvodu dlouhého majetkoprávního vypořádání</w:t>
      </w:r>
      <w:r w:rsidR="00B55526">
        <w:rPr>
          <w:b/>
        </w:rPr>
        <w:t xml:space="preserve"> a z důvodu neúplných</w:t>
      </w:r>
      <w:r w:rsidR="00AA58F2" w:rsidRPr="00011DEA">
        <w:rPr>
          <w:b/>
        </w:rPr>
        <w:t xml:space="preserve"> podkladů ŘSD pro územní řízení, nárůst nákladů z důvodu prodlužování přípravy staveb a</w:t>
      </w:r>
      <w:r w:rsidR="00602331" w:rsidRPr="00011DEA">
        <w:rPr>
          <w:b/>
        </w:rPr>
        <w:t> </w:t>
      </w:r>
      <w:r w:rsidR="00AA58F2" w:rsidRPr="00011DEA">
        <w:rPr>
          <w:b/>
        </w:rPr>
        <w:t>malou konkurenci v zadávacích řízeních na záchranný archeologický výzkum.</w:t>
      </w:r>
    </w:p>
    <w:p w14:paraId="253BF7C0" w14:textId="77777777" w:rsidR="00865B55" w:rsidRPr="007C78E5" w:rsidRDefault="002A4F69" w:rsidP="00E714D2">
      <w:pPr>
        <w:spacing w:before="240"/>
        <w:rPr>
          <w:b/>
        </w:rPr>
      </w:pPr>
      <w:r>
        <w:rPr>
          <w:b/>
        </w:rPr>
        <w:t>Toto c</w:t>
      </w:r>
      <w:r w:rsidRPr="007C78E5">
        <w:rPr>
          <w:b/>
        </w:rPr>
        <w:t xml:space="preserve">elkové </w:t>
      </w:r>
      <w:r>
        <w:rPr>
          <w:b/>
        </w:rPr>
        <w:t>z</w:t>
      </w:r>
      <w:r w:rsidRPr="007C78E5">
        <w:rPr>
          <w:b/>
        </w:rPr>
        <w:t xml:space="preserve">hodnocení vyplývá z </w:t>
      </w:r>
      <w:r>
        <w:rPr>
          <w:b/>
        </w:rPr>
        <w:t>následujících</w:t>
      </w:r>
      <w:r w:rsidRPr="007C78E5">
        <w:rPr>
          <w:b/>
        </w:rPr>
        <w:t xml:space="preserve"> zjištěných skutečností:</w:t>
      </w:r>
    </w:p>
    <w:p w14:paraId="089C4DB4" w14:textId="77777777" w:rsidR="007C78E5" w:rsidRDefault="007C78E5" w:rsidP="00731D38"/>
    <w:p w14:paraId="6F5DBAC5" w14:textId="77777777" w:rsidR="003957C3" w:rsidRDefault="002A4F69" w:rsidP="00C571AD">
      <w:r w:rsidRPr="003957C3">
        <w:rPr>
          <w:b/>
        </w:rPr>
        <w:t xml:space="preserve">a) Koncepční záměry </w:t>
      </w:r>
      <w:r>
        <w:rPr>
          <w:b/>
        </w:rPr>
        <w:t xml:space="preserve">výstavby dálnice D35 </w:t>
      </w:r>
      <w:r w:rsidRPr="003957C3">
        <w:rPr>
          <w:b/>
        </w:rPr>
        <w:t>schválené vládou ne</w:t>
      </w:r>
      <w:r>
        <w:rPr>
          <w:b/>
        </w:rPr>
        <w:t>byly</w:t>
      </w:r>
      <w:r w:rsidRPr="003957C3">
        <w:rPr>
          <w:b/>
        </w:rPr>
        <w:t xml:space="preserve"> plněny.</w:t>
      </w:r>
      <w:r>
        <w:t xml:space="preserve"> Výstavba byla zahájena v 70. letech minulého století, p</w:t>
      </w:r>
      <w:r w:rsidR="00C571AD">
        <w:t xml:space="preserve">odle </w:t>
      </w:r>
      <w:r w:rsidR="00C87974" w:rsidRPr="00C87974">
        <w:t xml:space="preserve">koncepčního </w:t>
      </w:r>
      <w:r w:rsidR="00C87974">
        <w:t>materiálu</w:t>
      </w:r>
      <w:r w:rsidR="00C571AD" w:rsidRPr="008713E6">
        <w:t xml:space="preserve"> </w:t>
      </w:r>
      <w:r w:rsidR="00C571AD">
        <w:t>z roku 1993 měla být</w:t>
      </w:r>
      <w:r w:rsidR="00CB797D">
        <w:t xml:space="preserve"> (v</w:t>
      </w:r>
      <w:r w:rsidR="00DE1A82">
        <w:t> </w:t>
      </w:r>
      <w:r w:rsidR="00CB797D">
        <w:t>té době jako rychlostní silnice R35)</w:t>
      </w:r>
      <w:r w:rsidR="00C571AD">
        <w:t xml:space="preserve"> zprovozněna do roku 2005</w:t>
      </w:r>
      <w:r w:rsidR="00CB797D">
        <w:t>,</w:t>
      </w:r>
      <w:r w:rsidR="00C571AD">
        <w:t xml:space="preserve"> s výjimkou úseku Vysoké Mýto – Moh</w:t>
      </w:r>
      <w:r>
        <w:t>e</w:t>
      </w:r>
      <w:r w:rsidR="00C571AD">
        <w:t>lnice.</w:t>
      </w:r>
      <w:r w:rsidR="00CB797D">
        <w:t xml:space="preserve"> </w:t>
      </w:r>
      <w:r w:rsidR="00C571AD">
        <w:t xml:space="preserve">Podle </w:t>
      </w:r>
      <w:r w:rsidR="00DE1A82" w:rsidRPr="00DE1A82">
        <w:t>dalšího materiálu</w:t>
      </w:r>
      <w:r w:rsidR="00C571AD">
        <w:t xml:space="preserve"> z roku 2001 měla být výstavba </w:t>
      </w:r>
      <w:r>
        <w:t>v</w:t>
      </w:r>
      <w:r w:rsidRPr="003957C3">
        <w:t>šech úseků zahájena nejpozději do roku 2010</w:t>
      </w:r>
      <w:r>
        <w:t>.</w:t>
      </w:r>
      <w:r w:rsidR="00CB797D">
        <w:t xml:space="preserve"> </w:t>
      </w:r>
      <w:r w:rsidR="002A71E4" w:rsidRPr="00011DEA">
        <w:t xml:space="preserve">MD se </w:t>
      </w:r>
      <w:r w:rsidR="00F54A6A" w:rsidRPr="00011DEA">
        <w:t>nepodařilo n</w:t>
      </w:r>
      <w:r w:rsidR="00CB797D" w:rsidRPr="00011DEA">
        <w:t>aplnit</w:t>
      </w:r>
      <w:r w:rsidR="00CB797D">
        <w:t xml:space="preserve"> ani aktuální harmonogramy uvedené v koncepčních a strategických materiálech. V</w:t>
      </w:r>
      <w:r>
        <w:t xml:space="preserve"> dob</w:t>
      </w:r>
      <w:r w:rsidR="00CB797D">
        <w:t>ě</w:t>
      </w:r>
      <w:r>
        <w:t xml:space="preserve"> ukončení kontroly nebyla ještě zahájena výstavba 11 úseků.</w:t>
      </w:r>
      <w:r w:rsidR="00CB797D">
        <w:t xml:space="preserve"> </w:t>
      </w:r>
      <w:r w:rsidR="00345255" w:rsidRPr="00AB38ED">
        <w:rPr>
          <w:color w:val="000000" w:themeColor="text1"/>
        </w:rPr>
        <w:t xml:space="preserve">Dokončení dálnice D35 se neustále prodlužuje, celková doba výstavby přesáhne 50 let </w:t>
      </w:r>
      <w:r w:rsidR="00CB797D" w:rsidRPr="00AB38ED">
        <w:rPr>
          <w:color w:val="000000" w:themeColor="text1"/>
        </w:rPr>
        <w:t>(</w:t>
      </w:r>
      <w:r w:rsidR="00E714D2">
        <w:rPr>
          <w:color w:val="000000" w:themeColor="text1"/>
        </w:rPr>
        <w:t>v</w:t>
      </w:r>
      <w:r w:rsidR="00CB797D" w:rsidRPr="00AB38ED">
        <w:rPr>
          <w:color w:val="000000" w:themeColor="text1"/>
        </w:rPr>
        <w:t xml:space="preserve">iz </w:t>
      </w:r>
      <w:r w:rsidR="00CB797D" w:rsidRPr="00011DEA">
        <w:t>odst. 4.</w:t>
      </w:r>
      <w:r w:rsidR="00EC095A" w:rsidRPr="00011DEA">
        <w:t>1–4</w:t>
      </w:r>
      <w:r w:rsidR="00CB797D" w:rsidRPr="00011DEA">
        <w:t>.</w:t>
      </w:r>
      <w:r w:rsidR="00AF01B4" w:rsidRPr="00011DEA">
        <w:t>8</w:t>
      </w:r>
      <w:r w:rsidR="00CB797D" w:rsidRPr="00011DEA">
        <w:t>)</w:t>
      </w:r>
      <w:r w:rsidR="00E714D2">
        <w:t>.</w:t>
      </w:r>
    </w:p>
    <w:p w14:paraId="79D3033C" w14:textId="77777777" w:rsidR="00DB123D" w:rsidRDefault="00DB123D" w:rsidP="00731D38"/>
    <w:p w14:paraId="2F3015C0" w14:textId="77777777" w:rsidR="005A2715" w:rsidRPr="00CB797D" w:rsidRDefault="002A4F69" w:rsidP="00731D38">
      <w:r w:rsidRPr="00CB797D">
        <w:rPr>
          <w:b/>
        </w:rPr>
        <w:t xml:space="preserve">b) </w:t>
      </w:r>
      <w:r>
        <w:rPr>
          <w:b/>
        </w:rPr>
        <w:t>Se z</w:t>
      </w:r>
      <w:r w:rsidRPr="00CB797D">
        <w:rPr>
          <w:b/>
        </w:rPr>
        <w:t xml:space="preserve">požděním realizace </w:t>
      </w:r>
      <w:r>
        <w:rPr>
          <w:b/>
        </w:rPr>
        <w:t>staveb</w:t>
      </w:r>
      <w:r w:rsidRPr="00CB797D">
        <w:rPr>
          <w:b/>
        </w:rPr>
        <w:t xml:space="preserve"> dochází k nárůstu nákladů </w:t>
      </w:r>
      <w:r>
        <w:rPr>
          <w:b/>
        </w:rPr>
        <w:t xml:space="preserve">staveb. </w:t>
      </w:r>
      <w:r w:rsidR="00D23512">
        <w:t>Kromě vlivů inflace se na z</w:t>
      </w:r>
      <w:r w:rsidR="00D23512" w:rsidRPr="0040479A">
        <w:t xml:space="preserve">výšení nákladů </w:t>
      </w:r>
      <w:r w:rsidR="00D23512">
        <w:t xml:space="preserve">podílely i </w:t>
      </w:r>
      <w:r w:rsidR="00D23512" w:rsidRPr="0040479A">
        <w:t>úprav</w:t>
      </w:r>
      <w:r w:rsidR="00D23512">
        <w:t>y</w:t>
      </w:r>
      <w:r w:rsidR="00D23512" w:rsidRPr="0040479A">
        <w:t xml:space="preserve"> technického řešení</w:t>
      </w:r>
      <w:r w:rsidR="0005294C">
        <w:t xml:space="preserve"> staveb</w:t>
      </w:r>
      <w:r w:rsidR="00D23512">
        <w:t>,</w:t>
      </w:r>
      <w:r w:rsidR="00D23512" w:rsidRPr="0040479A">
        <w:t xml:space="preserve"> </w:t>
      </w:r>
      <w:r w:rsidR="00D23512">
        <w:t xml:space="preserve">zohlednění výsledků </w:t>
      </w:r>
      <w:r w:rsidR="00D23512" w:rsidRPr="0040479A">
        <w:t xml:space="preserve">doplňujících průzkumů, studií </w:t>
      </w:r>
      <w:r w:rsidR="00D23512">
        <w:t>a</w:t>
      </w:r>
      <w:r w:rsidR="00D23512" w:rsidRPr="0040479A">
        <w:t xml:space="preserve"> zapracová</w:t>
      </w:r>
      <w:r w:rsidR="00D23512">
        <w:t>ní</w:t>
      </w:r>
      <w:r w:rsidR="00D23512" w:rsidRPr="0040479A">
        <w:t xml:space="preserve"> požadavk</w:t>
      </w:r>
      <w:r w:rsidR="00D23512">
        <w:t>ů</w:t>
      </w:r>
      <w:r w:rsidR="00D23512" w:rsidRPr="0040479A">
        <w:t xml:space="preserve"> ze strany dotčených orgánů</w:t>
      </w:r>
      <w:r w:rsidR="0005294C">
        <w:t xml:space="preserve">, </w:t>
      </w:r>
      <w:r w:rsidR="00D23512" w:rsidRPr="0040479A">
        <w:t>správců či vlastníků infrastruktury</w:t>
      </w:r>
      <w:r w:rsidR="0005294C">
        <w:t xml:space="preserve">. </w:t>
      </w:r>
      <w:r>
        <w:t xml:space="preserve">Oproti předpokladům MD uvedeným v aktualizovaném strategickém materiálu z roku 2017 nebude část dálnice D35 </w:t>
      </w:r>
      <w:r w:rsidRPr="00CB797D">
        <w:t>mezi Opatovicemi nad Labem a</w:t>
      </w:r>
      <w:r w:rsidR="001B735E">
        <w:t> </w:t>
      </w:r>
      <w:r w:rsidRPr="00CB797D">
        <w:t>Opatovcem dokončena do roku 202</w:t>
      </w:r>
      <w:r>
        <w:t>3</w:t>
      </w:r>
      <w:r w:rsidRPr="00CB797D">
        <w:t xml:space="preserve"> s náklady 31 </w:t>
      </w:r>
      <w:r w:rsidR="00862208">
        <w:t>mld. Kč</w:t>
      </w:r>
      <w:r>
        <w:t xml:space="preserve">, ale </w:t>
      </w:r>
      <w:r w:rsidR="00EC095A">
        <w:t xml:space="preserve">pravděpodobně </w:t>
      </w:r>
      <w:r>
        <w:t xml:space="preserve">až </w:t>
      </w:r>
      <w:r w:rsidRPr="00CB797D">
        <w:t>v</w:t>
      </w:r>
      <w:r w:rsidR="000A2F5F">
        <w:t> </w:t>
      </w:r>
      <w:r w:rsidRPr="00CB797D">
        <w:t xml:space="preserve">roce 2027 s náklady cca </w:t>
      </w:r>
      <w:r w:rsidRPr="00565B11">
        <w:t>3</w:t>
      </w:r>
      <w:r w:rsidR="000A2F5F" w:rsidRPr="00565B11">
        <w:t>9</w:t>
      </w:r>
      <w:r w:rsidRPr="00CB797D">
        <w:t xml:space="preserve"> </w:t>
      </w:r>
      <w:r w:rsidR="00862208">
        <w:t>mld.</w:t>
      </w:r>
      <w:r w:rsidRPr="00CB797D">
        <w:t xml:space="preserve"> Kč</w:t>
      </w:r>
      <w:r w:rsidR="00EC095A">
        <w:t xml:space="preserve"> (</w:t>
      </w:r>
      <w:r w:rsidR="0093795C">
        <w:t>v</w:t>
      </w:r>
      <w:r w:rsidR="00EC095A">
        <w:t>iz odst. 4.</w:t>
      </w:r>
      <w:r w:rsidR="00AF01B4">
        <w:t>9</w:t>
      </w:r>
      <w:r w:rsidR="00EC095A">
        <w:t>)</w:t>
      </w:r>
      <w:r w:rsidR="0093795C">
        <w:t>.</w:t>
      </w:r>
    </w:p>
    <w:p w14:paraId="62BF3174" w14:textId="77777777" w:rsidR="00924B64" w:rsidRDefault="00924B64" w:rsidP="00731D38"/>
    <w:p w14:paraId="5BD90CA6" w14:textId="77777777" w:rsidR="00924B64" w:rsidRPr="000D5CB4" w:rsidRDefault="002A4F69" w:rsidP="00731D38">
      <w:r w:rsidRPr="005150A9">
        <w:rPr>
          <w:b/>
        </w:rPr>
        <w:t xml:space="preserve">c) </w:t>
      </w:r>
      <w:r w:rsidR="005150A9" w:rsidRPr="005150A9">
        <w:rPr>
          <w:b/>
        </w:rPr>
        <w:t>Příprava staveb dálnice D35</w:t>
      </w:r>
      <w:r w:rsidR="005150A9" w:rsidRPr="005150A9">
        <w:t xml:space="preserve"> (od vydání souhlasného závazného stanoviska k posouzení vlivů provedení záměru na životní prostředí do získání pravomocného stavebního povolení) </w:t>
      </w:r>
      <w:r w:rsidR="005150A9" w:rsidRPr="005150A9">
        <w:rPr>
          <w:b/>
        </w:rPr>
        <w:t>trvala v průměru 12 let</w:t>
      </w:r>
      <w:r w:rsidR="005150A9" w:rsidRPr="009D3CDE">
        <w:rPr>
          <w:b/>
        </w:rPr>
        <w:t>.</w:t>
      </w:r>
      <w:r w:rsidR="005150A9">
        <w:t xml:space="preserve"> V době kontroly </w:t>
      </w:r>
      <w:r w:rsidR="00324EB5">
        <w:t>ŘSD</w:t>
      </w:r>
      <w:r w:rsidR="005150A9">
        <w:t xml:space="preserve"> dokonč</w:t>
      </w:r>
      <w:r w:rsidR="00324EB5">
        <w:t>ilo</w:t>
      </w:r>
      <w:r w:rsidR="005150A9">
        <w:t xml:space="preserve"> příprav</w:t>
      </w:r>
      <w:r w:rsidR="00324EB5">
        <w:t>u</w:t>
      </w:r>
      <w:r w:rsidR="005150A9">
        <w:t xml:space="preserve"> osmi ze 14 kontrolovaných staveb. </w:t>
      </w:r>
      <w:r w:rsidR="000D5CB4" w:rsidRPr="000D5CB4">
        <w:rPr>
          <w:b/>
        </w:rPr>
        <w:t>Hlavními příčinami dlouhé doby přípravy staveb dálnice D35 byly problémy ŘSD spojené se získáváním územních rozhodnutí a majetkoprávním vypořádáním pozemků.</w:t>
      </w:r>
      <w:r w:rsidR="000D5CB4">
        <w:t xml:space="preserve"> </w:t>
      </w:r>
      <w:r w:rsidR="004F0D35">
        <w:t>Příčinou</w:t>
      </w:r>
      <w:r w:rsidR="004F0D35" w:rsidRPr="004F0D35">
        <w:t xml:space="preserve"> dlouhé doby trvání územních řízení bylo většinou předložení neúplných podkladů ŘSD stavebnímu úřadu, podání námitek a odvolání účastníky řízení</w:t>
      </w:r>
      <w:r w:rsidR="00E717C8">
        <w:t>.</w:t>
      </w:r>
      <w:r w:rsidR="00345255">
        <w:t xml:space="preserve"> V</w:t>
      </w:r>
      <w:r w:rsidR="000D5CB4">
        <w:t>e stavebních řízeních,</w:t>
      </w:r>
      <w:r w:rsidR="000D5CB4" w:rsidRPr="000D5CB4">
        <w:t xml:space="preserve"> </w:t>
      </w:r>
      <w:r w:rsidR="000D5CB4">
        <w:t xml:space="preserve">s výjimkou dvou staveb, </w:t>
      </w:r>
      <w:r w:rsidR="00345255" w:rsidRPr="00E717C8">
        <w:rPr>
          <w:color w:val="000000" w:themeColor="text1"/>
        </w:rPr>
        <w:t>nebyly</w:t>
      </w:r>
      <w:r w:rsidR="00345255" w:rsidRPr="000D5CB4">
        <w:t xml:space="preserve"> </w:t>
      </w:r>
      <w:r w:rsidR="000D5CB4" w:rsidRPr="000D5CB4">
        <w:t>zjištěny zásadní prodlevy</w:t>
      </w:r>
      <w:r w:rsidR="000D5CB4">
        <w:t xml:space="preserve"> (</w:t>
      </w:r>
      <w:r w:rsidR="0093795C">
        <w:t>v</w:t>
      </w:r>
      <w:r w:rsidR="000D5CB4">
        <w:t>iz odst. 4.1</w:t>
      </w:r>
      <w:r w:rsidR="00AF01B4">
        <w:t>0</w:t>
      </w:r>
      <w:r w:rsidR="000D5CB4">
        <w:t>–4.1</w:t>
      </w:r>
      <w:r w:rsidR="00AF01B4">
        <w:t>4</w:t>
      </w:r>
      <w:r w:rsidR="000D5CB4">
        <w:t>)</w:t>
      </w:r>
      <w:r w:rsidR="0093795C">
        <w:t>.</w:t>
      </w:r>
    </w:p>
    <w:p w14:paraId="30C73085" w14:textId="77777777" w:rsidR="00924B64" w:rsidRDefault="00924B64" w:rsidP="00731D38"/>
    <w:p w14:paraId="649D2D97" w14:textId="77777777" w:rsidR="0021144A" w:rsidRDefault="002A4F69" w:rsidP="00731D38">
      <w:r w:rsidRPr="00011DEA">
        <w:rPr>
          <w:b/>
        </w:rPr>
        <w:t>d</w:t>
      </w:r>
      <w:r w:rsidRPr="00011DEA">
        <w:t xml:space="preserve">) </w:t>
      </w:r>
      <w:r w:rsidR="0021144A" w:rsidRPr="00011DEA">
        <w:t xml:space="preserve">Kontrolovaná </w:t>
      </w:r>
      <w:r w:rsidR="0021144A" w:rsidRPr="00011DEA">
        <w:rPr>
          <w:b/>
        </w:rPr>
        <w:t>zadávací řízení na záchranný archeologický výzkum</w:t>
      </w:r>
      <w:r w:rsidR="0021144A" w:rsidRPr="00011DEA">
        <w:t xml:space="preserve"> u staveb dálnice D35 provázel </w:t>
      </w:r>
      <w:r w:rsidR="0021144A" w:rsidRPr="00011DEA">
        <w:rPr>
          <w:b/>
        </w:rPr>
        <w:t>nízký počet podaných i hodnocených nabídek</w:t>
      </w:r>
      <w:r w:rsidR="00665182" w:rsidRPr="009D3CDE">
        <w:rPr>
          <w:b/>
        </w:rPr>
        <w:t>.</w:t>
      </w:r>
      <w:r w:rsidRPr="00345255">
        <w:t xml:space="preserve"> </w:t>
      </w:r>
    </w:p>
    <w:p w14:paraId="7CEADA6F" w14:textId="77777777" w:rsidR="004B7654" w:rsidRDefault="004B7654" w:rsidP="00731D38"/>
    <w:p w14:paraId="58CAD9B2" w14:textId="77777777" w:rsidR="00924B64" w:rsidRDefault="002A4F69" w:rsidP="00731D38">
      <w:r w:rsidRPr="00D15ABE">
        <w:t xml:space="preserve">Naopak v zadávacích řízeních na realizaci zemních prací pro záchranný archeologický výzkum, které ŘSD vyčlenilo do samostatných veřejných zakázek, byl počet nabídek násobně vyšší. </w:t>
      </w:r>
      <w:r w:rsidRPr="00D15ABE">
        <w:lastRenderedPageBreak/>
        <w:t>V</w:t>
      </w:r>
      <w:r w:rsidR="00665182">
        <w:t> </w:t>
      </w:r>
      <w:r w:rsidRPr="00D15ABE">
        <w:t xml:space="preserve">kontrolovaném období uzavřelo ŘSD </w:t>
      </w:r>
      <w:r w:rsidRPr="00D15ABE">
        <w:rPr>
          <w:b/>
        </w:rPr>
        <w:t xml:space="preserve">smlouvy na provedení záchranného archeologického výzkumu a souvisejících zemních prací v celkové hodnotě téměř 1,5 mld. Kč </w:t>
      </w:r>
      <w:r w:rsidRPr="00D15ABE">
        <w:t>(</w:t>
      </w:r>
      <w:r w:rsidR="0093795C">
        <w:t>v</w:t>
      </w:r>
      <w:r w:rsidRPr="00D15ABE">
        <w:t>iz odst. 4.1</w:t>
      </w:r>
      <w:r w:rsidR="00AF01B4">
        <w:t>5</w:t>
      </w:r>
      <w:r w:rsidRPr="00D15ABE">
        <w:t>–4.1</w:t>
      </w:r>
      <w:r w:rsidR="00AF01B4">
        <w:t>8</w:t>
      </w:r>
      <w:r w:rsidRPr="00D15ABE">
        <w:t>)</w:t>
      </w:r>
      <w:r w:rsidR="0093795C">
        <w:t>.</w:t>
      </w:r>
    </w:p>
    <w:p w14:paraId="790E67CA" w14:textId="77777777" w:rsidR="00D15ABE" w:rsidRPr="00D15ABE" w:rsidRDefault="00D15ABE" w:rsidP="00731D38"/>
    <w:p w14:paraId="38B0A054" w14:textId="77777777" w:rsidR="00924B64" w:rsidRDefault="002A4F69" w:rsidP="00731D38">
      <w:r w:rsidRPr="00953F21">
        <w:rPr>
          <w:b/>
        </w:rPr>
        <w:t>e)</w:t>
      </w:r>
      <w:r>
        <w:t xml:space="preserve"> </w:t>
      </w:r>
      <w:r w:rsidR="00953F21">
        <w:t xml:space="preserve">Ve dvou </w:t>
      </w:r>
      <w:r w:rsidR="00953F21" w:rsidRPr="00953F21">
        <w:rPr>
          <w:b/>
        </w:rPr>
        <w:t>zadávacích řízení</w:t>
      </w:r>
      <w:r w:rsidR="00D85188">
        <w:rPr>
          <w:b/>
        </w:rPr>
        <w:t>ch</w:t>
      </w:r>
      <w:r w:rsidR="00953F21" w:rsidRPr="00953F21">
        <w:rPr>
          <w:b/>
        </w:rPr>
        <w:t xml:space="preserve"> na dodavatele stavebních prací byly</w:t>
      </w:r>
      <w:r w:rsidR="00953F21">
        <w:t xml:space="preserve"> </w:t>
      </w:r>
      <w:r w:rsidR="00953F21" w:rsidRPr="00953F21">
        <w:rPr>
          <w:b/>
        </w:rPr>
        <w:t>zjištěny prodlevy</w:t>
      </w:r>
      <w:r w:rsidR="00F572E4">
        <w:rPr>
          <w:b/>
        </w:rPr>
        <w:t xml:space="preserve"> způsobené ŘSD</w:t>
      </w:r>
      <w:r w:rsidR="00953F21" w:rsidRPr="00953F21">
        <w:rPr>
          <w:b/>
        </w:rPr>
        <w:t>, které měly dopad na termíny realizace staveb</w:t>
      </w:r>
      <w:r w:rsidR="00A30BEA" w:rsidRPr="009D3CDE">
        <w:rPr>
          <w:b/>
        </w:rPr>
        <w:t>,</w:t>
      </w:r>
      <w:r w:rsidR="00A30BEA">
        <w:t xml:space="preserve"> </w:t>
      </w:r>
      <w:r w:rsidR="00953F21">
        <w:t>především</w:t>
      </w:r>
      <w:r w:rsidR="00D85188">
        <w:t xml:space="preserve"> se jednalo o </w:t>
      </w:r>
      <w:r w:rsidR="00953F21">
        <w:t>změn</w:t>
      </w:r>
      <w:r w:rsidR="00D85188">
        <w:t>y</w:t>
      </w:r>
      <w:r w:rsidR="00953F21">
        <w:t xml:space="preserve"> zadávací dokumentace a zdlouhav</w:t>
      </w:r>
      <w:r w:rsidR="00D85188">
        <w:t>é</w:t>
      </w:r>
      <w:r w:rsidR="00953F21">
        <w:t xml:space="preserve"> posuzování kvalifikace uchazečů (</w:t>
      </w:r>
      <w:r w:rsidR="00C81123">
        <w:t>v</w:t>
      </w:r>
      <w:r w:rsidR="00953F21">
        <w:t>iz</w:t>
      </w:r>
      <w:r w:rsidR="007E661C">
        <w:t xml:space="preserve"> </w:t>
      </w:r>
      <w:r w:rsidR="00953F21">
        <w:t>odst.</w:t>
      </w:r>
      <w:r w:rsidR="007E661C">
        <w:t> </w:t>
      </w:r>
      <w:r w:rsidR="00953F21">
        <w:t>4.</w:t>
      </w:r>
      <w:r w:rsidR="00AF01B4">
        <w:t>19</w:t>
      </w:r>
      <w:r w:rsidR="00953F21">
        <w:t>–4.2</w:t>
      </w:r>
      <w:r w:rsidR="006E2DA7">
        <w:t>1</w:t>
      </w:r>
      <w:r w:rsidR="00953F21">
        <w:t>)</w:t>
      </w:r>
      <w:r w:rsidR="007E661C">
        <w:t>.</w:t>
      </w:r>
    </w:p>
    <w:p w14:paraId="6B037860" w14:textId="77777777" w:rsidR="00924B64" w:rsidRDefault="00924B64" w:rsidP="00731D38"/>
    <w:p w14:paraId="7F2DEE1C" w14:textId="77777777" w:rsidR="00924B64" w:rsidRDefault="002A4F69" w:rsidP="00731D38">
      <w:r w:rsidRPr="00953F21">
        <w:rPr>
          <w:b/>
        </w:rPr>
        <w:t>f)</w:t>
      </w:r>
      <w:r>
        <w:t xml:space="preserve"> Ve dvou </w:t>
      </w:r>
      <w:r w:rsidRPr="00953F21">
        <w:rPr>
          <w:b/>
        </w:rPr>
        <w:t xml:space="preserve">zadávacích řízeních na poskytovatele služeb stavebního </w:t>
      </w:r>
      <w:r w:rsidRPr="00011DEA">
        <w:rPr>
          <w:b/>
        </w:rPr>
        <w:t xml:space="preserve">dozoru </w:t>
      </w:r>
      <w:r w:rsidR="00A47039" w:rsidRPr="00011DEA">
        <w:rPr>
          <w:b/>
        </w:rPr>
        <w:t>zjistil</w:t>
      </w:r>
      <w:r w:rsidR="007E661C" w:rsidRPr="007E661C">
        <w:rPr>
          <w:b/>
        </w:rPr>
        <w:t xml:space="preserve"> </w:t>
      </w:r>
      <w:r w:rsidR="007E661C" w:rsidRPr="00011DEA">
        <w:rPr>
          <w:b/>
        </w:rPr>
        <w:t>NKÚ</w:t>
      </w:r>
      <w:r w:rsidR="00A47039" w:rsidRPr="009D3CDE">
        <w:rPr>
          <w:b/>
        </w:rPr>
        <w:t>,</w:t>
      </w:r>
      <w:r w:rsidR="00A47039" w:rsidRPr="00011DEA">
        <w:t xml:space="preserve"> </w:t>
      </w:r>
      <w:r w:rsidR="00A47039" w:rsidRPr="00011DEA">
        <w:rPr>
          <w:b/>
        </w:rPr>
        <w:t>že</w:t>
      </w:r>
      <w:r w:rsidR="00A47039">
        <w:t xml:space="preserve"> </w:t>
      </w:r>
      <w:r>
        <w:t xml:space="preserve">vybraní </w:t>
      </w:r>
      <w:r w:rsidRPr="00816A5E">
        <w:rPr>
          <w:b/>
        </w:rPr>
        <w:t>dodavatelé</w:t>
      </w:r>
      <w:r w:rsidRPr="009D3CDE">
        <w:rPr>
          <w:b/>
        </w:rPr>
        <w:t>,</w:t>
      </w:r>
      <w:r>
        <w:t xml:space="preserve"> kteří ŘSD nabídli v zadávacím řízení nejnižší cenu za poskytování služeb</w:t>
      </w:r>
      <w:r w:rsidR="007E661C">
        <w:t>,</w:t>
      </w:r>
      <w:r>
        <w:t xml:space="preserve"> následně </w:t>
      </w:r>
      <w:r w:rsidR="0076587C" w:rsidRPr="00816A5E">
        <w:rPr>
          <w:b/>
        </w:rPr>
        <w:t>uzavřeli smlouvu</w:t>
      </w:r>
      <w:r w:rsidR="0076587C">
        <w:t xml:space="preserve"> se subdodavatelem s cenou, která byla </w:t>
      </w:r>
      <w:r w:rsidR="0076587C" w:rsidRPr="00816A5E">
        <w:rPr>
          <w:b/>
        </w:rPr>
        <w:t>o 21 %</w:t>
      </w:r>
      <w:r w:rsidR="0076587C">
        <w:t xml:space="preserve">, resp. </w:t>
      </w:r>
      <w:r w:rsidR="0076587C" w:rsidRPr="00816A5E">
        <w:rPr>
          <w:b/>
        </w:rPr>
        <w:t>19 %</w:t>
      </w:r>
      <w:r w:rsidR="0076587C">
        <w:t xml:space="preserve">, </w:t>
      </w:r>
      <w:r w:rsidR="0076587C" w:rsidRPr="00816A5E">
        <w:rPr>
          <w:b/>
        </w:rPr>
        <w:t>výhodnější</w:t>
      </w:r>
      <w:r w:rsidR="0076587C">
        <w:t xml:space="preserve"> (</w:t>
      </w:r>
      <w:r w:rsidR="007E661C">
        <w:t>v</w:t>
      </w:r>
      <w:r w:rsidR="0076587C">
        <w:t>iz odst. 4.2</w:t>
      </w:r>
      <w:r w:rsidR="006E2DA7">
        <w:t>2</w:t>
      </w:r>
      <w:r w:rsidR="0076587C">
        <w:t>–4.2</w:t>
      </w:r>
      <w:r w:rsidR="006E2DA7">
        <w:t>4</w:t>
      </w:r>
      <w:r w:rsidR="0076587C">
        <w:t>)</w:t>
      </w:r>
      <w:r w:rsidR="007E661C">
        <w:t>.</w:t>
      </w:r>
    </w:p>
    <w:p w14:paraId="2014B677" w14:textId="77777777" w:rsidR="00924B64" w:rsidRDefault="00924B64" w:rsidP="00731D38"/>
    <w:p w14:paraId="55A8A44F" w14:textId="77777777" w:rsidR="00924B64" w:rsidRDefault="002A4F69" w:rsidP="00731D38">
      <w:r w:rsidRPr="00CF694D">
        <w:rPr>
          <w:b/>
        </w:rPr>
        <w:t>g)</w:t>
      </w:r>
      <w:r>
        <w:t xml:space="preserve"> </w:t>
      </w:r>
      <w:r w:rsidR="00CF694D">
        <w:t xml:space="preserve">U dvou staveb </w:t>
      </w:r>
      <w:r w:rsidR="00CF694D" w:rsidRPr="00CF694D">
        <w:rPr>
          <w:b/>
        </w:rPr>
        <w:t>byl zjištěn nárůst nákladů při výstavbě z důvodu chyb projektové dokumentace – zvýšení nákladů bude činit minimálně 220 mil. Kč bez DPH</w:t>
      </w:r>
      <w:r w:rsidR="007E661C">
        <w:rPr>
          <w:b/>
        </w:rPr>
        <w:t>;</w:t>
      </w:r>
      <w:r w:rsidR="00CF694D">
        <w:t xml:space="preserve"> stavby nebyly v době kontroly dokončeny.</w:t>
      </w:r>
      <w:r w:rsidR="00CF694D" w:rsidRPr="00CF694D">
        <w:t xml:space="preserve"> ŘSD </w:t>
      </w:r>
      <w:r w:rsidR="00CF694D">
        <w:t xml:space="preserve">projektovou dokumentaci </w:t>
      </w:r>
      <w:r w:rsidR="00CF694D" w:rsidRPr="00CF694D">
        <w:t>nereklamovalo</w:t>
      </w:r>
      <w:r w:rsidR="00CF694D">
        <w:t xml:space="preserve"> s odůvodněním, že její zhotovitel průběžně chyby a nepřesnosti opravoval</w:t>
      </w:r>
      <w:r w:rsidR="00CF694D" w:rsidRPr="00CF694D">
        <w:t xml:space="preserve"> </w:t>
      </w:r>
      <w:r w:rsidR="00CF694D">
        <w:t>(</w:t>
      </w:r>
      <w:r w:rsidR="007E661C">
        <w:t>v</w:t>
      </w:r>
      <w:r w:rsidR="00CF694D">
        <w:t>iz odst. 4.2</w:t>
      </w:r>
      <w:r w:rsidR="006E2DA7">
        <w:t>5</w:t>
      </w:r>
      <w:r w:rsidR="00CF694D">
        <w:t>–4.</w:t>
      </w:r>
      <w:r w:rsidR="006E2DA7">
        <w:t>29</w:t>
      </w:r>
      <w:r w:rsidR="00CF694D">
        <w:t>)</w:t>
      </w:r>
      <w:r w:rsidR="007E661C">
        <w:t>.</w:t>
      </w:r>
    </w:p>
    <w:p w14:paraId="41B44390" w14:textId="77777777" w:rsidR="00924B64" w:rsidRDefault="00924B64" w:rsidP="00731D38"/>
    <w:p w14:paraId="3B90D57D" w14:textId="77777777" w:rsidR="00924B64" w:rsidRDefault="002A4F69" w:rsidP="00CF694D">
      <w:r w:rsidRPr="00CF694D">
        <w:rPr>
          <w:b/>
        </w:rPr>
        <w:t>h)</w:t>
      </w:r>
      <w:r>
        <w:t xml:space="preserve"> Vláda </w:t>
      </w:r>
      <w:r w:rsidR="0021087D" w:rsidRPr="00565B11">
        <w:t>ČR</w:t>
      </w:r>
      <w:r w:rsidR="0021087D">
        <w:t xml:space="preserve"> </w:t>
      </w:r>
      <w:r>
        <w:t xml:space="preserve">v roce 2022 schválila možnost výstavby dvou úseků dálnice D35 formou </w:t>
      </w:r>
      <w:r w:rsidRPr="00CF694D">
        <w:t>projektu partnerství veřejného a soukromého sektoru</w:t>
      </w:r>
      <w:r>
        <w:t xml:space="preserve">. </w:t>
      </w:r>
      <w:r w:rsidR="009922F8" w:rsidRPr="00011DEA">
        <w:t>NKÚ konstatuje, že r</w:t>
      </w:r>
      <w:r w:rsidRPr="00011DEA">
        <w:t>ealizace</w:t>
      </w:r>
      <w:r>
        <w:t xml:space="preserve"> projektu touto formou je ohrožena riziky jak na straně ŘSD </w:t>
      </w:r>
      <w:r w:rsidR="009A47D7">
        <w:t>(</w:t>
      </w:r>
      <w:r>
        <w:t>zejména nedokončení majetkoprávní přípravy, nezajištění pravomocných stavebních povolení před uzavřením koncesionářské smlouvy</w:t>
      </w:r>
      <w:r w:rsidR="009A47D7">
        <w:t>)</w:t>
      </w:r>
      <w:r>
        <w:t>,</w:t>
      </w:r>
      <w:r w:rsidR="009A47D7">
        <w:t xml:space="preserve"> tak na straně MD</w:t>
      </w:r>
      <w:r>
        <w:t xml:space="preserve"> </w:t>
      </w:r>
      <w:r w:rsidR="009A47D7">
        <w:t>(</w:t>
      </w:r>
      <w:r>
        <w:t>komplikovaný průběh zadávacího řízení na koncesionáře a různé prodlevy mezi jednotlivými fázemi přípravy projektu PPP</w:t>
      </w:r>
      <w:r w:rsidR="009A47D7">
        <w:t>)</w:t>
      </w:r>
      <w:r>
        <w:t>. V době kontroly již</w:t>
      </w:r>
      <w:r w:rsidR="009A47D7">
        <w:t xml:space="preserve"> byla</w:t>
      </w:r>
      <w:r>
        <w:t xml:space="preserve"> příprava projektu </w:t>
      </w:r>
      <w:r w:rsidR="009A47D7">
        <w:t>zpožděna (</w:t>
      </w:r>
      <w:r w:rsidR="007E661C">
        <w:t>v</w:t>
      </w:r>
      <w:r w:rsidR="009A47D7">
        <w:t>iz odst. 4.3</w:t>
      </w:r>
      <w:r w:rsidR="006E2DA7">
        <w:t>0</w:t>
      </w:r>
      <w:r w:rsidR="009A47D7">
        <w:t>–4.3</w:t>
      </w:r>
      <w:r w:rsidR="006E2DA7">
        <w:t>2</w:t>
      </w:r>
      <w:r w:rsidR="009A47D7">
        <w:t>)</w:t>
      </w:r>
      <w:r w:rsidR="007E661C">
        <w:t>.</w:t>
      </w:r>
    </w:p>
    <w:p w14:paraId="3E5ADEA6" w14:textId="77777777" w:rsidR="00924B64" w:rsidRPr="00924B64" w:rsidRDefault="002A4F69" w:rsidP="005838DB">
      <w:pPr>
        <w:keepNext/>
        <w:spacing w:before="720" w:after="240"/>
        <w:jc w:val="center"/>
        <w:rPr>
          <w:b/>
          <w:sz w:val="28"/>
        </w:rPr>
      </w:pPr>
      <w:r w:rsidRPr="0068788F">
        <w:rPr>
          <w:b/>
          <w:sz w:val="28"/>
        </w:rPr>
        <w:t>II. Informace o kontrolované oblasti</w:t>
      </w:r>
    </w:p>
    <w:p w14:paraId="3F1C4FA9" w14:textId="77777777" w:rsidR="009B7401" w:rsidRDefault="002A4F69" w:rsidP="009B7401">
      <w:r w:rsidRPr="006C6B86">
        <w:rPr>
          <w:b/>
        </w:rPr>
        <w:t>2.1</w:t>
      </w:r>
      <w:r w:rsidR="00682567">
        <w:t xml:space="preserve"> </w:t>
      </w:r>
      <w:r w:rsidR="00682567" w:rsidRPr="00682567">
        <w:t>Dálnice j</w:t>
      </w:r>
      <w:r w:rsidR="00682567">
        <w:t>sou</w:t>
      </w:r>
      <w:r w:rsidR="00682567" w:rsidRPr="00682567">
        <w:t xml:space="preserve"> pozemní komunikace určen</w:t>
      </w:r>
      <w:r w:rsidR="006C6B86">
        <w:t>é</w:t>
      </w:r>
      <w:r w:rsidR="00682567" w:rsidRPr="00682567">
        <w:t xml:space="preserve"> pro dálkovou a mezistátní dopravu, budov</w:t>
      </w:r>
      <w:r w:rsidR="006C6B86">
        <w:t>a</w:t>
      </w:r>
      <w:r w:rsidR="00682567" w:rsidRPr="00682567">
        <w:t>n</w:t>
      </w:r>
      <w:r w:rsidR="006C6B86">
        <w:t>é</w:t>
      </w:r>
      <w:r w:rsidR="00682567" w:rsidRPr="00682567">
        <w:t xml:space="preserve"> bez úrovňových křížení, s oddělenými místy napojení pro vjezd a výjezd a </w:t>
      </w:r>
      <w:r w:rsidR="006C6B86">
        <w:t>se</w:t>
      </w:r>
      <w:r w:rsidR="00682567" w:rsidRPr="00682567">
        <w:t xml:space="preserve"> směrově oddělen</w:t>
      </w:r>
      <w:r w:rsidR="006C6B86">
        <w:t>ými</w:t>
      </w:r>
      <w:r w:rsidR="00682567" w:rsidRPr="00682567">
        <w:t xml:space="preserve"> jízdní</w:t>
      </w:r>
      <w:r w:rsidR="006C6B86">
        <w:t>mi</w:t>
      </w:r>
      <w:r w:rsidR="00682567" w:rsidRPr="00682567">
        <w:t xml:space="preserve"> pásy</w:t>
      </w:r>
      <w:r>
        <w:rPr>
          <w:rStyle w:val="Znakapoznpodarou"/>
        </w:rPr>
        <w:footnoteReference w:id="2"/>
      </w:r>
      <w:r w:rsidR="00682567" w:rsidRPr="00682567">
        <w:t>. Rozdělují se na dálnice I. třídy a dálnice II. třídy</w:t>
      </w:r>
      <w:r>
        <w:rPr>
          <w:rStyle w:val="Znakapoznpodarou"/>
        </w:rPr>
        <w:footnoteReference w:id="3"/>
      </w:r>
      <w:r w:rsidR="00682567" w:rsidRPr="00682567">
        <w:t>.</w:t>
      </w:r>
    </w:p>
    <w:p w14:paraId="3C28D991" w14:textId="77777777" w:rsidR="009B7401" w:rsidRDefault="009B7401" w:rsidP="009B7401"/>
    <w:p w14:paraId="062F5AFC" w14:textId="77777777" w:rsidR="00012914" w:rsidRDefault="002A4F69" w:rsidP="009B7401">
      <w:r w:rsidRPr="00613318">
        <w:rPr>
          <w:b/>
        </w:rPr>
        <w:t>2.2</w:t>
      </w:r>
      <w:r w:rsidR="006A7117">
        <w:t xml:space="preserve"> Dálnice D35, původně rychlostní silnice R35, </w:t>
      </w:r>
      <w:r w:rsidR="002A7B60" w:rsidRPr="002A7B60">
        <w:t>představuje jednu z nejvýznamnějších částí dálniční sítě ČR, druhé kapacitní propojení Čech a Moravy a je součástí globální sítě TEN-T</w:t>
      </w:r>
      <w:r>
        <w:rPr>
          <w:rStyle w:val="Znakapoznpodarou"/>
        </w:rPr>
        <w:footnoteReference w:id="4"/>
      </w:r>
      <w:r w:rsidR="002A7B60" w:rsidRPr="002A7B60">
        <w:t>. Po svém dokončení by měla přispět ke snížení provozu na přetížené paralelní silnici I. třídy</w:t>
      </w:r>
      <w:r w:rsidR="002A7B60">
        <w:t xml:space="preserve"> č. </w:t>
      </w:r>
      <w:r w:rsidR="002A7B60" w:rsidRPr="002A7B60">
        <w:t>I/35 a převzít také část dopravní intenzity z dálnice D1. Mezi hlavní přínosy budou patřit významné úspory cestovního času a zlepšení životního prostředí, protože nová trasa povede mimo centra měst a obcí.</w:t>
      </w:r>
      <w:r w:rsidR="00B7756D">
        <w:t xml:space="preserve"> </w:t>
      </w:r>
      <w:r w:rsidR="000A79C2">
        <w:t>Dálnice D35 sestává z</w:t>
      </w:r>
      <w:r w:rsidR="00E161C1">
        <w:t> 21 úseků,</w:t>
      </w:r>
      <w:r w:rsidR="000A79C2">
        <w:t xml:space="preserve"> </w:t>
      </w:r>
      <w:r w:rsidR="00E161C1">
        <w:t>p</w:t>
      </w:r>
      <w:r w:rsidR="00710147" w:rsidRPr="00565B11">
        <w:t>lánovaná c</w:t>
      </w:r>
      <w:r w:rsidR="00B7756D">
        <w:t xml:space="preserve">elková délka dálnice činí </w:t>
      </w:r>
      <w:r w:rsidR="000C32AF">
        <w:t>cca 2</w:t>
      </w:r>
      <w:r w:rsidR="00183F58" w:rsidRPr="00183F58">
        <w:t>10</w:t>
      </w:r>
      <w:r w:rsidR="000C32AF">
        <w:t xml:space="preserve"> km</w:t>
      </w:r>
      <w:r>
        <w:rPr>
          <w:rStyle w:val="Znakapoznpodarou"/>
        </w:rPr>
        <w:footnoteReference w:id="5"/>
      </w:r>
      <w:r>
        <w:t>, z toho bylo v době ukončení kontroly v provozu 90 km, v</w:t>
      </w:r>
      <w:r w:rsidR="0034638F">
        <w:t>e</w:t>
      </w:r>
      <w:r>
        <w:t> </w:t>
      </w:r>
      <w:r w:rsidR="0034638F" w:rsidRPr="00011DEA">
        <w:t>výstavbě</w:t>
      </w:r>
      <w:r w:rsidRPr="00011DEA">
        <w:t xml:space="preserve"> j</w:t>
      </w:r>
      <w:r>
        <w:t>eden úsek o délce 12 km a</w:t>
      </w:r>
      <w:r w:rsidR="00E161C1">
        <w:t> </w:t>
      </w:r>
      <w:r>
        <w:t>v přípravě 11 úseků délky 108 km.</w:t>
      </w:r>
    </w:p>
    <w:p w14:paraId="61C217B6" w14:textId="77777777" w:rsidR="000F6726" w:rsidRDefault="000F6726" w:rsidP="009B7401"/>
    <w:p w14:paraId="6E149AB9" w14:textId="77777777" w:rsidR="009B7401" w:rsidRDefault="002A4F69" w:rsidP="009B7401">
      <w:r w:rsidRPr="00FA57C3">
        <w:rPr>
          <w:b/>
        </w:rPr>
        <w:t>2.3</w:t>
      </w:r>
      <w:r w:rsidR="00F97759">
        <w:t xml:space="preserve"> </w:t>
      </w:r>
      <w:r w:rsidR="00FA57C3">
        <w:t xml:space="preserve">MD </w:t>
      </w:r>
      <w:r w:rsidR="00FA57C3" w:rsidRPr="00FA57C3">
        <w:t xml:space="preserve">jako ústřední orgán státní správy odpovídalo za tvorbu dopravní politiky a v rozsahu své působnosti za její uskutečňování, k tomu účelu zpracovalo koncepční a další strategické materiály. Schvalovalo k financování z rozpočtu SFDI akce týkající se výstavby </w:t>
      </w:r>
      <w:r w:rsidR="00FA57C3">
        <w:t>dálnice D35</w:t>
      </w:r>
      <w:r w:rsidR="00FA57C3" w:rsidRPr="00FA57C3">
        <w:t>.</w:t>
      </w:r>
    </w:p>
    <w:p w14:paraId="2780A3D8" w14:textId="77777777" w:rsidR="009B7401" w:rsidRDefault="009B7401" w:rsidP="009B7401"/>
    <w:p w14:paraId="0D1A5A08" w14:textId="77777777" w:rsidR="009B7401" w:rsidRDefault="002A4F69" w:rsidP="009B7401">
      <w:r w:rsidRPr="00FA57C3">
        <w:rPr>
          <w:b/>
        </w:rPr>
        <w:t>2.4</w:t>
      </w:r>
      <w:r>
        <w:t xml:space="preserve"> </w:t>
      </w:r>
      <w:r w:rsidRPr="00FA57C3">
        <w:t xml:space="preserve">ŘSD je státní příspěvková organizace zřízená MD. </w:t>
      </w:r>
      <w:r w:rsidR="00343EB4" w:rsidRPr="009C2A16">
        <w:t>Základním účelem</w:t>
      </w:r>
      <w:r w:rsidR="000D725E" w:rsidRPr="009C2A16">
        <w:t xml:space="preserve"> a předmětem činnosti</w:t>
      </w:r>
      <w:r w:rsidR="00343EB4" w:rsidRPr="009C2A16">
        <w:t xml:space="preserve"> ŘSD je mj. zabezpečení výstavby</w:t>
      </w:r>
      <w:r w:rsidR="008F092F" w:rsidRPr="009C2A16">
        <w:t>,</w:t>
      </w:r>
      <w:r w:rsidR="00343EB4" w:rsidRPr="009C2A16">
        <w:t xml:space="preserve"> modernizace</w:t>
      </w:r>
      <w:r w:rsidR="008F092F" w:rsidRPr="009C2A16">
        <w:t xml:space="preserve"> a pořizování staveb dálnic a </w:t>
      </w:r>
      <w:r w:rsidR="00343EB4" w:rsidRPr="009C2A16">
        <w:t xml:space="preserve">silnic </w:t>
      </w:r>
      <w:r w:rsidR="008F092F" w:rsidRPr="009C2A16">
        <w:t>I. třídy</w:t>
      </w:r>
      <w:r w:rsidR="00343EB4" w:rsidRPr="009C2A16">
        <w:t xml:space="preserve"> a</w:t>
      </w:r>
      <w:r w:rsidR="00A503AE">
        <w:t> </w:t>
      </w:r>
      <w:r w:rsidR="00343EB4" w:rsidRPr="009C2A16">
        <w:t>za</w:t>
      </w:r>
      <w:r w:rsidR="000D725E" w:rsidRPr="009C2A16">
        <w:t>bezpečování</w:t>
      </w:r>
      <w:r w:rsidR="00343EB4" w:rsidRPr="00343EB4">
        <w:t xml:space="preserve"> podkladů pro stanovení koncepcí v</w:t>
      </w:r>
      <w:r w:rsidR="000D725E">
        <w:t> </w:t>
      </w:r>
      <w:r w:rsidR="00343EB4" w:rsidRPr="00343EB4">
        <w:t xml:space="preserve">oblasti </w:t>
      </w:r>
      <w:r w:rsidR="000D725E">
        <w:t xml:space="preserve">dálnic a </w:t>
      </w:r>
      <w:r w:rsidR="00343EB4" w:rsidRPr="00343EB4">
        <w:t>silnic</w:t>
      </w:r>
      <w:r w:rsidR="000D725E">
        <w:t xml:space="preserve"> I. třídy</w:t>
      </w:r>
      <w:r w:rsidR="00343EB4" w:rsidRPr="00343EB4">
        <w:t>. ŘSD je příjemcem peněžních prostředků z rozpočtu SFDI a z</w:t>
      </w:r>
      <w:r w:rsidR="00E04446">
        <w:t> </w:t>
      </w:r>
      <w:r w:rsidR="00343EB4" w:rsidRPr="00343EB4">
        <w:t>fondů EU.</w:t>
      </w:r>
    </w:p>
    <w:p w14:paraId="46FCA019" w14:textId="77777777" w:rsidR="00924B64" w:rsidRPr="0068788F" w:rsidRDefault="002A4F69" w:rsidP="005838DB">
      <w:pPr>
        <w:keepNext/>
        <w:spacing w:before="720" w:after="240"/>
        <w:jc w:val="center"/>
        <w:rPr>
          <w:b/>
          <w:sz w:val="28"/>
        </w:rPr>
      </w:pPr>
      <w:r w:rsidRPr="0068788F">
        <w:rPr>
          <w:b/>
          <w:sz w:val="28"/>
        </w:rPr>
        <w:t>III. Rozsah kontroly</w:t>
      </w:r>
    </w:p>
    <w:p w14:paraId="6496CBF3" w14:textId="77777777" w:rsidR="00A14611" w:rsidRDefault="002A4F69" w:rsidP="00A14611">
      <w:r w:rsidRPr="002B0C0D">
        <w:rPr>
          <w:b/>
        </w:rPr>
        <w:t>3.1</w:t>
      </w:r>
      <w:r w:rsidR="00510DC3">
        <w:t xml:space="preserve"> </w:t>
      </w:r>
      <w:r w:rsidR="0040334E" w:rsidRPr="0040334E">
        <w:t>NKÚ prověřoval poskytování, čerpání a využití peněžních prostředků státu a peněžních prostředků EU</w:t>
      </w:r>
      <w:r w:rsidR="00DB3F49">
        <w:t xml:space="preserve"> určených na přípravu a výstavbu dálnice D35</w:t>
      </w:r>
      <w:r w:rsidR="0040334E" w:rsidRPr="0040334E">
        <w:t xml:space="preserve">, především zda bylo nakládání </w:t>
      </w:r>
      <w:r w:rsidR="0040334E" w:rsidRPr="00AE24F2">
        <w:t>s</w:t>
      </w:r>
      <w:r w:rsidR="002E5840" w:rsidRPr="00AE24F2">
        <w:t> </w:t>
      </w:r>
      <w:r w:rsidR="0040334E" w:rsidRPr="00AE24F2">
        <w:t>těmito prostředky účelné, hospodárné a v souladu s právními předpisy</w:t>
      </w:r>
      <w:r w:rsidR="00AE24F2" w:rsidRPr="00AE24F2">
        <w:t xml:space="preserve">. </w:t>
      </w:r>
      <w:r w:rsidR="00AE24F2" w:rsidRPr="00345255">
        <w:t xml:space="preserve">Při posuzování účelnosti se NKÚ zaměřil na to, jak peněžní prostředky vynaložené na přípravu a výstavbu dálnice D35 přispívají k plnění cílů stanovených v koncepčních a strategických materiálech MD. </w:t>
      </w:r>
      <w:r w:rsidR="00B55526">
        <w:t>Při hodnocení hospodárnosti se NKÚ mj. zaměřil na posuzování výběru dodavatelů v dostatečně konkurenčním prostředí.</w:t>
      </w:r>
    </w:p>
    <w:p w14:paraId="081B2690" w14:textId="77777777" w:rsidR="0096065E" w:rsidRDefault="0096065E" w:rsidP="00A14611"/>
    <w:p w14:paraId="14A30A67" w14:textId="77777777" w:rsidR="00A14611" w:rsidRDefault="002A4F69" w:rsidP="00A14611">
      <w:r w:rsidRPr="002B0C0D">
        <w:rPr>
          <w:b/>
        </w:rPr>
        <w:t>3.2</w:t>
      </w:r>
      <w:r w:rsidR="00AE5194" w:rsidRPr="009D3CDE">
        <w:t xml:space="preserve"> </w:t>
      </w:r>
      <w:r w:rsidR="00AE5194" w:rsidRPr="002B6576">
        <w:t>NKÚ</w:t>
      </w:r>
      <w:r w:rsidR="00AE5194" w:rsidRPr="009D3CDE">
        <w:t xml:space="preserve"> </w:t>
      </w:r>
      <w:r w:rsidR="00AE5194" w:rsidRPr="002B6576">
        <w:t>podrobně</w:t>
      </w:r>
      <w:r w:rsidR="00AE5194" w:rsidRPr="009D3CDE">
        <w:t xml:space="preserve"> </w:t>
      </w:r>
      <w:r w:rsidR="00AE5194" w:rsidRPr="002B6576">
        <w:t>prověřil</w:t>
      </w:r>
      <w:r w:rsidR="00AE5194" w:rsidRPr="009D3CDE">
        <w:t xml:space="preserve"> </w:t>
      </w:r>
      <w:r w:rsidR="00AE5194" w:rsidRPr="002B6576">
        <w:t>postup</w:t>
      </w:r>
      <w:r w:rsidR="00AE5194" w:rsidRPr="009D3CDE">
        <w:t xml:space="preserve"> </w:t>
      </w:r>
      <w:r w:rsidR="00AE5194" w:rsidRPr="002B6576">
        <w:t>přípravy</w:t>
      </w:r>
      <w:r w:rsidR="00AE5194" w:rsidRPr="009D3CDE">
        <w:t xml:space="preserve"> </w:t>
      </w:r>
      <w:r w:rsidR="00AE5194" w:rsidRPr="002B6576">
        <w:t>14</w:t>
      </w:r>
      <w:r w:rsidR="00AE5194" w:rsidRPr="009D3CDE">
        <w:t xml:space="preserve"> </w:t>
      </w:r>
      <w:r w:rsidR="00AE5194" w:rsidRPr="002B6576">
        <w:t>úseků</w:t>
      </w:r>
      <w:r w:rsidR="00AE5194" w:rsidRPr="009D3CDE">
        <w:t xml:space="preserve"> </w:t>
      </w:r>
      <w:r w:rsidR="00AE5194" w:rsidRPr="002B6576">
        <w:t>a</w:t>
      </w:r>
      <w:r w:rsidR="00AE5194" w:rsidRPr="009D3CDE">
        <w:t xml:space="preserve"> </w:t>
      </w:r>
      <w:r w:rsidR="00A7480E" w:rsidRPr="002B6576">
        <w:t>z</w:t>
      </w:r>
      <w:r w:rsidR="00A7480E" w:rsidRPr="009D3CDE">
        <w:t> </w:t>
      </w:r>
      <w:r w:rsidR="00A7480E" w:rsidRPr="002B6576">
        <w:t>toho</w:t>
      </w:r>
      <w:r w:rsidR="00A7480E" w:rsidRPr="009D3CDE">
        <w:t xml:space="preserve"> </w:t>
      </w:r>
      <w:r w:rsidR="00AE5194" w:rsidRPr="002B6576">
        <w:t>výstavby</w:t>
      </w:r>
      <w:r w:rsidR="00AE5194" w:rsidRPr="009D3CDE">
        <w:t xml:space="preserve"> </w:t>
      </w:r>
      <w:r w:rsidR="00AE5194" w:rsidRPr="002B6576">
        <w:t>dvou</w:t>
      </w:r>
      <w:r w:rsidR="00AE5194" w:rsidRPr="009D3CDE">
        <w:t xml:space="preserve"> </w:t>
      </w:r>
      <w:r w:rsidR="00AE5194" w:rsidRPr="002B6576">
        <w:t>úseků</w:t>
      </w:r>
      <w:r w:rsidR="007A1C8B">
        <w:rPr>
          <w:rStyle w:val="Znakapoznpodarou"/>
        </w:rPr>
        <w:footnoteReference w:id="6"/>
      </w:r>
      <w:r w:rsidR="00AE5194" w:rsidRPr="009D3CDE">
        <w:t xml:space="preserve"> </w:t>
      </w:r>
      <w:r w:rsidR="00AE5194" w:rsidRPr="002B6576">
        <w:t>dálnice</w:t>
      </w:r>
      <w:r w:rsidR="00AE5194" w:rsidRPr="007A1C8B">
        <w:rPr>
          <w:sz w:val="16"/>
        </w:rPr>
        <w:t xml:space="preserve"> </w:t>
      </w:r>
      <w:r w:rsidR="00AE5194">
        <w:t>D35</w:t>
      </w:r>
      <w:r w:rsidR="009924E1">
        <w:t xml:space="preserve">, s celkovými náklady ve výši </w:t>
      </w:r>
      <w:r w:rsidR="009924E1" w:rsidRPr="0019780C">
        <w:t>96 599</w:t>
      </w:r>
      <w:r w:rsidR="009924E1">
        <w:t xml:space="preserve"> mil. Kč vč. DPH</w:t>
      </w:r>
      <w:r w:rsidR="00303883" w:rsidRPr="00303883">
        <w:t xml:space="preserve"> v cenové úrovni (dále jen „CÚ“) roku</w:t>
      </w:r>
      <w:r w:rsidR="00303883">
        <w:t xml:space="preserve"> 2022</w:t>
      </w:r>
      <w:r w:rsidR="009924E1">
        <w:t>.</w:t>
      </w:r>
      <w:r w:rsidR="00AE5194" w:rsidRPr="00510DC3">
        <w:t xml:space="preserve"> </w:t>
      </w:r>
      <w:r w:rsidR="00AA6979">
        <w:t>Kontrolovaný objem peněžních prostředků</w:t>
      </w:r>
      <w:r w:rsidR="00360495">
        <w:t xml:space="preserve"> </w:t>
      </w:r>
      <w:r w:rsidR="00262067">
        <w:t>vynaložen</w:t>
      </w:r>
      <w:r w:rsidR="00AA6979">
        <w:t>ých</w:t>
      </w:r>
      <w:r w:rsidR="00262067">
        <w:t xml:space="preserve"> </w:t>
      </w:r>
      <w:r w:rsidR="00E736E9">
        <w:t>na přípravu a výstavbu</w:t>
      </w:r>
      <w:r w:rsidR="0019780C">
        <w:t xml:space="preserve"> těchto úseků</w:t>
      </w:r>
      <w:r w:rsidR="00E736E9">
        <w:t xml:space="preserve"> dálnice D35 </w:t>
      </w:r>
      <w:r w:rsidR="00AA6979">
        <w:t xml:space="preserve">činil </w:t>
      </w:r>
      <w:r w:rsidR="00360495">
        <w:t>13 382 mil. Kč vč. DPH, z toho 6</w:t>
      </w:r>
      <w:r w:rsidR="00DF5A0F">
        <w:t> </w:t>
      </w:r>
      <w:r w:rsidR="00360495">
        <w:t>835</w:t>
      </w:r>
      <w:r w:rsidR="00DF5A0F">
        <w:t> </w:t>
      </w:r>
      <w:r w:rsidR="00360495">
        <w:t>mil.</w:t>
      </w:r>
      <w:r w:rsidR="00DF5A0F">
        <w:t> </w:t>
      </w:r>
      <w:r w:rsidR="00360495">
        <w:t xml:space="preserve">Kč </w:t>
      </w:r>
      <w:r w:rsidR="00360495" w:rsidRPr="00360495">
        <w:t>z peněžních prostředků EU</w:t>
      </w:r>
      <w:r w:rsidR="00360495">
        <w:t xml:space="preserve"> a</w:t>
      </w:r>
      <w:r w:rsidR="001B1324">
        <w:t> </w:t>
      </w:r>
      <w:r w:rsidR="00360495">
        <w:t>6</w:t>
      </w:r>
      <w:r w:rsidR="001B1324">
        <w:t> </w:t>
      </w:r>
      <w:r w:rsidR="00360495">
        <w:t>547</w:t>
      </w:r>
      <w:r w:rsidR="001B1324">
        <w:t> </w:t>
      </w:r>
      <w:r w:rsidR="00262067">
        <w:t>mil.</w:t>
      </w:r>
      <w:r w:rsidR="001B1324">
        <w:t> </w:t>
      </w:r>
      <w:r w:rsidR="00262067">
        <w:t>Kč</w:t>
      </w:r>
      <w:r w:rsidR="00360495">
        <w:t xml:space="preserve"> z národních zdrojů. </w:t>
      </w:r>
      <w:r w:rsidR="00AE5194" w:rsidRPr="00510DC3">
        <w:t xml:space="preserve">Přehled kontrolovaných </w:t>
      </w:r>
      <w:r w:rsidR="00AE5194">
        <w:t>staveb</w:t>
      </w:r>
      <w:r w:rsidR="00AE5194" w:rsidRPr="00510DC3">
        <w:t xml:space="preserve"> je uveden v příloze kontrolního závěru.</w:t>
      </w:r>
      <w:r w:rsidR="002B0C0D">
        <w:t xml:space="preserve"> </w:t>
      </w:r>
    </w:p>
    <w:p w14:paraId="4DD2CBB6" w14:textId="77777777" w:rsidR="00A14611" w:rsidRDefault="00A14611" w:rsidP="00A14611"/>
    <w:p w14:paraId="2ADDEB19" w14:textId="77777777" w:rsidR="00924B64" w:rsidRPr="00F54626" w:rsidRDefault="002A4F69" w:rsidP="00F54626">
      <w:pPr>
        <w:ind w:left="567" w:hanging="567"/>
        <w:rPr>
          <w:sz w:val="20"/>
        </w:rPr>
      </w:pPr>
      <w:r w:rsidRPr="00F54626">
        <w:rPr>
          <w:b/>
          <w:sz w:val="20"/>
        </w:rPr>
        <w:t>Pozn.:</w:t>
      </w:r>
      <w:r>
        <w:rPr>
          <w:sz w:val="20"/>
        </w:rPr>
        <w:tab/>
      </w:r>
      <w:r w:rsidRPr="00F54626">
        <w:rPr>
          <w:sz w:val="20"/>
        </w:rPr>
        <w:t>Právní předpisy uvedené v tomto kontrolním závěru jsou aplikovány ve znění účinném pro kontrolované období.</w:t>
      </w:r>
    </w:p>
    <w:p w14:paraId="1E90D9BA" w14:textId="77777777" w:rsidR="00924B64" w:rsidRPr="0068788F" w:rsidRDefault="002A4F69" w:rsidP="00FA30C2">
      <w:pPr>
        <w:keepNext/>
        <w:spacing w:before="720" w:after="240"/>
        <w:jc w:val="center"/>
        <w:rPr>
          <w:b/>
          <w:sz w:val="28"/>
        </w:rPr>
      </w:pPr>
      <w:r w:rsidRPr="0068788F">
        <w:rPr>
          <w:b/>
          <w:sz w:val="28"/>
        </w:rPr>
        <w:t>IV. Podrobné skutečnosti zjištěné kontrolou</w:t>
      </w:r>
    </w:p>
    <w:p w14:paraId="35FD7E87" w14:textId="77777777" w:rsidR="00924B64" w:rsidRPr="00501C8B" w:rsidRDefault="002A4F69" w:rsidP="002B6576">
      <w:pPr>
        <w:keepNext/>
        <w:spacing w:after="200"/>
        <w:jc w:val="left"/>
        <w:rPr>
          <w:b/>
        </w:rPr>
      </w:pPr>
      <w:r>
        <w:rPr>
          <w:b/>
        </w:rPr>
        <w:t xml:space="preserve">Přestože je dálnice D35 jednou z nejvýznamnějších částí dálniční sítě ČR, její dokončení </w:t>
      </w:r>
      <w:r w:rsidR="0005294C">
        <w:rPr>
          <w:b/>
        </w:rPr>
        <w:t>ŘSD předpokládá</w:t>
      </w:r>
      <w:r>
        <w:rPr>
          <w:b/>
        </w:rPr>
        <w:t xml:space="preserve"> až v roce 2030</w:t>
      </w:r>
    </w:p>
    <w:p w14:paraId="58EBBF3B" w14:textId="77777777" w:rsidR="009B7401" w:rsidRDefault="002A4F69" w:rsidP="009B7401">
      <w:r w:rsidRPr="005923CF">
        <w:rPr>
          <w:b/>
        </w:rPr>
        <w:t>4.1</w:t>
      </w:r>
      <w:r w:rsidR="00501C8B">
        <w:t xml:space="preserve"> </w:t>
      </w:r>
      <w:r w:rsidR="00501C8B" w:rsidRPr="00501C8B">
        <w:t>Silniční síť ČR byla definována usnesením vlády ČSSR ze dne 10. 4. 1963 č. 286</w:t>
      </w:r>
      <w:r>
        <w:rPr>
          <w:rStyle w:val="Znakapoznpodarou"/>
        </w:rPr>
        <w:footnoteReference w:id="7"/>
      </w:r>
      <w:r w:rsidR="00501C8B" w:rsidRPr="00501C8B">
        <w:t>. Tato koncepce určila funkční členění silniční sítě podle dopravního významu, vymezila síť dálnic a</w:t>
      </w:r>
      <w:r w:rsidR="00E5212E">
        <w:t> </w:t>
      </w:r>
      <w:r w:rsidR="00501C8B" w:rsidRPr="00501C8B">
        <w:t>důležité tahy vybrané sítě silnic. Dálnice D35 byla v</w:t>
      </w:r>
      <w:r w:rsidR="00501C8B">
        <w:t> </w:t>
      </w:r>
      <w:r w:rsidR="00501C8B" w:rsidRPr="00501C8B">
        <w:t>této koncepci stanovena v trase Hradec Králové – Svitavy – Olomouc – Lipník nad Bečvou v</w:t>
      </w:r>
      <w:r w:rsidR="00501C8B">
        <w:t> </w:t>
      </w:r>
      <w:r w:rsidR="00501C8B" w:rsidRPr="00501C8B">
        <w:t>délce 185 km.</w:t>
      </w:r>
    </w:p>
    <w:p w14:paraId="6714317E" w14:textId="77777777" w:rsidR="009B7401" w:rsidRDefault="009B7401" w:rsidP="009B7401"/>
    <w:p w14:paraId="0CBBA0AB" w14:textId="77777777" w:rsidR="009B7401" w:rsidRDefault="002A4F69" w:rsidP="009B7401">
      <w:r w:rsidRPr="005923CF">
        <w:rPr>
          <w:b/>
        </w:rPr>
        <w:lastRenderedPageBreak/>
        <w:t>4.2</w:t>
      </w:r>
      <w:r w:rsidR="00501C8B">
        <w:t xml:space="preserve"> </w:t>
      </w:r>
      <w:r w:rsidR="005D11C7" w:rsidRPr="005D11C7">
        <w:t>Usnesením ze dne 10. 11. 1993 č. 631</w:t>
      </w:r>
      <w:r>
        <w:rPr>
          <w:rStyle w:val="Znakapoznpodarou"/>
        </w:rPr>
        <w:footnoteReference w:id="8"/>
      </w:r>
      <w:r w:rsidR="005D11C7" w:rsidRPr="005D11C7">
        <w:t xml:space="preserve"> vláda </w:t>
      </w:r>
      <w:r w:rsidR="0021087D" w:rsidRPr="00565B11">
        <w:t>ČR</w:t>
      </w:r>
      <w:r w:rsidR="0021087D">
        <w:t xml:space="preserve"> </w:t>
      </w:r>
      <w:r w:rsidR="005D11C7" w:rsidRPr="005D11C7">
        <w:t>mj. zrušila vymezení dálniční sítě, uvedené v usnesení vlády ČSSR ze dne 10. 4. 1963 č. 286 tak, že jej nahradila novým vymezením koncepce dálniční sítě a sítě čtyřpruhových silnic pro motorová vozidla.</w:t>
      </w:r>
      <w:r w:rsidR="005923CF">
        <w:t xml:space="preserve"> </w:t>
      </w:r>
      <w:r w:rsidR="005923CF" w:rsidRPr="005923CF">
        <w:t>Promítnutím těchto změn</w:t>
      </w:r>
      <w:r>
        <w:rPr>
          <w:rStyle w:val="Znakapoznpodarou"/>
        </w:rPr>
        <w:footnoteReference w:id="9"/>
      </w:r>
      <w:r w:rsidR="005923CF" w:rsidRPr="005923CF">
        <w:t xml:space="preserve"> byla dálnice D35 vyřazena z dálniční sítě.</w:t>
      </w:r>
      <w:r w:rsidR="005923CF">
        <w:t xml:space="preserve"> </w:t>
      </w:r>
      <w:r w:rsidR="005923CF" w:rsidRPr="005923CF">
        <w:t xml:space="preserve">R35 jako čtyřpruhová silnice pro motorová vozidla </w:t>
      </w:r>
      <w:r w:rsidR="00AF05FD">
        <w:t>měla být s </w:t>
      </w:r>
      <w:r w:rsidR="005923CF" w:rsidRPr="005923CF">
        <w:t>výjimkou úsek</w:t>
      </w:r>
      <w:r w:rsidR="00494EAC">
        <w:t>u</w:t>
      </w:r>
      <w:r w:rsidR="005923CF" w:rsidRPr="005923CF">
        <w:t xml:space="preserve"> </w:t>
      </w:r>
      <w:r w:rsidR="004268EA">
        <w:t xml:space="preserve">Vysoké </w:t>
      </w:r>
      <w:r w:rsidR="005923CF" w:rsidRPr="005923CF">
        <w:t>Mýto – Mohelnice (</w:t>
      </w:r>
      <w:r w:rsidR="007F685A">
        <w:t xml:space="preserve">předpokládáno </w:t>
      </w:r>
      <w:r w:rsidR="005923CF" w:rsidRPr="005923CF">
        <w:t xml:space="preserve">zahájení </w:t>
      </w:r>
      <w:r w:rsidR="007F685A">
        <w:t xml:space="preserve">výstavby </w:t>
      </w:r>
      <w:r w:rsidR="005923CF" w:rsidRPr="005923CF">
        <w:t>v roce 2004) zprovozněna do roku 2005.</w:t>
      </w:r>
    </w:p>
    <w:p w14:paraId="150F7732" w14:textId="77777777" w:rsidR="009B7401" w:rsidRDefault="009B7401" w:rsidP="009B7401"/>
    <w:p w14:paraId="0D5C800D" w14:textId="77777777" w:rsidR="009B7401" w:rsidRDefault="002A4F69" w:rsidP="009B7401">
      <w:r w:rsidRPr="000324B3">
        <w:rPr>
          <w:b/>
        </w:rPr>
        <w:t>4.3</w:t>
      </w:r>
      <w:r w:rsidR="0005585D">
        <w:t xml:space="preserve"> </w:t>
      </w:r>
      <w:r w:rsidR="0005585D" w:rsidRPr="0005585D">
        <w:t>Usnesením ze dne 14. 2. 2001 č. 145</w:t>
      </w:r>
      <w:r>
        <w:rPr>
          <w:rStyle w:val="Znakapoznpodarou"/>
        </w:rPr>
        <w:footnoteReference w:id="10"/>
      </w:r>
      <w:r w:rsidR="0005585D" w:rsidRPr="0005585D">
        <w:t xml:space="preserve"> vláda </w:t>
      </w:r>
      <w:r w:rsidR="0021087D" w:rsidRPr="00565B11">
        <w:t>ČR</w:t>
      </w:r>
      <w:r w:rsidR="0021087D" w:rsidRPr="0005585D">
        <w:t xml:space="preserve"> </w:t>
      </w:r>
      <w:r w:rsidR="0005585D" w:rsidRPr="0005585D">
        <w:t xml:space="preserve">vzala na vědomí </w:t>
      </w:r>
      <w:r w:rsidR="002B6576">
        <w:t>h</w:t>
      </w:r>
      <w:r w:rsidR="0005585D" w:rsidRPr="0005585D">
        <w:t xml:space="preserve">armonogram a finanční zajištění realizace </w:t>
      </w:r>
      <w:r w:rsidR="0005585D" w:rsidRPr="009D3CDE">
        <w:rPr>
          <w:i/>
        </w:rPr>
        <w:t>Návrhu rozvoje dopravních sítí v</w:t>
      </w:r>
      <w:r w:rsidR="007A76C0">
        <w:rPr>
          <w:i/>
        </w:rPr>
        <w:t> </w:t>
      </w:r>
      <w:r w:rsidR="0005585D" w:rsidRPr="009D3CDE">
        <w:rPr>
          <w:i/>
        </w:rPr>
        <w:t>Č</w:t>
      </w:r>
      <w:r w:rsidR="007A76C0">
        <w:rPr>
          <w:i/>
        </w:rPr>
        <w:t>eské republice</w:t>
      </w:r>
      <w:r w:rsidR="0005585D" w:rsidRPr="009D3CDE">
        <w:rPr>
          <w:i/>
        </w:rPr>
        <w:t xml:space="preserve"> do roku 2010</w:t>
      </w:r>
      <w:r w:rsidR="0005585D" w:rsidRPr="0005585D">
        <w:t xml:space="preserve">. </w:t>
      </w:r>
      <w:r w:rsidR="000324B3">
        <w:t>V</w:t>
      </w:r>
      <w:r w:rsidR="0005585D" w:rsidRPr="0005585D">
        <w:t>ýstavba rychlostní silnice R35 u Hradce Králové a u Olomouce</w:t>
      </w:r>
      <w:r w:rsidR="000324B3">
        <w:t xml:space="preserve"> byla označena jako </w:t>
      </w:r>
      <w:r w:rsidR="000324B3" w:rsidRPr="000324B3">
        <w:t>vládní priorit</w:t>
      </w:r>
      <w:r w:rsidR="000324B3">
        <w:t>a</w:t>
      </w:r>
      <w:r w:rsidR="000324B3" w:rsidRPr="000324B3">
        <w:t xml:space="preserve"> rozvoje dopravní infrastruktury</w:t>
      </w:r>
      <w:r w:rsidR="0005585D" w:rsidRPr="0005585D">
        <w:t xml:space="preserve">. </w:t>
      </w:r>
      <w:r w:rsidR="00126C42">
        <w:t>Výstavba všech úseků R35 měla být zahájena nejpozději do roku 2010.</w:t>
      </w:r>
    </w:p>
    <w:p w14:paraId="30A91FC1" w14:textId="77777777" w:rsidR="009B7401" w:rsidRDefault="009B7401" w:rsidP="009B7401"/>
    <w:p w14:paraId="63340F52" w14:textId="77777777" w:rsidR="006B2007" w:rsidRDefault="002A4F69" w:rsidP="006B2007">
      <w:r w:rsidRPr="00D72A6B">
        <w:rPr>
          <w:b/>
        </w:rPr>
        <w:t>4.4</w:t>
      </w:r>
      <w:r>
        <w:t xml:space="preserve"> </w:t>
      </w:r>
      <w:r w:rsidR="00D72A6B" w:rsidRPr="00D72A6B">
        <w:t>Přijetím zákona č. 268/2015 Sb.</w:t>
      </w:r>
      <w:r>
        <w:rPr>
          <w:rStyle w:val="Znakapoznpodarou"/>
        </w:rPr>
        <w:footnoteReference w:id="11"/>
      </w:r>
      <w:r w:rsidR="00D72A6B" w:rsidRPr="00D72A6B">
        <w:t xml:space="preserve"> došlo od 1. 1. 2016 k přeřazení většiny</w:t>
      </w:r>
      <w:r>
        <w:rPr>
          <w:rStyle w:val="Znakapoznpodarou"/>
        </w:rPr>
        <w:footnoteReference w:id="12"/>
      </w:r>
      <w:r w:rsidR="00D72A6B" w:rsidRPr="00D72A6B">
        <w:t xml:space="preserve"> rychlostních silnic do kategorie dálnic. Rychlostní silnice R35 v úseku Úlibice – Lipník nad Bečvou tak byla nově zařazena do sítě dálnic, </w:t>
      </w:r>
      <w:r w:rsidR="002B6576">
        <w:t xml:space="preserve">a to </w:t>
      </w:r>
      <w:r w:rsidR="00D72A6B" w:rsidRPr="00D72A6B">
        <w:t>jako dálnice II. třídy.</w:t>
      </w:r>
    </w:p>
    <w:p w14:paraId="5F3C9F51" w14:textId="77777777" w:rsidR="006B2007" w:rsidRDefault="006B2007" w:rsidP="009B7401"/>
    <w:p w14:paraId="33B8E129" w14:textId="77777777" w:rsidR="006B2007" w:rsidRDefault="002A4F69" w:rsidP="009B7401">
      <w:r w:rsidRPr="00275059">
        <w:rPr>
          <w:b/>
        </w:rPr>
        <w:t>4.5</w:t>
      </w:r>
      <w:r>
        <w:t xml:space="preserve"> </w:t>
      </w:r>
      <w:r w:rsidR="000D7E5F">
        <w:t xml:space="preserve">Výstavba dálnice D35 byla zahájena </w:t>
      </w:r>
      <w:r w:rsidR="00275059">
        <w:t xml:space="preserve">již </w:t>
      </w:r>
      <w:r w:rsidR="000D7E5F">
        <w:t>v 70. letech 20. století</w:t>
      </w:r>
      <w:r w:rsidR="00275059">
        <w:t>, první úseky mezi Mohelnicí a Křelovem byly zprovozňovány postupně v letech 1978–1986 jako čtyřpruhová silnice.</w:t>
      </w:r>
      <w:r w:rsidR="000F6726">
        <w:t xml:space="preserve"> Podle předpokladů ŘSD by měla být dálnice D35 zprovozněna v celé délce v roce 2030.</w:t>
      </w:r>
    </w:p>
    <w:p w14:paraId="56A2A99A" w14:textId="77777777" w:rsidR="00185AEC" w:rsidRPr="000C0862" w:rsidRDefault="00E5212E" w:rsidP="00FA30C2">
      <w:pPr>
        <w:keepNext/>
        <w:spacing w:before="240"/>
        <w:rPr>
          <w:b/>
        </w:rPr>
      </w:pPr>
      <w:r w:rsidRPr="00011DEA">
        <w:rPr>
          <w:b/>
        </w:rPr>
        <w:t>MD neplní k</w:t>
      </w:r>
      <w:r w:rsidR="002A4F69" w:rsidRPr="00011DEA">
        <w:rPr>
          <w:b/>
        </w:rPr>
        <w:t xml:space="preserve">oncepční záměry </w:t>
      </w:r>
      <w:r w:rsidR="00303883" w:rsidRPr="00011DEA">
        <w:rPr>
          <w:b/>
        </w:rPr>
        <w:t>schválené vládou</w:t>
      </w:r>
    </w:p>
    <w:p w14:paraId="39514C44" w14:textId="77777777" w:rsidR="009B7401" w:rsidRDefault="009B7401" w:rsidP="00FA30C2">
      <w:pPr>
        <w:keepNext/>
      </w:pPr>
    </w:p>
    <w:p w14:paraId="7EE7A5F0" w14:textId="77777777" w:rsidR="00115A34" w:rsidRDefault="002A4F69" w:rsidP="009B7401">
      <w:r w:rsidRPr="00C221B5">
        <w:rPr>
          <w:b/>
        </w:rPr>
        <w:t>4.6</w:t>
      </w:r>
      <w:r>
        <w:t xml:space="preserve"> </w:t>
      </w:r>
      <w:r w:rsidRPr="006B2007">
        <w:t>Základním koncepčním materiálem v kontrolovaném období</w:t>
      </w:r>
      <w:r>
        <w:t xml:space="preserve"> byla </w:t>
      </w:r>
      <w:r w:rsidRPr="009D3CDE">
        <w:rPr>
          <w:i/>
        </w:rPr>
        <w:t>Dopravní politika České republiky pro období 2014–2020 s výhledem do roku 2050</w:t>
      </w:r>
      <w:r w:rsidR="00633131">
        <w:t>,</w:t>
      </w:r>
      <w:r w:rsidRPr="006B2007">
        <w:t xml:space="preserve"> schválen</w:t>
      </w:r>
      <w:r>
        <w:t>á</w:t>
      </w:r>
      <w:r w:rsidRPr="006B2007">
        <w:t xml:space="preserve"> usnesením vlády </w:t>
      </w:r>
      <w:r w:rsidR="0021087D" w:rsidRPr="00565B11">
        <w:t>ČR</w:t>
      </w:r>
      <w:r w:rsidR="0021087D" w:rsidRPr="006B2007">
        <w:t xml:space="preserve"> </w:t>
      </w:r>
      <w:r w:rsidRPr="006B2007">
        <w:t>ze dne 12. 6. 2013 č. 449</w:t>
      </w:r>
      <w:r>
        <w:rPr>
          <w:rStyle w:val="Znakapoznpodarou"/>
        </w:rPr>
        <w:footnoteReference w:id="13"/>
      </w:r>
      <w:r w:rsidR="0086547D">
        <w:t xml:space="preserve"> a</w:t>
      </w:r>
      <w:r>
        <w:t xml:space="preserve"> </w:t>
      </w:r>
      <w:r w:rsidR="00135818" w:rsidRPr="009D3CDE">
        <w:rPr>
          <w:i/>
        </w:rPr>
        <w:t>Dopravní sektorové strategie, 2. fáze</w:t>
      </w:r>
      <w:r w:rsidR="00135818" w:rsidRPr="00135818">
        <w:t xml:space="preserve"> (dále jen „DSS2“)</w:t>
      </w:r>
      <w:r w:rsidR="0086547D">
        <w:t>,</w:t>
      </w:r>
      <w:r w:rsidR="0086547D" w:rsidRPr="0086547D">
        <w:t xml:space="preserve"> </w:t>
      </w:r>
      <w:r w:rsidR="0086547D" w:rsidRPr="00135818">
        <w:t>schválen</w:t>
      </w:r>
      <w:r w:rsidR="0086547D">
        <w:t>é</w:t>
      </w:r>
      <w:r w:rsidR="0086547D" w:rsidRPr="00135818">
        <w:t xml:space="preserve"> usnesením vlády </w:t>
      </w:r>
      <w:r w:rsidR="0086547D" w:rsidRPr="00565B11">
        <w:t>ČR</w:t>
      </w:r>
      <w:r w:rsidR="0086547D" w:rsidRPr="00135818">
        <w:t xml:space="preserve"> ze dne 13. 11. 2013 č. 850</w:t>
      </w:r>
      <w:r w:rsidR="0086547D">
        <w:rPr>
          <w:rStyle w:val="Znakapoznpodarou"/>
        </w:rPr>
        <w:footnoteReference w:id="14"/>
      </w:r>
      <w:r w:rsidR="0086547D">
        <w:t>. DSS2</w:t>
      </w:r>
      <w:r w:rsidR="009B4091">
        <w:t xml:space="preserve"> </w:t>
      </w:r>
      <w:r w:rsidR="009B4091" w:rsidRPr="009B4091">
        <w:t>představovaly střednědobý plán rozvoje dopravní infrastruktury na roky 2014–2020</w:t>
      </w:r>
      <w:r w:rsidR="009B4091">
        <w:t xml:space="preserve"> a</w:t>
      </w:r>
      <w:r w:rsidR="00135818" w:rsidRPr="00135818">
        <w:t xml:space="preserve"> </w:t>
      </w:r>
      <w:r w:rsidR="00135818">
        <w:t xml:space="preserve">mj. </w:t>
      </w:r>
      <w:r w:rsidRPr="00DC4074">
        <w:t>defin</w:t>
      </w:r>
      <w:r w:rsidR="00135818">
        <w:t>ovaly</w:t>
      </w:r>
      <w:r w:rsidRPr="00DC4074">
        <w:t xml:space="preserve"> přístup k prioritám přípravy a</w:t>
      </w:r>
      <w:r w:rsidR="0086547D">
        <w:t> </w:t>
      </w:r>
      <w:r w:rsidRPr="00DC4074">
        <w:t xml:space="preserve">následné realizace dopravní infrastruktury s ohledem na stav a hlavní problémy dopravy. </w:t>
      </w:r>
      <w:r w:rsidRPr="00DC4074">
        <w:lastRenderedPageBreak/>
        <w:t>V</w:t>
      </w:r>
      <w:r w:rsidR="00633131">
        <w:t> </w:t>
      </w:r>
      <w:r w:rsidRPr="00DC4074">
        <w:t>roce 2017</w:t>
      </w:r>
      <w:r w:rsidR="00633131">
        <w:t xml:space="preserve"> </w:t>
      </w:r>
      <w:r w:rsidRPr="00DC4074">
        <w:t>MD zpracovalo aktualizaci</w:t>
      </w:r>
      <w:r w:rsidR="00135818">
        <w:t xml:space="preserve"> DSS2</w:t>
      </w:r>
      <w:r w:rsidRPr="00DC4074">
        <w:t xml:space="preserve">, která byla schválena usnesením vlády </w:t>
      </w:r>
      <w:r w:rsidR="00633131">
        <w:t xml:space="preserve">ČR </w:t>
      </w:r>
      <w:r w:rsidRPr="00DC4074">
        <w:t>ze dne 27.</w:t>
      </w:r>
      <w:r w:rsidR="00633131">
        <w:t> </w:t>
      </w:r>
      <w:r w:rsidRPr="00DC4074">
        <w:t>2.</w:t>
      </w:r>
      <w:r w:rsidR="00633131">
        <w:t> </w:t>
      </w:r>
      <w:r w:rsidRPr="00DC4074">
        <w:t>2018 č. 136</w:t>
      </w:r>
      <w:r>
        <w:rPr>
          <w:rStyle w:val="Znakapoznpodarou"/>
        </w:rPr>
        <w:footnoteReference w:id="15"/>
      </w:r>
      <w:r w:rsidRPr="00DC4074">
        <w:t>.</w:t>
      </w:r>
    </w:p>
    <w:p w14:paraId="17D5F535" w14:textId="77777777" w:rsidR="00115A34" w:rsidRDefault="00115A34" w:rsidP="009B7401"/>
    <w:p w14:paraId="062CA00A" w14:textId="77777777" w:rsidR="00115A34" w:rsidRDefault="002A4F69" w:rsidP="009B7401">
      <w:r w:rsidRPr="00BD0F9E">
        <w:rPr>
          <w:b/>
        </w:rPr>
        <w:t>4.</w:t>
      </w:r>
      <w:r w:rsidR="0086547D">
        <w:rPr>
          <w:b/>
        </w:rPr>
        <w:t>7</w:t>
      </w:r>
      <w:r>
        <w:t xml:space="preserve"> </w:t>
      </w:r>
      <w:r w:rsidR="0089650C" w:rsidRPr="0089650C">
        <w:t>Koncepční</w:t>
      </w:r>
      <w:r w:rsidR="0089650C" w:rsidRPr="00633131">
        <w:rPr>
          <w:sz w:val="20"/>
        </w:rPr>
        <w:t xml:space="preserve"> </w:t>
      </w:r>
      <w:r w:rsidR="0089650C" w:rsidRPr="0089650C">
        <w:t>záměry</w:t>
      </w:r>
      <w:r w:rsidR="0089650C" w:rsidRPr="00633131">
        <w:rPr>
          <w:sz w:val="20"/>
        </w:rPr>
        <w:t xml:space="preserve"> </w:t>
      </w:r>
      <w:r w:rsidR="0089650C">
        <w:t>výstavby</w:t>
      </w:r>
      <w:r w:rsidR="0089650C" w:rsidRPr="00633131">
        <w:rPr>
          <w:sz w:val="20"/>
        </w:rPr>
        <w:t xml:space="preserve"> </w:t>
      </w:r>
      <w:r w:rsidR="0089650C">
        <w:t>dálnice</w:t>
      </w:r>
      <w:r w:rsidR="0089650C" w:rsidRPr="00633131">
        <w:rPr>
          <w:sz w:val="20"/>
        </w:rPr>
        <w:t xml:space="preserve"> </w:t>
      </w:r>
      <w:r w:rsidR="0089650C">
        <w:t>D35</w:t>
      </w:r>
      <w:r w:rsidR="0089650C" w:rsidRPr="00633131">
        <w:rPr>
          <w:sz w:val="20"/>
        </w:rPr>
        <w:t xml:space="preserve"> </w:t>
      </w:r>
      <w:r w:rsidR="0089650C" w:rsidRPr="0089650C">
        <w:t>nebyly</w:t>
      </w:r>
      <w:r w:rsidR="0089650C" w:rsidRPr="00633131">
        <w:rPr>
          <w:sz w:val="20"/>
        </w:rPr>
        <w:t xml:space="preserve"> </w:t>
      </w:r>
      <w:r w:rsidR="0089650C" w:rsidRPr="0086547D">
        <w:t>plněny</w:t>
      </w:r>
      <w:r w:rsidR="005D542E">
        <w:t>,</w:t>
      </w:r>
      <w:r w:rsidR="00633131" w:rsidRPr="00633131">
        <w:rPr>
          <w:sz w:val="20"/>
        </w:rPr>
        <w:t xml:space="preserve"> </w:t>
      </w:r>
      <w:r w:rsidR="00633131">
        <w:t>t</w:t>
      </w:r>
      <w:r w:rsidR="0089650C" w:rsidRPr="0089650C">
        <w:t>ermíny</w:t>
      </w:r>
      <w:r w:rsidR="0089650C" w:rsidRPr="00633131">
        <w:rPr>
          <w:sz w:val="20"/>
        </w:rPr>
        <w:t xml:space="preserve"> </w:t>
      </w:r>
      <w:r w:rsidR="0089650C" w:rsidRPr="0089650C">
        <w:t>uvedené</w:t>
      </w:r>
      <w:r w:rsidR="0089650C" w:rsidRPr="00633131">
        <w:rPr>
          <w:sz w:val="20"/>
        </w:rPr>
        <w:t xml:space="preserve"> </w:t>
      </w:r>
      <w:r w:rsidR="0089650C">
        <w:t>v</w:t>
      </w:r>
      <w:r w:rsidR="007A76C0">
        <w:rPr>
          <w:sz w:val="20"/>
        </w:rPr>
        <w:t> </w:t>
      </w:r>
      <w:r w:rsidR="007A76C0">
        <w:t>h</w:t>
      </w:r>
      <w:r w:rsidR="0089650C" w:rsidRPr="0089650C">
        <w:t>armonogramu</w:t>
      </w:r>
      <w:r w:rsidR="0089650C" w:rsidRPr="00633131">
        <w:rPr>
          <w:sz w:val="20"/>
        </w:rPr>
        <w:t xml:space="preserve"> </w:t>
      </w:r>
      <w:r w:rsidR="0089650C" w:rsidRPr="0089650C">
        <w:t xml:space="preserve">realizace </w:t>
      </w:r>
      <w:r w:rsidR="0089650C">
        <w:t>DSS2</w:t>
      </w:r>
      <w:r w:rsidR="0089650C" w:rsidRPr="0089650C">
        <w:t xml:space="preserve"> pro oblast silniční infrastruktury na roky 2014</w:t>
      </w:r>
      <w:r w:rsidR="0089650C" w:rsidRPr="009B4091">
        <w:t>–</w:t>
      </w:r>
      <w:r w:rsidR="0089650C" w:rsidRPr="0089650C">
        <w:t>2020 se nepodařilo dodržet.</w:t>
      </w:r>
      <w:r w:rsidR="0089650C">
        <w:t xml:space="preserve"> </w:t>
      </w:r>
      <w:r w:rsidR="00725911">
        <w:t xml:space="preserve">Z osmi staveb dálnice D35, uvedených v harmonogramu, byla v předpokládaném termínu dokončena pouze stavba </w:t>
      </w:r>
      <w:r w:rsidR="00725911" w:rsidRPr="00BD0F9E">
        <w:rPr>
          <w:i/>
        </w:rPr>
        <w:t>R35 Sedlice – Opatovice, dostavba estakády</w:t>
      </w:r>
      <w:r w:rsidR="00725911">
        <w:t xml:space="preserve">, která byla v době zpracování harmonogramu již ve fázi </w:t>
      </w:r>
      <w:r w:rsidR="0034638F" w:rsidRPr="00011DEA">
        <w:t>výstavby</w:t>
      </w:r>
      <w:r w:rsidR="00725911" w:rsidRPr="00011DEA">
        <w:t>.</w:t>
      </w:r>
      <w:r w:rsidR="00BD0F9E">
        <w:t xml:space="preserve"> Ani aktualizované předpokládané termíny realizace sedmi staveb dálnice D35, uvedené v aktualizaci DSS2 z roku 2017, nebyly splněny u</w:t>
      </w:r>
      <w:r w:rsidR="00BF488F">
        <w:t> </w:t>
      </w:r>
      <w:r w:rsidR="00BD0F9E">
        <w:t>žádné z těchto staveb.</w:t>
      </w:r>
    </w:p>
    <w:p w14:paraId="7904526E" w14:textId="77777777" w:rsidR="009C5C0C" w:rsidRDefault="009C5C0C" w:rsidP="009C5C0C"/>
    <w:p w14:paraId="35DB4C02" w14:textId="77777777" w:rsidR="009C5C0C" w:rsidRPr="00FF706C" w:rsidRDefault="009C5C0C" w:rsidP="009C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3254C3">
        <w:rPr>
          <w:b/>
        </w:rPr>
        <w:t>Příklad:</w:t>
      </w:r>
    </w:p>
    <w:p w14:paraId="38FFC0EB" w14:textId="77777777" w:rsidR="009C5C0C" w:rsidRDefault="009C5C0C" w:rsidP="009C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Podle DSS2 měly být stavby </w:t>
      </w:r>
      <w:r w:rsidRPr="00393189">
        <w:rPr>
          <w:b/>
          <w:i/>
        </w:rPr>
        <w:t>D35 Džbánov – Litomyšl</w:t>
      </w:r>
      <w:r>
        <w:t xml:space="preserve"> a </w:t>
      </w:r>
      <w:r w:rsidRPr="00393189">
        <w:rPr>
          <w:b/>
          <w:i/>
        </w:rPr>
        <w:t>D35 Ostrov – Vysoké Mýto</w:t>
      </w:r>
      <w:r>
        <w:t xml:space="preserve"> realizovány v letech 2017–2020, </w:t>
      </w:r>
      <w:r w:rsidR="00633131">
        <w:t>podle aktualizace DSS2 z roku 2017 pak v letech 2019–2023. P</w:t>
      </w:r>
      <w:r>
        <w:t>odle předpokladů ŘSD budou realizovány v letech 2024–2027, tj. </w:t>
      </w:r>
      <w:r w:rsidR="00480FA7">
        <w:t>zprovozně</w:t>
      </w:r>
      <w:r>
        <w:t xml:space="preserve">ny o </w:t>
      </w:r>
      <w:r w:rsidR="007A76C0">
        <w:t>sedm</w:t>
      </w:r>
      <w:r>
        <w:t xml:space="preserve"> let</w:t>
      </w:r>
      <w:r w:rsidR="00633131">
        <w:t xml:space="preserve"> (resp. </w:t>
      </w:r>
      <w:r w:rsidR="007A76C0">
        <w:t>čtyři</w:t>
      </w:r>
      <w:r w:rsidR="00633131">
        <w:t xml:space="preserve"> roky)</w:t>
      </w:r>
      <w:r>
        <w:t xml:space="preserve"> později.</w:t>
      </w:r>
    </w:p>
    <w:p w14:paraId="4698C931" w14:textId="77777777" w:rsidR="009C5C0C" w:rsidRDefault="009C5C0C" w:rsidP="009B7401"/>
    <w:p w14:paraId="6E6B4420" w14:textId="77777777" w:rsidR="005571FC" w:rsidRDefault="002A4F69" w:rsidP="009B7401">
      <w:r w:rsidRPr="00FE3C81">
        <w:rPr>
          <w:b/>
        </w:rPr>
        <w:t>4.</w:t>
      </w:r>
      <w:r w:rsidR="0086547D">
        <w:rPr>
          <w:b/>
        </w:rPr>
        <w:t>8</w:t>
      </w:r>
      <w:r>
        <w:t xml:space="preserve"> </w:t>
      </w:r>
      <w:r w:rsidR="00345255" w:rsidRPr="00851470">
        <w:rPr>
          <w:color w:val="000000" w:themeColor="text1"/>
        </w:rPr>
        <w:t xml:space="preserve">Dokončení </w:t>
      </w:r>
      <w:r>
        <w:t xml:space="preserve">výstavby dálnice D35 </w:t>
      </w:r>
      <w:r w:rsidR="00345255">
        <w:t xml:space="preserve">je </w:t>
      </w:r>
      <w:r>
        <w:t>tak neustále oddalován</w:t>
      </w:r>
      <w:r w:rsidR="00345255">
        <w:t>o</w:t>
      </w:r>
      <w:r>
        <w:t xml:space="preserve"> a přetrvávají negativní vlivy </w:t>
      </w:r>
      <w:r w:rsidR="00D907ED">
        <w:t xml:space="preserve">na stávající </w:t>
      </w:r>
      <w:r w:rsidRPr="005571FC">
        <w:t>silnici I. třídy č. I/35</w:t>
      </w:r>
      <w:r w:rsidR="00D907ED">
        <w:t xml:space="preserve"> (průtahy městy a obcemi, vysoká intenzita dopravy, nehodovost, zatížení životního prostředí, prodlužování cestovního času apod.)</w:t>
      </w:r>
      <w:r w:rsidRPr="005571FC">
        <w:t>.</w:t>
      </w:r>
    </w:p>
    <w:p w14:paraId="24216BF9" w14:textId="77777777" w:rsidR="009C5C0C" w:rsidRDefault="009C5C0C" w:rsidP="009B7401"/>
    <w:p w14:paraId="3137FC1C" w14:textId="77777777" w:rsidR="00266EE2" w:rsidRDefault="002A4F69" w:rsidP="00BF1D4F">
      <w:pPr>
        <w:keepNext/>
        <w:rPr>
          <w:b/>
        </w:rPr>
      </w:pPr>
      <w:r>
        <w:rPr>
          <w:b/>
        </w:rPr>
        <w:t xml:space="preserve">V důsledku </w:t>
      </w:r>
      <w:r w:rsidR="0007180F">
        <w:rPr>
          <w:b/>
        </w:rPr>
        <w:t>změn v</w:t>
      </w:r>
      <w:r>
        <w:rPr>
          <w:b/>
        </w:rPr>
        <w:t xml:space="preserve"> příprav</w:t>
      </w:r>
      <w:r w:rsidR="0007180F">
        <w:rPr>
          <w:b/>
        </w:rPr>
        <w:t>ě</w:t>
      </w:r>
      <w:r>
        <w:rPr>
          <w:b/>
        </w:rPr>
        <w:t xml:space="preserve"> </w:t>
      </w:r>
      <w:r w:rsidR="0007180F">
        <w:rPr>
          <w:b/>
        </w:rPr>
        <w:t xml:space="preserve">a oddalování výstavby </w:t>
      </w:r>
      <w:r>
        <w:rPr>
          <w:b/>
        </w:rPr>
        <w:t>rostou náklady staveb</w:t>
      </w:r>
    </w:p>
    <w:p w14:paraId="4BCF910B" w14:textId="77777777" w:rsidR="00266EE2" w:rsidRPr="00266EE2" w:rsidRDefault="00266EE2" w:rsidP="00BF1D4F">
      <w:pPr>
        <w:keepNext/>
        <w:rPr>
          <w:b/>
        </w:rPr>
      </w:pPr>
    </w:p>
    <w:p w14:paraId="74FC28C9" w14:textId="77777777" w:rsidR="00C407E1" w:rsidRDefault="002A4F69" w:rsidP="00C407E1">
      <w:r w:rsidRPr="00647F6F">
        <w:rPr>
          <w:b/>
        </w:rPr>
        <w:t>4.</w:t>
      </w:r>
      <w:r w:rsidR="0086547D">
        <w:rPr>
          <w:b/>
        </w:rPr>
        <w:t>9</w:t>
      </w:r>
      <w:r>
        <w:t xml:space="preserve"> </w:t>
      </w:r>
      <w:r w:rsidRPr="00647F6F">
        <w:t>S posunem termínů realizace souvisí i růst předpokládaných nákladů</w:t>
      </w:r>
      <w:r>
        <w:t>.</w:t>
      </w:r>
      <w:r w:rsidR="00647F6F">
        <w:t xml:space="preserve"> D</w:t>
      </w:r>
      <w:r w:rsidR="004431E2" w:rsidRPr="004431E2">
        <w:t>le DSS2 měla být dálnice D35 mezi Opatovicemi</w:t>
      </w:r>
      <w:r w:rsidR="002208EB">
        <w:t xml:space="preserve"> nad Labem</w:t>
      </w:r>
      <w:r w:rsidR="004431E2" w:rsidRPr="004431E2">
        <w:t xml:space="preserve"> </w:t>
      </w:r>
      <w:r w:rsidR="00647F6F">
        <w:t>a</w:t>
      </w:r>
      <w:r w:rsidR="004431E2" w:rsidRPr="004431E2">
        <w:t xml:space="preserve"> </w:t>
      </w:r>
      <w:r w:rsidR="002208EB">
        <w:t>Opatovcem (</w:t>
      </w:r>
      <w:r w:rsidR="0068123C">
        <w:t>na realizaci úseků Opatovec – Staré Město – Mohelnice nebyl</w:t>
      </w:r>
      <w:r w:rsidR="009334B1">
        <w:t>a</w:t>
      </w:r>
      <w:r w:rsidR="0068123C">
        <w:t xml:space="preserve"> </w:t>
      </w:r>
      <w:r w:rsidR="009334B1">
        <w:t>v DSS2 předpokládána alokace peněžních prostředků)</w:t>
      </w:r>
      <w:r w:rsidR="004431E2" w:rsidRPr="004431E2">
        <w:t xml:space="preserve"> dokončena do roku 202</w:t>
      </w:r>
      <w:r w:rsidR="009334B1">
        <w:t>1</w:t>
      </w:r>
      <w:r w:rsidR="004431E2" w:rsidRPr="004431E2">
        <w:t xml:space="preserve"> s</w:t>
      </w:r>
      <w:r w:rsidR="00647F6F">
        <w:t> </w:t>
      </w:r>
      <w:r w:rsidR="004431E2" w:rsidRPr="004431E2">
        <w:t xml:space="preserve">náklady </w:t>
      </w:r>
      <w:r w:rsidR="009334B1" w:rsidRPr="009334B1">
        <w:t>31 137</w:t>
      </w:r>
      <w:r w:rsidR="004431E2" w:rsidRPr="004431E2">
        <w:t xml:space="preserve"> mil. Kč</w:t>
      </w:r>
      <w:r w:rsidR="009334B1">
        <w:t>. Podle aktualizace</w:t>
      </w:r>
      <w:r w:rsidR="009334B1" w:rsidRPr="009334B1">
        <w:t xml:space="preserve"> </w:t>
      </w:r>
      <w:r w:rsidR="009334B1">
        <w:t xml:space="preserve">DSS2 </w:t>
      </w:r>
      <w:r>
        <w:t xml:space="preserve">pak </w:t>
      </w:r>
      <w:r w:rsidR="009334B1" w:rsidRPr="004431E2">
        <w:t>do roku 202</w:t>
      </w:r>
      <w:r w:rsidR="009334B1">
        <w:t>3</w:t>
      </w:r>
      <w:r w:rsidR="009334B1" w:rsidRPr="004431E2">
        <w:t xml:space="preserve"> s</w:t>
      </w:r>
      <w:r w:rsidR="009334B1">
        <w:t> </w:t>
      </w:r>
      <w:r w:rsidR="009334B1" w:rsidRPr="004431E2">
        <w:t>náklady 31</w:t>
      </w:r>
      <w:r>
        <w:t> </w:t>
      </w:r>
      <w:r w:rsidR="009334B1" w:rsidRPr="004431E2">
        <w:t>177 mil. Kč</w:t>
      </w:r>
      <w:r w:rsidR="009334B1">
        <w:t xml:space="preserve">. </w:t>
      </w:r>
      <w:r>
        <w:t>Podle aktuálních předpokladů</w:t>
      </w:r>
      <w:r w:rsidR="009334B1">
        <w:t xml:space="preserve"> ŘSD</w:t>
      </w:r>
      <w:r>
        <w:t xml:space="preserve"> bude dálnice D35 v tomto úseku</w:t>
      </w:r>
      <w:r w:rsidR="004431E2" w:rsidRPr="004431E2">
        <w:t xml:space="preserve"> dokončena nejdříve v</w:t>
      </w:r>
      <w:r w:rsidR="005E7008">
        <w:t> </w:t>
      </w:r>
      <w:r w:rsidR="004431E2" w:rsidRPr="004431E2">
        <w:t>roce 202</w:t>
      </w:r>
      <w:r>
        <w:t>7</w:t>
      </w:r>
      <w:r w:rsidR="004431E2" w:rsidRPr="004431E2">
        <w:t xml:space="preserve">, tj. o </w:t>
      </w:r>
      <w:r w:rsidR="007A76C0">
        <w:t>šest</w:t>
      </w:r>
      <w:r w:rsidR="004431E2" w:rsidRPr="004431E2">
        <w:t xml:space="preserve"> let později s náklady cca </w:t>
      </w:r>
      <w:r w:rsidR="0043008E">
        <w:t>38</w:t>
      </w:r>
      <w:r>
        <w:t> 7</w:t>
      </w:r>
      <w:r w:rsidR="0043008E">
        <w:t>3</w:t>
      </w:r>
      <w:r>
        <w:t xml:space="preserve">9 </w:t>
      </w:r>
      <w:r w:rsidR="004431E2" w:rsidRPr="004431E2">
        <w:t>mil. Kč</w:t>
      </w:r>
      <w:r w:rsidR="00A7480E">
        <w:t xml:space="preserve"> </w:t>
      </w:r>
      <w:r w:rsidR="00A7480E" w:rsidRPr="00011DEA">
        <w:t>(</w:t>
      </w:r>
      <w:r w:rsidR="007A76C0">
        <w:t>tj. </w:t>
      </w:r>
      <w:r w:rsidR="00A7480E" w:rsidRPr="00011DEA">
        <w:t xml:space="preserve">o 7 </w:t>
      </w:r>
      <w:r w:rsidR="005E5701" w:rsidRPr="00011DEA">
        <w:t>562</w:t>
      </w:r>
      <w:r w:rsidR="00A7480E" w:rsidRPr="00011DEA">
        <w:t xml:space="preserve"> mil. Kč více)</w:t>
      </w:r>
      <w:r w:rsidRPr="00011DEA">
        <w:t>.</w:t>
      </w:r>
      <w:r w:rsidR="0040479A">
        <w:t xml:space="preserve"> Kromě vlivů inflace se na z</w:t>
      </w:r>
      <w:r w:rsidR="0040479A" w:rsidRPr="0040479A">
        <w:t xml:space="preserve">výšení nákladů </w:t>
      </w:r>
      <w:r w:rsidR="0040479A">
        <w:t xml:space="preserve">podílely i </w:t>
      </w:r>
      <w:r w:rsidR="0040479A" w:rsidRPr="0040479A">
        <w:t>úprav</w:t>
      </w:r>
      <w:r w:rsidR="0040479A">
        <w:t>y</w:t>
      </w:r>
      <w:r w:rsidR="0040479A" w:rsidRPr="0040479A">
        <w:t xml:space="preserve"> technického řešení v dalších fázích projektové přípravy</w:t>
      </w:r>
      <w:r w:rsidR="0040479A">
        <w:t>,</w:t>
      </w:r>
      <w:r w:rsidR="0040479A" w:rsidRPr="0040479A">
        <w:t xml:space="preserve"> </w:t>
      </w:r>
      <w:r w:rsidR="0040479A">
        <w:t xml:space="preserve">zohlednění výsledků </w:t>
      </w:r>
      <w:r w:rsidR="0040479A" w:rsidRPr="0040479A">
        <w:t>doplňujících průzkumů (geotechnický, hydrogeologický apod.), studií (hluková, rozptylová)</w:t>
      </w:r>
      <w:r w:rsidR="0040479A">
        <w:t xml:space="preserve"> a</w:t>
      </w:r>
      <w:r w:rsidR="0040479A" w:rsidRPr="0040479A">
        <w:t xml:space="preserve"> zapracová</w:t>
      </w:r>
      <w:r w:rsidR="0040479A">
        <w:t>ní</w:t>
      </w:r>
      <w:r w:rsidR="0040479A" w:rsidRPr="0040479A">
        <w:t xml:space="preserve"> požadavk</w:t>
      </w:r>
      <w:r w:rsidR="0040479A">
        <w:t>ů</w:t>
      </w:r>
      <w:r w:rsidR="0040479A" w:rsidRPr="0040479A">
        <w:t xml:space="preserve"> ze strany dotčených orgánů, správců či vlastníků veřejné dopravní a technické infrastruktury, případně dalších účastníků řízení.</w:t>
      </w:r>
    </w:p>
    <w:p w14:paraId="08B5A667" w14:textId="77777777" w:rsidR="00126643" w:rsidRDefault="00126643" w:rsidP="009B7401"/>
    <w:p w14:paraId="3BBD68CD" w14:textId="77777777" w:rsidR="00AD5DE7" w:rsidRDefault="002A4F69" w:rsidP="0040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3254C3">
        <w:rPr>
          <w:b/>
        </w:rPr>
        <w:t>Příklady:</w:t>
      </w:r>
    </w:p>
    <w:p w14:paraId="6C6A60D4" w14:textId="77777777" w:rsidR="001D5587" w:rsidRDefault="002A4F69" w:rsidP="004D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U stavby </w:t>
      </w:r>
      <w:r w:rsidRPr="0040479A">
        <w:rPr>
          <w:b/>
          <w:i/>
        </w:rPr>
        <w:t>D35 Úlibice – obchvat</w:t>
      </w:r>
      <w:r>
        <w:t xml:space="preserve"> zpracovalo ŘSD aktualizaci záměru projektu, v níž </w:t>
      </w:r>
      <w:r w:rsidR="0040479A">
        <w:t>navýšilo</w:t>
      </w:r>
      <w:r>
        <w:t xml:space="preserve"> </w:t>
      </w:r>
      <w:r w:rsidR="0040479A">
        <w:t xml:space="preserve">předpokládané </w:t>
      </w:r>
      <w:r>
        <w:t>stavební náklad</w:t>
      </w:r>
      <w:r w:rsidR="0040479A">
        <w:t>y</w:t>
      </w:r>
      <w:r>
        <w:t xml:space="preserve"> z původních 310 mil. Kč bez DPH na 1 192 mil. Kč bez DPH, což představovalo nárůst o 184 % ve srovnatelné cenové úrovni. </w:t>
      </w:r>
      <w:r w:rsidR="0040479A">
        <w:t>N</w:t>
      </w:r>
      <w:r>
        <w:t>árůst stavebních nákladů</w:t>
      </w:r>
      <w:r w:rsidR="0040479A">
        <w:t xml:space="preserve"> způsobila mj.</w:t>
      </w:r>
      <w:r>
        <w:t xml:space="preserve"> změna šířkového uspořádání komunikace (kategorie komunikace změněna z</w:t>
      </w:r>
      <w:r w:rsidR="00295A9A">
        <w:t> </w:t>
      </w:r>
      <w:r>
        <w:t>R</w:t>
      </w:r>
      <w:r w:rsidR="00295A9A">
        <w:t> </w:t>
      </w:r>
      <w:r>
        <w:t>22,5/100 na R</w:t>
      </w:r>
      <w:r w:rsidR="0040479A">
        <w:t> </w:t>
      </w:r>
      <w:r>
        <w:t>25,5/120) navýšení počtu mostních objektů, vodohospodářsk</w:t>
      </w:r>
      <w:r w:rsidR="0040479A">
        <w:t>ých</w:t>
      </w:r>
      <w:r>
        <w:t xml:space="preserve"> objekt</w:t>
      </w:r>
      <w:r w:rsidR="0040479A">
        <w:t>ů</w:t>
      </w:r>
      <w:r>
        <w:t xml:space="preserve"> </w:t>
      </w:r>
      <w:r w:rsidR="0040479A">
        <w:t>a</w:t>
      </w:r>
      <w:r w:rsidR="00BF488F">
        <w:t> </w:t>
      </w:r>
      <w:r>
        <w:t>úpravy území.</w:t>
      </w:r>
    </w:p>
    <w:p w14:paraId="4811957C" w14:textId="77777777" w:rsidR="0040479A" w:rsidRDefault="002A4F69" w:rsidP="0040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U stavby </w:t>
      </w:r>
      <w:r w:rsidRPr="0040479A">
        <w:rPr>
          <w:b/>
          <w:i/>
        </w:rPr>
        <w:t>D35 Litomyšl – Janov</w:t>
      </w:r>
      <w:r>
        <w:t xml:space="preserve"> zpracovalo ŘSD aktualizaci záměru projektu, v níž došlo k navýšení přepokládaných stavebních nákladů z původních 1 688 mil. Kč bez DPH na 3 69</w:t>
      </w:r>
      <w:r w:rsidR="00295A9A">
        <w:t>3 </w:t>
      </w:r>
      <w:r>
        <w:t>mil. Kč bez DPH, což představovalo nárůst o 9</w:t>
      </w:r>
      <w:r w:rsidR="00295A9A">
        <w:t>4</w:t>
      </w:r>
      <w:r>
        <w:t xml:space="preserve"> % ve srovnatelné cenové úrovni. Zvýšení </w:t>
      </w:r>
      <w:r>
        <w:lastRenderedPageBreak/>
        <w:t xml:space="preserve">stavebních nákladů způsobily změny technického řešení stavby, mj. změna a prodloužení hlavní trasy D35 a zvýšení počtu mostů na hlavní trase. </w:t>
      </w:r>
    </w:p>
    <w:p w14:paraId="65A0823F" w14:textId="77777777" w:rsidR="009518C7" w:rsidRDefault="009518C7" w:rsidP="009B7401"/>
    <w:p w14:paraId="59B1A0AC" w14:textId="77777777" w:rsidR="005571FC" w:rsidRPr="005571FC" w:rsidRDefault="002A4F69" w:rsidP="00812B28">
      <w:pPr>
        <w:keepNext/>
        <w:rPr>
          <w:b/>
        </w:rPr>
      </w:pPr>
      <w:r>
        <w:rPr>
          <w:b/>
        </w:rPr>
        <w:t>Příprava staveb trv</w:t>
      </w:r>
      <w:r w:rsidR="00A21413">
        <w:rPr>
          <w:b/>
        </w:rPr>
        <w:t>á v průměru 12 let</w:t>
      </w:r>
    </w:p>
    <w:p w14:paraId="0E6DD502" w14:textId="77777777" w:rsidR="005571FC" w:rsidRDefault="005571FC" w:rsidP="00812B28">
      <w:pPr>
        <w:keepNext/>
      </w:pPr>
    </w:p>
    <w:p w14:paraId="26915E22" w14:textId="77777777" w:rsidR="009B7401" w:rsidRDefault="002A4F69" w:rsidP="009B7401">
      <w:r w:rsidRPr="00FE3C81">
        <w:rPr>
          <w:b/>
        </w:rPr>
        <w:t>4.</w:t>
      </w:r>
      <w:r w:rsidR="00D907ED" w:rsidRPr="00FE3C81">
        <w:rPr>
          <w:b/>
        </w:rPr>
        <w:t>1</w:t>
      </w:r>
      <w:r w:rsidR="0086547D">
        <w:rPr>
          <w:b/>
        </w:rPr>
        <w:t>0</w:t>
      </w:r>
      <w:r w:rsidR="00725911">
        <w:t xml:space="preserve"> </w:t>
      </w:r>
      <w:r w:rsidR="00FE3C81" w:rsidRPr="00FE3C81">
        <w:t>Hlavním důvod</w:t>
      </w:r>
      <w:r w:rsidR="00FE3C81">
        <w:t>em</w:t>
      </w:r>
      <w:r w:rsidR="00FE3C81" w:rsidRPr="00FE3C81">
        <w:t xml:space="preserve"> zpožďování realizace staveb</w:t>
      </w:r>
      <w:r w:rsidR="00FE3C81">
        <w:t xml:space="preserve"> dálnice D35</w:t>
      </w:r>
      <w:r w:rsidR="00FE3C81" w:rsidRPr="00FE3C81">
        <w:t xml:space="preserve"> byl stav jejich přípravy, zejména </w:t>
      </w:r>
      <w:r w:rsidR="00FE3C81">
        <w:t>problémy při posuzování vliv</w:t>
      </w:r>
      <w:r w:rsidR="0019397D">
        <w:t>ů</w:t>
      </w:r>
      <w:r w:rsidR="00FE3C81">
        <w:t xml:space="preserve"> staveb na životní prostředí</w:t>
      </w:r>
      <w:r w:rsidR="005150A9">
        <w:t>,</w:t>
      </w:r>
      <w:r w:rsidR="00FE3C81" w:rsidRPr="00FE3C81">
        <w:t xml:space="preserve"> v územním řízení</w:t>
      </w:r>
      <w:r w:rsidR="005150A9" w:rsidRPr="005150A9">
        <w:t xml:space="preserve"> </w:t>
      </w:r>
      <w:r w:rsidR="005150A9">
        <w:t xml:space="preserve">a při </w:t>
      </w:r>
      <w:r w:rsidR="005150A9" w:rsidRPr="00FE3C81">
        <w:t>majetkoprávní</w:t>
      </w:r>
      <w:r w:rsidR="003D682E" w:rsidRPr="00565B11">
        <w:t>m</w:t>
      </w:r>
      <w:r w:rsidR="005150A9" w:rsidRPr="00FE3C81">
        <w:t xml:space="preserve"> vypořádání staveb</w:t>
      </w:r>
      <w:r w:rsidR="00FE3C81">
        <w:t>.</w:t>
      </w:r>
      <w:r w:rsidR="00B67DC0">
        <w:t xml:space="preserve"> </w:t>
      </w:r>
      <w:r w:rsidR="00BF3E48">
        <w:t>Ze 14 podrobně kontrolovaných staveb byla p</w:t>
      </w:r>
      <w:r w:rsidR="00B67DC0">
        <w:t>říprava</w:t>
      </w:r>
      <w:r w:rsidR="00BF3E48">
        <w:t xml:space="preserve"> do doby ukončení kontroly dokončena u osmi staveb</w:t>
      </w:r>
      <w:r w:rsidR="003B002F">
        <w:t xml:space="preserve">, z toho u sedmi staveb trvala 10 až 15 let, v průměru 12 let. U stavby </w:t>
      </w:r>
      <w:r w:rsidR="003B002F" w:rsidRPr="003B002F">
        <w:rPr>
          <w:i/>
        </w:rPr>
        <w:t>D35 Křelov – Slavonín</w:t>
      </w:r>
      <w:r w:rsidR="003B002F">
        <w:t xml:space="preserve"> trvala příprava 27 let, příprava 2. etapy</w:t>
      </w:r>
      <w:r>
        <w:rPr>
          <w:rStyle w:val="Znakapoznpodarou"/>
        </w:rPr>
        <w:footnoteReference w:id="16"/>
      </w:r>
      <w:r w:rsidR="003B002F">
        <w:t xml:space="preserve"> trvala </w:t>
      </w:r>
      <w:r w:rsidR="00A66A6F">
        <w:t>pět</w:t>
      </w:r>
      <w:r w:rsidR="003B002F">
        <w:t xml:space="preserve"> let</w:t>
      </w:r>
      <w:r w:rsidR="00773A20">
        <w:t xml:space="preserve">. U šesti staveb příprava dokončena nebyla a například u stavby </w:t>
      </w:r>
      <w:r w:rsidR="006E044F" w:rsidRPr="006E044F">
        <w:rPr>
          <w:i/>
        </w:rPr>
        <w:t>D35 Úlibice – obchvat</w:t>
      </w:r>
      <w:r w:rsidR="00773A20">
        <w:t xml:space="preserve"> trvala již déle než </w:t>
      </w:r>
      <w:r w:rsidR="006E044F">
        <w:t>15</w:t>
      </w:r>
      <w:r w:rsidR="00773A20">
        <w:t xml:space="preserve"> let</w:t>
      </w:r>
      <w:r w:rsidR="006E044F">
        <w:t>,</w:t>
      </w:r>
      <w:r w:rsidR="00DB171A">
        <w:t xml:space="preserve"> u staveb </w:t>
      </w:r>
      <w:r w:rsidR="00DB171A" w:rsidRPr="00DB171A">
        <w:rPr>
          <w:i/>
        </w:rPr>
        <w:t>D35 Džbánov – Litomyšl</w:t>
      </w:r>
      <w:r w:rsidR="00DB171A">
        <w:t xml:space="preserve"> a</w:t>
      </w:r>
      <w:r w:rsidR="00DB171A" w:rsidRPr="00DB171A">
        <w:t xml:space="preserve"> </w:t>
      </w:r>
      <w:r w:rsidR="00DB171A" w:rsidRPr="00DB171A">
        <w:rPr>
          <w:i/>
        </w:rPr>
        <w:t>D35 Litomyšl – Janov</w:t>
      </w:r>
      <w:r w:rsidR="00DB171A">
        <w:t xml:space="preserve"> déle než 10 let.</w:t>
      </w:r>
    </w:p>
    <w:p w14:paraId="31D4FEDE" w14:textId="77777777" w:rsidR="009B7401" w:rsidRDefault="009B7401" w:rsidP="009B7401"/>
    <w:p w14:paraId="53424D2F" w14:textId="77777777" w:rsidR="00BF0996" w:rsidRDefault="002A4F69" w:rsidP="009B7401">
      <w:r w:rsidRPr="0019397D">
        <w:rPr>
          <w:b/>
        </w:rPr>
        <w:t>4.1</w:t>
      </w:r>
      <w:r w:rsidR="0086547D">
        <w:rPr>
          <w:b/>
        </w:rPr>
        <w:t>1</w:t>
      </w:r>
      <w:r>
        <w:t xml:space="preserve"> </w:t>
      </w:r>
      <w:r w:rsidR="00277344" w:rsidRPr="0004545A">
        <w:rPr>
          <w:color w:val="000000" w:themeColor="text1"/>
        </w:rPr>
        <w:t xml:space="preserve">Zjišťovací řízení a posouzení </w:t>
      </w:r>
      <w:r w:rsidR="0019397D">
        <w:t>vliv</w:t>
      </w:r>
      <w:r w:rsidR="00277344">
        <w:t>u</w:t>
      </w:r>
      <w:r w:rsidR="0019397D">
        <w:t xml:space="preserve"> staveb na životní prostředí</w:t>
      </w:r>
      <w:r>
        <w:rPr>
          <w:rStyle w:val="Znakapoznpodarou"/>
        </w:rPr>
        <w:footnoteReference w:id="17"/>
      </w:r>
      <w:r w:rsidR="0019397D">
        <w:t xml:space="preserve"> (dále jen „</w:t>
      </w:r>
      <w:r>
        <w:t>EIA</w:t>
      </w:r>
      <w:r w:rsidR="0019397D">
        <w:t xml:space="preserve">“) </w:t>
      </w:r>
      <w:r w:rsidR="004A50D4">
        <w:t xml:space="preserve">probíhalo u podrobně kontrolovaných </w:t>
      </w:r>
      <w:r w:rsidR="00DB171A">
        <w:t>staveb</w:t>
      </w:r>
      <w:r w:rsidR="004A50D4">
        <w:t xml:space="preserve"> v letech </w:t>
      </w:r>
      <w:r w:rsidR="006B2FA9">
        <w:t>2001–2018</w:t>
      </w:r>
      <w:r w:rsidR="004A50D4">
        <w:t xml:space="preserve">. </w:t>
      </w:r>
      <w:r w:rsidR="006B2FA9">
        <w:t xml:space="preserve">EIA bylo prováděno v souvislých úsecích </w:t>
      </w:r>
      <w:r w:rsidR="006B2FA9" w:rsidRPr="006B2FA9">
        <w:rPr>
          <w:i/>
        </w:rPr>
        <w:t>Úlibice – Hradec Králové</w:t>
      </w:r>
      <w:r w:rsidR="006B2FA9">
        <w:t xml:space="preserve">, </w:t>
      </w:r>
      <w:r w:rsidR="006B2FA9" w:rsidRPr="006B2FA9">
        <w:rPr>
          <w:i/>
        </w:rPr>
        <w:t>Opatovice nad Labem – Vysoké Mýto</w:t>
      </w:r>
      <w:r w:rsidR="006B2FA9">
        <w:t xml:space="preserve">, </w:t>
      </w:r>
      <w:r w:rsidR="006B2FA9" w:rsidRPr="006B2FA9">
        <w:rPr>
          <w:i/>
        </w:rPr>
        <w:t>Ostrov – Staré Město</w:t>
      </w:r>
      <w:r w:rsidR="006B2FA9">
        <w:t xml:space="preserve"> a </w:t>
      </w:r>
      <w:r w:rsidR="006B2FA9" w:rsidRPr="006B2FA9">
        <w:rPr>
          <w:i/>
        </w:rPr>
        <w:t>Staré Město – Mohelnice</w:t>
      </w:r>
      <w:r w:rsidR="006B2FA9">
        <w:t xml:space="preserve">. </w:t>
      </w:r>
      <w:r w:rsidR="00277344">
        <w:t>Celý proces EIA o</w:t>
      </w:r>
      <w:r w:rsidR="006B2FA9">
        <w:t>d oznámení záměru Ministerstvu životního prostředí (dále jen „MŽP“) do vydání souhlasného stanoviska MŽP trval</w:t>
      </w:r>
      <w:r w:rsidR="00F0427D">
        <w:t xml:space="preserve"> </w:t>
      </w:r>
      <w:r w:rsidR="006B2FA9">
        <w:t>4–11 let.</w:t>
      </w:r>
      <w:r w:rsidR="00CC0FDC">
        <w:t xml:space="preserve"> </w:t>
      </w:r>
      <w:r w:rsidR="006B71B1">
        <w:t xml:space="preserve">Důvodem dlouhé doby trvání </w:t>
      </w:r>
      <w:r w:rsidR="00277344">
        <w:t xml:space="preserve">procesu </w:t>
      </w:r>
      <w:r w:rsidR="006B71B1">
        <w:t>EIA byl</w:t>
      </w:r>
      <w:r>
        <w:t xml:space="preserve">a </w:t>
      </w:r>
      <w:r w:rsidR="00970D5D">
        <w:t xml:space="preserve">doba </w:t>
      </w:r>
      <w:r w:rsidR="00970D5D" w:rsidRPr="00011DEA">
        <w:t>potřebná ke zpracování dokumentace EIA a jejího posudku,</w:t>
      </w:r>
      <w:r w:rsidR="00A83234" w:rsidRPr="00011DEA">
        <w:t xml:space="preserve"> předložení neúplných dokumentací EIA, které muselo ŘSD</w:t>
      </w:r>
      <w:r w:rsidR="00970D5D" w:rsidRPr="00011DEA">
        <w:t xml:space="preserve"> doplňov</w:t>
      </w:r>
      <w:r w:rsidR="00A83234" w:rsidRPr="00011DEA">
        <w:t>at</w:t>
      </w:r>
      <w:r w:rsidR="00E564E0" w:rsidRPr="00011DEA">
        <w:t xml:space="preserve"> a</w:t>
      </w:r>
      <w:r w:rsidR="0004545A">
        <w:t> </w:t>
      </w:r>
      <w:r w:rsidR="00E564E0" w:rsidRPr="00011DEA">
        <w:t>přepracová</w:t>
      </w:r>
      <w:r w:rsidR="00A83234" w:rsidRPr="00011DEA">
        <w:t>vat,</w:t>
      </w:r>
      <w:r w:rsidR="00970D5D" w:rsidRPr="00011DEA">
        <w:t xml:space="preserve"> a nutnost </w:t>
      </w:r>
      <w:r w:rsidRPr="00011DEA">
        <w:t>prověřování</w:t>
      </w:r>
      <w:r>
        <w:t xml:space="preserve"> alternativních řešení</w:t>
      </w:r>
      <w:r w:rsidR="00970D5D">
        <w:t xml:space="preserve"> navrhovaných tras dálnice D35.</w:t>
      </w:r>
    </w:p>
    <w:p w14:paraId="3197E94E" w14:textId="77777777" w:rsidR="001354F7" w:rsidRDefault="001354F7" w:rsidP="009B7401"/>
    <w:p w14:paraId="2BDE1806" w14:textId="77777777" w:rsidR="00DF193A" w:rsidRPr="003B3CAB" w:rsidRDefault="002A4F69" w:rsidP="005B34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b/>
        </w:rPr>
      </w:pPr>
      <w:r w:rsidRPr="003B3CAB">
        <w:rPr>
          <w:b/>
        </w:rPr>
        <w:t>Příklady:</w:t>
      </w:r>
    </w:p>
    <w:p w14:paraId="024C6AFC" w14:textId="77777777" w:rsidR="003B3CAB" w:rsidRDefault="002A4F69" w:rsidP="0019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>ŘSD předložilo oznámení záměru</w:t>
      </w:r>
      <w:r w:rsidR="00A17FF2">
        <w:t xml:space="preserve"> </w:t>
      </w:r>
      <w:r w:rsidR="00A17FF2" w:rsidRPr="0040479A">
        <w:rPr>
          <w:b/>
          <w:i/>
        </w:rPr>
        <w:t>D35 Staré Město – Mohelnice</w:t>
      </w:r>
      <w:r>
        <w:t xml:space="preserve"> MŽP dne 16. 1. 2007</w:t>
      </w:r>
      <w:r w:rsidR="00A17FF2">
        <w:t>.</w:t>
      </w:r>
      <w:r>
        <w:t xml:space="preserve"> MŽP</w:t>
      </w:r>
      <w:r w:rsidR="00EC52DE" w:rsidRPr="00EC52DE">
        <w:t xml:space="preserve"> </w:t>
      </w:r>
      <w:r w:rsidR="00EC52DE">
        <w:t>vydalo</w:t>
      </w:r>
      <w:r>
        <w:t xml:space="preserve"> </w:t>
      </w:r>
      <w:r w:rsidR="00EC52DE">
        <w:t xml:space="preserve">závěr zjišťovacího řízení </w:t>
      </w:r>
      <w:r>
        <w:t xml:space="preserve">dne 23. 5. 2007. </w:t>
      </w:r>
      <w:r w:rsidR="00A17FF2">
        <w:t>ŘSD d</w:t>
      </w:r>
      <w:r>
        <w:t>okumentac</w:t>
      </w:r>
      <w:r w:rsidR="00A17FF2">
        <w:t>i</w:t>
      </w:r>
      <w:r>
        <w:t xml:space="preserve"> EIA </w:t>
      </w:r>
      <w:r w:rsidR="00A17FF2">
        <w:t>předložilo</w:t>
      </w:r>
      <w:r>
        <w:t xml:space="preserve"> MŽP dne 2.</w:t>
      </w:r>
      <w:r w:rsidR="00EC52DE">
        <w:t> </w:t>
      </w:r>
      <w:r>
        <w:t>4.</w:t>
      </w:r>
      <w:r w:rsidR="00EC52DE">
        <w:t> </w:t>
      </w:r>
      <w:r>
        <w:t xml:space="preserve">2009, tato dokumentace </w:t>
      </w:r>
      <w:r w:rsidR="00541754">
        <w:t xml:space="preserve">však </w:t>
      </w:r>
      <w:r>
        <w:t>nesplňovala formální požadavky zákona č. 100/2001 Sb. a</w:t>
      </w:r>
      <w:r w:rsidR="00BF488F">
        <w:t> </w:t>
      </w:r>
      <w:r>
        <w:t xml:space="preserve">dostatečně nezohlednila některé požadavky závěru zjišťovacího řízení, proto ji MŽP vrátilo dne 24. 4. 2009 k doplnění. </w:t>
      </w:r>
      <w:r w:rsidR="00B207FF">
        <w:t>D</w:t>
      </w:r>
      <w:r>
        <w:t xml:space="preserve">oplněnou dokumentaci EIA </w:t>
      </w:r>
      <w:r w:rsidR="00B207FF">
        <w:t xml:space="preserve">předložilo ŘSD </w:t>
      </w:r>
      <w:r>
        <w:t xml:space="preserve">dne 25. 2. 2011, MŽP v ní opět shledalo formální i věcné nedostatky a </w:t>
      </w:r>
      <w:r w:rsidR="00B207FF">
        <w:t xml:space="preserve">vrátilo ji </w:t>
      </w:r>
      <w:r>
        <w:t xml:space="preserve">dne 22. 3. 2011 ŘSD </w:t>
      </w:r>
      <w:r w:rsidR="00B207FF">
        <w:t>k</w:t>
      </w:r>
      <w:r>
        <w:t xml:space="preserve"> další</w:t>
      </w:r>
      <w:r w:rsidR="00B207FF">
        <w:t>mu</w:t>
      </w:r>
      <w:r>
        <w:t xml:space="preserve"> doplnění. Dne 21. 9. 2011 byla na MŽP předložena dokumentace EIA, dne 1. 2. 2012</w:t>
      </w:r>
      <w:r w:rsidR="00F47072">
        <w:t xml:space="preserve"> MŽP</w:t>
      </w:r>
      <w:r>
        <w:t xml:space="preserve"> pověřilo autorizovanou osobu zpracováním posudku</w:t>
      </w:r>
      <w:r w:rsidR="00F47072">
        <w:t xml:space="preserve"> a</w:t>
      </w:r>
      <w:r>
        <w:t xml:space="preserve"> dne 15. 3. 2012 MŽP obdrželo od zpracovatele posudku doporučení vrátit dokumentaci k </w:t>
      </w:r>
      <w:r w:rsidR="00B207FF">
        <w:t>přepracování</w:t>
      </w:r>
      <w:r>
        <w:t xml:space="preserve"> z důvodu </w:t>
      </w:r>
      <w:r w:rsidR="00B207FF">
        <w:t>doplnění</w:t>
      </w:r>
      <w:r>
        <w:t xml:space="preserve"> komplexní hlukové studie, vyhodnocení vlivů na veřejné zdraví, upřesnění záborů pozemků určených k</w:t>
      </w:r>
      <w:r w:rsidR="00B207FF">
        <w:t> </w:t>
      </w:r>
      <w:r>
        <w:t>plnění funkcí lesa, doplnění zoologického průzkumu</w:t>
      </w:r>
      <w:r w:rsidR="00F47072">
        <w:t xml:space="preserve"> a</w:t>
      </w:r>
      <w:r w:rsidR="00B207FF">
        <w:t> </w:t>
      </w:r>
      <w:r>
        <w:t>prověření požadavku na vypracování a vyhodnocení druhé podvarianty. MŽP dokumentaci vrátilo ŘSD dne 16. 3. 2012.</w:t>
      </w:r>
    </w:p>
    <w:p w14:paraId="48B0FFFE" w14:textId="77777777" w:rsidR="00DF193A" w:rsidRDefault="002A4F69" w:rsidP="00BF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Přepracovanou dokumentaci předložilo ŘSD dne 24. 11. 2016 MŽP, záměr stavby byl předložen ve dvou variantách. Posudek k přepracované dokumentaci byl MŽP předložen dne </w:t>
      </w:r>
      <w:r>
        <w:lastRenderedPageBreak/>
        <w:t>22. 5. 2017,</w:t>
      </w:r>
      <w:r w:rsidR="000F0D4D">
        <w:t xml:space="preserve"> </w:t>
      </w:r>
      <w:r>
        <w:t>MŽP vydalo dne 29.</w:t>
      </w:r>
      <w:r w:rsidR="00F47072">
        <w:t> </w:t>
      </w:r>
      <w:r>
        <w:t>1.</w:t>
      </w:r>
      <w:r w:rsidR="00F47072">
        <w:t> </w:t>
      </w:r>
      <w:r>
        <w:t>2018 čj. MZP/2017/710/1357 souhlasné závazné stanovisko k posouzení vlivů provedení záměru na životní prostředí</w:t>
      </w:r>
      <w:r w:rsidR="00F47072">
        <w:t>.</w:t>
      </w:r>
      <w:r w:rsidR="00C70966">
        <w:t xml:space="preserve"> </w:t>
      </w:r>
      <w:r w:rsidR="00CD50A6" w:rsidRPr="0004545A">
        <w:rPr>
          <w:color w:val="000000" w:themeColor="text1"/>
        </w:rPr>
        <w:t xml:space="preserve">Proces EIA trval 11 let. </w:t>
      </w:r>
    </w:p>
    <w:p w14:paraId="495980D4" w14:textId="77777777" w:rsidR="00371C51" w:rsidRDefault="002A4F69" w:rsidP="004D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ŘSD předložilo oznámení záměru </w:t>
      </w:r>
      <w:r w:rsidRPr="0040479A">
        <w:rPr>
          <w:b/>
          <w:i/>
        </w:rPr>
        <w:t>D35 Ostrov – Staré Město</w:t>
      </w:r>
      <w:r>
        <w:t xml:space="preserve"> MŽP dne 14. 9. 2006. MŽP dne 3. 11. 2006 vydalo závěr zjišťovacího řízení. Dokumentace EIA byla MŽP předložena dne 10. 9. 2009 a MŽP dne 7. 10. 2009 pověřilo autorizovanou osobu zpracováním posudku. Dne 7. 12. 2009 </w:t>
      </w:r>
      <w:r w:rsidR="003556AE">
        <w:t>vrátilo MŽP</w:t>
      </w:r>
      <w:r>
        <w:t xml:space="preserve"> dokumentac</w:t>
      </w:r>
      <w:r w:rsidR="003556AE">
        <w:t>i</w:t>
      </w:r>
      <w:r>
        <w:t xml:space="preserve"> EIA ŘSD k doplnění, to bylo MŽP předloženo 4. 8. 2010. </w:t>
      </w:r>
      <w:r w:rsidR="00B207FF">
        <w:t xml:space="preserve">Na základě </w:t>
      </w:r>
      <w:r>
        <w:t xml:space="preserve">posudku </w:t>
      </w:r>
      <w:r w:rsidR="00B207FF">
        <w:t xml:space="preserve">zpracovaného </w:t>
      </w:r>
      <w:r>
        <w:t xml:space="preserve">dne 21. 12. 2011 </w:t>
      </w:r>
      <w:r w:rsidR="00B207FF">
        <w:t xml:space="preserve">vydalo </w:t>
      </w:r>
      <w:r>
        <w:t>MŽP souhlasné stanovisko k</w:t>
      </w:r>
      <w:r w:rsidR="00B207FF">
        <w:t> </w:t>
      </w:r>
      <w:r>
        <w:t xml:space="preserve">posouzení vlivů provedení záměru na životní prostředí č.j. 73999/ENV/12 dne 23. 10. 2012. </w:t>
      </w:r>
      <w:r w:rsidR="00CD50A6" w:rsidRPr="00AB787C">
        <w:rPr>
          <w:color w:val="000000" w:themeColor="text1"/>
        </w:rPr>
        <w:t xml:space="preserve">Proces EIA trval </w:t>
      </w:r>
      <w:r>
        <w:t xml:space="preserve">od 14. 9. 2006 do 23. 10. 2012, tj. </w:t>
      </w:r>
      <w:r w:rsidR="00767A5C">
        <w:t>šest</w:t>
      </w:r>
      <w:r>
        <w:t xml:space="preserve"> let.</w:t>
      </w:r>
    </w:p>
    <w:p w14:paraId="09B00F6C" w14:textId="77777777" w:rsidR="00F328AE" w:rsidRDefault="002A4F69" w:rsidP="0019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ŘSD předložilo MŽP dne 21. 12. 2001 oznámení záměru </w:t>
      </w:r>
      <w:r w:rsidRPr="0040479A">
        <w:rPr>
          <w:b/>
          <w:i/>
        </w:rPr>
        <w:t>D35 Opatovice nad Labem – Vysoké Mýto</w:t>
      </w:r>
      <w:r>
        <w:t xml:space="preserve"> obsahující pouze jednu trasu vedení D35. MŽP následně doporučilo ŘSD vypracovat vedení trasy silnice ve více variantách z důvodu hrozícího konfliktu původního trasování a</w:t>
      </w:r>
      <w:r w:rsidR="00195D24">
        <w:t> </w:t>
      </w:r>
      <w:r>
        <w:t xml:space="preserve">navrhované oblasti ochrany ptactva </w:t>
      </w:r>
      <w:r w:rsidRPr="00715546">
        <w:rPr>
          <w:i/>
        </w:rPr>
        <w:t>Ptačí oblast Komárov</w:t>
      </w:r>
      <w:r>
        <w:t xml:space="preserve">. </w:t>
      </w:r>
      <w:r w:rsidR="00B207FF">
        <w:t>ŘSD</w:t>
      </w:r>
      <w:r w:rsidR="00195D24">
        <w:t xml:space="preserve"> ved</w:t>
      </w:r>
      <w:r w:rsidR="00B207FF">
        <w:t>lo</w:t>
      </w:r>
      <w:r w:rsidR="00195D24">
        <w:t xml:space="preserve"> řad</w:t>
      </w:r>
      <w:r w:rsidR="00B207FF">
        <w:t>u</w:t>
      </w:r>
      <w:r w:rsidR="00195D24">
        <w:t xml:space="preserve"> jednání snažících se řešit konflikt mezi návrhem trasy D35 a návrhem </w:t>
      </w:r>
      <w:r w:rsidR="00195D24" w:rsidRPr="00195D24">
        <w:rPr>
          <w:i/>
        </w:rPr>
        <w:t>Ptačí oblasti Komárov</w:t>
      </w:r>
      <w:r w:rsidR="00195D24">
        <w:t>. Z</w:t>
      </w:r>
      <w:r w:rsidR="003556AE">
        <w:t> </w:t>
      </w:r>
      <w:r w:rsidR="00195D24">
        <w:t xml:space="preserve">tohoto důvodu byly v prostoru mezi Rokytnem a Prachovicemi (km 12,0–22,0) navrženy tři varianty řešení. </w:t>
      </w:r>
      <w:r>
        <w:t>Dokumentace EIA byla MŽP předložena dne 9. 8. 2004 a MŽP pověřilo dne 10.</w:t>
      </w:r>
      <w:r w:rsidR="003556AE">
        <w:t> </w:t>
      </w:r>
      <w:r>
        <w:t xml:space="preserve">11. 2004 autorizovanou osobu zpracováním posudku, který byl dne 3. 3. 2006 předložen MŽP. MŽP </w:t>
      </w:r>
      <w:r w:rsidR="00195D24">
        <w:t xml:space="preserve">vydalo </w:t>
      </w:r>
      <w:r>
        <w:t>dne 18. 12. 2006 č.j. 90082/ENV/06 souhlasné stanovisko</w:t>
      </w:r>
      <w:r w:rsidR="00195D24">
        <w:t xml:space="preserve">. </w:t>
      </w:r>
      <w:r>
        <w:t>Pos</w:t>
      </w:r>
      <w:r w:rsidR="00195D24">
        <w:t>u</w:t>
      </w:r>
      <w:r>
        <w:t>z</w:t>
      </w:r>
      <w:r w:rsidR="00195D24">
        <w:t>ování</w:t>
      </w:r>
      <w:r>
        <w:t xml:space="preserve"> EIA trvalo od podání oznámení záměru ŘSD do vydání stanoviska MŽP </w:t>
      </w:r>
      <w:r w:rsidR="00767A5C">
        <w:t>pět</w:t>
      </w:r>
      <w:r>
        <w:t xml:space="preserve"> let. Dlouhý proces posuzování EIA byl způsoben tím, že se ve fázi přípravy dokumentace EIA (tzn. v letech 2002–2004) objevila nová skutečnost, kterou bylo vyhlášení </w:t>
      </w:r>
      <w:r w:rsidR="00195D24" w:rsidRPr="00195D24">
        <w:rPr>
          <w:i/>
        </w:rPr>
        <w:t>P</w:t>
      </w:r>
      <w:r w:rsidRPr="00195D24">
        <w:rPr>
          <w:i/>
        </w:rPr>
        <w:t>tačí oblasti Komárov</w:t>
      </w:r>
      <w:r>
        <w:t>.</w:t>
      </w:r>
    </w:p>
    <w:p w14:paraId="424C63DF" w14:textId="77777777" w:rsidR="001354F7" w:rsidRDefault="001354F7" w:rsidP="009B7401"/>
    <w:p w14:paraId="07A0405A" w14:textId="77777777" w:rsidR="00C07995" w:rsidRDefault="002A4F69" w:rsidP="00C07995">
      <w:pPr>
        <w:spacing w:after="240"/>
      </w:pPr>
      <w:r w:rsidRPr="001354F7">
        <w:rPr>
          <w:b/>
        </w:rPr>
        <w:t>4.1</w:t>
      </w:r>
      <w:r w:rsidR="0086547D">
        <w:rPr>
          <w:b/>
        </w:rPr>
        <w:t>2</w:t>
      </w:r>
      <w:r>
        <w:t xml:space="preserve"> Územní řízení u podrobně kontrolovaných staveb trvala od podání žádosti o vydání územního rozhodnutí (rozhodnutí o umístění stavby) do nabytí právní moci vydaného </w:t>
      </w:r>
      <w:r w:rsidRPr="00011DEA">
        <w:t xml:space="preserve">územního rozhodnutí průměrně více než </w:t>
      </w:r>
      <w:r w:rsidR="00767A5C">
        <w:t>dva</w:t>
      </w:r>
      <w:r w:rsidRPr="00011DEA">
        <w:t xml:space="preserve"> roky (26 měsíců). </w:t>
      </w:r>
      <w:r w:rsidR="006010FC" w:rsidRPr="00011DEA">
        <w:t>Důvodem dlouhé doby trvání územních řízení</w:t>
      </w:r>
      <w:r w:rsidR="004E6947" w:rsidRPr="004E6947">
        <w:rPr>
          <w:color w:val="FF0000"/>
        </w:rPr>
        <w:t xml:space="preserve"> </w:t>
      </w:r>
      <w:r w:rsidR="004E6947" w:rsidRPr="00AB787C">
        <w:rPr>
          <w:color w:val="000000" w:themeColor="text1"/>
        </w:rPr>
        <w:t>byl většinou chybný postup ŘSD, spočívající v předložení neúplných podkladů stavebnímu úřadu, který tak musel územní řízení přerušit. Na délku územních řízení mělo ale vliv i uplatnění práv účastníků řízení (podání námitek a odvolání)</w:t>
      </w:r>
      <w:r w:rsidR="006010FC" w:rsidRPr="00AB787C">
        <w:rPr>
          <w:color w:val="000000" w:themeColor="text1"/>
        </w:rPr>
        <w:t xml:space="preserve">. </w:t>
      </w:r>
      <w:r w:rsidRPr="00011DEA">
        <w:t xml:space="preserve">Délka územního řízení se pohybovala od </w:t>
      </w:r>
      <w:r w:rsidR="00767A5C">
        <w:t xml:space="preserve">osmi </w:t>
      </w:r>
      <w:r w:rsidRPr="00011DEA">
        <w:t>měsíců u stavby</w:t>
      </w:r>
      <w:r>
        <w:t xml:space="preserve"> </w:t>
      </w:r>
      <w:r w:rsidRPr="001354F7">
        <w:rPr>
          <w:i/>
        </w:rPr>
        <w:t>D35 Časy – Ostrov</w:t>
      </w:r>
      <w:r>
        <w:t xml:space="preserve"> do 3,5 roku u</w:t>
      </w:r>
      <w:r w:rsidR="00D07FA5">
        <w:t> </w:t>
      </w:r>
      <w:r>
        <w:t xml:space="preserve">stavby </w:t>
      </w:r>
      <w:r w:rsidRPr="001354F7">
        <w:rPr>
          <w:i/>
        </w:rPr>
        <w:t>D35 Džbánov – Litomyšl</w:t>
      </w:r>
      <w:r>
        <w:t xml:space="preserve">. U stavby </w:t>
      </w:r>
      <w:r w:rsidRPr="001354F7">
        <w:rPr>
          <w:i/>
        </w:rPr>
        <w:t>D35 Litomyšl – Janov</w:t>
      </w:r>
      <w:r>
        <w:t xml:space="preserve"> trvalo územní řízení</w:t>
      </w:r>
      <w:r w:rsidRPr="001354F7">
        <w:t xml:space="preserve"> </w:t>
      </w:r>
      <w:r w:rsidR="00767A5C">
        <w:t>čtyři</w:t>
      </w:r>
      <w:r w:rsidRPr="001354F7">
        <w:t xml:space="preserve"> </w:t>
      </w:r>
      <w:r>
        <w:t>roky, u</w:t>
      </w:r>
      <w:r w:rsidR="00D07FA5">
        <w:t> </w:t>
      </w:r>
      <w:r>
        <w:t>této stavby bylo vydané územní rozhodnutí zrušeno po podaném odvolání na základě zpětvzetí žádosti o</w:t>
      </w:r>
      <w:r w:rsidR="00767A5C">
        <w:t> </w:t>
      </w:r>
      <w:r>
        <w:t>vydání rozhodnutí o umístění stavby ze strany ŘSD.</w:t>
      </w:r>
    </w:p>
    <w:p w14:paraId="29D1641C" w14:textId="77777777" w:rsidR="001354F7" w:rsidRDefault="002A4F69" w:rsidP="00F2643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3B3CAB">
        <w:rPr>
          <w:b/>
        </w:rPr>
        <w:t>Příklady:</w:t>
      </w:r>
    </w:p>
    <w:p w14:paraId="60FA4E7A" w14:textId="77777777" w:rsidR="00755DAC" w:rsidRDefault="002A4F69" w:rsidP="004D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 w:rsidRPr="00C30767">
        <w:t>Územní řízení</w:t>
      </w:r>
      <w:r>
        <w:t xml:space="preserve"> stavby </w:t>
      </w:r>
      <w:r w:rsidRPr="009479A6">
        <w:rPr>
          <w:b/>
          <w:i/>
        </w:rPr>
        <w:t>D35 Litomyšl – Janov</w:t>
      </w:r>
      <w:r w:rsidRPr="00C30767">
        <w:t xml:space="preserve"> trvalo </w:t>
      </w:r>
      <w:r w:rsidR="00767A5C">
        <w:t>čtyři</w:t>
      </w:r>
      <w:r w:rsidRPr="00C30767">
        <w:t xml:space="preserve"> roky (49 měsíců)</w:t>
      </w:r>
      <w:r>
        <w:t xml:space="preserve">, </w:t>
      </w:r>
      <w:r w:rsidRPr="00C30767">
        <w:t>mj. z důvodu neúplných podkladů</w:t>
      </w:r>
      <w:r>
        <w:t>, které ŘSD</w:t>
      </w:r>
      <w:r w:rsidRPr="00C30767">
        <w:t xml:space="preserve"> předlož</w:t>
      </w:r>
      <w:r>
        <w:t>ilo</w:t>
      </w:r>
      <w:r w:rsidRPr="00C30767">
        <w:t xml:space="preserve"> k žádosti o vydání územního rozhodnutí, dále z</w:t>
      </w:r>
      <w:r w:rsidR="00767A5C">
        <w:t> </w:t>
      </w:r>
      <w:r w:rsidRPr="00C30767">
        <w:t>důvod</w:t>
      </w:r>
      <w:r w:rsidR="00695F51">
        <w:t>ů</w:t>
      </w:r>
      <w:r w:rsidRPr="00C30767">
        <w:t xml:space="preserve"> pochybení stavebního úřadu, podání značného množství námitek </w:t>
      </w:r>
      <w:r>
        <w:t>v</w:t>
      </w:r>
      <w:r w:rsidR="00765027">
        <w:t> </w:t>
      </w:r>
      <w:r>
        <w:t>územním</w:t>
      </w:r>
      <w:r w:rsidRPr="00C30767">
        <w:t xml:space="preserve"> řízení a</w:t>
      </w:r>
      <w:r w:rsidR="00767A5C">
        <w:t> </w:t>
      </w:r>
      <w:r w:rsidRPr="00C30767">
        <w:t>odvolání podaných proti vydanému územnímu rozhodnutí. Na základě zpětvzetí žádosti o</w:t>
      </w:r>
      <w:r w:rsidR="00767A5C">
        <w:t> </w:t>
      </w:r>
      <w:r w:rsidRPr="00C30767">
        <w:t>vydání rozhodnutí o umístění stavby bylo vydané územní rozhodnutí zrušeno</w:t>
      </w:r>
      <w:r>
        <w:t xml:space="preserve">. </w:t>
      </w:r>
      <w:r w:rsidR="00043A2B">
        <w:t xml:space="preserve">Důvodem zpětvzetí žádosti ŘSD bylo uzavření </w:t>
      </w:r>
      <w:r w:rsidR="00043A2B" w:rsidRPr="00E1605B">
        <w:rPr>
          <w:i/>
        </w:rPr>
        <w:t>Memoranda o způsobu řešení stavby „D35 Litomyšl – Janov“ a</w:t>
      </w:r>
      <w:r w:rsidR="00755DAC">
        <w:rPr>
          <w:i/>
        </w:rPr>
        <w:t> </w:t>
      </w:r>
      <w:r w:rsidR="00043A2B" w:rsidRPr="00E1605B">
        <w:rPr>
          <w:i/>
        </w:rPr>
        <w:t>zachování kvality prostředí souvisící s výstavbou dálnice D35 na území města Litomyšl a</w:t>
      </w:r>
      <w:r w:rsidR="00755DAC">
        <w:rPr>
          <w:i/>
        </w:rPr>
        <w:t> </w:t>
      </w:r>
      <w:r w:rsidR="00043A2B" w:rsidRPr="00E1605B">
        <w:rPr>
          <w:i/>
        </w:rPr>
        <w:t>okolních obcí</w:t>
      </w:r>
      <w:r w:rsidR="00043A2B">
        <w:t xml:space="preserve"> </w:t>
      </w:r>
      <w:r w:rsidR="00A815B1">
        <w:t xml:space="preserve">ze </w:t>
      </w:r>
      <w:r w:rsidR="00043A2B">
        <w:t xml:space="preserve">dne 11. 3. 2021. </w:t>
      </w:r>
      <w:r>
        <w:t xml:space="preserve">V době kontroly, </w:t>
      </w:r>
      <w:r w:rsidR="00A815B1">
        <w:t xml:space="preserve">a to </w:t>
      </w:r>
      <w:r>
        <w:t>dne 28. 4. 2023, bylo na základě žádosti ŘSD zahájeno společné územní a stavební řízení</w:t>
      </w:r>
      <w:r w:rsidRPr="00C30767">
        <w:t>.</w:t>
      </w:r>
    </w:p>
    <w:p w14:paraId="7DA18305" w14:textId="77777777" w:rsidR="00755DAC" w:rsidRDefault="002A4F69" w:rsidP="005D6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Územní řízení stavby </w:t>
      </w:r>
      <w:r w:rsidRPr="009479A6">
        <w:rPr>
          <w:b/>
          <w:i/>
        </w:rPr>
        <w:t>D35 Džbánov – Litomyšl</w:t>
      </w:r>
      <w:r w:rsidRPr="00E1605B">
        <w:t xml:space="preserve"> </w:t>
      </w:r>
      <w:r>
        <w:t xml:space="preserve">trvalo 3,5 roku (41 měsíců) mj. z důvodu neúplných podkladů předložených ŘSD k žádosti o vydání územního rozhodnutí, jejichž doplnění trvalo </w:t>
      </w:r>
      <w:r w:rsidR="00A815B1">
        <w:t>osm</w:t>
      </w:r>
      <w:r>
        <w:t xml:space="preserve"> měsíců, dále z důvodů pochybení stavebního úřadu </w:t>
      </w:r>
      <w:r w:rsidR="00CE0FEC">
        <w:t xml:space="preserve">a </w:t>
      </w:r>
      <w:r>
        <w:t xml:space="preserve">podaného odvolání </w:t>
      </w:r>
      <w:r>
        <w:lastRenderedPageBreak/>
        <w:t>proti vydanému územnímu rozhodnutí.</w:t>
      </w:r>
      <w:r w:rsidR="00FE1722">
        <w:t xml:space="preserve"> Na základě uzavřeného memoranda, uvedeného v příkladu výše, bylo</w:t>
      </w:r>
      <w:r>
        <w:t xml:space="preserve"> dne 22. 3. 2021 odvolání</w:t>
      </w:r>
      <w:r w:rsidR="00FE1722">
        <w:t xml:space="preserve"> vzato</w:t>
      </w:r>
      <w:r>
        <w:t xml:space="preserve"> v celém rozsahu zpět. </w:t>
      </w:r>
      <w:r w:rsidR="00FE1722">
        <w:t xml:space="preserve">Odvolací </w:t>
      </w:r>
      <w:r>
        <w:t xml:space="preserve">řízení </w:t>
      </w:r>
      <w:r w:rsidR="00FE1722">
        <w:t xml:space="preserve">bylo </w:t>
      </w:r>
      <w:r>
        <w:t>zastav</w:t>
      </w:r>
      <w:r w:rsidR="00FE1722">
        <w:t>eno a ú</w:t>
      </w:r>
      <w:r>
        <w:t>zemní rozhodnutí nabylo právní moci dne 23. 3. 2021.</w:t>
      </w:r>
    </w:p>
    <w:p w14:paraId="382C5BD1" w14:textId="77777777" w:rsidR="009E12BA" w:rsidRDefault="002A4F69" w:rsidP="00A81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before="120" w:after="120"/>
      </w:pPr>
      <w:r>
        <w:t xml:space="preserve">Územní řízení stavby </w:t>
      </w:r>
      <w:r w:rsidRPr="009479A6">
        <w:rPr>
          <w:b/>
          <w:i/>
        </w:rPr>
        <w:t>D35 Vysoké Mýto – Džbánov</w:t>
      </w:r>
      <w:r>
        <w:t xml:space="preserve"> trvalo </w:t>
      </w:r>
      <w:r w:rsidR="00C94339">
        <w:t>tři</w:t>
      </w:r>
      <w:r>
        <w:t xml:space="preserve"> roky (37 měsíců) mj. z důvodu neúplných podkladů předložených ŘSD k žádosti o vydání územního rozhodnutí, jejichž doplnění trvalo </w:t>
      </w:r>
      <w:r w:rsidR="00CF0B52">
        <w:t>devět</w:t>
      </w:r>
      <w:r>
        <w:t xml:space="preserve"> měsíců, a dále z důvodu opakovaného územního řízení a opakovaného veřejného ústního projednání </w:t>
      </w:r>
      <w:r w:rsidR="00BC226E">
        <w:t>kvůli</w:t>
      </w:r>
      <w:r>
        <w:t xml:space="preserve"> neprokazatelné</w:t>
      </w:r>
      <w:r w:rsidR="00BC226E">
        <w:t>mu</w:t>
      </w:r>
      <w:r>
        <w:t xml:space="preserve"> doručení všem účastníkům řízení</w:t>
      </w:r>
      <w:r w:rsidR="004D1C02">
        <w:t>.</w:t>
      </w:r>
    </w:p>
    <w:p w14:paraId="18CB244A" w14:textId="77777777" w:rsidR="00F44CA5" w:rsidRDefault="002A4F69" w:rsidP="004D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 w:rsidRPr="00EE0067">
        <w:t>Územní řízení stavby</w:t>
      </w:r>
      <w:r w:rsidR="00C076B8" w:rsidRPr="00EE0067">
        <w:t xml:space="preserve"> </w:t>
      </w:r>
      <w:r w:rsidR="00C076B8" w:rsidRPr="00EE0067">
        <w:rPr>
          <w:b/>
          <w:i/>
        </w:rPr>
        <w:t>D35 Úlibice – obchvat</w:t>
      </w:r>
      <w:r w:rsidR="00C076B8" w:rsidRPr="00EE0067">
        <w:rPr>
          <w:i/>
        </w:rPr>
        <w:t xml:space="preserve">, stavba 1. </w:t>
      </w:r>
      <w:r w:rsidR="00CF0B52">
        <w:rPr>
          <w:i/>
        </w:rPr>
        <w:t>–</w:t>
      </w:r>
      <w:r w:rsidR="00C076B8" w:rsidRPr="00EE0067">
        <w:rPr>
          <w:i/>
        </w:rPr>
        <w:t xml:space="preserve"> MÚK Úlibice</w:t>
      </w:r>
      <w:r w:rsidRPr="00EE0067">
        <w:t xml:space="preserve"> trvalo déle než </w:t>
      </w:r>
      <w:r w:rsidR="00CF0B52">
        <w:t>dva</w:t>
      </w:r>
      <w:r w:rsidRPr="00EE0067">
        <w:t xml:space="preserve"> roky (26</w:t>
      </w:r>
      <w:r w:rsidR="00C076B8" w:rsidRPr="00EE0067">
        <w:t> </w:t>
      </w:r>
      <w:r w:rsidRPr="00EE0067">
        <w:t>měsíců) mj. z důvod</w:t>
      </w:r>
      <w:r w:rsidR="00C076B8" w:rsidRPr="00EE0067">
        <w:t>ů</w:t>
      </w:r>
      <w:r w:rsidRPr="00EE0067">
        <w:t xml:space="preserve"> neúplných dokladů předložených k žádosti o vydání územního rozhodnutí a dále řešení otázky souladu stavby s</w:t>
      </w:r>
      <w:r w:rsidR="00C076B8" w:rsidRPr="00EE0067">
        <w:t> </w:t>
      </w:r>
      <w:r w:rsidRPr="00EE0067">
        <w:t>územně plánovací dokumentací.</w:t>
      </w:r>
    </w:p>
    <w:p w14:paraId="443BE9AC" w14:textId="77777777" w:rsidR="009479A6" w:rsidRPr="005755CA" w:rsidRDefault="002A4F69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dstrike/>
          <w:highlight w:val="darkGray"/>
        </w:rPr>
      </w:pPr>
      <w:r w:rsidRPr="00EE0067">
        <w:t xml:space="preserve">Územní řízení stavby </w:t>
      </w:r>
      <w:r w:rsidRPr="00EE0067">
        <w:rPr>
          <w:b/>
          <w:i/>
        </w:rPr>
        <w:t>D35 Janov – Opatovec</w:t>
      </w:r>
      <w:r w:rsidRPr="00EE0067">
        <w:t xml:space="preserve"> trvalo </w:t>
      </w:r>
      <w:r w:rsidR="00CF0B52">
        <w:t>dva</w:t>
      </w:r>
      <w:r w:rsidRPr="00EE0067">
        <w:t xml:space="preserve"> roky (23 měsíců) mj. z důvodu neúplných dokladů předložených k žádosti o vydání územního rozhodnutí (prodloužení o 10 měsíců</w:t>
      </w:r>
      <w:r w:rsidR="00CF0B52">
        <w:t xml:space="preserve">). </w:t>
      </w:r>
      <w:r w:rsidRPr="00EE0067">
        <w:t xml:space="preserve">Další prodloužení o </w:t>
      </w:r>
      <w:r w:rsidR="00CF0B52">
        <w:t>šest</w:t>
      </w:r>
      <w:r w:rsidRPr="00EE0067">
        <w:t xml:space="preserve"> měsíců bylo zapříčiněno podáním odvolání z důvodu nesouhlasu s</w:t>
      </w:r>
      <w:r w:rsidR="003F0EDC" w:rsidRPr="00EE0067">
        <w:t> </w:t>
      </w:r>
      <w:r w:rsidRPr="00EE0067">
        <w:t>vypořádáním námitek proti umístění stavby. Odvolací orgán odvolání zamítl a</w:t>
      </w:r>
      <w:r w:rsidR="00CF0B52">
        <w:t> </w:t>
      </w:r>
      <w:r w:rsidRPr="00EE0067">
        <w:t>územní rozhodnutí potvrdil.</w:t>
      </w:r>
    </w:p>
    <w:p w14:paraId="49804D91" w14:textId="77777777" w:rsidR="001354F7" w:rsidRDefault="001354F7" w:rsidP="001354F7"/>
    <w:p w14:paraId="5A2C8499" w14:textId="77777777" w:rsidR="001354F7" w:rsidRDefault="002A4F69" w:rsidP="001354F7">
      <w:r w:rsidRPr="00CA220B">
        <w:rPr>
          <w:b/>
        </w:rPr>
        <w:t>4.1</w:t>
      </w:r>
      <w:r w:rsidR="0086547D">
        <w:rPr>
          <w:b/>
        </w:rPr>
        <w:t>3</w:t>
      </w:r>
      <w:r>
        <w:t xml:space="preserve"> Časové prodlevy vzniklé mezi nabytím právní moci územního rozhodnutí a podání žádostí o vydání stavebního povolení byly způsobeny zdlouhavým procesem majetkoprávního vypořádání</w:t>
      </w:r>
      <w:r w:rsidR="00CF0B52">
        <w:t>;</w:t>
      </w:r>
      <w:r>
        <w:t xml:space="preserve"> jednalo se zejména o výkupy pozemků, zajištění podkladů pro vyvlastnění, převody pozemků mezi organizačními složkami státu apod.</w:t>
      </w:r>
    </w:p>
    <w:p w14:paraId="78E7C203" w14:textId="77777777" w:rsidR="00CA220B" w:rsidRDefault="00CA220B" w:rsidP="001354F7"/>
    <w:p w14:paraId="6E0AE486" w14:textId="77777777" w:rsidR="00CA220B" w:rsidRDefault="002A4F69" w:rsidP="0011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3B3CAB">
        <w:rPr>
          <w:b/>
        </w:rPr>
        <w:t>Příklad</w:t>
      </w:r>
      <w:r w:rsidR="000F1826">
        <w:rPr>
          <w:b/>
        </w:rPr>
        <w:t>y</w:t>
      </w:r>
      <w:r w:rsidRPr="003B3CAB">
        <w:rPr>
          <w:b/>
        </w:rPr>
        <w:t>:</w:t>
      </w:r>
    </w:p>
    <w:p w14:paraId="32EDD733" w14:textId="77777777" w:rsidR="00860272" w:rsidRDefault="002A4F69" w:rsidP="0011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ŘSD realizovalo výkup pozemků dotčených stavbou </w:t>
      </w:r>
      <w:r w:rsidRPr="0073482F">
        <w:rPr>
          <w:b/>
          <w:i/>
        </w:rPr>
        <w:t>D35 Opatovice – Časy</w:t>
      </w:r>
      <w:r>
        <w:t xml:space="preserve"> od roku 2013 do roku 2021, tj. </w:t>
      </w:r>
      <w:r w:rsidR="00CF0B52">
        <w:t>devět</w:t>
      </w:r>
      <w:r>
        <w:t xml:space="preserve"> let. Celkové náklady na výkup pozemků činily 118 mil. Kč. V</w:t>
      </w:r>
      <w:r w:rsidRPr="0073482F">
        <w:t xml:space="preserve">ýkup pozemků dotčených </w:t>
      </w:r>
      <w:r>
        <w:t>s</w:t>
      </w:r>
      <w:r w:rsidRPr="0073482F">
        <w:t xml:space="preserve">tavbou </w:t>
      </w:r>
      <w:r w:rsidRPr="0073482F">
        <w:rPr>
          <w:b/>
          <w:i/>
        </w:rPr>
        <w:t>D35 Časy – Ostrov</w:t>
      </w:r>
      <w:r w:rsidRPr="0073482F">
        <w:t xml:space="preserve"> </w:t>
      </w:r>
      <w:r>
        <w:t xml:space="preserve">provádělo ŘSD </w:t>
      </w:r>
      <w:r w:rsidRPr="0073482F">
        <w:t xml:space="preserve">v období od roku 2012 do roku 2020, tj. </w:t>
      </w:r>
      <w:r w:rsidR="00CF0B52">
        <w:t>devět</w:t>
      </w:r>
      <w:r w:rsidRPr="0073482F">
        <w:t xml:space="preserve"> let. Celkové náklady na výkup </w:t>
      </w:r>
      <w:r>
        <w:t>pozemků</w:t>
      </w:r>
      <w:r w:rsidRPr="0073482F">
        <w:t xml:space="preserve"> činily 173</w:t>
      </w:r>
      <w:r>
        <w:t xml:space="preserve"> mil.</w:t>
      </w:r>
      <w:r w:rsidRPr="0073482F">
        <w:t xml:space="preserve"> Kč. Důvodem dlouhé doby trvání majetkoprávního vypořádání byly </w:t>
      </w:r>
      <w:r>
        <w:t xml:space="preserve">mj. i </w:t>
      </w:r>
      <w:r w:rsidRPr="0073482F">
        <w:t>legislativní změny pravidel pro stanovení cen pozemků</w:t>
      </w:r>
      <w:r>
        <w:t>.</w:t>
      </w:r>
    </w:p>
    <w:p w14:paraId="6965965E" w14:textId="77777777" w:rsidR="00A976B4" w:rsidRDefault="002A4F69" w:rsidP="0002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 w:rsidRPr="002234C4">
        <w:t xml:space="preserve">Do </w:t>
      </w:r>
      <w:r>
        <w:t>31</w:t>
      </w:r>
      <w:r w:rsidRPr="002234C4">
        <w:t xml:space="preserve">. </w:t>
      </w:r>
      <w:r>
        <w:t>1</w:t>
      </w:r>
      <w:r w:rsidRPr="002234C4">
        <w:t>. 2013 probíhaly výkupy pozemků za ceny zjištěné znaleckým posudkem</w:t>
      </w:r>
      <w:r>
        <w:t xml:space="preserve"> jako </w:t>
      </w:r>
      <w:r w:rsidR="00CF0B52">
        <w:t xml:space="preserve">ceny </w:t>
      </w:r>
      <w:r w:rsidRPr="002234C4">
        <w:t>stavební</w:t>
      </w:r>
      <w:r>
        <w:t>ch pozemků</w:t>
      </w:r>
      <w:r w:rsidRPr="002234C4">
        <w:t xml:space="preserve"> určených k zastavění </w:t>
      </w:r>
      <w:r w:rsidR="00114E2D">
        <w:t>stavbami dopravní infrastruktury</w:t>
      </w:r>
      <w:r>
        <w:t>. Od</w:t>
      </w:r>
      <w:r w:rsidRPr="002234C4">
        <w:t xml:space="preserve"> 1.</w:t>
      </w:r>
      <w:r>
        <w:t> </w:t>
      </w:r>
      <w:r w:rsidRPr="002234C4">
        <w:t>2.</w:t>
      </w:r>
      <w:r>
        <w:t> </w:t>
      </w:r>
      <w:r w:rsidRPr="002234C4">
        <w:t>2013</w:t>
      </w:r>
      <w:r>
        <w:t xml:space="preserve"> byly na základě novely zákona č. 416/2009 Sb.</w:t>
      </w:r>
      <w:r>
        <w:rPr>
          <w:rStyle w:val="Znakapoznpodarou"/>
        </w:rPr>
        <w:footnoteReference w:id="18"/>
      </w:r>
      <w:r>
        <w:t xml:space="preserve"> (zákonem č. 405/2012 Sb.</w:t>
      </w:r>
      <w:r w:rsidR="00DD0200" w:rsidRPr="00565B11">
        <w:rPr>
          <w:rStyle w:val="Znakapoznpodarou"/>
        </w:rPr>
        <w:footnoteReference w:id="19"/>
      </w:r>
      <w:r>
        <w:t>)</w:t>
      </w:r>
      <w:r w:rsidRPr="002234C4">
        <w:t xml:space="preserve"> určen</w:t>
      </w:r>
      <w:r>
        <w:t>y</w:t>
      </w:r>
      <w:r w:rsidRPr="002234C4">
        <w:t xml:space="preserve"> výše kupní ceny max. do výše ceny stanovené znaleckým posudkem, zvýšen</w:t>
      </w:r>
      <w:r>
        <w:t>é</w:t>
      </w:r>
      <w:r w:rsidRPr="002234C4">
        <w:t xml:space="preserve"> o 100</w:t>
      </w:r>
      <w:r>
        <w:t> </w:t>
      </w:r>
      <w:r w:rsidRPr="002234C4">
        <w:t>% ceny pozemku jiného než stavebního a o 15</w:t>
      </w:r>
      <w:r>
        <w:t> </w:t>
      </w:r>
      <w:r w:rsidRPr="002234C4">
        <w:t>% v případě stavebního pozemku. Cena pozemku ve znaleckém posudku byla určena podle skutečného stavu a užití ke dni zpracování posudku.</w:t>
      </w:r>
      <w:r>
        <w:t xml:space="preserve"> </w:t>
      </w:r>
      <w:r w:rsidR="00114E2D">
        <w:t>Podle informace ŘSD se c</w:t>
      </w:r>
      <w:r w:rsidRPr="002234C4">
        <w:t xml:space="preserve">eny </w:t>
      </w:r>
      <w:r>
        <w:t xml:space="preserve">vykupovaných </w:t>
      </w:r>
      <w:r w:rsidRPr="002234C4">
        <w:t xml:space="preserve">pozemků </w:t>
      </w:r>
      <w:r>
        <w:t xml:space="preserve">snížily o více </w:t>
      </w:r>
      <w:r w:rsidR="00CF0B52">
        <w:t>než</w:t>
      </w:r>
      <w:r>
        <w:t xml:space="preserve"> ⅔ a </w:t>
      </w:r>
      <w:r w:rsidRPr="002234C4">
        <w:t>výkupy pozemků se téměř zastavily.</w:t>
      </w:r>
      <w:r w:rsidR="0046236E" w:rsidRPr="0046236E">
        <w:t xml:space="preserve"> Tento stav byl změněn až účinností další novely zákona č. 416/2009 Sb.</w:t>
      </w:r>
      <w:r w:rsidR="0046236E">
        <w:t xml:space="preserve"> (</w:t>
      </w:r>
      <w:r w:rsidR="0046236E" w:rsidRPr="0046236E">
        <w:t>zákonem č.</w:t>
      </w:r>
      <w:r w:rsidR="00755DAC">
        <w:t> </w:t>
      </w:r>
      <w:r w:rsidR="0046236E" w:rsidRPr="0046236E">
        <w:t>178/2014 Sb.</w:t>
      </w:r>
      <w:r w:rsidR="00ED44EF" w:rsidRPr="00565B11">
        <w:rPr>
          <w:rStyle w:val="Znakapoznpodarou"/>
        </w:rPr>
        <w:footnoteReference w:id="20"/>
      </w:r>
      <w:r w:rsidR="0046236E">
        <w:t xml:space="preserve"> </w:t>
      </w:r>
      <w:r w:rsidR="00114E2D">
        <w:t xml:space="preserve">účinným </w:t>
      </w:r>
      <w:r w:rsidR="0046236E">
        <w:t>od 13. 9. 2014), která stanovila</w:t>
      </w:r>
      <w:r w:rsidR="00114E2D">
        <w:t>, že kupní cenu pozemku l</w:t>
      </w:r>
      <w:r w:rsidR="00114E2D" w:rsidRPr="00114E2D">
        <w:t>ze sjednat maximálně do výše</w:t>
      </w:r>
      <w:r w:rsidR="00114E2D">
        <w:t xml:space="preserve"> </w:t>
      </w:r>
      <w:r w:rsidR="00114E2D" w:rsidRPr="00114E2D">
        <w:t>16násobk</w:t>
      </w:r>
      <w:r w:rsidR="00114E2D">
        <w:t>u</w:t>
      </w:r>
      <w:r w:rsidR="00114E2D" w:rsidRPr="00114E2D">
        <w:t xml:space="preserve"> u nestavebního pozemku a 1,15násobk</w:t>
      </w:r>
      <w:r w:rsidR="00114E2D">
        <w:t>u</w:t>
      </w:r>
      <w:r w:rsidR="00114E2D" w:rsidRPr="00114E2D">
        <w:t xml:space="preserve"> u</w:t>
      </w:r>
      <w:r w:rsidR="00CF0B52">
        <w:t> </w:t>
      </w:r>
      <w:r w:rsidR="00114E2D" w:rsidRPr="00114E2D">
        <w:t>stavebního</w:t>
      </w:r>
      <w:r w:rsidR="00114E2D">
        <w:t xml:space="preserve"> </w:t>
      </w:r>
      <w:r w:rsidR="00114E2D">
        <w:lastRenderedPageBreak/>
        <w:t xml:space="preserve">pozemku. MD vnitřním předpisem stanovilo kupní ceny na 8násobek </w:t>
      </w:r>
      <w:r w:rsidR="00114E2D" w:rsidRPr="00114E2D">
        <w:t>u</w:t>
      </w:r>
      <w:r w:rsidR="00CF0B52">
        <w:t> </w:t>
      </w:r>
      <w:r w:rsidR="00114E2D" w:rsidRPr="00114E2D">
        <w:t>nestavebního pozemku a 1,15násobk</w:t>
      </w:r>
      <w:r w:rsidR="00114E2D">
        <w:t>u</w:t>
      </w:r>
      <w:r w:rsidR="00114E2D" w:rsidRPr="00114E2D">
        <w:t xml:space="preserve"> u</w:t>
      </w:r>
      <w:r w:rsidR="00114E2D">
        <w:t> </w:t>
      </w:r>
      <w:r w:rsidR="00114E2D" w:rsidRPr="00114E2D">
        <w:t>stavebního</w:t>
      </w:r>
      <w:r w:rsidR="00114E2D">
        <w:t xml:space="preserve"> pozemku. Tyto hodnoty byly potvrzeny další novelou zákona č. 416/2009 Sb. (zákonem č. </w:t>
      </w:r>
      <w:r w:rsidR="00114E2D" w:rsidRPr="00114E2D">
        <w:t>49/2016 Sb.</w:t>
      </w:r>
      <w:r w:rsidR="00293B4F" w:rsidRPr="00565B11">
        <w:rPr>
          <w:rStyle w:val="Znakapoznpodarou"/>
        </w:rPr>
        <w:footnoteReference w:id="21"/>
      </w:r>
      <w:r w:rsidR="00114E2D" w:rsidRPr="00114E2D">
        <w:t xml:space="preserve"> účinn</w:t>
      </w:r>
      <w:r w:rsidR="00114E2D">
        <w:t>ým</w:t>
      </w:r>
      <w:r w:rsidR="00114E2D" w:rsidRPr="00114E2D">
        <w:t xml:space="preserve"> od 1. 5. 2016</w:t>
      </w:r>
      <w:r w:rsidR="00114E2D">
        <w:t>).</w:t>
      </w:r>
    </w:p>
    <w:p w14:paraId="794681FD" w14:textId="77777777" w:rsidR="00A976B4" w:rsidRDefault="00A976B4" w:rsidP="0011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U stavby </w:t>
      </w:r>
      <w:r w:rsidRPr="00A976B4">
        <w:rPr>
          <w:b/>
          <w:i/>
        </w:rPr>
        <w:t>D35 Úlibice – Hořice</w:t>
      </w:r>
      <w:r>
        <w:t xml:space="preserve"> bylo dle informace </w:t>
      </w:r>
      <w:r w:rsidRPr="00CA220B">
        <w:t>ŘSD k 30.</w:t>
      </w:r>
      <w:r>
        <w:t> </w:t>
      </w:r>
      <w:r w:rsidRPr="00CA220B">
        <w:t>6.</w:t>
      </w:r>
      <w:r>
        <w:t> </w:t>
      </w:r>
      <w:r w:rsidRPr="00CA220B">
        <w:t>2022 v rámci 1. etapy majetkoprávního vypořádání ukončeno 46 vyvlastňovacích řízení pro 56 vlastníků a v rámci 2.</w:t>
      </w:r>
      <w:r>
        <w:t> </w:t>
      </w:r>
      <w:r w:rsidRPr="00CA220B">
        <w:t xml:space="preserve">etapy byla podána žádost na vyvlastnění pro 15 vlastníků, u </w:t>
      </w:r>
      <w:r>
        <w:t>stavby</w:t>
      </w:r>
      <w:r w:rsidRPr="00CA220B">
        <w:t xml:space="preserve"> </w:t>
      </w:r>
      <w:r w:rsidRPr="00A976B4">
        <w:rPr>
          <w:b/>
          <w:i/>
        </w:rPr>
        <w:t>D35 Hořice – Sadová</w:t>
      </w:r>
      <w:r w:rsidRPr="00CA220B">
        <w:t xml:space="preserve"> předpokládalo ŘSD podání 10 žádostí na vyvlastnění, u </w:t>
      </w:r>
      <w:r>
        <w:t>stavby</w:t>
      </w:r>
      <w:r w:rsidRPr="00CA220B">
        <w:t xml:space="preserve"> </w:t>
      </w:r>
      <w:r w:rsidRPr="00A976B4">
        <w:rPr>
          <w:b/>
          <w:i/>
        </w:rPr>
        <w:t>D35 Vysoké Mýto – Džbánov</w:t>
      </w:r>
      <w:r w:rsidRPr="00CA220B">
        <w:t xml:space="preserve"> 15 žádostí</w:t>
      </w:r>
      <w:r>
        <w:t xml:space="preserve"> a</w:t>
      </w:r>
      <w:r w:rsidRPr="00CA220B">
        <w:t xml:space="preserve"> </w:t>
      </w:r>
      <w:r>
        <w:t>u stavby</w:t>
      </w:r>
      <w:r w:rsidRPr="00CA220B">
        <w:t xml:space="preserve"> </w:t>
      </w:r>
      <w:r w:rsidRPr="00A976B4">
        <w:rPr>
          <w:b/>
          <w:i/>
        </w:rPr>
        <w:t>D35 Opatovec – Staré Město</w:t>
      </w:r>
      <w:r w:rsidRPr="00CA220B">
        <w:t xml:space="preserve"> 16 žádostí.</w:t>
      </w:r>
    </w:p>
    <w:p w14:paraId="20F5D20E" w14:textId="77777777" w:rsidR="00CA220B" w:rsidRDefault="00CA220B" w:rsidP="001354F7"/>
    <w:p w14:paraId="11882267" w14:textId="77777777" w:rsidR="00CA220B" w:rsidRDefault="002A4F69" w:rsidP="001354F7">
      <w:r w:rsidRPr="009A334D">
        <w:rPr>
          <w:b/>
        </w:rPr>
        <w:t>4.1</w:t>
      </w:r>
      <w:r w:rsidR="0086547D">
        <w:rPr>
          <w:b/>
        </w:rPr>
        <w:t>4</w:t>
      </w:r>
      <w:r w:rsidR="009A334D">
        <w:t xml:space="preserve"> V době kontroly NKÚ </w:t>
      </w:r>
      <w:r w:rsidR="00281739">
        <w:t>bylo u většiny staveb vydáno stavební povolení (</w:t>
      </w:r>
      <w:r w:rsidR="00CF0B52">
        <w:t>osm</w:t>
      </w:r>
      <w:r w:rsidR="00281739">
        <w:t xml:space="preserve"> staveb), resp. </w:t>
      </w:r>
      <w:r w:rsidR="009A334D">
        <w:t>probíhalo stavební řízení</w:t>
      </w:r>
      <w:r w:rsidR="000B6BFE">
        <w:t xml:space="preserve"> (</w:t>
      </w:r>
      <w:r w:rsidR="00CD41A6">
        <w:t>tři</w:t>
      </w:r>
      <w:r w:rsidR="00C50E5E">
        <w:t xml:space="preserve"> stavby</w:t>
      </w:r>
      <w:r w:rsidR="00281739">
        <w:t>)</w:t>
      </w:r>
      <w:r w:rsidR="009A334D">
        <w:t xml:space="preserve">. </w:t>
      </w:r>
      <w:r w:rsidR="00281739">
        <w:t>V ukončených</w:t>
      </w:r>
      <w:r w:rsidR="009A334D" w:rsidRPr="009A334D">
        <w:t xml:space="preserve"> stavební</w:t>
      </w:r>
      <w:r w:rsidR="009A334D">
        <w:t>ch</w:t>
      </w:r>
      <w:r w:rsidR="009A334D" w:rsidRPr="009A334D">
        <w:t xml:space="preserve"> řízení</w:t>
      </w:r>
      <w:r w:rsidR="00281739">
        <w:t>ch</w:t>
      </w:r>
      <w:r w:rsidR="009A334D" w:rsidRPr="009A334D">
        <w:t xml:space="preserve"> </w:t>
      </w:r>
      <w:r w:rsidR="009A334D">
        <w:t>nebyly zjištěny zásadní prodlevy, řízení</w:t>
      </w:r>
      <w:r w:rsidR="009A334D" w:rsidRPr="009A334D">
        <w:t xml:space="preserve"> trvala od podání žádosti o vydání stavebního povolení do nabytí právní moci vydaného stavebního povolení obvykle 5–6 měsíců, s výjimkou stavebního řízení </w:t>
      </w:r>
      <w:r w:rsidR="009A334D" w:rsidRPr="009A334D">
        <w:rPr>
          <w:i/>
        </w:rPr>
        <w:t>D35 Hořice – Sadová</w:t>
      </w:r>
      <w:r w:rsidR="009A334D" w:rsidRPr="009A334D">
        <w:t xml:space="preserve">, které trvalo téměř 1,5 roku (17 měsíců) z důvodu neúplných dokladů předložených </w:t>
      </w:r>
      <w:r w:rsidR="003A5748">
        <w:t xml:space="preserve">ŘSD </w:t>
      </w:r>
      <w:r w:rsidR="009A334D" w:rsidRPr="009A334D">
        <w:t>k žádosti o vydání stavebního povolení (závazná stanoviska, souhlas s</w:t>
      </w:r>
      <w:r w:rsidR="00020587">
        <w:t> </w:t>
      </w:r>
      <w:r w:rsidR="009A334D" w:rsidRPr="009A334D">
        <w:t xml:space="preserve">prováděním stavby v ochranném pásmu lesa, rozhodnutí o odnětí pozemků plnění funkcí lesa a audit bezpečnosti pozemní komunikace) a stavebního řízení </w:t>
      </w:r>
      <w:r w:rsidR="009A334D" w:rsidRPr="003A5748">
        <w:rPr>
          <w:i/>
        </w:rPr>
        <w:t>R35 Časy – Ostrov</w:t>
      </w:r>
      <w:r w:rsidR="009A334D" w:rsidRPr="009A334D">
        <w:t xml:space="preserve">, které trvalo déle než </w:t>
      </w:r>
      <w:r w:rsidR="00CD41A6">
        <w:t>dva</w:t>
      </w:r>
      <w:r w:rsidR="009A334D" w:rsidRPr="009A334D">
        <w:t xml:space="preserve"> roky (27</w:t>
      </w:r>
      <w:r w:rsidR="00020587">
        <w:t> </w:t>
      </w:r>
      <w:r w:rsidR="009A334D" w:rsidRPr="009A334D">
        <w:t>měsíců), z</w:t>
      </w:r>
      <w:r w:rsidR="003A5748">
        <w:t> </w:t>
      </w:r>
      <w:r w:rsidR="009A334D" w:rsidRPr="009A334D">
        <w:t xml:space="preserve">důvodu nejasností </w:t>
      </w:r>
      <w:r w:rsidR="003A5748">
        <w:t>týkajících se</w:t>
      </w:r>
      <w:r w:rsidR="009A334D" w:rsidRPr="009A334D">
        <w:t xml:space="preserve"> pozemků dotčených výstavbou a</w:t>
      </w:r>
      <w:r w:rsidR="00020587">
        <w:t> </w:t>
      </w:r>
      <w:r w:rsidR="009A334D" w:rsidRPr="009A334D">
        <w:t>nedokončeného majetkoprávního vypořádání</w:t>
      </w:r>
      <w:r w:rsidR="00CD41A6">
        <w:t>.</w:t>
      </w:r>
      <w:r w:rsidR="009A334D" w:rsidRPr="009A334D">
        <w:t xml:space="preserve"> </w:t>
      </w:r>
      <w:r w:rsidR="00CD41A6">
        <w:t>T</w:t>
      </w:r>
      <w:r w:rsidR="003A5748">
        <w:t xml:space="preserve">yto </w:t>
      </w:r>
      <w:r w:rsidR="009A334D" w:rsidRPr="009A334D">
        <w:t xml:space="preserve">doklady </w:t>
      </w:r>
      <w:r w:rsidR="003A5748">
        <w:t>ŘSD doložilo</w:t>
      </w:r>
      <w:r w:rsidR="009A334D" w:rsidRPr="009A334D">
        <w:t xml:space="preserve"> stavebnímu úřadu až dva roky po podání žádosti o vydání stavebního povolení.</w:t>
      </w:r>
    </w:p>
    <w:p w14:paraId="2E9C8F8D" w14:textId="77777777" w:rsidR="00CA220B" w:rsidRDefault="00CA220B" w:rsidP="001354F7"/>
    <w:p w14:paraId="473BEEA9" w14:textId="77777777" w:rsidR="00E877CD" w:rsidRPr="00D2364F" w:rsidRDefault="00D2364F" w:rsidP="00A976B4">
      <w:pPr>
        <w:keepNext/>
        <w:rPr>
          <w:b/>
        </w:rPr>
      </w:pPr>
      <w:r w:rsidRPr="00011DEA">
        <w:rPr>
          <w:b/>
        </w:rPr>
        <w:t>Málo konkurenční prostředí v zadávacích řízeních na záchranný archeologický výzkum</w:t>
      </w:r>
    </w:p>
    <w:p w14:paraId="613FAC73" w14:textId="77777777" w:rsidR="00D2364F" w:rsidRDefault="00D2364F" w:rsidP="00A976B4">
      <w:pPr>
        <w:keepNext/>
      </w:pPr>
    </w:p>
    <w:p w14:paraId="62C7968F" w14:textId="77777777" w:rsidR="00C60584" w:rsidRDefault="002A4F69" w:rsidP="00A976B4">
      <w:r w:rsidRPr="00812B28">
        <w:rPr>
          <w:b/>
        </w:rPr>
        <w:t>4.1</w:t>
      </w:r>
      <w:r w:rsidR="0086547D">
        <w:rPr>
          <w:b/>
        </w:rPr>
        <w:t>5</w:t>
      </w:r>
      <w:r>
        <w:t> </w:t>
      </w:r>
      <w:r w:rsidR="004B70CB">
        <w:t>V kontrolovaném období uzavřelo ŘSD u sedmi</w:t>
      </w:r>
      <w:r>
        <w:rPr>
          <w:rStyle w:val="Znakapoznpodarou"/>
        </w:rPr>
        <w:footnoteReference w:id="22"/>
      </w:r>
      <w:r w:rsidR="004B70CB">
        <w:t xml:space="preserve"> staveb smlouvy na provedení </w:t>
      </w:r>
      <w:r w:rsidR="004B70CB" w:rsidRPr="004B70CB">
        <w:t>záchranného archeologického výzkumu</w:t>
      </w:r>
      <w:r w:rsidR="004B70CB">
        <w:t xml:space="preserve"> a souvisejících zemních prací v celkové hodnotě </w:t>
      </w:r>
      <w:r w:rsidR="004B70CB" w:rsidRPr="004B70CB">
        <w:t>1</w:t>
      </w:r>
      <w:r w:rsidR="004B70CB">
        <w:t> </w:t>
      </w:r>
      <w:r w:rsidR="004B70CB" w:rsidRPr="004B70CB">
        <w:t>454</w:t>
      </w:r>
      <w:r w:rsidR="004B70CB">
        <w:t> </w:t>
      </w:r>
      <w:r w:rsidR="004B70CB" w:rsidRPr="004B70CB">
        <w:t>493</w:t>
      </w:r>
      <w:r w:rsidR="004B70CB">
        <w:t xml:space="preserve"> </w:t>
      </w:r>
      <w:r w:rsidR="004B70CB" w:rsidRPr="004B70CB">
        <w:t>719</w:t>
      </w:r>
      <w:r w:rsidR="004B70CB">
        <w:t xml:space="preserve"> Kč vč. DPH. </w:t>
      </w:r>
      <w:r w:rsidR="00E764A5">
        <w:t xml:space="preserve">Z této částky představovaly smlouvy na </w:t>
      </w:r>
      <w:r w:rsidR="004B70CB" w:rsidRPr="004B70CB">
        <w:t>provedení záchranného archeologického výzkumu 1 086 949 410 Kč vč. DPH</w:t>
      </w:r>
      <w:r w:rsidR="00E764A5">
        <w:t xml:space="preserve"> a smlouvy na</w:t>
      </w:r>
      <w:r w:rsidR="004B70CB" w:rsidRPr="004B70CB">
        <w:t xml:space="preserve"> realizaci zemních prací pro provedení záchranného archeologického výzkumu 367</w:t>
      </w:r>
      <w:r w:rsidR="00E764A5">
        <w:t> </w:t>
      </w:r>
      <w:r w:rsidR="004B70CB" w:rsidRPr="004B70CB">
        <w:t>544 309 Kč vč. DPH.</w:t>
      </w:r>
    </w:p>
    <w:p w14:paraId="1DE7E38A" w14:textId="77777777" w:rsidR="00D324BB" w:rsidRDefault="00D324BB" w:rsidP="00962512"/>
    <w:p w14:paraId="6410D4B6" w14:textId="77777777" w:rsidR="00D163A7" w:rsidRPr="00755DAC" w:rsidRDefault="002A4F69" w:rsidP="00D163A7">
      <w:pPr>
        <w:rPr>
          <w:color w:val="000000" w:themeColor="text1"/>
        </w:rPr>
      </w:pPr>
      <w:r w:rsidRPr="00812B28">
        <w:rPr>
          <w:b/>
        </w:rPr>
        <w:t>4.1</w:t>
      </w:r>
      <w:r w:rsidR="0086547D">
        <w:rPr>
          <w:b/>
        </w:rPr>
        <w:t>6</w:t>
      </w:r>
      <w:r>
        <w:t xml:space="preserve"> V zadávacích </w:t>
      </w:r>
      <w:r w:rsidR="00636089" w:rsidRPr="00565B11">
        <w:t>řízeních</w:t>
      </w:r>
      <w:r w:rsidR="00636089">
        <w:t xml:space="preserve"> </w:t>
      </w:r>
      <w:r>
        <w:t>ŘSD hodnotilo obvykle jednu nabídku, pouze ve dvou zadávacích řízeních z</w:t>
      </w:r>
      <w:r w:rsidR="0078044B">
        <w:t> </w:t>
      </w:r>
      <w:r>
        <w:t>celkem 1</w:t>
      </w:r>
      <w:r w:rsidR="00212A32">
        <w:t>1</w:t>
      </w:r>
      <w:r>
        <w:t xml:space="preserve"> hodnotilo dvě nabídky. V šesti případech ŘSD ze zadávacího řízení vyloučilo účastníka, který podal nabídku s nejnižší nabídkovou cenou, z důvodu nesplnění požadované kvalifikace, tj. nepředložení platné dohody s Akademií věd ČR o rozsahu a</w:t>
      </w:r>
      <w:r w:rsidR="00755DAC">
        <w:t> </w:t>
      </w:r>
      <w:r w:rsidRPr="00011DEA">
        <w:t>podmínkách provádění archeologických výzkumů v dané lokalitě.</w:t>
      </w:r>
      <w:r w:rsidR="00BF6688">
        <w:t xml:space="preserve"> </w:t>
      </w:r>
      <w:r w:rsidR="004B6DA2" w:rsidRPr="00755DAC">
        <w:rPr>
          <w:color w:val="000000" w:themeColor="text1"/>
        </w:rPr>
        <w:t xml:space="preserve">Dostatečné konkurenční prostředí, které je jedním z předpokladů dosažení nejvýhodnější ceny, by bylo možné dosáhnout rozdělením veřejné zakázky. </w:t>
      </w:r>
    </w:p>
    <w:p w14:paraId="74BD3111" w14:textId="77777777" w:rsidR="0000640C" w:rsidRDefault="0000640C" w:rsidP="00D163A7"/>
    <w:p w14:paraId="1910490C" w14:textId="77777777" w:rsidR="004F1266" w:rsidRDefault="002A4F69" w:rsidP="00D163A7">
      <w:r w:rsidRPr="005B343F">
        <w:rPr>
          <w:b/>
        </w:rPr>
        <w:t>4.1</w:t>
      </w:r>
      <w:r w:rsidR="0086547D">
        <w:rPr>
          <w:b/>
        </w:rPr>
        <w:t>7</w:t>
      </w:r>
      <w:r>
        <w:t xml:space="preserve"> ŘSD </w:t>
      </w:r>
      <w:r w:rsidR="004B6DA2">
        <w:t xml:space="preserve">ve většině případů </w:t>
      </w:r>
      <w:r>
        <w:t xml:space="preserve">nevyužívalo možnost </w:t>
      </w:r>
      <w:r w:rsidRPr="005B343F">
        <w:t xml:space="preserve">rozdělit </w:t>
      </w:r>
      <w:r>
        <w:t xml:space="preserve">tyto </w:t>
      </w:r>
      <w:r w:rsidRPr="005B343F">
        <w:t>veřejn</w:t>
      </w:r>
      <w:r>
        <w:t>é</w:t>
      </w:r>
      <w:r w:rsidRPr="005B343F">
        <w:t xml:space="preserve"> zakázk</w:t>
      </w:r>
      <w:r>
        <w:t>y</w:t>
      </w:r>
      <w:r w:rsidRPr="005B343F">
        <w:t xml:space="preserve"> na části </w:t>
      </w:r>
      <w:r w:rsidRPr="00672CD1">
        <w:rPr>
          <w:color w:val="000000" w:themeColor="text1"/>
        </w:rPr>
        <w:t>(</w:t>
      </w:r>
      <w:r w:rsidR="004B6DA2" w:rsidRPr="00672CD1">
        <w:rPr>
          <w:color w:val="000000" w:themeColor="text1"/>
        </w:rPr>
        <w:t xml:space="preserve">ve smyslu příslušných ustanovení </w:t>
      </w:r>
      <w:r w:rsidR="0012674C" w:rsidRPr="00672CD1">
        <w:rPr>
          <w:color w:val="000000" w:themeColor="text1"/>
        </w:rPr>
        <w:t>zákona</w:t>
      </w:r>
      <w:r w:rsidRPr="00672CD1">
        <w:rPr>
          <w:color w:val="000000" w:themeColor="text1"/>
        </w:rPr>
        <w:t xml:space="preserve"> </w:t>
      </w:r>
      <w:r>
        <w:t>č. 137/2006 Sb.</w:t>
      </w:r>
      <w:r>
        <w:rPr>
          <w:rStyle w:val="Znakapoznpodarou"/>
        </w:rPr>
        <w:footnoteReference w:id="23"/>
      </w:r>
      <w:r>
        <w:t xml:space="preserve"> a zákona č. 134/2016 Sb.</w:t>
      </w:r>
      <w:r>
        <w:rPr>
          <w:rStyle w:val="Znakapoznpodarou"/>
        </w:rPr>
        <w:footnoteReference w:id="24"/>
      </w:r>
      <w:r>
        <w:t>)</w:t>
      </w:r>
      <w:r w:rsidR="001C7615" w:rsidRPr="0012674C">
        <w:t>.</w:t>
      </w:r>
      <w:r w:rsidR="001C7615" w:rsidRPr="00020587">
        <w:t xml:space="preserve"> </w:t>
      </w:r>
      <w:r w:rsidR="001C7615">
        <w:t xml:space="preserve">Učinilo tak pouze </w:t>
      </w:r>
      <w:r w:rsidR="0078044B">
        <w:t>u veřejné</w:t>
      </w:r>
      <w:r w:rsidR="001C7615">
        <w:t xml:space="preserve"> zakázky pro úseky Opatovice–Ostrov, kterou ŘSD rozdělilo na </w:t>
      </w:r>
      <w:r w:rsidR="001C7615">
        <w:lastRenderedPageBreak/>
        <w:t>12</w:t>
      </w:r>
      <w:r w:rsidR="00020587">
        <w:t> </w:t>
      </w:r>
      <w:r w:rsidR="001C7615">
        <w:t xml:space="preserve">částí </w:t>
      </w:r>
      <w:r w:rsidR="001C7615" w:rsidRPr="005120D6">
        <w:t>(</w:t>
      </w:r>
      <w:r w:rsidR="00CD41A6">
        <w:t>šest</w:t>
      </w:r>
      <w:r w:rsidR="001C7615" w:rsidRPr="005120D6">
        <w:t xml:space="preserve"> částí se týkalo samotného </w:t>
      </w:r>
      <w:r w:rsidR="003F0EDC">
        <w:t xml:space="preserve">záchranného </w:t>
      </w:r>
      <w:r w:rsidR="001C7615" w:rsidRPr="005120D6">
        <w:t>arch</w:t>
      </w:r>
      <w:r w:rsidR="001C7615">
        <w:t xml:space="preserve">eologického </w:t>
      </w:r>
      <w:r w:rsidR="0078044B">
        <w:t xml:space="preserve">výzkumu, </w:t>
      </w:r>
      <w:r w:rsidR="0078044B" w:rsidRPr="005120D6">
        <w:t>v</w:t>
      </w:r>
      <w:r w:rsidR="001C7615" w:rsidRPr="005120D6">
        <w:t xml:space="preserve"> ostatních </w:t>
      </w:r>
      <w:r w:rsidR="00CD41A6">
        <w:t xml:space="preserve">šesti </w:t>
      </w:r>
      <w:r w:rsidR="001C7615" w:rsidRPr="005120D6">
        <w:t>částech poptávalo související zemní práce)</w:t>
      </w:r>
      <w:r w:rsidR="001C7615">
        <w:t>.</w:t>
      </w:r>
    </w:p>
    <w:p w14:paraId="20CF0C2E" w14:textId="77777777" w:rsidR="001C7615" w:rsidRDefault="001C7615" w:rsidP="00D163A7"/>
    <w:p w14:paraId="42130ABE" w14:textId="77777777" w:rsidR="00F70140" w:rsidRPr="00682D3F" w:rsidRDefault="002A4F69" w:rsidP="0088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b/>
        </w:rPr>
      </w:pPr>
      <w:r w:rsidRPr="00682D3F">
        <w:rPr>
          <w:b/>
        </w:rPr>
        <w:t>Příklady:</w:t>
      </w:r>
    </w:p>
    <w:p w14:paraId="6F8FE02E" w14:textId="77777777" w:rsidR="00020587" w:rsidRDefault="002A4F69" w:rsidP="0002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Pro úsek </w:t>
      </w:r>
      <w:r w:rsidRPr="00C24E80">
        <w:rPr>
          <w:b/>
          <w:i/>
        </w:rPr>
        <w:t>D35 Opatovice – Časy</w:t>
      </w:r>
      <w:r w:rsidRPr="00170748">
        <w:rPr>
          <w:b/>
        </w:rPr>
        <w:t>,</w:t>
      </w:r>
      <w:r w:rsidRPr="00C24E80">
        <w:t xml:space="preserve"> </w:t>
      </w:r>
      <w:r>
        <w:t xml:space="preserve">část v </w:t>
      </w:r>
      <w:r w:rsidRPr="00C24E80">
        <w:t>km 7,000</w:t>
      </w:r>
      <w:r w:rsidR="00CD41A6">
        <w:t>–</w:t>
      </w:r>
      <w:r w:rsidRPr="00C24E80">
        <w:t>14,360</w:t>
      </w:r>
      <w:r>
        <w:t>, činila p</w:t>
      </w:r>
      <w:r w:rsidRPr="00C24E80">
        <w:t>ředpokládaná hodnota veřejné zakázky 40 544 000 Kč bez DPH</w:t>
      </w:r>
      <w:r>
        <w:t xml:space="preserve">. </w:t>
      </w:r>
      <w:r w:rsidRPr="00C24E80">
        <w:t xml:space="preserve">V zadávacím řízení obdrželo ŘSD </w:t>
      </w:r>
      <w:r>
        <w:t xml:space="preserve">tři nabídky, </w:t>
      </w:r>
      <w:r w:rsidR="00CF5E43" w:rsidRPr="00CF5E43">
        <w:t>komise pro posouzení kvalifikace vylouči</w:t>
      </w:r>
      <w:r w:rsidR="00CF5E43">
        <w:t>la jednoho</w:t>
      </w:r>
      <w:r w:rsidR="00CF5E43" w:rsidRPr="00CF5E43">
        <w:t xml:space="preserve"> uchazeče z důvodu nesplnění kvalifikačních předpokladů</w:t>
      </w:r>
      <w:r w:rsidR="00CF5E43">
        <w:t xml:space="preserve"> – nedoložení </w:t>
      </w:r>
      <w:r w:rsidR="00CF5E43" w:rsidRPr="00CF5E43">
        <w:t>platn</w:t>
      </w:r>
      <w:r w:rsidR="00CF5E43">
        <w:t>é</w:t>
      </w:r>
      <w:r w:rsidR="00CF5E43" w:rsidRPr="00CF5E43">
        <w:t xml:space="preserve"> dohod</w:t>
      </w:r>
      <w:r w:rsidR="00CF5E43">
        <w:t>y</w:t>
      </w:r>
      <w:r w:rsidR="00CF5E43" w:rsidRPr="00CF5E43">
        <w:t xml:space="preserve"> s Akademií věd ČR o rozsahu a podmínkách provádění archeologických výzkumů v</w:t>
      </w:r>
      <w:r w:rsidR="00CF5E43">
        <w:t> Pardubickém kraji</w:t>
      </w:r>
      <w:r w:rsidR="00CF5E43" w:rsidRPr="00CF5E43">
        <w:t>.</w:t>
      </w:r>
      <w:r>
        <w:t xml:space="preserve"> </w:t>
      </w:r>
      <w:r w:rsidR="00CF5E43">
        <w:t>ŘSD na základě hodnocení dvou</w:t>
      </w:r>
      <w:r w:rsidR="00CF5E43" w:rsidRPr="00CF5E43">
        <w:t xml:space="preserve"> nabíd</w:t>
      </w:r>
      <w:r w:rsidR="00CF5E43">
        <w:t>ek</w:t>
      </w:r>
      <w:r w:rsidR="00CF5E43" w:rsidRPr="00CF5E43">
        <w:t xml:space="preserve"> </w:t>
      </w:r>
      <w:r w:rsidR="00CF5E43">
        <w:t>uzavřelo smlouvu s dodavatelem s</w:t>
      </w:r>
      <w:r w:rsidR="00CF5E43" w:rsidRPr="00CF5E43">
        <w:t xml:space="preserve"> cenou 39 830 08</w:t>
      </w:r>
      <w:r w:rsidR="00EB6981">
        <w:t>3</w:t>
      </w:r>
      <w:r w:rsidR="00CF5E43" w:rsidRPr="00CF5E43">
        <w:t xml:space="preserve"> Kč bez DPH</w:t>
      </w:r>
      <w:r w:rsidR="00CF5E43">
        <w:t xml:space="preserve">, tj. o 1,8 % </w:t>
      </w:r>
      <w:r w:rsidR="00020587">
        <w:br/>
      </w:r>
      <w:r w:rsidR="00CF5E43">
        <w:t>nižší oproti předpokládané hodnotě.</w:t>
      </w:r>
      <w:r w:rsidR="00CA2049">
        <w:t xml:space="preserve"> </w:t>
      </w:r>
      <w:r w:rsidR="00CA2049" w:rsidRPr="00CA2049">
        <w:t>Na základě uzavřen</w:t>
      </w:r>
      <w:r w:rsidR="00CA2049">
        <w:t>ých</w:t>
      </w:r>
      <w:r w:rsidR="00CA2049" w:rsidRPr="00CA2049">
        <w:t xml:space="preserve"> dodatk</w:t>
      </w:r>
      <w:r w:rsidR="00CA2049">
        <w:t>ů</w:t>
      </w:r>
      <w:r w:rsidR="00CA2049" w:rsidRPr="00CA2049">
        <w:t xml:space="preserve"> (z důvodu</w:t>
      </w:r>
      <w:r w:rsidR="00CA2049">
        <w:t xml:space="preserve"> </w:t>
      </w:r>
      <w:r w:rsidR="00CA2049" w:rsidRPr="00CA2049">
        <w:t>identifik</w:t>
      </w:r>
      <w:r w:rsidR="00CA2049">
        <w:t>ace</w:t>
      </w:r>
      <w:r w:rsidR="00CA2049" w:rsidRPr="00CA2049">
        <w:t xml:space="preserve"> pozůstatk</w:t>
      </w:r>
      <w:r w:rsidR="00CA2049">
        <w:t>ů</w:t>
      </w:r>
      <w:r w:rsidR="00CA2049" w:rsidRPr="00CA2049">
        <w:t xml:space="preserve"> historické železářské produkce</w:t>
      </w:r>
      <w:r w:rsidR="00CA2049">
        <w:t>, navýšení objemu terénních prací a</w:t>
      </w:r>
      <w:r w:rsidR="00CA2049" w:rsidRPr="00CA2049">
        <w:t xml:space="preserve"> rozšíření </w:t>
      </w:r>
      <w:r w:rsidR="00020587">
        <w:br/>
      </w:r>
      <w:r w:rsidR="00CA2049" w:rsidRPr="00CA2049">
        <w:t>plochy staveniště) ŘSD uhradilo 56 158 51</w:t>
      </w:r>
      <w:r w:rsidR="00EB6981">
        <w:t>9</w:t>
      </w:r>
      <w:r w:rsidR="00CA2049" w:rsidRPr="00CA2049">
        <w:t xml:space="preserve"> Kč bez DPH</w:t>
      </w:r>
      <w:r w:rsidR="00CA2049">
        <w:t xml:space="preserve"> (</w:t>
      </w:r>
      <w:r w:rsidR="00CA2049" w:rsidRPr="00CA2049">
        <w:t>67 951 807 Kč včetně DPH</w:t>
      </w:r>
      <w:r w:rsidR="00CA2049">
        <w:t>)</w:t>
      </w:r>
      <w:r w:rsidR="00CA2049" w:rsidRPr="00CA2049">
        <w:t>, tj.</w:t>
      </w:r>
      <w:r w:rsidR="00020587">
        <w:t> </w:t>
      </w:r>
      <w:r w:rsidR="00CA2049" w:rsidRPr="00CA2049">
        <w:t>o</w:t>
      </w:r>
      <w:r w:rsidR="00603ACB">
        <w:t> </w:t>
      </w:r>
      <w:r w:rsidR="00603ACB" w:rsidRPr="00603ACB">
        <w:t>16</w:t>
      </w:r>
      <w:r w:rsidR="00603ACB">
        <w:t> </w:t>
      </w:r>
      <w:r w:rsidR="00603ACB" w:rsidRPr="00603ACB">
        <w:t>328</w:t>
      </w:r>
      <w:r w:rsidR="00020587">
        <w:t> </w:t>
      </w:r>
      <w:r w:rsidR="00603ACB" w:rsidRPr="00603ACB">
        <w:t>43</w:t>
      </w:r>
      <w:r w:rsidR="00EB6981">
        <w:t>6</w:t>
      </w:r>
      <w:r w:rsidR="00020587">
        <w:t> </w:t>
      </w:r>
      <w:r w:rsidR="00CA2049" w:rsidRPr="00CA2049">
        <w:t xml:space="preserve">Kč bez DPH více (+ </w:t>
      </w:r>
      <w:r w:rsidR="00603ACB">
        <w:t>41</w:t>
      </w:r>
      <w:r w:rsidR="00CA2049" w:rsidRPr="00CA2049">
        <w:t xml:space="preserve"> %).</w:t>
      </w:r>
    </w:p>
    <w:p w14:paraId="7D9837A6" w14:textId="77777777" w:rsidR="00603ACB" w:rsidRDefault="002A4F69" w:rsidP="0002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 w:rsidRPr="00603ACB">
        <w:t xml:space="preserve">Pro úsek </w:t>
      </w:r>
      <w:r w:rsidRPr="00603ACB">
        <w:rPr>
          <w:b/>
          <w:i/>
        </w:rPr>
        <w:t>D35 Hořice – Sadová</w:t>
      </w:r>
      <w:r w:rsidRPr="00603ACB">
        <w:t xml:space="preserve"> činila předpokládaná hodnota veřejné zakázky 290 045</w:t>
      </w:r>
      <w:r>
        <w:t> </w:t>
      </w:r>
      <w:r w:rsidRPr="00603ACB">
        <w:t>000</w:t>
      </w:r>
      <w:r>
        <w:t xml:space="preserve"> </w:t>
      </w:r>
      <w:r w:rsidRPr="00603ACB">
        <w:t xml:space="preserve">Kč bez DPH. V zadávacím řízení obdrželo ŘSD </w:t>
      </w:r>
      <w:r>
        <w:t>jedinou</w:t>
      </w:r>
      <w:r w:rsidRPr="00603ACB">
        <w:t xml:space="preserve"> nabídk</w:t>
      </w:r>
      <w:r>
        <w:t>u</w:t>
      </w:r>
      <w:r w:rsidRPr="00603ACB">
        <w:t xml:space="preserve">. ŘSD uzavřelo </w:t>
      </w:r>
      <w:r>
        <w:t xml:space="preserve">dne 6. 6. 2022 </w:t>
      </w:r>
      <w:r w:rsidRPr="00603ACB">
        <w:t>smlouvu s</w:t>
      </w:r>
      <w:r>
        <w:t> </w:t>
      </w:r>
      <w:r w:rsidRPr="00603ACB">
        <w:t xml:space="preserve">dodavatelem s cenou 295 996 134 Kč bez DPH, tj. o </w:t>
      </w:r>
      <w:r>
        <w:t>2</w:t>
      </w:r>
      <w:r w:rsidRPr="00603ACB">
        <w:t xml:space="preserve"> % </w:t>
      </w:r>
      <w:r>
        <w:t>vyšší</w:t>
      </w:r>
      <w:r w:rsidRPr="00603ACB">
        <w:t xml:space="preserve"> oproti předpokládané hodnotě</w:t>
      </w:r>
      <w:r>
        <w:t xml:space="preserve">, </w:t>
      </w:r>
      <w:r w:rsidRPr="00603ACB">
        <w:t>v době kontroly nebylo plnění zakázky dokončeno.</w:t>
      </w:r>
    </w:p>
    <w:p w14:paraId="539BCDB8" w14:textId="77777777" w:rsidR="00603ACB" w:rsidRDefault="002A4F69" w:rsidP="0088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603ACB">
        <w:t xml:space="preserve">Pro úsek </w:t>
      </w:r>
      <w:r w:rsidRPr="00603ACB">
        <w:rPr>
          <w:b/>
          <w:i/>
        </w:rPr>
        <w:t>D35 Ostrov – Vysoké Mýto</w:t>
      </w:r>
      <w:r w:rsidRPr="00603ACB">
        <w:t xml:space="preserve"> činila předpokládaná hodnota veřejné zakázky 59</w:t>
      </w:r>
      <w:r w:rsidR="00020587">
        <w:t> </w:t>
      </w:r>
      <w:r w:rsidRPr="00603ACB">
        <w:t>199</w:t>
      </w:r>
      <w:r w:rsidR="00020587">
        <w:t> </w:t>
      </w:r>
      <w:r w:rsidRPr="00603ACB">
        <w:t>426</w:t>
      </w:r>
      <w:r w:rsidR="00020587">
        <w:t> </w:t>
      </w:r>
      <w:r w:rsidRPr="00603ACB">
        <w:t xml:space="preserve">Kč bez DPH. V zadávacím řízení obdrželo ŘSD </w:t>
      </w:r>
      <w:r>
        <w:t>jedinou</w:t>
      </w:r>
      <w:r w:rsidRPr="00603ACB">
        <w:t xml:space="preserve"> nabídk</w:t>
      </w:r>
      <w:r>
        <w:t>u</w:t>
      </w:r>
      <w:r w:rsidR="001C0C7D">
        <w:t xml:space="preserve"> s nabídkovou cenou </w:t>
      </w:r>
      <w:r w:rsidR="001C0C7D" w:rsidRPr="001C0C7D">
        <w:t>68 843 136 Kč bez DPH, tj. o 16 % vyšší oproti předpokládané hodnotě</w:t>
      </w:r>
      <w:r w:rsidRPr="00603ACB">
        <w:t xml:space="preserve">. ŘSD uzavřelo </w:t>
      </w:r>
      <w:r w:rsidR="001C0C7D">
        <w:t xml:space="preserve">smlouvu s dodavatelem </w:t>
      </w:r>
      <w:r>
        <w:t xml:space="preserve">dne 1. 3. 2023, </w:t>
      </w:r>
      <w:r w:rsidRPr="00603ACB">
        <w:t>v době kontroly nebylo plnění zakázky dokončeno.</w:t>
      </w:r>
    </w:p>
    <w:p w14:paraId="1B2FF3C6" w14:textId="77777777" w:rsidR="00A21413" w:rsidRDefault="00A21413" w:rsidP="00D163A7"/>
    <w:p w14:paraId="19A7A3EF" w14:textId="77777777" w:rsidR="002E3058" w:rsidRPr="00A21413" w:rsidRDefault="00500FD7" w:rsidP="00CD41A6">
      <w:pPr>
        <w:jc w:val="left"/>
        <w:rPr>
          <w:b/>
        </w:rPr>
      </w:pPr>
      <w:r w:rsidRPr="003752DD">
        <w:rPr>
          <w:b/>
          <w:color w:val="000000" w:themeColor="text1"/>
        </w:rPr>
        <w:t>Nabídkové</w:t>
      </w:r>
      <w:r>
        <w:rPr>
          <w:b/>
        </w:rPr>
        <w:t xml:space="preserve"> </w:t>
      </w:r>
      <w:r w:rsidR="002A4F69">
        <w:rPr>
          <w:b/>
        </w:rPr>
        <w:t xml:space="preserve">ceny za zemní práce pro </w:t>
      </w:r>
      <w:r w:rsidR="006367C1">
        <w:rPr>
          <w:b/>
        </w:rPr>
        <w:t xml:space="preserve">záchranný </w:t>
      </w:r>
      <w:r w:rsidR="002A4F69">
        <w:rPr>
          <w:b/>
        </w:rPr>
        <w:t xml:space="preserve">archeologický výzkum byly výrazně </w:t>
      </w:r>
      <w:r w:rsidR="0078044B">
        <w:rPr>
          <w:b/>
        </w:rPr>
        <w:t>nižší,</w:t>
      </w:r>
      <w:r w:rsidR="002A4F69">
        <w:rPr>
          <w:b/>
        </w:rPr>
        <w:t xml:space="preserve"> než ŘSD předpokládalo</w:t>
      </w:r>
    </w:p>
    <w:p w14:paraId="4F48D9B8" w14:textId="77777777" w:rsidR="00A21413" w:rsidRDefault="00A21413" w:rsidP="00D163A7"/>
    <w:p w14:paraId="38D55624" w14:textId="77777777" w:rsidR="00D324BB" w:rsidRDefault="002A4F69" w:rsidP="00D163A7">
      <w:r w:rsidRPr="00812B28">
        <w:rPr>
          <w:b/>
        </w:rPr>
        <w:t>4.1</w:t>
      </w:r>
      <w:r w:rsidR="0086547D">
        <w:rPr>
          <w:b/>
        </w:rPr>
        <w:t>8</w:t>
      </w:r>
      <w:r>
        <w:t> </w:t>
      </w:r>
      <w:r w:rsidR="0029287A">
        <w:t>V</w:t>
      </w:r>
      <w:r w:rsidR="00D163A7">
        <w:t xml:space="preserve"> zadávacích řízeních na realizaci zemních prací pro </w:t>
      </w:r>
      <w:r w:rsidR="00653AB3">
        <w:t>záchranný archeologický výzkum</w:t>
      </w:r>
      <w:r w:rsidR="00D163A7">
        <w:t xml:space="preserve"> bylo </w:t>
      </w:r>
      <w:r w:rsidR="002E3058">
        <w:t>dosaženo</w:t>
      </w:r>
      <w:r w:rsidR="00D163A7">
        <w:t xml:space="preserve"> snížení předpokládaných nákladů o 69 % (</w:t>
      </w:r>
      <w:r w:rsidR="00653AB3">
        <w:t>64–78</w:t>
      </w:r>
      <w:r w:rsidR="00D163A7">
        <w:t xml:space="preserve"> % v jednotlivých zadávacích řízeních).</w:t>
      </w:r>
      <w:r w:rsidR="00BC403A">
        <w:t xml:space="preserve"> Předmětem těchto zemních prací bylo zejména</w:t>
      </w:r>
      <w:r w:rsidR="00BC403A" w:rsidRPr="00BC403A">
        <w:t xml:space="preserve"> kácení mimolesní zeleně, skrývka humózních vrstev a výkop zeminy. </w:t>
      </w:r>
      <w:r w:rsidR="00C40870">
        <w:t>Tyto</w:t>
      </w:r>
      <w:r w:rsidR="00BC403A" w:rsidRPr="00BC403A">
        <w:t xml:space="preserve"> zemní práce</w:t>
      </w:r>
      <w:r w:rsidR="00C40870">
        <w:t xml:space="preserve"> byly</w:t>
      </w:r>
      <w:r w:rsidR="00BC403A" w:rsidRPr="00BC403A">
        <w:t xml:space="preserve"> prováděny v pásech šířky 100 m.</w:t>
      </w:r>
    </w:p>
    <w:p w14:paraId="6B5664F0" w14:textId="77777777" w:rsidR="00D324BB" w:rsidRDefault="00D324BB" w:rsidP="00731D38"/>
    <w:p w14:paraId="6C6B3E6D" w14:textId="77777777" w:rsidR="00F70140" w:rsidRPr="00F70140" w:rsidRDefault="002A4F69" w:rsidP="0027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b/>
        </w:rPr>
      </w:pPr>
      <w:r w:rsidRPr="00F70140">
        <w:rPr>
          <w:b/>
        </w:rPr>
        <w:t>Příklady:</w:t>
      </w:r>
    </w:p>
    <w:p w14:paraId="6946C385" w14:textId="77777777" w:rsidR="002707EB" w:rsidRDefault="002A4F69" w:rsidP="0002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V úseku </w:t>
      </w:r>
      <w:r w:rsidRPr="00F70140">
        <w:rPr>
          <w:b/>
          <w:i/>
        </w:rPr>
        <w:t>D35 Opatovice – Časy</w:t>
      </w:r>
      <w:r w:rsidRPr="00F70140">
        <w:t xml:space="preserve">, </w:t>
      </w:r>
      <w:r>
        <w:t xml:space="preserve">části v </w:t>
      </w:r>
      <w:r w:rsidRPr="00F70140">
        <w:t>km 4,190</w:t>
      </w:r>
      <w:r w:rsidR="00CD41A6">
        <w:t>–</w:t>
      </w:r>
      <w:r w:rsidRPr="00F70140">
        <w:t>7,000</w:t>
      </w:r>
      <w:r>
        <w:t>, činila p</w:t>
      </w:r>
      <w:r w:rsidRPr="00F70140">
        <w:t>ředpokládaná hodnota veřejné zakázky 16 155 143 Kč bez DPH</w:t>
      </w:r>
      <w:r>
        <w:t>. V zadávacím řízení obdrželo ŘSD celkem 14 nabídek s r</w:t>
      </w:r>
      <w:r w:rsidR="00212937">
        <w:t>ozpětím</w:t>
      </w:r>
      <w:r>
        <w:t xml:space="preserve"> nabídkových cen od </w:t>
      </w:r>
      <w:r w:rsidRPr="00F70140">
        <w:t>3 508 65</w:t>
      </w:r>
      <w:r w:rsidR="00EB6981">
        <w:t>4</w:t>
      </w:r>
      <w:r>
        <w:t xml:space="preserve"> Kč bez DPH do </w:t>
      </w:r>
      <w:r w:rsidRPr="00F70140">
        <w:t>12 014 592</w:t>
      </w:r>
      <w:r>
        <w:t xml:space="preserve"> Kč bez DPH. N</w:t>
      </w:r>
      <w:r w:rsidRPr="00F70140">
        <w:t xml:space="preserve">ejnižší nabídková cena </w:t>
      </w:r>
      <w:r>
        <w:t>byla</w:t>
      </w:r>
      <w:r w:rsidRPr="00F70140">
        <w:t xml:space="preserve"> o 78 %</w:t>
      </w:r>
      <w:r>
        <w:t xml:space="preserve"> nižší oproti předpokládané hodnotě veřejné zakázky. Na základě uzavřeného dodatku </w:t>
      </w:r>
      <w:r w:rsidR="00AB5696">
        <w:t xml:space="preserve">(z důvodu rozšíření plochy staveniště) ŘSD </w:t>
      </w:r>
      <w:r w:rsidRPr="00F70140">
        <w:t>uhradilo 4</w:t>
      </w:r>
      <w:r w:rsidR="00AB5696">
        <w:t> </w:t>
      </w:r>
      <w:r w:rsidRPr="00F70140">
        <w:t>506</w:t>
      </w:r>
      <w:r w:rsidR="00AB5696">
        <w:t> </w:t>
      </w:r>
      <w:r w:rsidRPr="00F70140">
        <w:t>31</w:t>
      </w:r>
      <w:r w:rsidR="00EB6981">
        <w:t>4</w:t>
      </w:r>
      <w:r w:rsidRPr="00F70140">
        <w:t xml:space="preserve"> Kč bez DPH (5 452 6</w:t>
      </w:r>
      <w:r w:rsidR="00EB6981">
        <w:t>40</w:t>
      </w:r>
      <w:r w:rsidRPr="00F70140">
        <w:t xml:space="preserve"> Kč vč. DPH)</w:t>
      </w:r>
      <w:r w:rsidR="00AB5696">
        <w:t xml:space="preserve">, tj. </w:t>
      </w:r>
      <w:r w:rsidRPr="00F70140">
        <w:t>o 997 6</w:t>
      </w:r>
      <w:r w:rsidR="00EB6981">
        <w:t>60</w:t>
      </w:r>
      <w:r w:rsidRPr="00F70140">
        <w:t xml:space="preserve"> Kč bez DPH </w:t>
      </w:r>
      <w:r w:rsidR="00AB5696">
        <w:t>více</w:t>
      </w:r>
      <w:r w:rsidRPr="00F70140">
        <w:t xml:space="preserve"> (</w:t>
      </w:r>
      <w:r w:rsidR="00E2640D">
        <w:t>+</w:t>
      </w:r>
      <w:r w:rsidR="00AB5696">
        <w:t xml:space="preserve"> </w:t>
      </w:r>
      <w:r w:rsidRPr="00F70140">
        <w:t>28 %)</w:t>
      </w:r>
      <w:r w:rsidR="00AB5696">
        <w:t>.</w:t>
      </w:r>
    </w:p>
    <w:p w14:paraId="5AC7C31F" w14:textId="77777777" w:rsidR="002707EB" w:rsidRDefault="002A4F69" w:rsidP="0002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spacing w:after="120"/>
      </w:pPr>
      <w:r>
        <w:t xml:space="preserve">V úseku </w:t>
      </w:r>
      <w:r w:rsidR="00B541C7">
        <w:rPr>
          <w:b/>
          <w:i/>
        </w:rPr>
        <w:t>D</w:t>
      </w:r>
      <w:r w:rsidR="00212937" w:rsidRPr="00212937">
        <w:rPr>
          <w:b/>
          <w:i/>
        </w:rPr>
        <w:t>35 Časy – Ostrov</w:t>
      </w:r>
      <w:r w:rsidRPr="00F70140">
        <w:t xml:space="preserve">, </w:t>
      </w:r>
      <w:r>
        <w:t xml:space="preserve">části v </w:t>
      </w:r>
      <w:r w:rsidRPr="00E2640D">
        <w:t xml:space="preserve">km </w:t>
      </w:r>
      <w:r w:rsidR="00212937" w:rsidRPr="00212937">
        <w:t>21,365</w:t>
      </w:r>
      <w:r w:rsidR="00CD41A6">
        <w:t>–</w:t>
      </w:r>
      <w:r w:rsidR="00212937" w:rsidRPr="00212937">
        <w:t>27,910</w:t>
      </w:r>
      <w:r>
        <w:t>, činila p</w:t>
      </w:r>
      <w:r w:rsidRPr="00F70140">
        <w:t>ředpokládaná hodnota veřejné zakázky</w:t>
      </w:r>
      <w:r w:rsidRPr="006434EA">
        <w:rPr>
          <w:sz w:val="22"/>
        </w:rPr>
        <w:t xml:space="preserve"> </w:t>
      </w:r>
      <w:r w:rsidR="00212937" w:rsidRPr="00212937">
        <w:t>65</w:t>
      </w:r>
      <w:r w:rsidR="00212937" w:rsidRPr="006434EA">
        <w:rPr>
          <w:sz w:val="22"/>
        </w:rPr>
        <w:t xml:space="preserve"> </w:t>
      </w:r>
      <w:r w:rsidR="00212937" w:rsidRPr="00212937">
        <w:t>401</w:t>
      </w:r>
      <w:r w:rsidR="00212937" w:rsidRPr="006434EA">
        <w:rPr>
          <w:sz w:val="22"/>
        </w:rPr>
        <w:t xml:space="preserve"> </w:t>
      </w:r>
      <w:r w:rsidR="00212937" w:rsidRPr="00212937">
        <w:t>981</w:t>
      </w:r>
      <w:r w:rsidRPr="006434EA">
        <w:rPr>
          <w:sz w:val="22"/>
        </w:rPr>
        <w:t xml:space="preserve"> </w:t>
      </w:r>
      <w:r w:rsidRPr="00F70140">
        <w:t>Kč</w:t>
      </w:r>
      <w:r w:rsidRPr="006434EA">
        <w:rPr>
          <w:sz w:val="22"/>
        </w:rPr>
        <w:t xml:space="preserve"> </w:t>
      </w:r>
      <w:r w:rsidRPr="00F70140">
        <w:t>bez</w:t>
      </w:r>
      <w:r w:rsidRPr="006434EA">
        <w:rPr>
          <w:sz w:val="22"/>
        </w:rPr>
        <w:t xml:space="preserve"> </w:t>
      </w:r>
      <w:r w:rsidRPr="00F70140">
        <w:t>DPH</w:t>
      </w:r>
      <w:r>
        <w:t>.</w:t>
      </w:r>
      <w:r w:rsidRPr="006434EA">
        <w:rPr>
          <w:sz w:val="22"/>
        </w:rPr>
        <w:t xml:space="preserve"> </w:t>
      </w:r>
      <w:r>
        <w:t>V</w:t>
      </w:r>
      <w:r w:rsidRPr="006434EA">
        <w:rPr>
          <w:sz w:val="22"/>
        </w:rPr>
        <w:t> </w:t>
      </w:r>
      <w:r>
        <w:t>zadávacím</w:t>
      </w:r>
      <w:r w:rsidRPr="006434EA">
        <w:rPr>
          <w:sz w:val="22"/>
        </w:rPr>
        <w:t xml:space="preserve"> </w:t>
      </w:r>
      <w:r>
        <w:t>řízení</w:t>
      </w:r>
      <w:r w:rsidRPr="006434EA">
        <w:rPr>
          <w:sz w:val="22"/>
        </w:rPr>
        <w:t xml:space="preserve"> </w:t>
      </w:r>
      <w:r>
        <w:t>obdrželo</w:t>
      </w:r>
      <w:r w:rsidRPr="006434EA">
        <w:rPr>
          <w:sz w:val="22"/>
        </w:rPr>
        <w:t xml:space="preserve"> </w:t>
      </w:r>
      <w:r>
        <w:t>ŘSD</w:t>
      </w:r>
      <w:r w:rsidRPr="006434EA">
        <w:rPr>
          <w:sz w:val="22"/>
        </w:rPr>
        <w:t xml:space="preserve"> </w:t>
      </w:r>
      <w:r>
        <w:t>celkem</w:t>
      </w:r>
      <w:r w:rsidRPr="006434EA">
        <w:rPr>
          <w:sz w:val="22"/>
        </w:rPr>
        <w:t xml:space="preserve"> </w:t>
      </w:r>
      <w:r>
        <w:t>1</w:t>
      </w:r>
      <w:r w:rsidR="00212937">
        <w:t>4</w:t>
      </w:r>
      <w:r w:rsidRPr="006434EA">
        <w:rPr>
          <w:sz w:val="22"/>
        </w:rPr>
        <w:t xml:space="preserve"> </w:t>
      </w:r>
      <w:r>
        <w:t>nabídek</w:t>
      </w:r>
      <w:r w:rsidRPr="006434EA">
        <w:rPr>
          <w:sz w:val="22"/>
        </w:rPr>
        <w:t xml:space="preserve"> </w:t>
      </w:r>
      <w:r>
        <w:t>s</w:t>
      </w:r>
      <w:r w:rsidRPr="006434EA">
        <w:rPr>
          <w:sz w:val="22"/>
        </w:rPr>
        <w:t> </w:t>
      </w:r>
      <w:r w:rsidR="00212937">
        <w:t>rozpětím</w:t>
      </w:r>
      <w:r>
        <w:t xml:space="preserve"> nabídkových cen od </w:t>
      </w:r>
      <w:r w:rsidR="00212937" w:rsidRPr="00212937">
        <w:t>14 873 89</w:t>
      </w:r>
      <w:r w:rsidR="00EB6981">
        <w:t>8</w:t>
      </w:r>
      <w:r>
        <w:t xml:space="preserve"> Kč do </w:t>
      </w:r>
      <w:r w:rsidR="00212937" w:rsidRPr="00212937">
        <w:t>48 067 513</w:t>
      </w:r>
      <w:r>
        <w:t xml:space="preserve"> Kč bez DPH. N</w:t>
      </w:r>
      <w:r w:rsidRPr="00F70140">
        <w:t xml:space="preserve">ejnižší nabídková cena </w:t>
      </w:r>
      <w:r>
        <w:t>byla</w:t>
      </w:r>
      <w:r w:rsidRPr="00F70140">
        <w:t xml:space="preserve"> o</w:t>
      </w:r>
      <w:r w:rsidR="006434EA">
        <w:t> </w:t>
      </w:r>
      <w:r w:rsidRPr="00F70140">
        <w:t>7</w:t>
      </w:r>
      <w:r w:rsidR="00212937">
        <w:t>7</w:t>
      </w:r>
      <w:r w:rsidR="00CD41A6">
        <w:t> </w:t>
      </w:r>
      <w:r w:rsidRPr="00F70140">
        <w:t>%</w:t>
      </w:r>
      <w:r>
        <w:t xml:space="preserve"> nižší oproti předpokládané hodnotě. ŘSD na základě provedených prací </w:t>
      </w:r>
      <w:r w:rsidRPr="00F70140">
        <w:t xml:space="preserve">uhradilo </w:t>
      </w:r>
      <w:r w:rsidR="00212937" w:rsidRPr="00212937">
        <w:t>12</w:t>
      </w:r>
      <w:r w:rsidR="006434EA">
        <w:t> </w:t>
      </w:r>
      <w:r w:rsidR="00212937" w:rsidRPr="00212937">
        <w:t>044</w:t>
      </w:r>
      <w:r w:rsidR="006434EA">
        <w:t> </w:t>
      </w:r>
      <w:r w:rsidR="00212937" w:rsidRPr="00212937">
        <w:t>28</w:t>
      </w:r>
      <w:r w:rsidR="00EB6981">
        <w:t>1</w:t>
      </w:r>
      <w:r w:rsidR="00212937" w:rsidRPr="00212937">
        <w:t xml:space="preserve"> Kč bez DPH (14 573 5</w:t>
      </w:r>
      <w:r w:rsidR="00EB6981">
        <w:t>80</w:t>
      </w:r>
      <w:r w:rsidR="00212937" w:rsidRPr="00212937">
        <w:t xml:space="preserve"> Kč vč. DPH)</w:t>
      </w:r>
      <w:r>
        <w:t>, tj. </w:t>
      </w:r>
      <w:r w:rsidRPr="00F70140">
        <w:t>o</w:t>
      </w:r>
      <w:r>
        <w:t> </w:t>
      </w:r>
      <w:r w:rsidR="00212937" w:rsidRPr="00212937">
        <w:t>2 829 617</w:t>
      </w:r>
      <w:r w:rsidRPr="00E2640D">
        <w:t xml:space="preserve"> </w:t>
      </w:r>
      <w:r w:rsidRPr="00F70140">
        <w:t xml:space="preserve">Kč bez DPH </w:t>
      </w:r>
      <w:r>
        <w:t>méně</w:t>
      </w:r>
      <w:r w:rsidRPr="00F70140">
        <w:t xml:space="preserve"> (</w:t>
      </w:r>
      <w:r w:rsidR="00C47FB0">
        <w:rPr>
          <w:rFonts w:cs="Calibri"/>
        </w:rPr>
        <w:t>−</w:t>
      </w:r>
      <w:r w:rsidR="00EB6981">
        <w:t> </w:t>
      </w:r>
      <w:r w:rsidR="00212937">
        <w:t>19</w:t>
      </w:r>
      <w:r w:rsidR="00EB6981">
        <w:t> </w:t>
      </w:r>
      <w:r w:rsidRPr="00F70140">
        <w:t>%)</w:t>
      </w:r>
      <w:r>
        <w:t>.</w:t>
      </w:r>
    </w:p>
    <w:p w14:paraId="3C955521" w14:textId="77777777" w:rsidR="00B541C7" w:rsidRDefault="002A4F69" w:rsidP="0027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V úseku </w:t>
      </w:r>
      <w:r w:rsidRPr="00B541C7">
        <w:rPr>
          <w:b/>
          <w:i/>
        </w:rPr>
        <w:t>D35 Vysoké Mýto – Džbánov</w:t>
      </w:r>
      <w:r w:rsidRPr="00F70140">
        <w:t xml:space="preserve"> </w:t>
      </w:r>
      <w:r>
        <w:t>činila p</w:t>
      </w:r>
      <w:r w:rsidRPr="00F70140">
        <w:t xml:space="preserve">ředpokládaná hodnota </w:t>
      </w:r>
      <w:r>
        <w:t xml:space="preserve">veřejné zakázky </w:t>
      </w:r>
      <w:r w:rsidRPr="00B541C7">
        <w:t>150</w:t>
      </w:r>
      <w:r>
        <w:t> </w:t>
      </w:r>
      <w:r w:rsidRPr="00B541C7">
        <w:t>183</w:t>
      </w:r>
      <w:r>
        <w:t> </w:t>
      </w:r>
      <w:r w:rsidRPr="00B541C7">
        <w:t xml:space="preserve">000 </w:t>
      </w:r>
      <w:r w:rsidRPr="00F70140">
        <w:t>Kč bez DPH</w:t>
      </w:r>
      <w:r>
        <w:t xml:space="preserve">. V zadávacím řízení obdrželo ŘSD celkem </w:t>
      </w:r>
      <w:r w:rsidR="00C47FB0">
        <w:t>šest</w:t>
      </w:r>
      <w:r>
        <w:t xml:space="preserve"> nabídek s rozpětím </w:t>
      </w:r>
      <w:r>
        <w:lastRenderedPageBreak/>
        <w:t xml:space="preserve">nabídkových cen od </w:t>
      </w:r>
      <w:r w:rsidRPr="00B541C7">
        <w:t>54</w:t>
      </w:r>
      <w:r>
        <w:t> </w:t>
      </w:r>
      <w:r w:rsidRPr="00B541C7">
        <w:t>772</w:t>
      </w:r>
      <w:r>
        <w:t> </w:t>
      </w:r>
      <w:r w:rsidRPr="00B541C7">
        <w:t>5</w:t>
      </w:r>
      <w:r w:rsidR="00EB6981">
        <w:t>10</w:t>
      </w:r>
      <w:r>
        <w:t xml:space="preserve"> Kč do </w:t>
      </w:r>
      <w:r w:rsidRPr="00B541C7">
        <w:t>104</w:t>
      </w:r>
      <w:r>
        <w:t> </w:t>
      </w:r>
      <w:r w:rsidRPr="00B541C7">
        <w:t>382</w:t>
      </w:r>
      <w:r>
        <w:t> </w:t>
      </w:r>
      <w:r w:rsidRPr="00B541C7">
        <w:t>44</w:t>
      </w:r>
      <w:r w:rsidR="00EB6981">
        <w:t>7</w:t>
      </w:r>
      <w:r>
        <w:t xml:space="preserve"> Kč bez DPH. N</w:t>
      </w:r>
      <w:r w:rsidRPr="00F70140">
        <w:t xml:space="preserve">ejnižší nabídková cena </w:t>
      </w:r>
      <w:r>
        <w:t>byla</w:t>
      </w:r>
      <w:r w:rsidRPr="00F70140">
        <w:t xml:space="preserve"> o </w:t>
      </w:r>
      <w:r>
        <w:t>64</w:t>
      </w:r>
      <w:r w:rsidRPr="00F70140">
        <w:t xml:space="preserve"> %</w:t>
      </w:r>
      <w:r>
        <w:t xml:space="preserve"> nižší oproti předpokládané hodnotě. </w:t>
      </w:r>
      <w:r w:rsidRPr="00B541C7">
        <w:t>ŘSD uzavřelo dne 11. 10. 2022 smlouvu o dílo</w:t>
      </w:r>
      <w:r>
        <w:t xml:space="preserve">, v době kontroly nebylo plnění zakázky </w:t>
      </w:r>
      <w:r w:rsidR="00CF42A0">
        <w:t>dokončeno</w:t>
      </w:r>
      <w:r w:rsidRPr="00B541C7">
        <w:t>.</w:t>
      </w:r>
    </w:p>
    <w:p w14:paraId="47EF96CC" w14:textId="77777777" w:rsidR="00962512" w:rsidRDefault="00962512" w:rsidP="00731D38"/>
    <w:p w14:paraId="4D78F8B5" w14:textId="77777777" w:rsidR="007B7DA5" w:rsidRPr="007B7DA5" w:rsidRDefault="002A4F69" w:rsidP="00782EBB">
      <w:pPr>
        <w:keepNext/>
        <w:rPr>
          <w:b/>
        </w:rPr>
      </w:pPr>
      <w:r>
        <w:rPr>
          <w:b/>
        </w:rPr>
        <w:t>Zpoždění termínů realizace staveb z důvodu prodlužování zadávacích řízení</w:t>
      </w:r>
    </w:p>
    <w:p w14:paraId="34EA2779" w14:textId="77777777" w:rsidR="007B7DA5" w:rsidRDefault="007B7DA5" w:rsidP="00731D38"/>
    <w:p w14:paraId="15F92021" w14:textId="77777777" w:rsidR="007B7DA5" w:rsidRDefault="002A4F69" w:rsidP="00731D38">
      <w:r w:rsidRPr="00341327">
        <w:rPr>
          <w:b/>
        </w:rPr>
        <w:t>4.</w:t>
      </w:r>
      <w:r w:rsidR="0086547D">
        <w:rPr>
          <w:b/>
        </w:rPr>
        <w:t>19</w:t>
      </w:r>
      <w:r>
        <w:t> U</w:t>
      </w:r>
      <w:r w:rsidR="00855711">
        <w:t xml:space="preserve"> </w:t>
      </w:r>
      <w:r>
        <w:t xml:space="preserve">staveb </w:t>
      </w:r>
      <w:r w:rsidR="0029287A" w:rsidRPr="0029287A">
        <w:rPr>
          <w:i/>
        </w:rPr>
        <w:t xml:space="preserve">D35 </w:t>
      </w:r>
      <w:r w:rsidRPr="0029287A">
        <w:rPr>
          <w:i/>
        </w:rPr>
        <w:t>Opatovice – Časy</w:t>
      </w:r>
      <w:r>
        <w:t xml:space="preserve"> a</w:t>
      </w:r>
      <w:r w:rsidR="0029287A">
        <w:t xml:space="preserve"> </w:t>
      </w:r>
      <w:r w:rsidR="0029287A" w:rsidRPr="0029287A">
        <w:rPr>
          <w:i/>
        </w:rPr>
        <w:t>D35</w:t>
      </w:r>
      <w:r w:rsidRPr="0029287A">
        <w:rPr>
          <w:i/>
        </w:rPr>
        <w:t xml:space="preserve"> Časy – Ostrov</w:t>
      </w:r>
      <w:r w:rsidR="0029287A">
        <w:t xml:space="preserve"> došlo k prodloužení zadávacího řízení na stavební práce, které mělo dopad na termíny realizace staveb. </w:t>
      </w:r>
    </w:p>
    <w:p w14:paraId="11525D4B" w14:textId="77777777" w:rsidR="007B7DA5" w:rsidRDefault="007B7DA5" w:rsidP="00731D38"/>
    <w:p w14:paraId="1FD1CEC7" w14:textId="77777777" w:rsidR="00074CCD" w:rsidRDefault="002A4F69" w:rsidP="00731D38">
      <w:r w:rsidRPr="009409C9">
        <w:rPr>
          <w:b/>
        </w:rPr>
        <w:t>4.2</w:t>
      </w:r>
      <w:r w:rsidR="00726832">
        <w:rPr>
          <w:b/>
        </w:rPr>
        <w:t>0</w:t>
      </w:r>
      <w:r>
        <w:t> </w:t>
      </w:r>
      <w:r w:rsidR="0029287A" w:rsidRPr="0029287A">
        <w:t xml:space="preserve">V průběhu </w:t>
      </w:r>
      <w:r w:rsidR="00E120D2">
        <w:t xml:space="preserve">nového </w:t>
      </w:r>
      <w:r w:rsidR="0029287A" w:rsidRPr="0029287A">
        <w:t xml:space="preserve">zadávacího řízení </w:t>
      </w:r>
      <w:r w:rsidR="002E6D2B">
        <w:t xml:space="preserve">stavby </w:t>
      </w:r>
      <w:r w:rsidR="002E6D2B" w:rsidRPr="0029287A">
        <w:rPr>
          <w:i/>
        </w:rPr>
        <w:t>D35 Opatovice – Časy</w:t>
      </w:r>
      <w:r w:rsidR="002E6D2B">
        <w:t xml:space="preserve"> </w:t>
      </w:r>
      <w:r w:rsidR="0029287A" w:rsidRPr="0029287A">
        <w:t xml:space="preserve">došlo k prodloužení lhůty pro podání nabídek </w:t>
      </w:r>
      <w:r w:rsidR="002E6D2B">
        <w:t>o</w:t>
      </w:r>
      <w:r w:rsidR="0029287A" w:rsidRPr="0029287A">
        <w:t xml:space="preserve"> 25 dní z důvodu pozdního zveřejnění zadávací dokumentace na profilu zadavatele a dále chyb a nejasností v zadávací dokumentaci.</w:t>
      </w:r>
      <w:r>
        <w:t xml:space="preserve"> ŘSD vydalo 48 změn (vysvětlení a doplnění) zadávací dokumentace, z nichž 11 mělo dopad na </w:t>
      </w:r>
      <w:r w:rsidRPr="009409C9">
        <w:t>prodloužení lhůty pro podání nabídek</w:t>
      </w:r>
      <w:r>
        <w:t xml:space="preserve">. </w:t>
      </w:r>
    </w:p>
    <w:p w14:paraId="4EF67B8A" w14:textId="77777777" w:rsidR="0068788F" w:rsidRDefault="0068788F" w:rsidP="00731D38"/>
    <w:p w14:paraId="60EE2F67" w14:textId="77777777" w:rsidR="000B3477" w:rsidRDefault="002A4F69" w:rsidP="00731D38">
      <w:r w:rsidRPr="00E120D2">
        <w:rPr>
          <w:b/>
        </w:rPr>
        <w:t>4.2</w:t>
      </w:r>
      <w:r w:rsidR="00726832">
        <w:rPr>
          <w:b/>
        </w:rPr>
        <w:t>1</w:t>
      </w:r>
      <w:r>
        <w:t> </w:t>
      </w:r>
      <w:r w:rsidR="00D63F18">
        <w:t xml:space="preserve">Zadávací řízení na stavbu </w:t>
      </w:r>
      <w:r w:rsidR="00D63F18" w:rsidRPr="00E120D2">
        <w:rPr>
          <w:i/>
        </w:rPr>
        <w:t>D35 Časy – Ostrov</w:t>
      </w:r>
      <w:r w:rsidR="00D63F18">
        <w:t xml:space="preserve"> trvalo 20 měsíců. </w:t>
      </w:r>
      <w:r w:rsidR="0029287A">
        <w:t>V</w:t>
      </w:r>
      <w:r w:rsidR="00D63F18">
        <w:t xml:space="preserve"> tomto</w:t>
      </w:r>
      <w:r w:rsidR="0029287A">
        <w:t xml:space="preserve"> zadávací</w:t>
      </w:r>
      <w:r>
        <w:t>m</w:t>
      </w:r>
      <w:r w:rsidR="0029287A">
        <w:t xml:space="preserve"> řízení</w:t>
      </w:r>
      <w:r w:rsidRPr="000B3477">
        <w:t>, zahájeném</w:t>
      </w:r>
      <w:r>
        <w:t xml:space="preserve"> dne </w:t>
      </w:r>
      <w:r w:rsidRPr="000B3477">
        <w:t>19. 9. 2016</w:t>
      </w:r>
      <w:r w:rsidR="00D63F18">
        <w:t>,</w:t>
      </w:r>
      <w:r w:rsidRPr="00E120D2">
        <w:t xml:space="preserve"> </w:t>
      </w:r>
      <w:r w:rsidR="0029287A">
        <w:t xml:space="preserve">došlo k následujícím prodlevám: posuzování kvalifikace uchazečů trvalo </w:t>
      </w:r>
      <w:r w:rsidR="00D63F18">
        <w:t>sedm</w:t>
      </w:r>
      <w:r w:rsidR="0029287A">
        <w:t xml:space="preserve"> měsíců, lhůta pro podání nabídek byla prodloužena o 66 dní z důvodu změn v</w:t>
      </w:r>
      <w:r w:rsidR="00D63F18">
        <w:t> </w:t>
      </w:r>
      <w:r w:rsidR="0029287A">
        <w:t xml:space="preserve">zadávací dokumentaci a dalších </w:t>
      </w:r>
      <w:r w:rsidR="00D63F18">
        <w:t>sedm</w:t>
      </w:r>
      <w:r w:rsidR="0029287A">
        <w:t xml:space="preserve"> měsíců trvalo hodnocení nabídek do doby uzavření smlouvy o dílo, důvodem byly námitky a odvolání </w:t>
      </w:r>
      <w:r w:rsidR="00D63F18">
        <w:t>dvou</w:t>
      </w:r>
      <w:r w:rsidR="0029287A">
        <w:t xml:space="preserve"> uchazečů proti jejich vyloučení ze zadávacího řízení.</w:t>
      </w:r>
      <w:r w:rsidR="00D63F18">
        <w:t xml:space="preserve"> Smlouvu s vybraným</w:t>
      </w:r>
      <w:r w:rsidRPr="000B3477">
        <w:t xml:space="preserve"> dodavatelem </w:t>
      </w:r>
      <w:r w:rsidR="00D63F18">
        <w:t xml:space="preserve">uzavřelo ŘSD </w:t>
      </w:r>
      <w:r w:rsidRPr="000B3477">
        <w:t>dne 22. 5. 2018</w:t>
      </w:r>
      <w:r w:rsidR="00D63F18">
        <w:t>.</w:t>
      </w:r>
    </w:p>
    <w:p w14:paraId="2C9D6D31" w14:textId="77777777" w:rsidR="0068788F" w:rsidRDefault="0068788F" w:rsidP="00731D38"/>
    <w:p w14:paraId="2E72C46C" w14:textId="77777777" w:rsidR="00E713E3" w:rsidRDefault="00E713E3" w:rsidP="00020587">
      <w:pPr>
        <w:keepNext/>
        <w:jc w:val="left"/>
        <w:rPr>
          <w:b/>
        </w:rPr>
      </w:pPr>
      <w:r w:rsidRPr="00E713E3">
        <w:rPr>
          <w:b/>
        </w:rPr>
        <w:t>Ceny subdodavatelů služeb stavebního dozoru byly výrazně nižší než ceny vybraných dodavatelů</w:t>
      </w:r>
    </w:p>
    <w:p w14:paraId="03E631FD" w14:textId="77777777" w:rsidR="00D61281" w:rsidRDefault="00D61281" w:rsidP="009201B6">
      <w:pPr>
        <w:keepNext/>
      </w:pPr>
    </w:p>
    <w:p w14:paraId="311866B7" w14:textId="77777777" w:rsidR="0068788F" w:rsidRDefault="002A4F69" w:rsidP="00731D38">
      <w:r w:rsidRPr="00E736E9">
        <w:rPr>
          <w:b/>
        </w:rPr>
        <w:t>4.2</w:t>
      </w:r>
      <w:r w:rsidR="00726832">
        <w:rPr>
          <w:b/>
        </w:rPr>
        <w:t>2</w:t>
      </w:r>
      <w:r w:rsidR="0086547D">
        <w:rPr>
          <w:b/>
        </w:rPr>
        <w:t xml:space="preserve"> </w:t>
      </w:r>
      <w:r>
        <w:t xml:space="preserve">U staveb </w:t>
      </w:r>
      <w:r w:rsidRPr="0029287A">
        <w:rPr>
          <w:i/>
        </w:rPr>
        <w:t>D35 Opatovice – Časy</w:t>
      </w:r>
      <w:r>
        <w:t xml:space="preserve"> a </w:t>
      </w:r>
      <w:r w:rsidRPr="0029287A">
        <w:rPr>
          <w:i/>
        </w:rPr>
        <w:t>D35 Časy – Ostrov</w:t>
      </w:r>
      <w:r>
        <w:t xml:space="preserve"> </w:t>
      </w:r>
      <w:r w:rsidR="000D0C9A">
        <w:t xml:space="preserve">zahájilo ŘSD dne </w:t>
      </w:r>
      <w:r w:rsidR="000D0C9A" w:rsidRPr="000D0C9A">
        <w:t>30. 6. 2015 zadávací řízení</w:t>
      </w:r>
      <w:r w:rsidR="000D0C9A">
        <w:t xml:space="preserve"> </w:t>
      </w:r>
      <w:r w:rsidR="007419CB" w:rsidRPr="002667F1">
        <w:t>na</w:t>
      </w:r>
      <w:r w:rsidR="007419CB">
        <w:t xml:space="preserve"> </w:t>
      </w:r>
      <w:r w:rsidR="000D0C9A">
        <w:t>poskytování služeb technického dozoru investora (dále jen „TDI“).</w:t>
      </w:r>
      <w:r w:rsidR="00AE12A5">
        <w:t xml:space="preserve"> </w:t>
      </w:r>
      <w:r w:rsidR="008D1C65">
        <w:t>Zadávacích řízení se účastnila tři stejná sdružení společností. Smlouvy o dílo s vybranými dodavateli uzavřelo ŘSD dne 4. 9. 2017, resp. 28. 8. 2017.</w:t>
      </w:r>
    </w:p>
    <w:p w14:paraId="10294FFA" w14:textId="77777777" w:rsidR="00BD1C38" w:rsidRDefault="00BD1C38" w:rsidP="00731D38"/>
    <w:p w14:paraId="1BEDE6F7" w14:textId="77777777" w:rsidR="00BD1C38" w:rsidRDefault="002A4F69" w:rsidP="00731D38">
      <w:r w:rsidRPr="008D1C65">
        <w:rPr>
          <w:b/>
        </w:rPr>
        <w:t>4.2</w:t>
      </w:r>
      <w:r w:rsidR="00726832">
        <w:rPr>
          <w:b/>
        </w:rPr>
        <w:t>3</w:t>
      </w:r>
      <w:r>
        <w:t> P</w:t>
      </w:r>
      <w:r w:rsidR="00E736E9">
        <w:t xml:space="preserve">ři ověřování skutečného podílu </w:t>
      </w:r>
      <w:r w:rsidR="00E736E9" w:rsidRPr="00E736E9">
        <w:t>subdodavatel</w:t>
      </w:r>
      <w:r w:rsidR="00E736E9">
        <w:t>ů</w:t>
      </w:r>
      <w:r w:rsidR="00E736E9" w:rsidRPr="00E736E9">
        <w:t xml:space="preserve"> p</w:t>
      </w:r>
      <w:r>
        <w:t>ro</w:t>
      </w:r>
      <w:r w:rsidR="00E736E9" w:rsidRPr="00E736E9">
        <w:t xml:space="preserve"> zajištění výkonu funkce TDI</w:t>
      </w:r>
      <w:r w:rsidR="00E736E9">
        <w:t xml:space="preserve"> </w:t>
      </w:r>
      <w:r>
        <w:t xml:space="preserve">u stavby </w:t>
      </w:r>
      <w:r w:rsidRPr="0029287A">
        <w:rPr>
          <w:i/>
        </w:rPr>
        <w:t>D35 Opatovice – Časy</w:t>
      </w:r>
      <w:r>
        <w:t xml:space="preserve"> </w:t>
      </w:r>
      <w:r w:rsidR="00E736E9">
        <w:t>zjistil NKÚ</w:t>
      </w:r>
      <w:r>
        <w:t>, že</w:t>
      </w:r>
      <w:r w:rsidR="00527300">
        <w:t xml:space="preserve"> ŘSD uzavřelo s vybraným dodavatelem smlouvu s cenou </w:t>
      </w:r>
      <w:r w:rsidR="00527300" w:rsidRPr="00527300">
        <w:t>51 075 310 Kč vč. DPH</w:t>
      </w:r>
      <w:r w:rsidR="00527300">
        <w:t>.</w:t>
      </w:r>
      <w:r>
        <w:t xml:space="preserve"> </w:t>
      </w:r>
      <w:r w:rsidR="00527300">
        <w:t>Tento</w:t>
      </w:r>
      <w:r>
        <w:t xml:space="preserve"> dodavatel </w:t>
      </w:r>
      <w:r w:rsidR="00527300">
        <w:t xml:space="preserve">následně </w:t>
      </w:r>
      <w:r>
        <w:t>uzavřel smlouvu se subdodavatelem</w:t>
      </w:r>
      <w:r w:rsidR="00527300">
        <w:t xml:space="preserve"> v hodnotě </w:t>
      </w:r>
      <w:r w:rsidR="00527300" w:rsidRPr="00527300">
        <w:t>39</w:t>
      </w:r>
      <w:r w:rsidR="00527300">
        <w:t> </w:t>
      </w:r>
      <w:r w:rsidR="00527300" w:rsidRPr="00527300">
        <w:t>608</w:t>
      </w:r>
      <w:r w:rsidR="00527300">
        <w:t> </w:t>
      </w:r>
      <w:r w:rsidR="00527300" w:rsidRPr="00527300">
        <w:t>551</w:t>
      </w:r>
      <w:r w:rsidR="00527300">
        <w:t xml:space="preserve"> Kč vč. DPH</w:t>
      </w:r>
      <w:r>
        <w:t xml:space="preserve">, </w:t>
      </w:r>
      <w:r w:rsidR="007D059F">
        <w:t xml:space="preserve">jejímž předmětem bylo poskytování služeb TDI ve stejném rozsahu </w:t>
      </w:r>
      <w:r w:rsidR="007C1EDB">
        <w:t>stanoveném</w:t>
      </w:r>
      <w:r w:rsidR="007D059F">
        <w:t xml:space="preserve"> ve smlouvě, kterou uzavřelo ŘSD s dodavatelem, s výjimkou právních </w:t>
      </w:r>
      <w:r w:rsidR="007D059F" w:rsidRPr="00011DEA">
        <w:t>služeb</w:t>
      </w:r>
      <w:r w:rsidR="002B67B3" w:rsidRPr="00011DEA">
        <w:t>, které představovaly 1,4 % objemu prací, podíl činností subdodavatele tak činil 98,6 %.</w:t>
      </w:r>
      <w:r w:rsidR="008F0F8D">
        <w:t xml:space="preserve"> </w:t>
      </w:r>
      <w:r w:rsidR="008F0F8D" w:rsidRPr="008F0F8D">
        <w:t>Cena za dílo byla ve smlouvě se subdodavatelem o 10 740 75</w:t>
      </w:r>
      <w:r w:rsidR="00EB6981">
        <w:t>9</w:t>
      </w:r>
      <w:r w:rsidR="008F0F8D">
        <w:t xml:space="preserve"> </w:t>
      </w:r>
      <w:r w:rsidR="008F0F8D" w:rsidRPr="008F0F8D">
        <w:t xml:space="preserve">Kč </w:t>
      </w:r>
      <w:r w:rsidR="008F0F8D">
        <w:t>vč.</w:t>
      </w:r>
      <w:r w:rsidR="008F0F8D" w:rsidRPr="008F0F8D">
        <w:t xml:space="preserve"> DPH nižší </w:t>
      </w:r>
      <w:r w:rsidR="008F0F8D">
        <w:t>oproti smlouvě, kterou ŘSD uzavřelo s vybraným dodavatelem (</w:t>
      </w:r>
      <w:r w:rsidR="00527300">
        <w:t>rozdíl cen je uveden bez</w:t>
      </w:r>
      <w:r w:rsidR="008F0F8D">
        <w:t xml:space="preserve"> započtení </w:t>
      </w:r>
      <w:r w:rsidR="00527300">
        <w:t xml:space="preserve">ceny </w:t>
      </w:r>
      <w:r w:rsidR="008F0F8D">
        <w:t>právních služeb</w:t>
      </w:r>
      <w:r w:rsidR="002B6C61">
        <w:t xml:space="preserve"> tak, aby byl</w:t>
      </w:r>
      <w:r w:rsidR="00D97F02">
        <w:t>o možné</w:t>
      </w:r>
      <w:r w:rsidR="002B6C61">
        <w:t xml:space="preserve"> smlouvy porovnat</w:t>
      </w:r>
      <w:r w:rsidR="008F0F8D">
        <w:t>)</w:t>
      </w:r>
      <w:r w:rsidR="008F0F8D" w:rsidRPr="008F0F8D">
        <w:t>.</w:t>
      </w:r>
      <w:r w:rsidR="00575F6F">
        <w:t xml:space="preserve"> </w:t>
      </w:r>
    </w:p>
    <w:p w14:paraId="10C24D9A" w14:textId="77777777" w:rsidR="00231F09" w:rsidRDefault="00231F09" w:rsidP="00731D38"/>
    <w:p w14:paraId="0927C572" w14:textId="77777777" w:rsidR="00BD1C38" w:rsidRDefault="002A4F69" w:rsidP="00731D38">
      <w:r w:rsidRPr="008F0F8D">
        <w:rPr>
          <w:b/>
        </w:rPr>
        <w:t>4.2</w:t>
      </w:r>
      <w:r w:rsidR="00726832">
        <w:rPr>
          <w:b/>
        </w:rPr>
        <w:t>4</w:t>
      </w:r>
      <w:r>
        <w:t xml:space="preserve"> Při ověřování skutečného podílu </w:t>
      </w:r>
      <w:r w:rsidRPr="00E736E9">
        <w:t>subdodavatel</w:t>
      </w:r>
      <w:r>
        <w:t>ů</w:t>
      </w:r>
      <w:r w:rsidRPr="00E736E9">
        <w:t xml:space="preserve"> p</w:t>
      </w:r>
      <w:r>
        <w:t>ro</w:t>
      </w:r>
      <w:r w:rsidRPr="00E736E9">
        <w:t xml:space="preserve"> zajištění výkonu funkce TDI</w:t>
      </w:r>
      <w:r>
        <w:t xml:space="preserve"> u stavby </w:t>
      </w:r>
      <w:r w:rsidRPr="008F0F8D">
        <w:rPr>
          <w:i/>
        </w:rPr>
        <w:t>D35 Časy – Ostrov</w:t>
      </w:r>
      <w:r>
        <w:t xml:space="preserve"> zjistil NKÚ, že </w:t>
      </w:r>
      <w:r w:rsidR="003F0D66">
        <w:t xml:space="preserve">ŘSD uzavřelo s vybraným dodavatelem (jiným než v předchozím případě) smlouvu s cenou </w:t>
      </w:r>
      <w:r w:rsidR="003F0D66" w:rsidRPr="003F0D66">
        <w:t>55</w:t>
      </w:r>
      <w:r w:rsidR="003F0D66">
        <w:t> </w:t>
      </w:r>
      <w:r w:rsidR="003F0D66" w:rsidRPr="003F0D66">
        <w:t>706</w:t>
      </w:r>
      <w:r w:rsidR="003F0D66">
        <w:t> </w:t>
      </w:r>
      <w:r w:rsidR="003F0D66" w:rsidRPr="003F0D66">
        <w:t>585 Kč vč. DPH</w:t>
      </w:r>
      <w:r w:rsidR="003F0D66">
        <w:t>.</w:t>
      </w:r>
      <w:r w:rsidR="003F0D66" w:rsidRPr="00527300">
        <w:t xml:space="preserve"> </w:t>
      </w:r>
      <w:r w:rsidR="003F0D66">
        <w:t xml:space="preserve">Tento </w:t>
      </w:r>
      <w:r>
        <w:t>dodavatel uzavřel smlouvu</w:t>
      </w:r>
      <w:r w:rsidRPr="008F0F8D">
        <w:t xml:space="preserve"> </w:t>
      </w:r>
      <w:r>
        <w:t>s</w:t>
      </w:r>
      <w:r w:rsidR="00575F6F">
        <w:t xml:space="preserve"> totožným</w:t>
      </w:r>
      <w:r>
        <w:t xml:space="preserve"> subdodavatelem jako v předchozím případě</w:t>
      </w:r>
      <w:r w:rsidR="003F0D66">
        <w:t xml:space="preserve">, s cenou </w:t>
      </w:r>
      <w:r w:rsidR="003F0D66" w:rsidRPr="003F0D66">
        <w:t>39</w:t>
      </w:r>
      <w:r w:rsidR="003F0D66">
        <w:t> </w:t>
      </w:r>
      <w:r w:rsidR="003F0D66" w:rsidRPr="003F0D66">
        <w:t>971</w:t>
      </w:r>
      <w:r w:rsidR="003F0D66">
        <w:t xml:space="preserve"> </w:t>
      </w:r>
      <w:r w:rsidR="003F0D66" w:rsidRPr="003F0D66">
        <w:t>745</w:t>
      </w:r>
      <w:r w:rsidR="003F0D66">
        <w:t xml:space="preserve"> Kč vč.</w:t>
      </w:r>
      <w:r w:rsidR="00020587">
        <w:t> </w:t>
      </w:r>
      <w:r w:rsidR="003F0D66">
        <w:t>DPH</w:t>
      </w:r>
      <w:r>
        <w:t>.</w:t>
      </w:r>
      <w:r w:rsidRPr="008F0F8D">
        <w:t xml:space="preserve"> </w:t>
      </w:r>
      <w:r w:rsidR="003F0D66">
        <w:t>Jejím p</w:t>
      </w:r>
      <w:r>
        <w:t xml:space="preserve">ředmětem bylo poskytování služeb TDI ve stejném rozsahu stanoveném ve smlouvě, kterou uzavřelo ŘSD s dodavatelem, s výjimkou </w:t>
      </w:r>
      <w:r w:rsidRPr="008F0F8D">
        <w:t>právních služeb a</w:t>
      </w:r>
      <w:r w:rsidR="00C47FB0">
        <w:t> </w:t>
      </w:r>
      <w:r w:rsidRPr="008F0F8D">
        <w:t xml:space="preserve">pozic </w:t>
      </w:r>
      <w:r>
        <w:t>a</w:t>
      </w:r>
      <w:r w:rsidRPr="008F0F8D">
        <w:t xml:space="preserve">sistent specialista geotechnika, </w:t>
      </w:r>
      <w:r>
        <w:t>a</w:t>
      </w:r>
      <w:r w:rsidRPr="008F0F8D">
        <w:t xml:space="preserve">sistent specialista ekodozor a expertů posuzujících projektovou </w:t>
      </w:r>
      <w:r w:rsidRPr="00011DEA">
        <w:lastRenderedPageBreak/>
        <w:t>dokumentaci</w:t>
      </w:r>
      <w:r w:rsidR="002B67B3" w:rsidRPr="00011DEA">
        <w:t>, které dohromady činily 11,3 % objemu prací, podíl činností subdodavatele představoval 88,7 %.</w:t>
      </w:r>
      <w:r w:rsidRPr="00011DEA">
        <w:t xml:space="preserve"> Cena za dílo byla ve smlouvě se subdodavatelem o</w:t>
      </w:r>
      <w:r w:rsidR="00C47FB0">
        <w:t> </w:t>
      </w:r>
      <w:r w:rsidR="00E0635D" w:rsidRPr="00011DEA">
        <w:t>9</w:t>
      </w:r>
      <w:r w:rsidR="00C47FB0">
        <w:t> </w:t>
      </w:r>
      <w:r w:rsidR="00E0635D" w:rsidRPr="00011DEA">
        <w:t>422</w:t>
      </w:r>
      <w:r w:rsidR="00C47FB0">
        <w:t> </w:t>
      </w:r>
      <w:r w:rsidR="00E0635D" w:rsidRPr="00011DEA">
        <w:t>028</w:t>
      </w:r>
      <w:r w:rsidR="00C47FB0">
        <w:t> </w:t>
      </w:r>
      <w:r w:rsidRPr="00011DEA">
        <w:t>Kč vč.</w:t>
      </w:r>
      <w:r w:rsidR="00C47FB0">
        <w:t> </w:t>
      </w:r>
      <w:r w:rsidRPr="00011DEA">
        <w:t>DPH</w:t>
      </w:r>
      <w:r w:rsidRPr="008F0F8D">
        <w:t xml:space="preserve"> nižší </w:t>
      </w:r>
      <w:r>
        <w:t>oproti smlouvě, kterou ŘSD uzavřelo s vybraným dodavatelem (</w:t>
      </w:r>
      <w:r w:rsidR="00D97F02">
        <w:t xml:space="preserve">rozdíl cen je uveden bez </w:t>
      </w:r>
      <w:r>
        <w:t>započtení výše</w:t>
      </w:r>
      <w:r w:rsidR="004D46DC">
        <w:t xml:space="preserve"> uvedených služeb a pozic</w:t>
      </w:r>
      <w:r w:rsidR="00D97F02">
        <w:t>, aby bylo možné smlouvy porovnat</w:t>
      </w:r>
      <w:r>
        <w:t>)</w:t>
      </w:r>
      <w:r w:rsidRPr="008F0F8D">
        <w:t>.</w:t>
      </w:r>
      <w:r w:rsidR="00E0635D">
        <w:t xml:space="preserve"> </w:t>
      </w:r>
    </w:p>
    <w:p w14:paraId="55CE583E" w14:textId="77777777" w:rsidR="00231F09" w:rsidRDefault="00231F09" w:rsidP="00731D38">
      <w:pPr>
        <w:rPr>
          <w:b/>
        </w:rPr>
      </w:pPr>
    </w:p>
    <w:p w14:paraId="681C1458" w14:textId="77777777" w:rsidR="00BD1C38" w:rsidRPr="00BD1C38" w:rsidRDefault="002A4F69" w:rsidP="00020587">
      <w:pPr>
        <w:keepNext/>
        <w:jc w:val="left"/>
        <w:rPr>
          <w:b/>
        </w:rPr>
      </w:pPr>
      <w:r>
        <w:rPr>
          <w:b/>
        </w:rPr>
        <w:t>Nárůst nákladů při výstavbě</w:t>
      </w:r>
      <w:r w:rsidR="00571C93">
        <w:rPr>
          <w:b/>
        </w:rPr>
        <w:t xml:space="preserve"> z důvodů chyb projektové dokumentace, kterou ŘSD nereklamovalo</w:t>
      </w:r>
    </w:p>
    <w:p w14:paraId="18455B4C" w14:textId="77777777" w:rsidR="00BD1C38" w:rsidRDefault="00BD1C38" w:rsidP="00231F09">
      <w:pPr>
        <w:keepNext/>
      </w:pPr>
    </w:p>
    <w:p w14:paraId="37CC3898" w14:textId="77777777" w:rsidR="0068788F" w:rsidRPr="004268EA" w:rsidRDefault="002A4F69" w:rsidP="00731D38">
      <w:r w:rsidRPr="004268EA">
        <w:rPr>
          <w:b/>
        </w:rPr>
        <w:t>4.2</w:t>
      </w:r>
      <w:r w:rsidR="00726832">
        <w:rPr>
          <w:b/>
        </w:rPr>
        <w:t>5</w:t>
      </w:r>
      <w:r w:rsidR="00020587">
        <w:rPr>
          <w:b/>
        </w:rPr>
        <w:t xml:space="preserve"> </w:t>
      </w:r>
      <w:r>
        <w:t xml:space="preserve">Při výstavbě úseků </w:t>
      </w:r>
      <w:r w:rsidRPr="0029287A">
        <w:rPr>
          <w:i/>
        </w:rPr>
        <w:t>D35 Opatovice – Časy</w:t>
      </w:r>
      <w:r>
        <w:t xml:space="preserve"> a </w:t>
      </w:r>
      <w:r w:rsidRPr="0029287A">
        <w:rPr>
          <w:i/>
        </w:rPr>
        <w:t>D35 Časy – Ostrov</w:t>
      </w:r>
      <w:r>
        <w:t xml:space="preserve"> došlo k nárůstu nákladů z důvodu </w:t>
      </w:r>
      <w:r w:rsidR="00FB664C">
        <w:t>schvalování</w:t>
      </w:r>
      <w:r>
        <w:t xml:space="preserve"> změn během výstavby</w:t>
      </w:r>
      <w:r w:rsidR="004F0DA5">
        <w:t xml:space="preserve"> (dále také „ZBV“)</w:t>
      </w:r>
      <w:r>
        <w:t xml:space="preserve">. </w:t>
      </w:r>
    </w:p>
    <w:p w14:paraId="30A3EBB9" w14:textId="77777777" w:rsidR="0068788F" w:rsidRDefault="0068788F" w:rsidP="00731D38"/>
    <w:p w14:paraId="1B96DD25" w14:textId="77777777" w:rsidR="004268EA" w:rsidRDefault="002A4F69" w:rsidP="00731D38">
      <w:r w:rsidRPr="004268EA">
        <w:rPr>
          <w:b/>
        </w:rPr>
        <w:t>4.2</w:t>
      </w:r>
      <w:r w:rsidR="00726832">
        <w:rPr>
          <w:b/>
        </w:rPr>
        <w:t>6</w:t>
      </w:r>
      <w:r>
        <w:t xml:space="preserve"> U stavby</w:t>
      </w:r>
      <w:r w:rsidRPr="004268EA">
        <w:rPr>
          <w:i/>
        </w:rPr>
        <w:t xml:space="preserve"> </w:t>
      </w:r>
      <w:r w:rsidRPr="0029287A">
        <w:rPr>
          <w:i/>
        </w:rPr>
        <w:t>D35 Opatovice – Časy</w:t>
      </w:r>
      <w:r>
        <w:t xml:space="preserve"> </w:t>
      </w:r>
      <w:r w:rsidR="00FB664C">
        <w:t xml:space="preserve">činila smluvní cena za realizaci stavby </w:t>
      </w:r>
      <w:r w:rsidR="00FB664C" w:rsidRPr="00FB664C">
        <w:t>3</w:t>
      </w:r>
      <w:r w:rsidR="00FB664C">
        <w:t> </w:t>
      </w:r>
      <w:r w:rsidR="00FB664C" w:rsidRPr="00FB664C">
        <w:t>388</w:t>
      </w:r>
      <w:r w:rsidR="00FB664C">
        <w:t> </w:t>
      </w:r>
      <w:r w:rsidR="00FB664C" w:rsidRPr="00FB664C">
        <w:t>663</w:t>
      </w:r>
      <w:r w:rsidR="00FB664C">
        <w:t> </w:t>
      </w:r>
      <w:r w:rsidR="00FB664C" w:rsidRPr="00FB664C">
        <w:t>110 Kč bez DPH (4 100 282 363 Kč vč. DPH)</w:t>
      </w:r>
      <w:r w:rsidR="00FB664C">
        <w:t xml:space="preserve">. ŘSD </w:t>
      </w:r>
      <w:r>
        <w:t xml:space="preserve">schválilo </w:t>
      </w:r>
      <w:r w:rsidRPr="004268EA">
        <w:t xml:space="preserve">v průběhu výstavby od </w:t>
      </w:r>
      <w:r w:rsidR="00FB664C">
        <w:t xml:space="preserve">května </w:t>
      </w:r>
      <w:r w:rsidRPr="004268EA">
        <w:t xml:space="preserve">2019 do </w:t>
      </w:r>
      <w:r w:rsidR="00FB664C">
        <w:t xml:space="preserve">doby kontroly (do listopadu </w:t>
      </w:r>
      <w:r w:rsidRPr="004268EA">
        <w:t>2022</w:t>
      </w:r>
      <w:r w:rsidR="00FB664C">
        <w:t>)</w:t>
      </w:r>
      <w:r w:rsidRPr="004268EA">
        <w:t xml:space="preserve"> 174 změn během výstavby</w:t>
      </w:r>
      <w:r w:rsidR="00FB664C">
        <w:t xml:space="preserve"> </w:t>
      </w:r>
      <w:r w:rsidR="00FB664C" w:rsidRPr="00FB664C">
        <w:t>v celkové výši 366</w:t>
      </w:r>
      <w:r w:rsidR="00FB664C">
        <w:t> </w:t>
      </w:r>
      <w:r w:rsidR="00FB664C" w:rsidRPr="00FB664C">
        <w:t>238</w:t>
      </w:r>
      <w:r w:rsidR="00FB664C">
        <w:t> </w:t>
      </w:r>
      <w:r w:rsidR="00FB664C" w:rsidRPr="00FB664C">
        <w:t>03</w:t>
      </w:r>
      <w:r w:rsidR="00EB6981">
        <w:t>4</w:t>
      </w:r>
      <w:r w:rsidR="00FB664C" w:rsidRPr="00FB664C">
        <w:t xml:space="preserve"> Kč bez DPH</w:t>
      </w:r>
      <w:r>
        <w:rPr>
          <w:rStyle w:val="Znakapoznpodarou"/>
        </w:rPr>
        <w:footnoteReference w:id="25"/>
      </w:r>
      <w:r w:rsidR="00FB664C">
        <w:t>, smluvní cena tak vzrostla o 1</w:t>
      </w:r>
      <w:r w:rsidR="00EB6981">
        <w:t>1</w:t>
      </w:r>
      <w:r w:rsidR="00FB664C">
        <w:t xml:space="preserve"> % na </w:t>
      </w:r>
      <w:r w:rsidR="00FB664C" w:rsidRPr="00FB664C">
        <w:t>3 754 901 14</w:t>
      </w:r>
      <w:r w:rsidR="00EB6981">
        <w:t>4</w:t>
      </w:r>
      <w:r w:rsidR="00FB664C" w:rsidRPr="00FB664C">
        <w:t xml:space="preserve"> Kč bez DPH</w:t>
      </w:r>
      <w:r w:rsidR="00FB664C">
        <w:t xml:space="preserve"> (</w:t>
      </w:r>
      <w:r w:rsidR="00FB664C" w:rsidRPr="00FB664C">
        <w:t>4</w:t>
      </w:r>
      <w:r w:rsidR="00FB664C">
        <w:t> </w:t>
      </w:r>
      <w:r w:rsidR="00FB664C" w:rsidRPr="00FB664C">
        <w:t>543</w:t>
      </w:r>
      <w:r w:rsidR="00FB664C">
        <w:t> </w:t>
      </w:r>
      <w:r w:rsidR="00FB664C" w:rsidRPr="00FB664C">
        <w:t>430</w:t>
      </w:r>
      <w:r w:rsidR="00FB664C">
        <w:t xml:space="preserve"> </w:t>
      </w:r>
      <w:r w:rsidR="00FB664C" w:rsidRPr="00FB664C">
        <w:t>38</w:t>
      </w:r>
      <w:r w:rsidR="00EB6981">
        <w:t>4</w:t>
      </w:r>
      <w:r w:rsidR="00FB664C">
        <w:t xml:space="preserve"> Kč vč.</w:t>
      </w:r>
      <w:r w:rsidR="00020587">
        <w:t> </w:t>
      </w:r>
      <w:r w:rsidR="00FB664C">
        <w:t>DPH)</w:t>
      </w:r>
      <w:r w:rsidR="00FB664C" w:rsidRPr="00FB664C">
        <w:t>.</w:t>
      </w:r>
    </w:p>
    <w:p w14:paraId="05AE8C1E" w14:textId="77777777" w:rsidR="004268EA" w:rsidRDefault="004268EA" w:rsidP="00731D38"/>
    <w:p w14:paraId="14420CCE" w14:textId="77777777" w:rsidR="004F0DA5" w:rsidRDefault="002A4F69" w:rsidP="00731D38">
      <w:r w:rsidRPr="00FC2E84">
        <w:rPr>
          <w:b/>
        </w:rPr>
        <w:t>4.</w:t>
      </w:r>
      <w:r w:rsidR="00850218">
        <w:rPr>
          <w:b/>
        </w:rPr>
        <w:t>2</w:t>
      </w:r>
      <w:r w:rsidR="00726832">
        <w:rPr>
          <w:b/>
        </w:rPr>
        <w:t>7</w:t>
      </w:r>
      <w:r>
        <w:t xml:space="preserve"> Kontrolou změn během výstavby bylo zjištěno 12 ZBV </w:t>
      </w:r>
      <w:r w:rsidR="001F0CA0">
        <w:t xml:space="preserve">v celkové hodnotě </w:t>
      </w:r>
      <w:r w:rsidR="001F0CA0" w:rsidRPr="001F0CA0">
        <w:t>126 717 950</w:t>
      </w:r>
      <w:r w:rsidR="001F0CA0">
        <w:t xml:space="preserve"> Kč bez DPH</w:t>
      </w:r>
      <w:r>
        <w:rPr>
          <w:rStyle w:val="Znakapoznpodarou"/>
        </w:rPr>
        <w:footnoteReference w:id="26"/>
      </w:r>
      <w:r w:rsidR="001F0CA0">
        <w:t xml:space="preserve"> </w:t>
      </w:r>
      <w:r>
        <w:t xml:space="preserve">způsobených </w:t>
      </w:r>
      <w:r w:rsidRPr="004F0DA5">
        <w:t xml:space="preserve">chybně zpracovanou projektovou dokumentací pro provádění stavby </w:t>
      </w:r>
      <w:r w:rsidRPr="00011DEA">
        <w:t xml:space="preserve">(dále </w:t>
      </w:r>
      <w:r w:rsidR="004021EC" w:rsidRPr="00011DEA">
        <w:t>jen</w:t>
      </w:r>
      <w:r w:rsidRPr="00011DEA">
        <w:t xml:space="preserve"> „PDPS“).</w:t>
      </w:r>
      <w:r w:rsidR="00FB650E" w:rsidRPr="00011DEA">
        <w:t xml:space="preserve"> </w:t>
      </w:r>
      <w:r w:rsidR="007870CC" w:rsidRPr="00011DEA">
        <w:t xml:space="preserve">ŘSD </w:t>
      </w:r>
      <w:r w:rsidR="00B23356" w:rsidRPr="00011DEA">
        <w:t>tuto</w:t>
      </w:r>
      <w:r w:rsidR="007870CC" w:rsidRPr="00011DEA">
        <w:t xml:space="preserve"> PDPS u dodavatele nereklamovalo</w:t>
      </w:r>
      <w:r w:rsidR="00B23356" w:rsidRPr="00011DEA">
        <w:t xml:space="preserve"> s odůvodněním, že dodavatel průběžně chyby opravoval a spolupracoval na jejich nápravě.</w:t>
      </w:r>
    </w:p>
    <w:p w14:paraId="44F1ED43" w14:textId="77777777" w:rsidR="004F0DA5" w:rsidRDefault="004F0DA5" w:rsidP="00731D38"/>
    <w:p w14:paraId="1028068C" w14:textId="77777777" w:rsidR="008762B2" w:rsidRPr="007E2D8F" w:rsidRDefault="002A4F69" w:rsidP="00571C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b/>
        </w:rPr>
      </w:pPr>
      <w:r w:rsidRPr="007E2D8F">
        <w:rPr>
          <w:b/>
        </w:rPr>
        <w:t>Příklad:</w:t>
      </w:r>
    </w:p>
    <w:p w14:paraId="6A8FEF37" w14:textId="77777777" w:rsidR="003745FF" w:rsidRDefault="002A4F69" w:rsidP="006F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DC30A6">
        <w:t>Geotechnický průzkum</w:t>
      </w:r>
      <w:r>
        <w:t xml:space="preserve"> zpracovaný pro stavbu </w:t>
      </w:r>
      <w:r w:rsidRPr="00DC30A6">
        <w:rPr>
          <w:b/>
          <w:i/>
        </w:rPr>
        <w:t>D35 Opatovice – Časy</w:t>
      </w:r>
      <w:r>
        <w:t xml:space="preserve"> za účelem </w:t>
      </w:r>
      <w:r w:rsidRPr="00DC30A6">
        <w:t>získání a</w:t>
      </w:r>
      <w:r w:rsidR="00020587">
        <w:t> </w:t>
      </w:r>
      <w:r w:rsidRPr="00DC30A6">
        <w:t xml:space="preserve">ověření znalostí o geologických poměrech v trase dálnice D35 </w:t>
      </w:r>
      <w:r>
        <w:t>měl sloužit jako podklad</w:t>
      </w:r>
      <w:r w:rsidRPr="00DC30A6">
        <w:t xml:space="preserve"> pro PDPS</w:t>
      </w:r>
      <w:r>
        <w:t xml:space="preserve">. Jeho zpracovatel </w:t>
      </w:r>
      <w:r w:rsidRPr="00DC30A6">
        <w:t>upozornil na úseky, které bylo nutné</w:t>
      </w:r>
      <w:r>
        <w:t xml:space="preserve"> v PDPS</w:t>
      </w:r>
      <w:r w:rsidRPr="00DC30A6">
        <w:t xml:space="preserve"> řešit s ohledem na hladinu spodní vody zasahující do stavebních konstrukcí a geomechanických vlastností zemin, které z</w:t>
      </w:r>
      <w:r>
        <w:t> </w:t>
      </w:r>
      <w:r w:rsidRPr="00DC30A6">
        <w:t>přítomnosti hladiny podzemní vody vyplývají</w:t>
      </w:r>
      <w:r>
        <w:t>.</w:t>
      </w:r>
      <w:r w:rsidR="003D51A6">
        <w:t xml:space="preserve"> </w:t>
      </w:r>
    </w:p>
    <w:p w14:paraId="2ED90053" w14:textId="77777777" w:rsidR="00DC30A6" w:rsidRDefault="002A4F69" w:rsidP="006F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Například v úseku </w:t>
      </w:r>
      <w:r w:rsidRPr="00DC30A6">
        <w:t>km cca 9,500–10,100</w:t>
      </w:r>
      <w:r>
        <w:t xml:space="preserve"> (</w:t>
      </w:r>
      <w:r w:rsidRPr="007E2D8F">
        <w:rPr>
          <w:i/>
        </w:rPr>
        <w:t>zářez Z3</w:t>
      </w:r>
      <w:r>
        <w:t>) z průzkumu vyplynulo, že „</w:t>
      </w:r>
      <w:r w:rsidRPr="00DC30A6">
        <w:rPr>
          <w:i/>
        </w:rPr>
        <w:t>hladina podzemní vody se nachází až 4 m nad úrovní nivelety v zářezu</w:t>
      </w:r>
      <w:r>
        <w:t>“</w:t>
      </w:r>
      <w:r w:rsidRPr="00DC30A6">
        <w:t>.</w:t>
      </w:r>
      <w:r w:rsidR="007E2D8F">
        <w:t xml:space="preserve"> V </w:t>
      </w:r>
      <w:r w:rsidR="007E2D8F" w:rsidRPr="007E2D8F">
        <w:t xml:space="preserve">km cca 11,950 </w:t>
      </w:r>
      <w:r w:rsidR="007E2D8F">
        <w:t>(</w:t>
      </w:r>
      <w:r w:rsidR="007E2D8F" w:rsidRPr="007E2D8F">
        <w:rPr>
          <w:i/>
        </w:rPr>
        <w:t>MÚK Rokytno, větev A i B, kruhová křižovatka směr Sezemice</w:t>
      </w:r>
      <w:r w:rsidR="007E2D8F">
        <w:t>) průzkum zjistil</w:t>
      </w:r>
      <w:r w:rsidR="007E2D8F" w:rsidRPr="007E2D8F">
        <w:t xml:space="preserve"> </w:t>
      </w:r>
      <w:r w:rsidR="007E2D8F">
        <w:t>„</w:t>
      </w:r>
      <w:r w:rsidR="007E2D8F" w:rsidRPr="007E2D8F">
        <w:rPr>
          <w:i/>
        </w:rPr>
        <w:t>silně podmáčené území i po méně vydatných deštích. Hladina podzemní vody cca 0,4 m pod terénem</w:t>
      </w:r>
      <w:r w:rsidR="007E2D8F" w:rsidRPr="007E2D8F">
        <w:t>.</w:t>
      </w:r>
      <w:r w:rsidR="007E2D8F">
        <w:t xml:space="preserve">“ A v km </w:t>
      </w:r>
      <w:r w:rsidR="007E2D8F" w:rsidRPr="007E2D8F">
        <w:t xml:space="preserve">cca 16,500–16,650 </w:t>
      </w:r>
      <w:r w:rsidR="007E2D8F">
        <w:t>(</w:t>
      </w:r>
      <w:r w:rsidR="007E2D8F" w:rsidRPr="003D51A6">
        <w:rPr>
          <w:i/>
        </w:rPr>
        <w:t>MÚK Časy</w:t>
      </w:r>
      <w:r w:rsidR="007E2D8F">
        <w:t>) průzkum konstatoval: „</w:t>
      </w:r>
      <w:r w:rsidR="000A05E9">
        <w:rPr>
          <w:i/>
        </w:rPr>
        <w:t>J</w:t>
      </w:r>
      <w:r w:rsidR="007E2D8F" w:rsidRPr="007E2D8F">
        <w:rPr>
          <w:i/>
        </w:rPr>
        <w:t>edná se o silně podmáčené území, i po méně vydatných deštích</w:t>
      </w:r>
      <w:r w:rsidR="007E2D8F">
        <w:t>“</w:t>
      </w:r>
      <w:r w:rsidR="007E2D8F" w:rsidRPr="007E2D8F">
        <w:t>.</w:t>
      </w:r>
    </w:p>
    <w:p w14:paraId="55EE46D8" w14:textId="77777777" w:rsidR="00DC30A6" w:rsidRDefault="002A4F69" w:rsidP="006F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>Z</w:t>
      </w:r>
      <w:r w:rsidRPr="003D51A6">
        <w:t xml:space="preserve">jištěné geotechnické a hydrogeologické poměry </w:t>
      </w:r>
      <w:r>
        <w:t xml:space="preserve">nebyly </w:t>
      </w:r>
      <w:r w:rsidRPr="003D51A6">
        <w:t>dostatečně zapracovány do PDPS</w:t>
      </w:r>
      <w:r>
        <w:t>, neboť během realizace stavby ŘSD schválilo níže uvedené ZBV:</w:t>
      </w:r>
    </w:p>
    <w:p w14:paraId="3120AC61" w14:textId="77777777" w:rsidR="003D51A6" w:rsidRDefault="002A4F69" w:rsidP="006F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3D51A6">
        <w:rPr>
          <w:b/>
        </w:rPr>
        <w:t>ZBV č. 109</w:t>
      </w:r>
      <w:r>
        <w:t xml:space="preserve"> </w:t>
      </w:r>
      <w:r w:rsidR="006F6D73">
        <w:t>V</w:t>
      </w:r>
      <w:r>
        <w:t> odůvodnění změny bylo mj. uvedeno, že v km 9,480–10,050 v </w:t>
      </w:r>
      <w:r w:rsidRPr="003D51A6">
        <w:rPr>
          <w:i/>
        </w:rPr>
        <w:t>zářezu Z3</w:t>
      </w:r>
      <w:r>
        <w:t xml:space="preserve"> byly zhotovitelem zastiženy špatné geotechnické a hydrogeologické poměry, které spočívaly v</w:t>
      </w:r>
      <w:r w:rsidR="006F6D73">
        <w:t> </w:t>
      </w:r>
      <w:r>
        <w:t>četných vývěrech podzemní vody.</w:t>
      </w:r>
      <w:r w:rsidR="006F6D73">
        <w:t xml:space="preserve"> V</w:t>
      </w:r>
      <w:r w:rsidR="006F6D73" w:rsidRPr="006F6D73">
        <w:t>ícepráce</w:t>
      </w:r>
      <w:r w:rsidR="006F6D73">
        <w:t xml:space="preserve"> činily </w:t>
      </w:r>
      <w:r w:rsidR="006F6D73" w:rsidRPr="006F6D73">
        <w:t>6 661 31</w:t>
      </w:r>
      <w:r w:rsidR="004021EC">
        <w:t>3</w:t>
      </w:r>
      <w:r w:rsidR="006F6D73" w:rsidRPr="006F6D73">
        <w:t xml:space="preserve"> Kč bez DPH,</w:t>
      </w:r>
      <w:r w:rsidR="006F6D73">
        <w:t xml:space="preserve"> </w:t>
      </w:r>
      <w:proofErr w:type="spellStart"/>
      <w:r w:rsidR="006F6D73" w:rsidRPr="006F6D73">
        <w:t>méněpráce</w:t>
      </w:r>
      <w:proofErr w:type="spellEnd"/>
      <w:r w:rsidR="006F6D73">
        <w:t xml:space="preserve"> </w:t>
      </w:r>
      <w:r w:rsidR="000A05E9">
        <w:rPr>
          <w:rFonts w:cs="Calibri"/>
        </w:rPr>
        <w:t>−</w:t>
      </w:r>
      <w:r w:rsidR="006F6D73" w:rsidRPr="006F6D73">
        <w:t>458</w:t>
      </w:r>
      <w:r w:rsidR="006F6D73">
        <w:t> </w:t>
      </w:r>
      <w:r w:rsidR="006F6D73" w:rsidRPr="006F6D73">
        <w:t>40</w:t>
      </w:r>
      <w:r w:rsidR="004021EC">
        <w:t>5</w:t>
      </w:r>
      <w:r w:rsidR="006F6D73" w:rsidRPr="006F6D73">
        <w:t xml:space="preserve"> Kč bez DPH</w:t>
      </w:r>
      <w:r w:rsidR="006F6D73">
        <w:t>.</w:t>
      </w:r>
    </w:p>
    <w:p w14:paraId="4D81CBE5" w14:textId="77777777" w:rsidR="00DC30A6" w:rsidRDefault="002A4F69" w:rsidP="006F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6F6D73">
        <w:rPr>
          <w:b/>
        </w:rPr>
        <w:t>ZBV č. 121</w:t>
      </w:r>
      <w:r>
        <w:t xml:space="preserve"> V odůvodnění změny bylo mj. uvedeno, že </w:t>
      </w:r>
      <w:r w:rsidRPr="006F6D73">
        <w:t>v km cca 11,760–12,073 byla zastižena vysoká hladina podzemní vody</w:t>
      </w:r>
      <w:r>
        <w:t xml:space="preserve"> a nevyhovující podloží</w:t>
      </w:r>
      <w:r w:rsidRPr="006F6D73">
        <w:t xml:space="preserve">. </w:t>
      </w:r>
      <w:r>
        <w:t>Jednalo se o místo, v němž je v</w:t>
      </w:r>
      <w:r w:rsidR="000016B8">
        <w:t> </w:t>
      </w:r>
      <w:r>
        <w:t>km</w:t>
      </w:r>
      <w:r w:rsidR="000016B8">
        <w:t> </w:t>
      </w:r>
      <w:r>
        <w:t>11,9</w:t>
      </w:r>
      <w:r w:rsidR="00020587">
        <w:t> </w:t>
      </w:r>
      <w:r>
        <w:t xml:space="preserve">situována </w:t>
      </w:r>
      <w:r w:rsidRPr="006F6D73">
        <w:t>MÚK Rokytno</w:t>
      </w:r>
      <w:r>
        <w:t xml:space="preserve">. Vícepráce činily </w:t>
      </w:r>
      <w:r w:rsidRPr="006F6D73">
        <w:t>8 693 78</w:t>
      </w:r>
      <w:r w:rsidR="004021EC">
        <w:t>6</w:t>
      </w:r>
      <w:r>
        <w:t xml:space="preserve"> Kč bez DPH.</w:t>
      </w:r>
    </w:p>
    <w:p w14:paraId="0777F50C" w14:textId="77777777" w:rsidR="003D51A6" w:rsidRDefault="002A4F69" w:rsidP="006F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 w:rsidRPr="006F6D73">
        <w:rPr>
          <w:b/>
        </w:rPr>
        <w:lastRenderedPageBreak/>
        <w:t>ZBV č. 123</w:t>
      </w:r>
      <w:r>
        <w:t xml:space="preserve"> V odůvodnění změny bylo mj. uvedeno, že v km 16,5 kde je situována MÚK Časy bylo po sejmutí ornice zjištěno nevyhovující podloží, musely být provedeny jeho sanační úpravy. Vícepráce činily </w:t>
      </w:r>
      <w:r w:rsidRPr="006F6D73">
        <w:t>4 985 872</w:t>
      </w:r>
      <w:r>
        <w:t xml:space="preserve"> Kč bez DPH, </w:t>
      </w:r>
      <w:proofErr w:type="spellStart"/>
      <w:r>
        <w:t>méněpráce</w:t>
      </w:r>
      <w:proofErr w:type="spellEnd"/>
      <w:r>
        <w:t xml:space="preserve"> </w:t>
      </w:r>
      <w:r w:rsidR="000A05E9">
        <w:rPr>
          <w:rFonts w:cs="Calibri"/>
        </w:rPr>
        <w:t>−</w:t>
      </w:r>
      <w:r w:rsidRPr="006F6D73">
        <w:t>427 45</w:t>
      </w:r>
      <w:r w:rsidR="004021EC">
        <w:t>4</w:t>
      </w:r>
      <w:r>
        <w:t xml:space="preserve"> Kč bez DPH.</w:t>
      </w:r>
    </w:p>
    <w:p w14:paraId="20009392" w14:textId="77777777" w:rsidR="004F0DA5" w:rsidRDefault="002A4F69" w:rsidP="00CD3F33">
      <w:pPr>
        <w:spacing w:before="240"/>
      </w:pPr>
      <w:r w:rsidRPr="00FB650E">
        <w:rPr>
          <w:b/>
        </w:rPr>
        <w:t>4.</w:t>
      </w:r>
      <w:r w:rsidR="0086547D">
        <w:rPr>
          <w:b/>
        </w:rPr>
        <w:t>2</w:t>
      </w:r>
      <w:r w:rsidR="00726832">
        <w:rPr>
          <w:b/>
        </w:rPr>
        <w:t>8</w:t>
      </w:r>
      <w:r>
        <w:t> U stavby</w:t>
      </w:r>
      <w:r w:rsidRPr="004268EA">
        <w:rPr>
          <w:i/>
        </w:rPr>
        <w:t xml:space="preserve"> </w:t>
      </w:r>
      <w:r w:rsidRPr="0029287A">
        <w:rPr>
          <w:i/>
        </w:rPr>
        <w:t xml:space="preserve">D35 </w:t>
      </w:r>
      <w:r w:rsidRPr="008F0F8D">
        <w:rPr>
          <w:i/>
        </w:rPr>
        <w:t>Časy – Ostrov</w:t>
      </w:r>
      <w:r>
        <w:t xml:space="preserve"> činila</w:t>
      </w:r>
      <w:r w:rsidR="00A9539A">
        <w:t xml:space="preserve"> </w:t>
      </w:r>
      <w:r w:rsidR="005830D3" w:rsidRPr="005830D3">
        <w:t>smluvní cena za realizaci stavby</w:t>
      </w:r>
      <w:r w:rsidR="005830D3">
        <w:t xml:space="preserve"> </w:t>
      </w:r>
      <w:r w:rsidR="005830D3" w:rsidRPr="005830D3">
        <w:t>3 231 976 234 Kč bez DPH (3 910 691 24</w:t>
      </w:r>
      <w:r w:rsidR="004021EC">
        <w:t>4</w:t>
      </w:r>
      <w:r w:rsidR="005830D3" w:rsidRPr="005830D3">
        <w:t xml:space="preserve"> Kč včetně DPH)</w:t>
      </w:r>
      <w:r w:rsidR="005830D3">
        <w:t>. V</w:t>
      </w:r>
      <w:r w:rsidR="005830D3" w:rsidRPr="005830D3">
        <w:t xml:space="preserve"> průběhu výstavby od </w:t>
      </w:r>
      <w:r w:rsidR="005830D3">
        <w:t>listopadu</w:t>
      </w:r>
      <w:r w:rsidR="005830D3" w:rsidRPr="005830D3">
        <w:t xml:space="preserve"> 201</w:t>
      </w:r>
      <w:r w:rsidR="005830D3">
        <w:t>8</w:t>
      </w:r>
      <w:r w:rsidR="005830D3" w:rsidRPr="005830D3">
        <w:t xml:space="preserve"> do doby kontroly (do listopadu 2022)</w:t>
      </w:r>
      <w:r w:rsidR="005830D3">
        <w:t xml:space="preserve"> schválilo ŘSD </w:t>
      </w:r>
      <w:r w:rsidR="005830D3" w:rsidRPr="005830D3">
        <w:t xml:space="preserve">203 </w:t>
      </w:r>
      <w:r w:rsidR="005830D3">
        <w:t xml:space="preserve">změn během výstavby v celkové výši </w:t>
      </w:r>
      <w:r w:rsidR="005830D3" w:rsidRPr="005830D3">
        <w:t>643</w:t>
      </w:r>
      <w:r w:rsidR="005830D3">
        <w:t> </w:t>
      </w:r>
      <w:r w:rsidR="005830D3" w:rsidRPr="005830D3">
        <w:t>579</w:t>
      </w:r>
      <w:r w:rsidR="005830D3">
        <w:t> </w:t>
      </w:r>
      <w:r w:rsidR="005830D3" w:rsidRPr="005830D3">
        <w:t>134</w:t>
      </w:r>
      <w:r w:rsidR="005830D3">
        <w:t xml:space="preserve"> Kč bez DPH</w:t>
      </w:r>
      <w:r>
        <w:rPr>
          <w:rStyle w:val="Znakapoznpodarou"/>
        </w:rPr>
        <w:footnoteReference w:id="27"/>
      </w:r>
      <w:r w:rsidR="005830D3">
        <w:t xml:space="preserve">, </w:t>
      </w:r>
      <w:r w:rsidR="005830D3" w:rsidRPr="005830D3">
        <w:t>smluvní cena vzrostla o</w:t>
      </w:r>
      <w:r w:rsidR="005830D3">
        <w:t xml:space="preserve"> </w:t>
      </w:r>
      <w:r w:rsidR="004021EC">
        <w:t>20</w:t>
      </w:r>
      <w:r w:rsidR="005830D3" w:rsidRPr="005830D3">
        <w:t xml:space="preserve"> %</w:t>
      </w:r>
      <w:r w:rsidR="005830D3">
        <w:t xml:space="preserve"> na </w:t>
      </w:r>
      <w:r w:rsidR="005830D3" w:rsidRPr="005830D3">
        <w:t>3 875 555 36</w:t>
      </w:r>
      <w:r w:rsidR="004021EC">
        <w:t>9</w:t>
      </w:r>
      <w:r w:rsidR="005830D3" w:rsidRPr="005830D3">
        <w:t xml:space="preserve"> Kč bez DPH</w:t>
      </w:r>
      <w:r w:rsidR="005830D3">
        <w:t xml:space="preserve"> (</w:t>
      </w:r>
      <w:r w:rsidR="005830D3" w:rsidRPr="005830D3">
        <w:t>4</w:t>
      </w:r>
      <w:r w:rsidR="005830D3">
        <w:t> </w:t>
      </w:r>
      <w:r w:rsidR="005830D3" w:rsidRPr="005830D3">
        <w:t>689</w:t>
      </w:r>
      <w:r w:rsidR="005830D3">
        <w:t> </w:t>
      </w:r>
      <w:r w:rsidR="005830D3" w:rsidRPr="005830D3">
        <w:t>421</w:t>
      </w:r>
      <w:r w:rsidR="005830D3">
        <w:t xml:space="preserve"> </w:t>
      </w:r>
      <w:r w:rsidR="005830D3" w:rsidRPr="005830D3">
        <w:t>99</w:t>
      </w:r>
      <w:r w:rsidR="004021EC">
        <w:t>6</w:t>
      </w:r>
      <w:r w:rsidR="005830D3">
        <w:t xml:space="preserve"> Kč vč. DPH).</w:t>
      </w:r>
    </w:p>
    <w:p w14:paraId="512A0315" w14:textId="77777777" w:rsidR="004F0DA5" w:rsidRDefault="004F0DA5" w:rsidP="00731D38"/>
    <w:p w14:paraId="53C51B90" w14:textId="77777777" w:rsidR="008216CA" w:rsidRDefault="002A4F69" w:rsidP="00731D38">
      <w:r w:rsidRPr="00003AED">
        <w:rPr>
          <w:b/>
        </w:rPr>
        <w:t>4.</w:t>
      </w:r>
      <w:r w:rsidR="00726832">
        <w:rPr>
          <w:b/>
        </w:rPr>
        <w:t>29</w:t>
      </w:r>
      <w:r>
        <w:t xml:space="preserve"> Kontrolou změn během výstavby bylo zjištěno </w:t>
      </w:r>
      <w:r w:rsidR="000A05E9">
        <w:t>pět</w:t>
      </w:r>
      <w:r>
        <w:t xml:space="preserve"> ZBV v celkové hodnotě </w:t>
      </w:r>
      <w:r w:rsidR="00C916C8" w:rsidRPr="00C916C8">
        <w:t>93 633 339</w:t>
      </w:r>
      <w:r>
        <w:t xml:space="preserve"> Kč bez DPH</w:t>
      </w:r>
      <w:r>
        <w:rPr>
          <w:rStyle w:val="Znakapoznpodarou"/>
        </w:rPr>
        <w:footnoteReference w:id="28"/>
      </w:r>
      <w:r>
        <w:t xml:space="preserve"> způsobených </w:t>
      </w:r>
      <w:r w:rsidR="00D1535E" w:rsidRPr="00D1535E">
        <w:t xml:space="preserve">chybně zpracovanou </w:t>
      </w:r>
      <w:r w:rsidR="00D1535E">
        <w:t>PDPS</w:t>
      </w:r>
      <w:r w:rsidR="00D1535E" w:rsidRPr="00D1535E">
        <w:t xml:space="preserve"> zejména u </w:t>
      </w:r>
      <w:r w:rsidR="00D1535E">
        <w:t xml:space="preserve">stavebního objektu (dále jen „SO“) </w:t>
      </w:r>
      <w:r w:rsidR="000A05E9">
        <w:t>č. </w:t>
      </w:r>
      <w:r w:rsidR="00D1535E" w:rsidRPr="00D1535E">
        <w:t xml:space="preserve">214 </w:t>
      </w:r>
      <w:r w:rsidR="00D1535E" w:rsidRPr="00D1535E">
        <w:rPr>
          <w:i/>
        </w:rPr>
        <w:t>Most na R35 přes železniční stanici Uhersko v km 28,773</w:t>
      </w:r>
      <w:r w:rsidR="00D1535E" w:rsidRPr="00D1535E">
        <w:t xml:space="preserve"> a s tím související změny na dotčených stavebních objektech, zjištěním odlišných geotechnických a hydrogeologických podmínek na staveništi oproti PDPS a chybně stanovenými kubaturami zemin v rámci PDPS</w:t>
      </w:r>
      <w:r>
        <w:t xml:space="preserve">. </w:t>
      </w:r>
      <w:r w:rsidR="00D231F2">
        <w:t>Obdobně jako v předchozím případě ŘSD sdělilo, že PDPS u dodavatele nereklamovalo.</w:t>
      </w:r>
    </w:p>
    <w:p w14:paraId="4BBF4279" w14:textId="77777777" w:rsidR="00003AED" w:rsidRDefault="00003AED" w:rsidP="00731D38"/>
    <w:p w14:paraId="0365E9A9" w14:textId="77777777" w:rsidR="00105059" w:rsidRPr="00876A43" w:rsidRDefault="002A4F69" w:rsidP="00537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b/>
        </w:rPr>
      </w:pPr>
      <w:r w:rsidRPr="00876A43">
        <w:rPr>
          <w:b/>
        </w:rPr>
        <w:t>Příklad:</w:t>
      </w:r>
    </w:p>
    <w:p w14:paraId="77C1B9BB" w14:textId="77777777" w:rsidR="00175062" w:rsidRDefault="002A4F69" w:rsidP="00537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</w:pPr>
      <w:r>
        <w:t xml:space="preserve">U stavby </w:t>
      </w:r>
      <w:r w:rsidR="00332663" w:rsidRPr="00105059">
        <w:rPr>
          <w:b/>
          <w:i/>
        </w:rPr>
        <w:t>D35 Časy – Ostrov</w:t>
      </w:r>
      <w:r>
        <w:t xml:space="preserve"> bylo během výstavby zjištěno</w:t>
      </w:r>
      <w:r w:rsidR="00315332">
        <w:t>,</w:t>
      </w:r>
      <w:r>
        <w:t xml:space="preserve"> že nelze realizovat </w:t>
      </w:r>
      <w:r w:rsidRPr="00105059">
        <w:rPr>
          <w:i/>
        </w:rPr>
        <w:t xml:space="preserve">SO </w:t>
      </w:r>
      <w:r w:rsidR="000A05E9">
        <w:rPr>
          <w:i/>
        </w:rPr>
        <w:t>č. </w:t>
      </w:r>
      <w:r w:rsidRPr="00105059">
        <w:rPr>
          <w:i/>
        </w:rPr>
        <w:t>214 Most na R35 přes železniční stanici Uhersko v km 28,773</w:t>
      </w:r>
      <w:r>
        <w:t xml:space="preserve"> z důvodu několika kolizních bodů tohoto objektu a vedení přeložek sítí, trakční brány, trakčního stožáru, osvětlovacího stožáru, stávající silnice a novým plynovým vedením. Vícepráce spojené se schválenou ZBV č. 144 činily </w:t>
      </w:r>
      <w:r w:rsidRPr="00105059">
        <w:t>85</w:t>
      </w:r>
      <w:r w:rsidR="004021EC">
        <w:t> </w:t>
      </w:r>
      <w:r w:rsidRPr="00105059">
        <w:t>592</w:t>
      </w:r>
      <w:r w:rsidR="004021EC">
        <w:t> </w:t>
      </w:r>
      <w:r w:rsidRPr="00105059">
        <w:t>79</w:t>
      </w:r>
      <w:r w:rsidR="004021EC">
        <w:t>3</w:t>
      </w:r>
      <w:r>
        <w:t xml:space="preserve"> Kč bez DPH a </w:t>
      </w:r>
      <w:proofErr w:type="spellStart"/>
      <w:r>
        <w:t>méněpráce</w:t>
      </w:r>
      <w:proofErr w:type="spellEnd"/>
      <w:r>
        <w:t xml:space="preserve"> </w:t>
      </w:r>
      <w:r w:rsidR="000A05E9">
        <w:rPr>
          <w:rFonts w:cs="Calibri"/>
        </w:rPr>
        <w:t>−</w:t>
      </w:r>
      <w:r w:rsidRPr="00105059">
        <w:t>49 023 35</w:t>
      </w:r>
      <w:r w:rsidR="004021EC">
        <w:t>4</w:t>
      </w:r>
      <w:r>
        <w:t xml:space="preserve"> Kč bez DPH.</w:t>
      </w:r>
    </w:p>
    <w:p w14:paraId="5DFF23C2" w14:textId="77777777" w:rsidR="004431E2" w:rsidRDefault="004431E2" w:rsidP="00731D38"/>
    <w:p w14:paraId="200BA7D0" w14:textId="77777777" w:rsidR="004A4C71" w:rsidRDefault="002A4F69" w:rsidP="000016B8">
      <w:pPr>
        <w:keepNext/>
        <w:jc w:val="left"/>
        <w:rPr>
          <w:b/>
        </w:rPr>
      </w:pPr>
      <w:r w:rsidRPr="00011DEA">
        <w:rPr>
          <w:b/>
        </w:rPr>
        <w:t xml:space="preserve">Projekt partnerství veřejného a soukromého sektoru </w:t>
      </w:r>
      <w:r w:rsidR="00DA0C5B" w:rsidRPr="00011DEA">
        <w:rPr>
          <w:b/>
        </w:rPr>
        <w:t>se</w:t>
      </w:r>
      <w:r w:rsidR="002513EB" w:rsidRPr="00011DEA">
        <w:rPr>
          <w:b/>
        </w:rPr>
        <w:t xml:space="preserve"> oproti předpokladům MD</w:t>
      </w:r>
      <w:r w:rsidR="00DA0C5B" w:rsidRPr="00011DEA">
        <w:rPr>
          <w:b/>
        </w:rPr>
        <w:t xml:space="preserve"> opožďuje</w:t>
      </w:r>
    </w:p>
    <w:p w14:paraId="7A31A456" w14:textId="77777777" w:rsidR="001E4CCC" w:rsidRDefault="001E4CCC" w:rsidP="00DA0C5B">
      <w:pPr>
        <w:keepNext/>
      </w:pPr>
    </w:p>
    <w:p w14:paraId="5D7A65E9" w14:textId="77777777" w:rsidR="00E876CE" w:rsidRDefault="002A4F69" w:rsidP="00731D38">
      <w:r w:rsidRPr="00086DCC">
        <w:rPr>
          <w:b/>
        </w:rPr>
        <w:t>4.3</w:t>
      </w:r>
      <w:r w:rsidR="00726832">
        <w:rPr>
          <w:b/>
        </w:rPr>
        <w:t>0</w:t>
      </w:r>
      <w:r>
        <w:t> </w:t>
      </w:r>
      <w:r w:rsidR="00086DCC">
        <w:t xml:space="preserve">Usnesením </w:t>
      </w:r>
      <w:r w:rsidR="0088172A" w:rsidRPr="0088172A">
        <w:t>ze dne 24. 8. 2022 č. 708</w:t>
      </w:r>
      <w:r>
        <w:rPr>
          <w:rStyle w:val="Znakapoznpodarou"/>
        </w:rPr>
        <w:footnoteReference w:id="29"/>
      </w:r>
      <w:r w:rsidR="0088172A" w:rsidRPr="0088172A">
        <w:t xml:space="preserve"> vláda</w:t>
      </w:r>
      <w:r w:rsidR="0088172A">
        <w:t xml:space="preserve"> </w:t>
      </w:r>
      <w:r w:rsidR="009201B6" w:rsidRPr="00565B11">
        <w:t>ČR</w:t>
      </w:r>
      <w:r w:rsidR="009201B6">
        <w:t xml:space="preserve"> </w:t>
      </w:r>
      <w:r w:rsidR="0088172A" w:rsidRPr="0088172A">
        <w:t xml:space="preserve">schválila </w:t>
      </w:r>
      <w:r w:rsidR="0088172A">
        <w:t xml:space="preserve">mj. </w:t>
      </w:r>
      <w:r w:rsidR="0088172A" w:rsidRPr="0088172A">
        <w:t xml:space="preserve">posouzení možností realizace části D35 formou projektu </w:t>
      </w:r>
      <w:r w:rsidR="005305C0">
        <w:t>p</w:t>
      </w:r>
      <w:r w:rsidR="005305C0" w:rsidRPr="005305C0">
        <w:t>artnerství veřejného a soukromého sektoru</w:t>
      </w:r>
      <w:r w:rsidR="005305C0">
        <w:t xml:space="preserve"> (dále jen „PPP“)</w:t>
      </w:r>
      <w:r w:rsidR="005305C0" w:rsidRPr="005305C0">
        <w:t xml:space="preserve"> </w:t>
      </w:r>
      <w:r w:rsidR="0088172A" w:rsidRPr="0088172A">
        <w:t>a</w:t>
      </w:r>
      <w:r w:rsidR="000016B8">
        <w:t> </w:t>
      </w:r>
      <w:r w:rsidR="0088172A" w:rsidRPr="0088172A">
        <w:t>uložila ministru dopravy realizovat další kroky směřující k</w:t>
      </w:r>
      <w:r w:rsidR="0088172A">
        <w:t> </w:t>
      </w:r>
      <w:r w:rsidR="0088172A" w:rsidRPr="0088172A">
        <w:t>realizaci úseků D35 Opatovec – Staré Město a</w:t>
      </w:r>
      <w:r w:rsidR="000F013F">
        <w:t> </w:t>
      </w:r>
      <w:r w:rsidR="0088172A" w:rsidRPr="0088172A">
        <w:t>Staré Město – Mohelnice formou PPP projektu.</w:t>
      </w:r>
    </w:p>
    <w:p w14:paraId="3BA4806C" w14:textId="77777777" w:rsidR="00E876CE" w:rsidRDefault="00E876CE" w:rsidP="00731D38"/>
    <w:p w14:paraId="30DF94D7" w14:textId="77777777" w:rsidR="00C70878" w:rsidRDefault="002A4F69" w:rsidP="00731D38">
      <w:r w:rsidRPr="005305C0">
        <w:rPr>
          <w:b/>
        </w:rPr>
        <w:t>4.3</w:t>
      </w:r>
      <w:r w:rsidR="00726832">
        <w:rPr>
          <w:b/>
        </w:rPr>
        <w:t>1</w:t>
      </w:r>
      <w:r>
        <w:t> </w:t>
      </w:r>
      <w:r w:rsidRPr="005305C0">
        <w:t xml:space="preserve">Ze studie proveditelnosti PPP D35 vyplynulo, že realizace </w:t>
      </w:r>
      <w:r>
        <w:t>výše uvedených</w:t>
      </w:r>
      <w:r w:rsidRPr="005305C0">
        <w:t xml:space="preserve"> úseků </w:t>
      </w:r>
      <w:r>
        <w:t xml:space="preserve">dálnice </w:t>
      </w:r>
      <w:r w:rsidRPr="005305C0">
        <w:t xml:space="preserve">D35 formou PPP je </w:t>
      </w:r>
      <w:r w:rsidR="008908BC">
        <w:t xml:space="preserve">o 4,1 % </w:t>
      </w:r>
      <w:r w:rsidRPr="005305C0">
        <w:t>výhodnější</w:t>
      </w:r>
      <w:r>
        <w:t>.</w:t>
      </w:r>
      <w:r w:rsidRPr="005305C0">
        <w:t xml:space="preserve"> </w:t>
      </w:r>
      <w:r>
        <w:t>R</w:t>
      </w:r>
      <w:r w:rsidRPr="005305C0">
        <w:t>ealizace</w:t>
      </w:r>
      <w:r>
        <w:t xml:space="preserve"> projektu</w:t>
      </w:r>
      <w:r w:rsidRPr="005305C0">
        <w:t xml:space="preserve"> formou PPP</w:t>
      </w:r>
      <w:r>
        <w:t xml:space="preserve"> je však</w:t>
      </w:r>
      <w:r w:rsidRPr="005305C0">
        <w:t xml:space="preserve"> ohrožena riziky, zejména nedokončení</w:t>
      </w:r>
      <w:r w:rsidR="005D6A47">
        <w:t>m</w:t>
      </w:r>
      <w:r w:rsidRPr="005305C0">
        <w:t xml:space="preserve"> majetkoprávní přípravy (včetně případných vyvlastňovacích řízení), nezajištění</w:t>
      </w:r>
      <w:r w:rsidR="005D6A47">
        <w:t>m</w:t>
      </w:r>
      <w:r w:rsidRPr="005305C0">
        <w:t xml:space="preserve"> pravomocných stavebních povolení před uzavřením koncesionářské smlouvy, dále případný</w:t>
      </w:r>
      <w:r w:rsidR="005D6A47">
        <w:t>m</w:t>
      </w:r>
      <w:r w:rsidRPr="005305C0">
        <w:t xml:space="preserve"> komplikovaný</w:t>
      </w:r>
      <w:r w:rsidR="005D6A47">
        <w:t>m</w:t>
      </w:r>
      <w:r w:rsidRPr="005305C0">
        <w:t xml:space="preserve"> průběh</w:t>
      </w:r>
      <w:r w:rsidR="005D6A47">
        <w:t>em</w:t>
      </w:r>
      <w:r w:rsidRPr="005305C0">
        <w:t xml:space="preserve"> zadávacího řízení na koncesionáře a různ</w:t>
      </w:r>
      <w:r w:rsidR="005D6A47">
        <w:t>ými</w:t>
      </w:r>
      <w:r w:rsidRPr="005305C0">
        <w:t xml:space="preserve"> prodlev</w:t>
      </w:r>
      <w:r w:rsidR="005D6A47">
        <w:t>ami</w:t>
      </w:r>
      <w:r w:rsidRPr="005305C0">
        <w:t xml:space="preserve"> mezi jednotlivými fázemi přípravy projektu PPP (způsoben</w:t>
      </w:r>
      <w:r w:rsidR="005D6A47">
        <w:t>ými</w:t>
      </w:r>
      <w:r w:rsidRPr="005305C0">
        <w:t xml:space="preserve"> např. kompletováním, doplňováním a</w:t>
      </w:r>
      <w:r w:rsidR="000016B8">
        <w:t> </w:t>
      </w:r>
      <w:r w:rsidRPr="005305C0">
        <w:t>schvalováním nezbytných podkladů) a v neposlední řadě i</w:t>
      </w:r>
      <w:r w:rsidR="00425FCB">
        <w:t> </w:t>
      </w:r>
      <w:r w:rsidRPr="005305C0">
        <w:t>rizik</w:t>
      </w:r>
      <w:r>
        <w:t>em</w:t>
      </w:r>
      <w:r w:rsidRPr="005305C0">
        <w:t xml:space="preserve"> „</w:t>
      </w:r>
      <w:r w:rsidRPr="00C70878">
        <w:rPr>
          <w:i/>
        </w:rPr>
        <w:t>finanční velikosti</w:t>
      </w:r>
      <w:r w:rsidRPr="005305C0">
        <w:t xml:space="preserve">“ projektu, které může ovlivnit výhodnost PPP v závislosti na způsobu zajištění finančních prostředků koncesionářem. </w:t>
      </w:r>
    </w:p>
    <w:p w14:paraId="0C5DBB46" w14:textId="77777777" w:rsidR="00C70878" w:rsidRDefault="00C70878" w:rsidP="00731D38"/>
    <w:p w14:paraId="02E624A1" w14:textId="77777777" w:rsidR="00E876CE" w:rsidRDefault="002A4F69" w:rsidP="00731D38">
      <w:r w:rsidRPr="00C70878">
        <w:rPr>
          <w:b/>
        </w:rPr>
        <w:t>4.3</w:t>
      </w:r>
      <w:r w:rsidR="00726832">
        <w:rPr>
          <w:b/>
        </w:rPr>
        <w:t>2</w:t>
      </w:r>
      <w:r>
        <w:t> </w:t>
      </w:r>
      <w:r w:rsidR="005305C0" w:rsidRPr="005305C0">
        <w:t xml:space="preserve">V době kontroly se již příprava projektu PPP D35 opožďovala proti předpokladům, které MD uvedlo v materiálu předloženém vládě, například zadávací řízení na výběr poradce pro </w:t>
      </w:r>
      <w:r w:rsidR="005305C0" w:rsidRPr="005305C0">
        <w:lastRenderedPageBreak/>
        <w:t>projekt PPP D35 bylo zahájeno o půl roku později oproti předpokladu MD</w:t>
      </w:r>
      <w:r w:rsidR="0051655F">
        <w:t>,</w:t>
      </w:r>
      <w:r w:rsidR="005305C0" w:rsidRPr="005305C0">
        <w:t xml:space="preserve"> a nebylo proto dokončeno v prvním čtvrtletí roku 2023.</w:t>
      </w:r>
      <w:r w:rsidR="0088476B">
        <w:t xml:space="preserve"> </w:t>
      </w:r>
      <w:r w:rsidR="00C1431B">
        <w:t xml:space="preserve">MD tak nemohlo zahájit </w:t>
      </w:r>
      <w:r w:rsidR="00C1431B" w:rsidRPr="00C1431B">
        <w:t>soutěžní dialog v rámci zadávacího řízení na výběr koncesionáře</w:t>
      </w:r>
      <w:r w:rsidR="00C1431B">
        <w:t>, který předpokládalo zahájit ve druhém čtvrtletí roku 2023.</w:t>
      </w:r>
    </w:p>
    <w:p w14:paraId="5217F0CE" w14:textId="77777777" w:rsidR="0005226A" w:rsidRDefault="0005226A" w:rsidP="00731D38"/>
    <w:p w14:paraId="7B7DF124" w14:textId="77777777" w:rsidR="00890456" w:rsidRDefault="00890456" w:rsidP="00731D38"/>
    <w:p w14:paraId="2998EEE9" w14:textId="77777777" w:rsidR="00F2643A" w:rsidRDefault="00F2643A" w:rsidP="00731D38"/>
    <w:p w14:paraId="6B122BCC" w14:textId="77777777" w:rsidR="00142F91" w:rsidRDefault="00142F91" w:rsidP="00731D38"/>
    <w:p w14:paraId="33271211" w14:textId="77777777" w:rsidR="004A4C71" w:rsidRPr="004A4C71" w:rsidRDefault="002A4F69" w:rsidP="000016B8">
      <w:pPr>
        <w:keepNext/>
        <w:spacing w:after="80"/>
        <w:ind w:left="1701" w:hanging="1701"/>
        <w:rPr>
          <w:b/>
        </w:rPr>
      </w:pPr>
      <w:r w:rsidRPr="004A4C71">
        <w:rPr>
          <w:b/>
        </w:rPr>
        <w:t>Seznam použitých zkratek</w:t>
      </w:r>
    </w:p>
    <w:p w14:paraId="7CECF1CF" w14:textId="77777777" w:rsidR="005923CF" w:rsidRDefault="002A4F69" w:rsidP="000016B8">
      <w:pPr>
        <w:keepNext/>
        <w:spacing w:after="80"/>
        <w:ind w:left="1701" w:right="-57" w:hanging="1701"/>
      </w:pPr>
      <w:r>
        <w:t>CÚ</w:t>
      </w:r>
      <w:r>
        <w:tab/>
        <w:t>cenová úroveň</w:t>
      </w:r>
    </w:p>
    <w:p w14:paraId="29059806" w14:textId="77777777" w:rsidR="004A4C71" w:rsidRDefault="002A4F69" w:rsidP="000016B8">
      <w:pPr>
        <w:keepNext/>
        <w:spacing w:after="80"/>
        <w:ind w:left="1701" w:right="-57" w:hanging="1701"/>
      </w:pPr>
      <w:r>
        <w:t>DSS2</w:t>
      </w:r>
      <w:r>
        <w:tab/>
      </w:r>
      <w:r w:rsidRPr="00105160">
        <w:rPr>
          <w:i/>
        </w:rPr>
        <w:t>Dopravní sektorové strategie, 2. fáze</w:t>
      </w:r>
    </w:p>
    <w:p w14:paraId="56A5E18A" w14:textId="77777777" w:rsidR="00C241D1" w:rsidRDefault="002A4F69" w:rsidP="000016B8">
      <w:pPr>
        <w:keepNext/>
        <w:spacing w:after="80"/>
        <w:ind w:left="1701" w:right="-57" w:hanging="1701"/>
      </w:pPr>
      <w:r>
        <w:t>DPH</w:t>
      </w:r>
      <w:r w:rsidR="00D72A6B">
        <w:tab/>
        <w:t>daň z přidané hodnoty</w:t>
      </w:r>
    </w:p>
    <w:p w14:paraId="34CA5049" w14:textId="77777777" w:rsidR="004A4C71" w:rsidRDefault="002A4F69" w:rsidP="000016B8">
      <w:pPr>
        <w:keepNext/>
        <w:spacing w:after="80"/>
        <w:ind w:left="1701" w:right="-57" w:hanging="1701"/>
      </w:pPr>
      <w:r>
        <w:t>EIA</w:t>
      </w:r>
      <w:r>
        <w:tab/>
        <w:t xml:space="preserve">posuzování vlivů </w:t>
      </w:r>
      <w:r w:rsidR="0019397D">
        <w:t>staveb</w:t>
      </w:r>
      <w:r>
        <w:t xml:space="preserve"> na životní prostředí</w:t>
      </w:r>
    </w:p>
    <w:p w14:paraId="5076E29A" w14:textId="77777777" w:rsidR="004F05EF" w:rsidRDefault="002A4F69" w:rsidP="000016B8">
      <w:pPr>
        <w:keepNext/>
        <w:spacing w:after="80"/>
        <w:ind w:left="1701" w:right="-57" w:hanging="1701"/>
      </w:pPr>
      <w:r>
        <w:t>EU</w:t>
      </w:r>
      <w:r>
        <w:tab/>
        <w:t>Evropská unie</w:t>
      </w:r>
    </w:p>
    <w:p w14:paraId="7BDFFEDD" w14:textId="77777777" w:rsidR="004A4C71" w:rsidRDefault="002A4F69" w:rsidP="000016B8">
      <w:pPr>
        <w:keepNext/>
        <w:spacing w:after="80"/>
        <w:ind w:left="1701" w:right="-57" w:hanging="1701"/>
      </w:pPr>
      <w:r>
        <w:t>MD</w:t>
      </w:r>
      <w:r>
        <w:tab/>
        <w:t>Ministerstvo dopravy</w:t>
      </w:r>
    </w:p>
    <w:p w14:paraId="5B416B14" w14:textId="77777777" w:rsidR="00EA03A7" w:rsidRDefault="002A4F69" w:rsidP="000016B8">
      <w:pPr>
        <w:keepNext/>
        <w:spacing w:after="80"/>
        <w:ind w:left="1701" w:right="-57" w:hanging="1701"/>
      </w:pPr>
      <w:r>
        <w:t>MÚK</w:t>
      </w:r>
      <w:r>
        <w:tab/>
        <w:t>mimoúrovňová křižovatka</w:t>
      </w:r>
    </w:p>
    <w:p w14:paraId="77B5D5C6" w14:textId="77777777" w:rsidR="006B2FA9" w:rsidRDefault="002A4F69" w:rsidP="000016B8">
      <w:pPr>
        <w:keepNext/>
        <w:spacing w:after="80"/>
        <w:ind w:left="1701" w:right="-57" w:hanging="1701"/>
      </w:pPr>
      <w:r w:rsidRPr="006B2FA9">
        <w:t>MŽP</w:t>
      </w:r>
      <w:r>
        <w:tab/>
        <w:t>Ministerstvo životního prostředí</w:t>
      </w:r>
    </w:p>
    <w:p w14:paraId="15D70245" w14:textId="77777777" w:rsidR="004A4C71" w:rsidRDefault="002A4F69" w:rsidP="000016B8">
      <w:pPr>
        <w:keepNext/>
        <w:spacing w:after="80"/>
        <w:ind w:left="1701" w:right="-57" w:hanging="1701"/>
      </w:pPr>
      <w:r>
        <w:t>NKÚ</w:t>
      </w:r>
      <w:r>
        <w:tab/>
        <w:t>Nejvyšší kontrolní úřad</w:t>
      </w:r>
    </w:p>
    <w:p w14:paraId="747ED5EC" w14:textId="77777777" w:rsidR="004F0DA5" w:rsidRDefault="002A4F69" w:rsidP="000016B8">
      <w:pPr>
        <w:keepNext/>
        <w:spacing w:after="80"/>
        <w:ind w:left="1701" w:right="-57" w:hanging="1701"/>
      </w:pPr>
      <w:r>
        <w:t>PDPS</w:t>
      </w:r>
      <w:r>
        <w:tab/>
      </w:r>
      <w:r w:rsidRPr="004F0DA5">
        <w:t>projektov</w:t>
      </w:r>
      <w:r>
        <w:t>á</w:t>
      </w:r>
      <w:r w:rsidRPr="004F0DA5">
        <w:t xml:space="preserve"> dokumentac</w:t>
      </w:r>
      <w:r>
        <w:t>e</w:t>
      </w:r>
      <w:r w:rsidRPr="004F0DA5">
        <w:t xml:space="preserve"> pro provádění stavby</w:t>
      </w:r>
    </w:p>
    <w:p w14:paraId="40E1BC2A" w14:textId="77777777" w:rsidR="005305C0" w:rsidRDefault="002A4F69" w:rsidP="000016B8">
      <w:pPr>
        <w:keepNext/>
        <w:spacing w:after="80"/>
        <w:ind w:left="1701" w:right="-57" w:hanging="1701"/>
      </w:pPr>
      <w:r w:rsidRPr="005305C0">
        <w:t>PPP</w:t>
      </w:r>
      <w:r>
        <w:tab/>
      </w:r>
      <w:r w:rsidRPr="005305C0">
        <w:t>partnerství veřejného a soukromého sektoru</w:t>
      </w:r>
    </w:p>
    <w:p w14:paraId="2EFC73CC" w14:textId="77777777" w:rsidR="004A4C71" w:rsidRDefault="002A4F69" w:rsidP="000016B8">
      <w:pPr>
        <w:keepNext/>
        <w:spacing w:after="80"/>
        <w:ind w:left="1701" w:right="-57" w:hanging="1701"/>
      </w:pPr>
      <w:r>
        <w:t>ŘSD</w:t>
      </w:r>
      <w:r>
        <w:tab/>
        <w:t>Ředitelství silnic a dálnic ČR</w:t>
      </w:r>
    </w:p>
    <w:p w14:paraId="25F3191A" w14:textId="77777777" w:rsidR="004A4C71" w:rsidRDefault="002A4F69" w:rsidP="000016B8">
      <w:pPr>
        <w:keepNext/>
        <w:spacing w:after="80"/>
        <w:ind w:left="1701" w:right="-57" w:hanging="1701"/>
      </w:pPr>
      <w:r>
        <w:t>SFDI</w:t>
      </w:r>
      <w:r>
        <w:tab/>
        <w:t>Státní fond dopravní infrastruktury</w:t>
      </w:r>
    </w:p>
    <w:p w14:paraId="7A16B290" w14:textId="77777777" w:rsidR="00E4411D" w:rsidRDefault="00E4411D" w:rsidP="000016B8">
      <w:pPr>
        <w:keepNext/>
        <w:spacing w:after="80"/>
        <w:ind w:left="1701" w:right="-57" w:hanging="1701"/>
      </w:pPr>
      <w:r w:rsidRPr="00565B11">
        <w:t>SO</w:t>
      </w:r>
      <w:r w:rsidRPr="00565B11">
        <w:tab/>
        <w:t>stavební objekt</w:t>
      </w:r>
    </w:p>
    <w:p w14:paraId="53CD4063" w14:textId="77777777" w:rsidR="00DA26BF" w:rsidRPr="003752DD" w:rsidRDefault="00C170E4" w:rsidP="000016B8">
      <w:pPr>
        <w:keepNext/>
        <w:spacing w:after="80"/>
        <w:ind w:left="1701" w:right="-57" w:hanging="1701"/>
        <w:rPr>
          <w:color w:val="000000" w:themeColor="text1"/>
        </w:rPr>
      </w:pPr>
      <w:r w:rsidRPr="003752DD">
        <w:rPr>
          <w:color w:val="000000" w:themeColor="text1"/>
        </w:rPr>
        <w:t>TDI</w:t>
      </w:r>
      <w:r w:rsidRPr="003752DD">
        <w:rPr>
          <w:color w:val="000000" w:themeColor="text1"/>
        </w:rPr>
        <w:tab/>
        <w:t>technický dozor investora</w:t>
      </w:r>
    </w:p>
    <w:p w14:paraId="042BFC65" w14:textId="77777777" w:rsidR="004A4C71" w:rsidRDefault="002A4F69" w:rsidP="000016B8">
      <w:pPr>
        <w:keepNext/>
        <w:spacing w:after="80"/>
        <w:ind w:left="1701" w:right="-57" w:hanging="1701"/>
      </w:pPr>
      <w:r>
        <w:t>ZBV</w:t>
      </w:r>
      <w:r>
        <w:tab/>
        <w:t>změna během výstavby</w:t>
      </w:r>
    </w:p>
    <w:p w14:paraId="267E6DC8" w14:textId="77777777" w:rsidR="0039245B" w:rsidRDefault="0039245B" w:rsidP="00731D38"/>
    <w:p w14:paraId="5B46693F" w14:textId="77777777" w:rsidR="000016B8" w:rsidRDefault="000016B8" w:rsidP="00731D38">
      <w:pPr>
        <w:sectPr w:rsidR="000016B8" w:rsidSect="00731D3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7407CB0" w14:textId="77777777" w:rsidR="0039245B" w:rsidRPr="004277E8" w:rsidRDefault="002A4F69" w:rsidP="000016B8">
      <w:pPr>
        <w:spacing w:after="120"/>
        <w:jc w:val="right"/>
        <w:rPr>
          <w:b/>
        </w:rPr>
      </w:pPr>
      <w:r w:rsidRPr="004277E8">
        <w:rPr>
          <w:b/>
        </w:rPr>
        <w:lastRenderedPageBreak/>
        <w:t>Příloha</w:t>
      </w:r>
      <w:r w:rsidR="0051655F">
        <w:rPr>
          <w:b/>
        </w:rPr>
        <w:t xml:space="preserve"> č. 1</w:t>
      </w:r>
    </w:p>
    <w:p w14:paraId="3FFC4DDE" w14:textId="77777777" w:rsidR="004277E8" w:rsidRPr="000016B8" w:rsidRDefault="002A4F69" w:rsidP="000016B8">
      <w:pPr>
        <w:spacing w:after="120"/>
        <w:rPr>
          <w:b/>
        </w:rPr>
      </w:pPr>
      <w:r w:rsidRPr="000016B8">
        <w:rPr>
          <w:b/>
        </w:rPr>
        <w:t>Přehled kontrolovaných staveb</w:t>
      </w:r>
    </w:p>
    <w:tbl>
      <w:tblPr>
        <w:tblStyle w:val="Mkatabulky"/>
        <w:tblW w:w="90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438"/>
        <w:gridCol w:w="6"/>
        <w:gridCol w:w="1128"/>
        <w:gridCol w:w="6"/>
        <w:gridCol w:w="1837"/>
        <w:gridCol w:w="6"/>
        <w:gridCol w:w="1524"/>
      </w:tblGrid>
      <w:tr w:rsidR="00360149" w:rsidRPr="000016B8" w14:paraId="604D032A" w14:textId="77777777" w:rsidTr="00CF5C09">
        <w:trPr>
          <w:jc w:val="center"/>
        </w:trPr>
        <w:tc>
          <w:tcPr>
            <w:tcW w:w="704" w:type="dxa"/>
            <w:shd w:val="clear" w:color="auto" w:fill="E5F1FF"/>
            <w:vAlign w:val="center"/>
          </w:tcPr>
          <w:p w14:paraId="4D4426FF" w14:textId="77777777" w:rsidR="001440E9" w:rsidRPr="000016B8" w:rsidRDefault="002A4F69" w:rsidP="000016B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0016B8">
              <w:rPr>
                <w:rFonts w:cs="Calibri"/>
                <w:b/>
                <w:sz w:val="20"/>
                <w:szCs w:val="20"/>
              </w:rPr>
              <w:t>Poř</w:t>
            </w:r>
            <w:proofErr w:type="spellEnd"/>
            <w:r w:rsidRPr="000016B8">
              <w:rPr>
                <w:rFonts w:cs="Calibri"/>
                <w:b/>
                <w:sz w:val="20"/>
                <w:szCs w:val="20"/>
              </w:rPr>
              <w:t>. č.</w:t>
            </w:r>
          </w:p>
        </w:tc>
        <w:tc>
          <w:tcPr>
            <w:tcW w:w="1418" w:type="dxa"/>
            <w:shd w:val="clear" w:color="auto" w:fill="E5F1FF"/>
            <w:vAlign w:val="center"/>
          </w:tcPr>
          <w:p w14:paraId="4A98ED50" w14:textId="77777777" w:rsidR="001440E9" w:rsidRPr="000016B8" w:rsidRDefault="002A4F69" w:rsidP="000016B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Číslo stavby</w:t>
            </w:r>
          </w:p>
        </w:tc>
        <w:tc>
          <w:tcPr>
            <w:tcW w:w="2438" w:type="dxa"/>
            <w:shd w:val="clear" w:color="auto" w:fill="E5F1FF"/>
            <w:vAlign w:val="center"/>
          </w:tcPr>
          <w:p w14:paraId="67D4E662" w14:textId="77777777" w:rsidR="001440E9" w:rsidRPr="000016B8" w:rsidRDefault="002A4F69" w:rsidP="000016B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Název stavby</w:t>
            </w:r>
          </w:p>
        </w:tc>
        <w:tc>
          <w:tcPr>
            <w:tcW w:w="1134" w:type="dxa"/>
            <w:gridSpan w:val="2"/>
            <w:shd w:val="clear" w:color="auto" w:fill="E5F1FF"/>
            <w:vAlign w:val="center"/>
          </w:tcPr>
          <w:p w14:paraId="6D973303" w14:textId="77777777" w:rsidR="001440E9" w:rsidRPr="000016B8" w:rsidRDefault="002A4F69" w:rsidP="000016B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 xml:space="preserve">Délka </w:t>
            </w:r>
            <w:r w:rsidR="000016B8">
              <w:rPr>
                <w:rFonts w:cs="Calibri"/>
                <w:b/>
                <w:sz w:val="20"/>
                <w:szCs w:val="20"/>
              </w:rPr>
              <w:br/>
            </w:r>
            <w:r w:rsidRPr="000016B8">
              <w:rPr>
                <w:rFonts w:cs="Calibri"/>
                <w:b/>
                <w:sz w:val="20"/>
                <w:szCs w:val="20"/>
              </w:rPr>
              <w:t>v km</w:t>
            </w:r>
          </w:p>
        </w:tc>
        <w:tc>
          <w:tcPr>
            <w:tcW w:w="1843" w:type="dxa"/>
            <w:gridSpan w:val="2"/>
            <w:shd w:val="clear" w:color="auto" w:fill="E5F1FF"/>
            <w:vAlign w:val="center"/>
          </w:tcPr>
          <w:p w14:paraId="5C8CEC21" w14:textId="77777777" w:rsidR="001440E9" w:rsidRPr="000016B8" w:rsidRDefault="002A4F69" w:rsidP="000016B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Předpokládané celkové náklady v mil. Kč v CÚ 2022</w:t>
            </w:r>
          </w:p>
        </w:tc>
        <w:tc>
          <w:tcPr>
            <w:tcW w:w="1530" w:type="dxa"/>
            <w:gridSpan w:val="2"/>
            <w:shd w:val="clear" w:color="auto" w:fill="E5F1FF"/>
            <w:vAlign w:val="center"/>
          </w:tcPr>
          <w:p w14:paraId="254B9983" w14:textId="77777777" w:rsidR="001440E9" w:rsidRPr="000016B8" w:rsidRDefault="002A4F69" w:rsidP="000016B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Předpokládaný termín realizace od – do</w:t>
            </w:r>
          </w:p>
        </w:tc>
      </w:tr>
      <w:tr w:rsidR="00360149" w:rsidRPr="000016B8" w14:paraId="5F93324F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7F5487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A7299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327 124 5004</w:t>
            </w:r>
          </w:p>
        </w:tc>
        <w:tc>
          <w:tcPr>
            <w:tcW w:w="2438" w:type="dxa"/>
            <w:vAlign w:val="center"/>
          </w:tcPr>
          <w:p w14:paraId="576B09DC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Úlibice – obchvat</w:t>
            </w:r>
          </w:p>
        </w:tc>
        <w:tc>
          <w:tcPr>
            <w:tcW w:w="1134" w:type="dxa"/>
            <w:gridSpan w:val="2"/>
            <w:vAlign w:val="center"/>
          </w:tcPr>
          <w:p w14:paraId="40661231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1,641</w:t>
            </w:r>
          </w:p>
        </w:tc>
        <w:tc>
          <w:tcPr>
            <w:tcW w:w="1843" w:type="dxa"/>
            <w:gridSpan w:val="2"/>
            <w:vAlign w:val="center"/>
          </w:tcPr>
          <w:p w14:paraId="26D4BBDE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481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706</w:t>
            </w:r>
          </w:p>
        </w:tc>
        <w:tc>
          <w:tcPr>
            <w:tcW w:w="1530" w:type="dxa"/>
            <w:gridSpan w:val="2"/>
            <w:vAlign w:val="center"/>
          </w:tcPr>
          <w:p w14:paraId="4A37F3DD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2026–2029</w:t>
            </w:r>
          </w:p>
        </w:tc>
      </w:tr>
      <w:tr w:rsidR="00360149" w:rsidRPr="000016B8" w14:paraId="2E09990D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FDF66A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301B3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551 154 0003</w:t>
            </w:r>
          </w:p>
        </w:tc>
        <w:tc>
          <w:tcPr>
            <w:tcW w:w="2438" w:type="dxa"/>
            <w:vAlign w:val="center"/>
          </w:tcPr>
          <w:p w14:paraId="10C4E48E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Úlibice – Hořice</w:t>
            </w:r>
          </w:p>
        </w:tc>
        <w:tc>
          <w:tcPr>
            <w:tcW w:w="1134" w:type="dxa"/>
            <w:gridSpan w:val="2"/>
            <w:vAlign w:val="center"/>
          </w:tcPr>
          <w:p w14:paraId="6C80DBB9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16,346</w:t>
            </w:r>
          </w:p>
        </w:tc>
        <w:tc>
          <w:tcPr>
            <w:tcW w:w="1843" w:type="dxa"/>
            <w:gridSpan w:val="2"/>
            <w:vAlign w:val="center"/>
          </w:tcPr>
          <w:p w14:paraId="267A34A1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6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925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25</w:t>
            </w:r>
            <w:r w:rsidR="00BC1C53" w:rsidRPr="000016B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3941D809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2025–2028</w:t>
            </w:r>
          </w:p>
        </w:tc>
      </w:tr>
      <w:tr w:rsidR="00360149" w:rsidRPr="000016B8" w14:paraId="7CC9F01A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416203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9E236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551 154 0002</w:t>
            </w:r>
          </w:p>
        </w:tc>
        <w:tc>
          <w:tcPr>
            <w:tcW w:w="2438" w:type="dxa"/>
            <w:vAlign w:val="center"/>
          </w:tcPr>
          <w:p w14:paraId="0747F249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Hořice – Sadová</w:t>
            </w:r>
          </w:p>
        </w:tc>
        <w:tc>
          <w:tcPr>
            <w:tcW w:w="1134" w:type="dxa"/>
            <w:gridSpan w:val="2"/>
            <w:vAlign w:val="center"/>
          </w:tcPr>
          <w:p w14:paraId="6E2684A0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10,450</w:t>
            </w:r>
          </w:p>
        </w:tc>
        <w:tc>
          <w:tcPr>
            <w:tcW w:w="1843" w:type="dxa"/>
            <w:gridSpan w:val="2"/>
            <w:vAlign w:val="center"/>
          </w:tcPr>
          <w:p w14:paraId="56BAF179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4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470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268</w:t>
            </w:r>
          </w:p>
        </w:tc>
        <w:tc>
          <w:tcPr>
            <w:tcW w:w="1530" w:type="dxa"/>
            <w:gridSpan w:val="2"/>
            <w:vAlign w:val="center"/>
          </w:tcPr>
          <w:p w14:paraId="5CCE98D4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2023–2026</w:t>
            </w:r>
          </w:p>
        </w:tc>
      </w:tr>
      <w:tr w:rsidR="00360149" w:rsidRPr="000016B8" w14:paraId="7855485C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0D15A5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4530E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551 154 0004</w:t>
            </w:r>
          </w:p>
        </w:tc>
        <w:tc>
          <w:tcPr>
            <w:tcW w:w="2438" w:type="dxa"/>
            <w:vAlign w:val="center"/>
          </w:tcPr>
          <w:p w14:paraId="27F2FA15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Sadová – Plotiště</w:t>
            </w:r>
          </w:p>
        </w:tc>
        <w:tc>
          <w:tcPr>
            <w:tcW w:w="1134" w:type="dxa"/>
            <w:gridSpan w:val="2"/>
            <w:vAlign w:val="center"/>
          </w:tcPr>
          <w:p w14:paraId="2F70C1BC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7,537</w:t>
            </w:r>
          </w:p>
        </w:tc>
        <w:tc>
          <w:tcPr>
            <w:tcW w:w="1843" w:type="dxa"/>
            <w:gridSpan w:val="2"/>
            <w:vAlign w:val="center"/>
          </w:tcPr>
          <w:p w14:paraId="13C5156D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319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581</w:t>
            </w:r>
          </w:p>
        </w:tc>
        <w:tc>
          <w:tcPr>
            <w:tcW w:w="1530" w:type="dxa"/>
            <w:gridSpan w:val="2"/>
            <w:vAlign w:val="center"/>
          </w:tcPr>
          <w:p w14:paraId="0AD3BF0F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2024–2027</w:t>
            </w:r>
          </w:p>
        </w:tc>
      </w:tr>
      <w:tr w:rsidR="00360149" w:rsidRPr="000016B8" w14:paraId="36E6340B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C5EE2D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F1ED3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553 154 0002</w:t>
            </w:r>
          </w:p>
        </w:tc>
        <w:tc>
          <w:tcPr>
            <w:tcW w:w="2438" w:type="dxa"/>
            <w:vAlign w:val="center"/>
          </w:tcPr>
          <w:p w14:paraId="745E3C79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Opatovice – Časy</w:t>
            </w:r>
          </w:p>
        </w:tc>
        <w:tc>
          <w:tcPr>
            <w:tcW w:w="1134" w:type="dxa"/>
            <w:gridSpan w:val="2"/>
            <w:vAlign w:val="center"/>
          </w:tcPr>
          <w:p w14:paraId="5E42D428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12,610</w:t>
            </w:r>
          </w:p>
        </w:tc>
        <w:tc>
          <w:tcPr>
            <w:tcW w:w="1843" w:type="dxa"/>
            <w:gridSpan w:val="2"/>
            <w:vAlign w:val="center"/>
          </w:tcPr>
          <w:p w14:paraId="44D1F971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4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995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06</w:t>
            </w:r>
            <w:r w:rsidR="00BC1C53" w:rsidRPr="000016B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465B4801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2019–202</w:t>
            </w:r>
            <w:r w:rsidR="00565B11" w:rsidRPr="000016B8">
              <w:rPr>
                <w:rFonts w:cs="Calibri"/>
                <w:sz w:val="20"/>
                <w:szCs w:val="20"/>
              </w:rPr>
              <w:t>1</w:t>
            </w:r>
          </w:p>
        </w:tc>
      </w:tr>
      <w:tr w:rsidR="00360149" w:rsidRPr="000016B8" w14:paraId="297EE001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675021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79DC6D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553 154 0001</w:t>
            </w:r>
          </w:p>
        </w:tc>
        <w:tc>
          <w:tcPr>
            <w:tcW w:w="2438" w:type="dxa"/>
            <w:vAlign w:val="center"/>
          </w:tcPr>
          <w:p w14:paraId="540A24A7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Časy – Ostrov</w:t>
            </w:r>
          </w:p>
        </w:tc>
        <w:tc>
          <w:tcPr>
            <w:tcW w:w="1134" w:type="dxa"/>
            <w:gridSpan w:val="2"/>
            <w:vAlign w:val="center"/>
          </w:tcPr>
          <w:p w14:paraId="242CF99B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14,700</w:t>
            </w:r>
          </w:p>
        </w:tc>
        <w:tc>
          <w:tcPr>
            <w:tcW w:w="1843" w:type="dxa"/>
            <w:gridSpan w:val="2"/>
            <w:vAlign w:val="center"/>
          </w:tcPr>
          <w:p w14:paraId="6C70681A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192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283</w:t>
            </w:r>
          </w:p>
        </w:tc>
        <w:tc>
          <w:tcPr>
            <w:tcW w:w="1530" w:type="dxa"/>
            <w:gridSpan w:val="2"/>
            <w:vAlign w:val="center"/>
          </w:tcPr>
          <w:p w14:paraId="2F56A183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2018–202</w:t>
            </w:r>
            <w:r w:rsidR="00565B11" w:rsidRPr="000016B8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60149" w:rsidRPr="000016B8" w14:paraId="2F0E4B80" w14:textId="77777777" w:rsidTr="00CF5C09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3644FCC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5F8E3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553 155 0003</w:t>
            </w:r>
          </w:p>
        </w:tc>
        <w:tc>
          <w:tcPr>
            <w:tcW w:w="2438" w:type="dxa"/>
            <w:vAlign w:val="center"/>
          </w:tcPr>
          <w:p w14:paraId="0F39E3A6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Ostrov – Vysoké Mýto, 1. etapa – tunel Homole</w:t>
            </w:r>
          </w:p>
        </w:tc>
        <w:tc>
          <w:tcPr>
            <w:tcW w:w="1134" w:type="dxa"/>
            <w:gridSpan w:val="2"/>
            <w:vAlign w:val="center"/>
          </w:tcPr>
          <w:p w14:paraId="3ADF2036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0,800</w:t>
            </w:r>
          </w:p>
        </w:tc>
        <w:tc>
          <w:tcPr>
            <w:tcW w:w="1843" w:type="dxa"/>
            <w:gridSpan w:val="2"/>
            <w:vAlign w:val="center"/>
          </w:tcPr>
          <w:p w14:paraId="1CE38758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333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227</w:t>
            </w:r>
          </w:p>
        </w:tc>
        <w:tc>
          <w:tcPr>
            <w:tcW w:w="1530" w:type="dxa"/>
            <w:gridSpan w:val="2"/>
            <w:vAlign w:val="center"/>
          </w:tcPr>
          <w:p w14:paraId="5FCBF8A2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2023–2026</w:t>
            </w:r>
          </w:p>
        </w:tc>
      </w:tr>
      <w:tr w:rsidR="00360149" w:rsidRPr="000016B8" w14:paraId="6377FE9F" w14:textId="77777777" w:rsidTr="00CF5C09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2732F83" w14:textId="77777777" w:rsidR="009D7C3A" w:rsidRPr="000016B8" w:rsidRDefault="009D7C3A" w:rsidP="000016B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F28F68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553 154 0004</w:t>
            </w:r>
          </w:p>
        </w:tc>
        <w:tc>
          <w:tcPr>
            <w:tcW w:w="2438" w:type="dxa"/>
            <w:vAlign w:val="center"/>
          </w:tcPr>
          <w:p w14:paraId="1F7441F4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Ostrov – Vysoké Mýto</w:t>
            </w:r>
          </w:p>
        </w:tc>
        <w:tc>
          <w:tcPr>
            <w:tcW w:w="1134" w:type="dxa"/>
            <w:gridSpan w:val="2"/>
            <w:vAlign w:val="center"/>
          </w:tcPr>
          <w:p w14:paraId="4A12F7D2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6,200</w:t>
            </w:r>
          </w:p>
        </w:tc>
        <w:tc>
          <w:tcPr>
            <w:tcW w:w="1843" w:type="dxa"/>
            <w:gridSpan w:val="2"/>
            <w:vAlign w:val="center"/>
          </w:tcPr>
          <w:p w14:paraId="54BA0662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712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46</w:t>
            </w:r>
            <w:r w:rsidR="00BC1C53" w:rsidRPr="000016B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7F93C84C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2024–2027</w:t>
            </w:r>
          </w:p>
        </w:tc>
      </w:tr>
      <w:tr w:rsidR="00360149" w:rsidRPr="000016B8" w14:paraId="26BF1307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701313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8764D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553 154 0005</w:t>
            </w:r>
          </w:p>
        </w:tc>
        <w:tc>
          <w:tcPr>
            <w:tcW w:w="2438" w:type="dxa"/>
            <w:vAlign w:val="center"/>
          </w:tcPr>
          <w:p w14:paraId="36FF3CDE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Vysoké Mýto – Džbánov</w:t>
            </w:r>
          </w:p>
        </w:tc>
        <w:tc>
          <w:tcPr>
            <w:tcW w:w="1134" w:type="dxa"/>
            <w:gridSpan w:val="2"/>
            <w:vAlign w:val="center"/>
          </w:tcPr>
          <w:p w14:paraId="78CEE2C4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5,950</w:t>
            </w:r>
          </w:p>
        </w:tc>
        <w:tc>
          <w:tcPr>
            <w:tcW w:w="1843" w:type="dxa"/>
            <w:gridSpan w:val="2"/>
            <w:vAlign w:val="center"/>
          </w:tcPr>
          <w:p w14:paraId="33DE7C67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4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007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61</w:t>
            </w:r>
            <w:r w:rsidR="00BC1C53" w:rsidRPr="000016B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14:paraId="7957575A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2023–2027</w:t>
            </w:r>
          </w:p>
        </w:tc>
      </w:tr>
      <w:tr w:rsidR="00360149" w:rsidRPr="000016B8" w14:paraId="302E9574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49CCC9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41FB4F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553 154 0006</w:t>
            </w:r>
          </w:p>
        </w:tc>
        <w:tc>
          <w:tcPr>
            <w:tcW w:w="2438" w:type="dxa"/>
            <w:vAlign w:val="center"/>
          </w:tcPr>
          <w:p w14:paraId="6352D9B1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Džbánov – Litomyšl</w:t>
            </w:r>
          </w:p>
        </w:tc>
        <w:tc>
          <w:tcPr>
            <w:tcW w:w="1134" w:type="dxa"/>
            <w:gridSpan w:val="2"/>
            <w:vAlign w:val="center"/>
          </w:tcPr>
          <w:p w14:paraId="7C764CE4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10,790</w:t>
            </w:r>
          </w:p>
        </w:tc>
        <w:tc>
          <w:tcPr>
            <w:tcW w:w="1843" w:type="dxa"/>
            <w:gridSpan w:val="2"/>
            <w:vAlign w:val="center"/>
          </w:tcPr>
          <w:p w14:paraId="6170AEC1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7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146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14</w:t>
            </w:r>
            <w:r w:rsidR="00BC1C53" w:rsidRPr="000016B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14:paraId="3AECF98E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2024–2027</w:t>
            </w:r>
          </w:p>
        </w:tc>
      </w:tr>
      <w:tr w:rsidR="00360149" w:rsidRPr="000016B8" w14:paraId="09E25F5A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2846F4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6C0E0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553 154 0007</w:t>
            </w:r>
          </w:p>
        </w:tc>
        <w:tc>
          <w:tcPr>
            <w:tcW w:w="2438" w:type="dxa"/>
            <w:vAlign w:val="center"/>
          </w:tcPr>
          <w:p w14:paraId="19924119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Litomyšl – Janov</w:t>
            </w:r>
          </w:p>
        </w:tc>
        <w:tc>
          <w:tcPr>
            <w:tcW w:w="1134" w:type="dxa"/>
            <w:gridSpan w:val="2"/>
            <w:vAlign w:val="center"/>
          </w:tcPr>
          <w:p w14:paraId="1AD808E4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10,350</w:t>
            </w:r>
          </w:p>
        </w:tc>
        <w:tc>
          <w:tcPr>
            <w:tcW w:w="1843" w:type="dxa"/>
            <w:gridSpan w:val="2"/>
            <w:vAlign w:val="center"/>
          </w:tcPr>
          <w:p w14:paraId="6CD9DE21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836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11</w:t>
            </w:r>
            <w:r w:rsidR="00BC1C53" w:rsidRPr="000016B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7D2B86E1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2025–202</w:t>
            </w:r>
            <w:r w:rsidR="00CD3F33" w:rsidRPr="000016B8">
              <w:rPr>
                <w:rFonts w:cs="Calibri"/>
                <w:sz w:val="20"/>
                <w:szCs w:val="20"/>
              </w:rPr>
              <w:t>7</w:t>
            </w:r>
          </w:p>
        </w:tc>
      </w:tr>
      <w:tr w:rsidR="00360149" w:rsidRPr="000016B8" w14:paraId="46293819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70ABAE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6FD97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553 154 0008</w:t>
            </w:r>
          </w:p>
        </w:tc>
        <w:tc>
          <w:tcPr>
            <w:tcW w:w="2438" w:type="dxa"/>
            <w:vAlign w:val="center"/>
          </w:tcPr>
          <w:p w14:paraId="04EB595C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Janov – Opatovec</w:t>
            </w:r>
          </w:p>
        </w:tc>
        <w:tc>
          <w:tcPr>
            <w:tcW w:w="1134" w:type="dxa"/>
            <w:gridSpan w:val="2"/>
            <w:vAlign w:val="center"/>
          </w:tcPr>
          <w:p w14:paraId="53CFC72F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11,750</w:t>
            </w:r>
          </w:p>
        </w:tc>
        <w:tc>
          <w:tcPr>
            <w:tcW w:w="1843" w:type="dxa"/>
            <w:gridSpan w:val="2"/>
            <w:vAlign w:val="center"/>
          </w:tcPr>
          <w:p w14:paraId="651928B8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4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516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3</w:t>
            </w:r>
            <w:r w:rsidR="00BC1C53" w:rsidRPr="000016B8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530" w:type="dxa"/>
            <w:gridSpan w:val="2"/>
            <w:vAlign w:val="center"/>
          </w:tcPr>
          <w:p w14:paraId="113C0219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2022–2026</w:t>
            </w:r>
          </w:p>
        </w:tc>
      </w:tr>
      <w:tr w:rsidR="00360149" w:rsidRPr="000016B8" w14:paraId="25FEFC4C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59E7B5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ACF51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553 154 0009</w:t>
            </w:r>
          </w:p>
        </w:tc>
        <w:tc>
          <w:tcPr>
            <w:tcW w:w="2438" w:type="dxa"/>
            <w:vAlign w:val="center"/>
          </w:tcPr>
          <w:p w14:paraId="4990119E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Opatovec – Staré Město</w:t>
            </w:r>
          </w:p>
        </w:tc>
        <w:tc>
          <w:tcPr>
            <w:tcW w:w="1134" w:type="dxa"/>
            <w:gridSpan w:val="2"/>
            <w:vAlign w:val="center"/>
          </w:tcPr>
          <w:p w14:paraId="3700C745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16,600</w:t>
            </w:r>
          </w:p>
        </w:tc>
        <w:tc>
          <w:tcPr>
            <w:tcW w:w="1843" w:type="dxa"/>
            <w:gridSpan w:val="2"/>
            <w:vAlign w:val="center"/>
          </w:tcPr>
          <w:p w14:paraId="33E978FC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21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175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0</w:t>
            </w:r>
            <w:r w:rsidR="00BC1C53" w:rsidRPr="000016B8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530" w:type="dxa"/>
            <w:gridSpan w:val="2"/>
            <w:vAlign w:val="center"/>
          </w:tcPr>
          <w:p w14:paraId="1ED32A00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2025–2030</w:t>
            </w:r>
          </w:p>
        </w:tc>
      </w:tr>
      <w:tr w:rsidR="00360149" w:rsidRPr="000016B8" w14:paraId="77BD2211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21AF39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BFFB7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500 155 0024</w:t>
            </w:r>
          </w:p>
        </w:tc>
        <w:tc>
          <w:tcPr>
            <w:tcW w:w="2438" w:type="dxa"/>
            <w:vAlign w:val="center"/>
          </w:tcPr>
          <w:p w14:paraId="7B9DD96E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Staré Město – Mohelnice</w:t>
            </w:r>
          </w:p>
        </w:tc>
        <w:tc>
          <w:tcPr>
            <w:tcW w:w="1134" w:type="dxa"/>
            <w:gridSpan w:val="2"/>
            <w:vAlign w:val="center"/>
          </w:tcPr>
          <w:p w14:paraId="71AB5BE0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18,360</w:t>
            </w:r>
          </w:p>
        </w:tc>
        <w:tc>
          <w:tcPr>
            <w:tcW w:w="1843" w:type="dxa"/>
            <w:gridSpan w:val="2"/>
            <w:vAlign w:val="center"/>
          </w:tcPr>
          <w:p w14:paraId="55F09796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18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790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76</w:t>
            </w:r>
            <w:r w:rsidR="00BC1C53" w:rsidRPr="000016B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14:paraId="09F42F09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2025–2030</w:t>
            </w:r>
          </w:p>
        </w:tc>
      </w:tr>
      <w:tr w:rsidR="00360149" w:rsidRPr="000016B8" w14:paraId="4D55366F" w14:textId="77777777" w:rsidTr="00CF5C0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D0D00D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A4F86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327 231 1003</w:t>
            </w:r>
          </w:p>
        </w:tc>
        <w:tc>
          <w:tcPr>
            <w:tcW w:w="2438" w:type="dxa"/>
            <w:vAlign w:val="center"/>
          </w:tcPr>
          <w:p w14:paraId="7259A87C" w14:textId="77777777" w:rsidR="009D7C3A" w:rsidRPr="000016B8" w:rsidRDefault="002A4F69" w:rsidP="000016B8">
            <w:pPr>
              <w:jc w:val="lef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Křelov – Slavonín, 2. etapa</w:t>
            </w:r>
          </w:p>
        </w:tc>
        <w:tc>
          <w:tcPr>
            <w:tcW w:w="1134" w:type="dxa"/>
            <w:gridSpan w:val="2"/>
            <w:vAlign w:val="center"/>
          </w:tcPr>
          <w:p w14:paraId="74A190F5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3,250</w:t>
            </w:r>
          </w:p>
        </w:tc>
        <w:tc>
          <w:tcPr>
            <w:tcW w:w="1843" w:type="dxa"/>
            <w:gridSpan w:val="2"/>
            <w:vAlign w:val="center"/>
          </w:tcPr>
          <w:p w14:paraId="75430734" w14:textId="77777777" w:rsidR="009D7C3A" w:rsidRPr="000016B8" w:rsidRDefault="002A4F69" w:rsidP="000016B8">
            <w:pPr>
              <w:ind w:right="142"/>
              <w:jc w:val="right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1</w:t>
            </w:r>
            <w:r w:rsidR="00BC1C53" w:rsidRPr="000016B8">
              <w:rPr>
                <w:rFonts w:cs="Calibri"/>
                <w:sz w:val="20"/>
                <w:szCs w:val="20"/>
              </w:rPr>
              <w:t> </w:t>
            </w:r>
            <w:r w:rsidRPr="000016B8">
              <w:rPr>
                <w:rFonts w:cs="Calibri"/>
                <w:sz w:val="20"/>
                <w:szCs w:val="20"/>
              </w:rPr>
              <w:t>657</w:t>
            </w:r>
            <w:r w:rsidR="00BC1C53" w:rsidRPr="000016B8">
              <w:rPr>
                <w:rFonts w:cs="Calibri"/>
                <w:sz w:val="20"/>
                <w:szCs w:val="20"/>
              </w:rPr>
              <w:t>,</w:t>
            </w:r>
            <w:r w:rsidRPr="000016B8">
              <w:rPr>
                <w:rFonts w:cs="Calibri"/>
                <w:sz w:val="20"/>
                <w:szCs w:val="20"/>
              </w:rPr>
              <w:t>15</w:t>
            </w:r>
            <w:r w:rsidR="00BC1C53" w:rsidRPr="000016B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27784E01" w14:textId="77777777" w:rsidR="009D7C3A" w:rsidRPr="000016B8" w:rsidRDefault="002A4F69" w:rsidP="000016B8">
            <w:pPr>
              <w:jc w:val="center"/>
              <w:rPr>
                <w:rFonts w:cs="Calibri"/>
                <w:sz w:val="20"/>
                <w:szCs w:val="20"/>
              </w:rPr>
            </w:pPr>
            <w:r w:rsidRPr="000016B8">
              <w:rPr>
                <w:rFonts w:cs="Calibri"/>
                <w:sz w:val="20"/>
                <w:szCs w:val="20"/>
              </w:rPr>
              <w:t>2024–2027</w:t>
            </w:r>
          </w:p>
        </w:tc>
      </w:tr>
      <w:tr w:rsidR="00B04C75" w:rsidRPr="000016B8" w14:paraId="02A422D2" w14:textId="77777777" w:rsidTr="00CF5C09">
        <w:trPr>
          <w:jc w:val="center"/>
        </w:trPr>
        <w:tc>
          <w:tcPr>
            <w:tcW w:w="4566" w:type="dxa"/>
            <w:gridSpan w:val="4"/>
            <w:shd w:val="clear" w:color="auto" w:fill="auto"/>
            <w:vAlign w:val="center"/>
          </w:tcPr>
          <w:p w14:paraId="59161165" w14:textId="77777777" w:rsidR="00B04C75" w:rsidRPr="000016B8" w:rsidRDefault="00B04C75" w:rsidP="000016B8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Celkem</w:t>
            </w:r>
          </w:p>
        </w:tc>
        <w:tc>
          <w:tcPr>
            <w:tcW w:w="1134" w:type="dxa"/>
            <w:gridSpan w:val="2"/>
            <w:vAlign w:val="center"/>
          </w:tcPr>
          <w:p w14:paraId="3EA63E10" w14:textId="77777777" w:rsidR="00B04C75" w:rsidRPr="000016B8" w:rsidRDefault="00B04C75" w:rsidP="000016B8">
            <w:pPr>
              <w:ind w:right="142"/>
              <w:jc w:val="right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147,334</w:t>
            </w:r>
          </w:p>
        </w:tc>
        <w:tc>
          <w:tcPr>
            <w:tcW w:w="1843" w:type="dxa"/>
            <w:gridSpan w:val="2"/>
            <w:vAlign w:val="center"/>
          </w:tcPr>
          <w:p w14:paraId="0AA7B4A5" w14:textId="77777777" w:rsidR="00B04C75" w:rsidRPr="000016B8" w:rsidRDefault="00B04C75" w:rsidP="000016B8">
            <w:pPr>
              <w:ind w:right="142"/>
              <w:jc w:val="right"/>
              <w:rPr>
                <w:rFonts w:cs="Calibri"/>
                <w:b/>
                <w:sz w:val="20"/>
                <w:szCs w:val="20"/>
              </w:rPr>
            </w:pPr>
            <w:r w:rsidRPr="000016B8">
              <w:rPr>
                <w:rFonts w:cs="Calibri"/>
                <w:b/>
                <w:sz w:val="20"/>
                <w:szCs w:val="20"/>
              </w:rPr>
              <w:t>96 559,099</w:t>
            </w:r>
          </w:p>
        </w:tc>
        <w:tc>
          <w:tcPr>
            <w:tcW w:w="1524" w:type="dxa"/>
            <w:vAlign w:val="center"/>
          </w:tcPr>
          <w:p w14:paraId="5EC9E6B2" w14:textId="77777777" w:rsidR="00B04C75" w:rsidRPr="000016B8" w:rsidRDefault="00B04C75" w:rsidP="000016B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DD871D5" w14:textId="77777777" w:rsidR="004277E8" w:rsidRPr="000016B8" w:rsidRDefault="002A4F69" w:rsidP="000016B8">
      <w:pPr>
        <w:spacing w:before="40"/>
        <w:rPr>
          <w:sz w:val="20"/>
        </w:rPr>
      </w:pPr>
      <w:r w:rsidRPr="000016B8">
        <w:rPr>
          <w:b/>
          <w:sz w:val="20"/>
        </w:rPr>
        <w:t>Zdroj:</w:t>
      </w:r>
      <w:r w:rsidRPr="000016B8">
        <w:rPr>
          <w:sz w:val="20"/>
        </w:rPr>
        <w:t xml:space="preserve"> </w:t>
      </w:r>
      <w:r w:rsidR="00EB75C4">
        <w:rPr>
          <w:sz w:val="20"/>
        </w:rPr>
        <w:t>i</w:t>
      </w:r>
      <w:r w:rsidRPr="000016B8">
        <w:rPr>
          <w:sz w:val="20"/>
        </w:rPr>
        <w:t>nformace ŘSD</w:t>
      </w:r>
      <w:r w:rsidR="00EB75C4">
        <w:rPr>
          <w:sz w:val="20"/>
        </w:rPr>
        <w:t>.</w:t>
      </w:r>
    </w:p>
    <w:p w14:paraId="2393E448" w14:textId="77777777" w:rsidR="004277E8" w:rsidRDefault="004277E8" w:rsidP="00731D38"/>
    <w:p w14:paraId="7BA957EC" w14:textId="77777777" w:rsidR="004277E8" w:rsidRDefault="004277E8" w:rsidP="00731D38"/>
    <w:p w14:paraId="2A9EFAA9" w14:textId="77777777" w:rsidR="004277E8" w:rsidRPr="00731D38" w:rsidRDefault="004277E8" w:rsidP="00731D38"/>
    <w:sectPr w:rsidR="004277E8" w:rsidRPr="00731D38" w:rsidSect="0037193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8A46" w14:textId="77777777" w:rsidR="00170748" w:rsidRDefault="00170748">
      <w:r>
        <w:separator/>
      </w:r>
    </w:p>
  </w:endnote>
  <w:endnote w:type="continuationSeparator" w:id="0">
    <w:p w14:paraId="4FF14F75" w14:textId="77777777" w:rsidR="00170748" w:rsidRDefault="00170748">
      <w:r>
        <w:continuationSeparator/>
      </w:r>
    </w:p>
  </w:endnote>
  <w:endnote w:type="continuationNotice" w:id="1">
    <w:p w14:paraId="52C7962B" w14:textId="77777777" w:rsidR="005D6A47" w:rsidRDefault="005D6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30CE" w14:textId="77777777" w:rsidR="00170748" w:rsidRPr="0037193B" w:rsidRDefault="00170748" w:rsidP="00B440E8">
    <w:pPr>
      <w:pStyle w:val="Zpat"/>
      <w:jc w:val="center"/>
      <w:rPr>
        <w:rFonts w:cstheme="minorHAnsi"/>
        <w:color w:val="000000" w:themeColor="text1"/>
        <w:sz w:val="20"/>
      </w:rPr>
    </w:pPr>
    <w:r w:rsidRPr="0037193B">
      <w:rPr>
        <w:rStyle w:val="slostrnky"/>
        <w:rFonts w:cstheme="minorHAnsi"/>
        <w:color w:val="000000" w:themeColor="text1"/>
      </w:rPr>
      <w:fldChar w:fldCharType="begin"/>
    </w:r>
    <w:r w:rsidRPr="0037193B">
      <w:rPr>
        <w:rStyle w:val="slostrnky"/>
        <w:rFonts w:cstheme="minorHAnsi"/>
        <w:color w:val="000000" w:themeColor="text1"/>
      </w:rPr>
      <w:instrText xml:space="preserve"> PAGE </w:instrText>
    </w:r>
    <w:r w:rsidRPr="0037193B">
      <w:rPr>
        <w:rStyle w:val="slostrnky"/>
        <w:rFonts w:cstheme="minorHAnsi"/>
        <w:color w:val="000000" w:themeColor="text1"/>
      </w:rPr>
      <w:fldChar w:fldCharType="separate"/>
    </w:r>
    <w:r w:rsidRPr="0037193B">
      <w:rPr>
        <w:rStyle w:val="slostrnky"/>
        <w:rFonts w:cstheme="minorHAnsi"/>
        <w:color w:val="000000" w:themeColor="text1"/>
      </w:rPr>
      <w:t>18</w:t>
    </w:r>
    <w:r w:rsidRPr="0037193B">
      <w:rPr>
        <w:rStyle w:val="slostrnky"/>
        <w:rFonts w:cstheme="minorHAnsi"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11C7" w14:textId="77777777" w:rsidR="00170748" w:rsidRDefault="00170748" w:rsidP="0037193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06B7" w14:textId="77777777" w:rsidR="00170748" w:rsidRPr="0037193B" w:rsidRDefault="00170748" w:rsidP="00B440E8">
    <w:pPr>
      <w:pStyle w:val="Zpat"/>
      <w:jc w:val="center"/>
      <w:rPr>
        <w:rFonts w:cstheme="minorHAnsi"/>
        <w:color w:val="000000" w:themeColor="text1"/>
        <w:sz w:val="20"/>
      </w:rPr>
    </w:pPr>
    <w:r w:rsidRPr="0037193B">
      <w:rPr>
        <w:rStyle w:val="slostrnky"/>
        <w:rFonts w:cstheme="minorHAnsi"/>
        <w:color w:val="000000" w:themeColor="text1"/>
      </w:rPr>
      <w:fldChar w:fldCharType="begin"/>
    </w:r>
    <w:r w:rsidRPr="0037193B">
      <w:rPr>
        <w:rStyle w:val="slostrnky"/>
        <w:rFonts w:cstheme="minorHAnsi"/>
        <w:color w:val="000000" w:themeColor="text1"/>
      </w:rPr>
      <w:instrText xml:space="preserve"> PAGE </w:instrText>
    </w:r>
    <w:r w:rsidRPr="0037193B">
      <w:rPr>
        <w:rStyle w:val="slostrnky"/>
        <w:rFonts w:cstheme="minorHAnsi"/>
        <w:color w:val="000000" w:themeColor="text1"/>
      </w:rPr>
      <w:fldChar w:fldCharType="separate"/>
    </w:r>
    <w:r w:rsidRPr="0037193B">
      <w:rPr>
        <w:rStyle w:val="slostrnky"/>
        <w:rFonts w:cstheme="minorHAnsi"/>
        <w:color w:val="000000" w:themeColor="text1"/>
      </w:rPr>
      <w:t>18</w:t>
    </w:r>
    <w:r w:rsidRPr="0037193B">
      <w:rPr>
        <w:rStyle w:val="slostrnky"/>
        <w:rFonts w:cstheme="minorHAnsi"/>
        <w:color w:val="000000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139430"/>
      <w:docPartObj>
        <w:docPartGallery w:val="Page Numbers (Bottom of Page)"/>
        <w:docPartUnique/>
      </w:docPartObj>
    </w:sdtPr>
    <w:sdtEndPr/>
    <w:sdtContent>
      <w:p w14:paraId="4D97BC0F" w14:textId="77777777" w:rsidR="00170748" w:rsidRDefault="00170748" w:rsidP="003719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8902B" w14:textId="77777777" w:rsidR="00170748" w:rsidRDefault="00170748" w:rsidP="00BD4334">
      <w:r>
        <w:separator/>
      </w:r>
    </w:p>
  </w:footnote>
  <w:footnote w:type="continuationSeparator" w:id="0">
    <w:p w14:paraId="74D148D0" w14:textId="77777777" w:rsidR="00170748" w:rsidRDefault="00170748" w:rsidP="00BD4334">
      <w:r>
        <w:continuationSeparator/>
      </w:r>
    </w:p>
  </w:footnote>
  <w:footnote w:type="continuationNotice" w:id="1">
    <w:p w14:paraId="77A1BF85" w14:textId="77777777" w:rsidR="005D6A47" w:rsidRDefault="005D6A47"/>
  </w:footnote>
  <w:footnote w:id="2">
    <w:p w14:paraId="56540F95" w14:textId="77777777" w:rsidR="00170748" w:rsidRDefault="00170748" w:rsidP="004B7654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 xml:space="preserve">Ustanovení </w:t>
      </w:r>
      <w:r w:rsidRPr="006C6B86">
        <w:t xml:space="preserve">§ 4 </w:t>
      </w:r>
      <w:r w:rsidRPr="00565B11">
        <w:t>odst. 1</w:t>
      </w:r>
      <w:r>
        <w:t xml:space="preserve"> </w:t>
      </w:r>
      <w:r w:rsidRPr="006C6B86">
        <w:t>zákona č. 13/1997 Sb., o pozemních komunikacích</w:t>
      </w:r>
      <w:r w:rsidRPr="00565B11">
        <w:t>.</w:t>
      </w:r>
    </w:p>
  </w:footnote>
  <w:footnote w:id="3">
    <w:p w14:paraId="71E6AF5A" w14:textId="77777777" w:rsidR="00170748" w:rsidRDefault="00170748" w:rsidP="004B7654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6C6B86">
        <w:t>Dálnice II. třídy jsou v zásadě bývalé silnice I. třídy, které byly rychlostními silnicemi a které byly novelou zákona č. 13/1997 Sb. přeřazeny od 1. 1. 2016 do kategorie dálnic.</w:t>
      </w:r>
    </w:p>
  </w:footnote>
  <w:footnote w:id="4">
    <w:p w14:paraId="39E202F0" w14:textId="77777777" w:rsidR="00170748" w:rsidRDefault="00170748" w:rsidP="004B7654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3E17E6">
        <w:t>TEN-T – Trans-</w:t>
      </w:r>
      <w:proofErr w:type="spellStart"/>
      <w:r w:rsidRPr="003E17E6">
        <w:t>European</w:t>
      </w:r>
      <w:proofErr w:type="spellEnd"/>
      <w:r w:rsidRPr="003E17E6">
        <w:t xml:space="preserve"> Transport Network, Transevropská dopravní síť</w:t>
      </w:r>
      <w:r w:rsidRPr="00565B11">
        <w:t>.</w:t>
      </w:r>
    </w:p>
  </w:footnote>
  <w:footnote w:id="5">
    <w:p w14:paraId="2E9772C0" w14:textId="77777777" w:rsidR="00170748" w:rsidRDefault="00170748" w:rsidP="004B7654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Délka dálnice je upřesňována v závislosti na postupu přípravy jednotlivých úseků.</w:t>
      </w:r>
    </w:p>
  </w:footnote>
  <w:footnote w:id="6">
    <w:p w14:paraId="031A071F" w14:textId="77777777" w:rsidR="00170748" w:rsidRPr="002B6576" w:rsidRDefault="00170748" w:rsidP="00302AA6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 xml:space="preserve">Příprava a výstavba byla prověřována u úseků </w:t>
      </w:r>
      <w:r w:rsidRPr="007A1C8B">
        <w:rPr>
          <w:i/>
        </w:rPr>
        <w:t>D35 Opatovice – Časy</w:t>
      </w:r>
      <w:r>
        <w:t xml:space="preserve"> a</w:t>
      </w:r>
      <w:r w:rsidRPr="007A1C8B">
        <w:t xml:space="preserve"> D35 </w:t>
      </w:r>
      <w:r w:rsidRPr="007A1C8B">
        <w:rPr>
          <w:i/>
        </w:rPr>
        <w:t>Časy – Ostrov</w:t>
      </w:r>
      <w:r>
        <w:t>.</w:t>
      </w:r>
    </w:p>
  </w:footnote>
  <w:footnote w:id="7">
    <w:p w14:paraId="188FDBCC" w14:textId="77777777" w:rsidR="00170748" w:rsidRDefault="00170748" w:rsidP="00302AA6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01C8B">
        <w:t xml:space="preserve">Usnesení vlády ČSSR ze dne 10. 4. 1963 č. 286, </w:t>
      </w:r>
      <w:r w:rsidRPr="009D3CDE">
        <w:rPr>
          <w:i/>
        </w:rPr>
        <w:t>o koncepci dlouhodobého rozvoje silniční sítě a místních komunikací</w:t>
      </w:r>
      <w:r w:rsidRPr="00565B11">
        <w:t>.</w:t>
      </w:r>
    </w:p>
  </w:footnote>
  <w:footnote w:id="8">
    <w:p w14:paraId="61EFE90B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D11C7">
        <w:t xml:space="preserve">Usnesení vlády </w:t>
      </w:r>
      <w:r w:rsidRPr="00565B11">
        <w:t>ČR</w:t>
      </w:r>
      <w:r>
        <w:t xml:space="preserve"> </w:t>
      </w:r>
      <w:r w:rsidRPr="005D11C7">
        <w:t xml:space="preserve">ze dne 10. 11. 1993 č. 631, </w:t>
      </w:r>
      <w:r w:rsidRPr="009D3CDE">
        <w:rPr>
          <w:i/>
        </w:rPr>
        <w:t>o rozvoji dálnic a čtyřpruhových silnic pro motorová vozidla v České republice do roku 2005</w:t>
      </w:r>
      <w:r w:rsidRPr="00565B11">
        <w:t>.</w:t>
      </w:r>
    </w:p>
  </w:footnote>
  <w:footnote w:id="9">
    <w:p w14:paraId="4BCC23DC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 xml:space="preserve">Jak vyplývá z důvodové zprávy č.j. 972/93, dálnice D35 byla vypuštěna ze sítě dálnic a nahrazena silnicí pro motorová vozidla s odůvodněním, že dálnice D35 je vnitrostátní, pouze republikového významu, </w:t>
      </w:r>
      <w:r>
        <w:br/>
        <w:t>přičemž všechny dálnice měly sledovat napojení na sítě dálnic sousedních států, a že její část v úseku Mohelnice–Olomouc</w:t>
      </w:r>
      <w:r w:rsidRPr="002412B6">
        <w:rPr>
          <w:spacing w:val="-20"/>
        </w:rPr>
        <w:t xml:space="preserve"> </w:t>
      </w:r>
      <w:r>
        <w:t>již</w:t>
      </w:r>
      <w:r w:rsidRPr="002412B6">
        <w:rPr>
          <w:spacing w:val="-20"/>
        </w:rPr>
        <w:t xml:space="preserve"> </w:t>
      </w:r>
      <w:r>
        <w:t>byla</w:t>
      </w:r>
      <w:r w:rsidRPr="002412B6">
        <w:rPr>
          <w:spacing w:val="-20"/>
        </w:rPr>
        <w:t xml:space="preserve"> </w:t>
      </w:r>
      <w:r>
        <w:t>vybudována</w:t>
      </w:r>
      <w:r w:rsidRPr="002412B6">
        <w:rPr>
          <w:spacing w:val="-20"/>
        </w:rPr>
        <w:t xml:space="preserve"> </w:t>
      </w:r>
      <w:r>
        <w:t>jako</w:t>
      </w:r>
      <w:r w:rsidRPr="002412B6">
        <w:rPr>
          <w:spacing w:val="-20"/>
        </w:rPr>
        <w:t xml:space="preserve"> </w:t>
      </w:r>
      <w:r>
        <w:t>silnice</w:t>
      </w:r>
      <w:r w:rsidRPr="002412B6">
        <w:rPr>
          <w:spacing w:val="-20"/>
        </w:rPr>
        <w:t xml:space="preserve"> </w:t>
      </w:r>
      <w:r>
        <w:t>pro</w:t>
      </w:r>
      <w:r w:rsidRPr="002412B6">
        <w:rPr>
          <w:spacing w:val="-20"/>
        </w:rPr>
        <w:t xml:space="preserve"> </w:t>
      </w:r>
      <w:r>
        <w:t>motorová</w:t>
      </w:r>
      <w:r w:rsidRPr="002412B6">
        <w:rPr>
          <w:spacing w:val="-20"/>
        </w:rPr>
        <w:t xml:space="preserve"> </w:t>
      </w:r>
      <w:r>
        <w:t>vozidla</w:t>
      </w:r>
      <w:r w:rsidRPr="002412B6">
        <w:rPr>
          <w:spacing w:val="-20"/>
        </w:rPr>
        <w:t xml:space="preserve"> </w:t>
      </w:r>
      <w:r>
        <w:t>pod</w:t>
      </w:r>
      <w:r w:rsidRPr="002412B6">
        <w:rPr>
          <w:spacing w:val="-20"/>
        </w:rPr>
        <w:t xml:space="preserve"> </w:t>
      </w:r>
      <w:r>
        <w:t>číslem</w:t>
      </w:r>
      <w:r w:rsidRPr="002412B6">
        <w:rPr>
          <w:spacing w:val="-20"/>
        </w:rPr>
        <w:t xml:space="preserve"> </w:t>
      </w:r>
      <w:r>
        <w:t>I/35.</w:t>
      </w:r>
      <w:r w:rsidRPr="002412B6">
        <w:rPr>
          <w:spacing w:val="-20"/>
        </w:rPr>
        <w:t xml:space="preserve"> </w:t>
      </w:r>
      <w:r>
        <w:t>Z</w:t>
      </w:r>
      <w:r w:rsidRPr="002412B6">
        <w:rPr>
          <w:spacing w:val="-20"/>
        </w:rPr>
        <w:t xml:space="preserve"> </w:t>
      </w:r>
      <w:r>
        <w:t>důvodové</w:t>
      </w:r>
      <w:r w:rsidRPr="002412B6">
        <w:rPr>
          <w:spacing w:val="-20"/>
        </w:rPr>
        <w:t xml:space="preserve"> </w:t>
      </w:r>
      <w:r>
        <w:rPr>
          <w:spacing w:val="-20"/>
        </w:rPr>
        <w:br/>
      </w:r>
      <w:r>
        <w:t>zprávy</w:t>
      </w:r>
      <w:r w:rsidRPr="002412B6">
        <w:rPr>
          <w:spacing w:val="-20"/>
        </w:rPr>
        <w:t xml:space="preserve"> </w:t>
      </w:r>
      <w:r>
        <w:t>dále</w:t>
      </w:r>
      <w:r w:rsidRPr="002412B6">
        <w:rPr>
          <w:spacing w:val="-20"/>
        </w:rPr>
        <w:t xml:space="preserve"> </w:t>
      </w:r>
      <w:r>
        <w:t>vyplývá, že zatímco šířka čtyřpruhové dálnice byla 26,5 m, u čtyřpruhových silnic pro motorová vozidla bylo možné využít šířky 22,5 m nebo 24,5 m. Užití nižších parametrů mělo umožnit snížení nákladů o 15–20 %.</w:t>
      </w:r>
    </w:p>
  </w:footnote>
  <w:footnote w:id="10">
    <w:p w14:paraId="71889918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05585D">
        <w:t xml:space="preserve">Usnesení vlády </w:t>
      </w:r>
      <w:r w:rsidRPr="00565B11">
        <w:t>ČR</w:t>
      </w:r>
      <w:r w:rsidRPr="0005585D">
        <w:t xml:space="preserve"> ze dne 14. 2. 2001 č. 145, </w:t>
      </w:r>
      <w:r w:rsidRPr="009D3CDE">
        <w:rPr>
          <w:i/>
        </w:rPr>
        <w:t>k návrhu Harmonogramu a finančního zajištění realizace Návrhu rozvoje dopravních sítí v České republice do roku 2010</w:t>
      </w:r>
      <w:r w:rsidRPr="00565B11">
        <w:t>.</w:t>
      </w:r>
    </w:p>
  </w:footnote>
  <w:footnote w:id="11">
    <w:p w14:paraId="20661652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D72A6B">
        <w:t>Zákon č. 268/2015 Sb., kterým se mění zákon č. 13/1997 Sb., o pozemních komunikacích, ve znění pozdějších předpisů, zákon č. 361/2000 Sb., o provozu na pozemních komunikacích a o změnách některých zákonů (zákon o silničním provozu), ve znění pozdějších předpisů, a další související zákony</w:t>
      </w:r>
      <w:r w:rsidRPr="00565B11">
        <w:t>.</w:t>
      </w:r>
    </w:p>
  </w:footnote>
  <w:footnote w:id="12">
    <w:p w14:paraId="07731126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D72A6B">
        <w:t>Podle článku II, zákona č. 268/2015 Sb., se silnice I. třídy, které byly rychlostními silnicemi podle zákona č.</w:t>
      </w:r>
      <w:r>
        <w:t> </w:t>
      </w:r>
      <w:r w:rsidRPr="00D72A6B">
        <w:t>13/1997 Sb., považují za dálnice II. třídy, pokud mají směrově oddělené jízdní pásy, nebo jsou zařazeny do transevropské silniční sítě.</w:t>
      </w:r>
    </w:p>
  </w:footnote>
  <w:footnote w:id="13">
    <w:p w14:paraId="64658B9C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6B2007">
        <w:t xml:space="preserve">Usnesení vlády </w:t>
      </w:r>
      <w:r w:rsidRPr="00565B11">
        <w:t>ČR</w:t>
      </w:r>
      <w:r w:rsidRPr="006B2007">
        <w:t xml:space="preserve"> ze dne 12. 6. 2013 č. 449, </w:t>
      </w:r>
      <w:r w:rsidRPr="009D3CDE">
        <w:rPr>
          <w:i/>
        </w:rPr>
        <w:t>k Dopravní politice České republiky pro období let 2014 až 2020 s výhledem do roku 2050</w:t>
      </w:r>
      <w:r w:rsidRPr="00565B11">
        <w:t>.</w:t>
      </w:r>
    </w:p>
  </w:footnote>
  <w:footnote w:id="14">
    <w:p w14:paraId="26A9D157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135818">
        <w:t xml:space="preserve">Usnesení vlády </w:t>
      </w:r>
      <w:r w:rsidRPr="00565B11">
        <w:t>ČR</w:t>
      </w:r>
      <w:r w:rsidRPr="00135818">
        <w:t xml:space="preserve"> ze dne 13.</w:t>
      </w:r>
      <w:r>
        <w:t xml:space="preserve"> </w:t>
      </w:r>
      <w:r w:rsidRPr="00135818">
        <w:t>11. 2013 č.</w:t>
      </w:r>
      <w:r>
        <w:t xml:space="preserve"> </w:t>
      </w:r>
      <w:r w:rsidRPr="00135818">
        <w:t xml:space="preserve">850, </w:t>
      </w:r>
      <w:r w:rsidRPr="009D3CDE">
        <w:rPr>
          <w:i/>
        </w:rPr>
        <w:t>o Dopravních sektorových strategiích, 2. fáze</w:t>
      </w:r>
      <w:r w:rsidRPr="00565B11">
        <w:t>.</w:t>
      </w:r>
    </w:p>
  </w:footnote>
  <w:footnote w:id="15">
    <w:p w14:paraId="5BD0BF22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135818">
        <w:t xml:space="preserve">Usnesení vlády </w:t>
      </w:r>
      <w:r w:rsidRPr="00565B11">
        <w:t>ČR</w:t>
      </w:r>
      <w:r w:rsidRPr="00135818">
        <w:t xml:space="preserve"> ze dne</w:t>
      </w:r>
      <w:r>
        <w:t xml:space="preserve"> </w:t>
      </w:r>
      <w:r w:rsidRPr="00D76EEF">
        <w:t xml:space="preserve">27. </w:t>
      </w:r>
      <w:r>
        <w:t>2.</w:t>
      </w:r>
      <w:r w:rsidRPr="00D76EEF">
        <w:t xml:space="preserve"> 2018 č. 136</w:t>
      </w:r>
      <w:r>
        <w:t xml:space="preserve">, </w:t>
      </w:r>
      <w:r w:rsidRPr="00DD5DF7">
        <w:rPr>
          <w:i/>
        </w:rPr>
        <w:t>o Dopravních sektorových strategiích – Aktualizace 2017</w:t>
      </w:r>
      <w:r w:rsidRPr="00565B11">
        <w:t>.</w:t>
      </w:r>
    </w:p>
  </w:footnote>
  <w:footnote w:id="16">
    <w:p w14:paraId="724174F5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D</w:t>
      </w:r>
      <w:r w:rsidRPr="00F7458B">
        <w:t>ůvodem rozdělení stavby na dvě etapy byl nesouhlas obce s vedením trasy, a tedy nemožnost stabilizace trasy v územně plánovací dokumentaci.</w:t>
      </w:r>
      <w:r>
        <w:t xml:space="preserve"> K rozdělení došlo v roce 2000, tři roky po vydání rozhodnutí o umístění stavby, které nenabylo právní moci a na základě rozsudku krajského soudu bylo zrušeno.</w:t>
      </w:r>
    </w:p>
  </w:footnote>
  <w:footnote w:id="17">
    <w:p w14:paraId="5430D3A3" w14:textId="77777777" w:rsidR="00170748" w:rsidRDefault="00170748" w:rsidP="00BF488F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3B4F4A">
        <w:t>Posuzování vlivů staveb na životní prostředí (EIA – Environmental Impact Assessment) podle zákona č.</w:t>
      </w:r>
      <w:r>
        <w:t> </w:t>
      </w:r>
      <w:r w:rsidRPr="003B4F4A">
        <w:t>100/2001 Sb., o posuzování vlivů na životní prostředí a o změně některých souvisejících zákonů</w:t>
      </w:r>
      <w:r>
        <w:t xml:space="preserve"> </w:t>
      </w:r>
      <w:r w:rsidRPr="00565B11">
        <w:t>(zákon o posuzování vlivů na životní prostředí)</w:t>
      </w:r>
      <w:r w:rsidRPr="003B4F4A">
        <w:t>, resp. podle předchozího zákona č. 244/1992 Sb.</w:t>
      </w:r>
      <w:r>
        <w:t>,</w:t>
      </w:r>
      <w:r w:rsidRPr="003B4F4A">
        <w:t xml:space="preserve"> o posuzování vlivů na životní prostředí. </w:t>
      </w:r>
      <w:r w:rsidRPr="0004545A">
        <w:rPr>
          <w:color w:val="000000" w:themeColor="text1"/>
        </w:rPr>
        <w:t xml:space="preserve">Cílem zjišťovacího řízení je stanovit, zda záměr bude podléhat posouzení vlivů záměru na životní prostředí. </w:t>
      </w:r>
      <w:r w:rsidRPr="003B4F4A">
        <w:t>Posouzení vlivů záměru na životní prostředí představuje proces, který sestává z vypracování a projednání dokumentace, zpracování posudku, vydání stanoviska a jeho zahrnutí do příslušného rozhodnutí vydaného v</w:t>
      </w:r>
      <w:r>
        <w:t> </w:t>
      </w:r>
      <w:r w:rsidRPr="003B4F4A">
        <w:t>navazujícím řízení.</w:t>
      </w:r>
    </w:p>
  </w:footnote>
  <w:footnote w:id="18">
    <w:p w14:paraId="7033FF23" w14:textId="77777777" w:rsidR="00170748" w:rsidRDefault="00170748" w:rsidP="004D1C02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Zákon č. 416/2009 Sb., o urychlení výstavby dopravní, vodní a energetické infrastruktury a infrastruktury elektronických komunikací (liniový zákon)</w:t>
      </w:r>
      <w:r w:rsidRPr="00565B11">
        <w:t>.</w:t>
      </w:r>
    </w:p>
  </w:footnote>
  <w:footnote w:id="19">
    <w:p w14:paraId="15CFC346" w14:textId="77777777" w:rsidR="00170748" w:rsidRDefault="00170748" w:rsidP="004D1C02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65B11">
        <w:t>Zákon č. 405/2012 Sb., kterým se mění zákon č. 184/2006 Sb., o odnětí nebo omezení vlastnického práva k pozemku nebo ke stavbě (zákon o vyvlastnění), zákon č. 357/1992 Sb., o dani dědické, dani darovací a dani z převodu nemovitostí, ve znění pozdějších předpisů, a zákon č. 416/2009 Sb., o urychlení výstavby dopravní, vodní a energetické infrastruktury, ve znění zákona č. 209/2011 Sb.</w:t>
      </w:r>
    </w:p>
  </w:footnote>
  <w:footnote w:id="20">
    <w:p w14:paraId="5E831B16" w14:textId="77777777" w:rsidR="00170748" w:rsidRDefault="00170748" w:rsidP="004D1C02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65B11">
        <w:t>Zákon č. 178/2014 Sb., kterým se mění zákon č. 416/2009 Sb., o urychlení výstavby dopravní, vodní a energetické infrastruktury, ve znění pozdějších předpisů</w:t>
      </w:r>
      <w:r>
        <w:t>.</w:t>
      </w:r>
    </w:p>
  </w:footnote>
  <w:footnote w:id="21">
    <w:p w14:paraId="66B2FFD8" w14:textId="77777777" w:rsidR="00170748" w:rsidRDefault="00170748" w:rsidP="00020587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65B11">
        <w:t>Zákon č. 49/2016 Sb., kterým se mění zákon č. 416/2009 Sb., o urychlení výstavby dopravní, vodní a</w:t>
      </w:r>
      <w:r>
        <w:t> </w:t>
      </w:r>
      <w:r w:rsidRPr="00565B11">
        <w:t>energetické infrastruktury, ve znění pozdějších předpisů, a zákon č. 184/2006 Sb., o odnětí nebo omezení vlastnického práva k pozemku nebo ke stavbě (zákon o vyvlastnění), ve znění pozdějších předpisů</w:t>
      </w:r>
      <w:r>
        <w:t>.</w:t>
      </w:r>
    </w:p>
  </w:footnote>
  <w:footnote w:id="22">
    <w:p w14:paraId="7C0DEE09" w14:textId="77777777" w:rsidR="00170748" w:rsidRDefault="00170748" w:rsidP="00020587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4B70CB">
        <w:t xml:space="preserve">Jednalo se o stavby </w:t>
      </w:r>
      <w:r w:rsidRPr="00D324BB">
        <w:rPr>
          <w:i/>
        </w:rPr>
        <w:t>D35 Hořice – Sadová</w:t>
      </w:r>
      <w:r w:rsidRPr="004B70CB">
        <w:t xml:space="preserve">, </w:t>
      </w:r>
      <w:r w:rsidRPr="00D324BB">
        <w:rPr>
          <w:i/>
        </w:rPr>
        <w:t>D35 Opatovice – Časy</w:t>
      </w:r>
      <w:r w:rsidRPr="004B70CB">
        <w:t xml:space="preserve">, </w:t>
      </w:r>
      <w:r w:rsidRPr="00D324BB">
        <w:rPr>
          <w:i/>
        </w:rPr>
        <w:t>D35 Časy – Ostrov</w:t>
      </w:r>
      <w:r w:rsidRPr="004B70CB">
        <w:t xml:space="preserve">, </w:t>
      </w:r>
      <w:r w:rsidRPr="00D324BB">
        <w:rPr>
          <w:i/>
        </w:rPr>
        <w:t>D35 Ostrov – Vysoké Mýto</w:t>
      </w:r>
      <w:r w:rsidRPr="004B70CB">
        <w:t xml:space="preserve">, </w:t>
      </w:r>
      <w:r w:rsidRPr="00D324BB">
        <w:rPr>
          <w:i/>
        </w:rPr>
        <w:t>D35 Vysoké Mýto – Džbánov</w:t>
      </w:r>
      <w:r w:rsidRPr="004B70CB">
        <w:t xml:space="preserve">, </w:t>
      </w:r>
      <w:r w:rsidRPr="00D324BB">
        <w:rPr>
          <w:i/>
        </w:rPr>
        <w:t>D35 Džbánov – Litomyšl</w:t>
      </w:r>
      <w:r w:rsidRPr="004B70CB">
        <w:t xml:space="preserve"> a </w:t>
      </w:r>
      <w:r w:rsidRPr="00D324BB">
        <w:rPr>
          <w:i/>
        </w:rPr>
        <w:t>D35 Janov – Opatovec</w:t>
      </w:r>
      <w:r w:rsidRPr="004B70CB">
        <w:t>.</w:t>
      </w:r>
    </w:p>
  </w:footnote>
  <w:footnote w:id="23">
    <w:p w14:paraId="3D71D70A" w14:textId="77777777" w:rsidR="00170748" w:rsidRDefault="00170748" w:rsidP="00020587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65B11">
        <w:t>Ustanovení § 98</w:t>
      </w:r>
      <w:r>
        <w:t xml:space="preserve"> z</w:t>
      </w:r>
      <w:r w:rsidRPr="004F36F3">
        <w:t>ákon</w:t>
      </w:r>
      <w:r>
        <w:t>a</w:t>
      </w:r>
      <w:r w:rsidRPr="004F36F3">
        <w:t xml:space="preserve"> č. 137/2006 Sb., o veřejných zakázkách</w:t>
      </w:r>
      <w:r>
        <w:t>.</w:t>
      </w:r>
    </w:p>
  </w:footnote>
  <w:footnote w:id="24">
    <w:p w14:paraId="53537991" w14:textId="77777777" w:rsidR="00170748" w:rsidRDefault="00170748" w:rsidP="00020587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65B11">
        <w:t>Ustanovení § 101</w:t>
      </w:r>
      <w:r>
        <w:t xml:space="preserve"> zákona č. 134/2016 Sb., o zadávání veřejných zakázek.</w:t>
      </w:r>
    </w:p>
  </w:footnote>
  <w:footnote w:id="25">
    <w:p w14:paraId="446B8ED6" w14:textId="77777777" w:rsidR="00170748" w:rsidRDefault="00170748" w:rsidP="000016B8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 xml:space="preserve">Z této částky představovaly </w:t>
      </w:r>
      <w:proofErr w:type="spellStart"/>
      <w:r>
        <w:t>méněpráce</w:t>
      </w:r>
      <w:proofErr w:type="spellEnd"/>
      <w:r>
        <w:t xml:space="preserve"> </w:t>
      </w:r>
      <w:r>
        <w:rPr>
          <w:rFonts w:cs="Calibri"/>
        </w:rPr>
        <w:t>−</w:t>
      </w:r>
      <w:r w:rsidRPr="00FB664C">
        <w:t>152 801 117,02</w:t>
      </w:r>
      <w:r>
        <w:t xml:space="preserve"> Kč bez DPH a vícepráce </w:t>
      </w:r>
      <w:r w:rsidRPr="00FB664C">
        <w:t>519 039 150,65</w:t>
      </w:r>
      <w:r>
        <w:t xml:space="preserve"> Kč bez DPH.</w:t>
      </w:r>
    </w:p>
  </w:footnote>
  <w:footnote w:id="26">
    <w:p w14:paraId="6D537571" w14:textId="77777777" w:rsidR="00170748" w:rsidRDefault="00170748" w:rsidP="000016B8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FB650E">
        <w:t xml:space="preserve">Z této částky představovaly </w:t>
      </w:r>
      <w:proofErr w:type="spellStart"/>
      <w:r w:rsidRPr="00FB650E">
        <w:t>méněpráce</w:t>
      </w:r>
      <w:proofErr w:type="spellEnd"/>
      <w:r w:rsidRPr="00FB650E">
        <w:t xml:space="preserve"> </w:t>
      </w:r>
      <w:r>
        <w:rPr>
          <w:rFonts w:cs="Calibri"/>
        </w:rPr>
        <w:t>−</w:t>
      </w:r>
      <w:r w:rsidRPr="00FB650E">
        <w:t xml:space="preserve">68 209 050,79 Kč bez DPH a vícepráce 194 927 001,14 Kč </w:t>
      </w:r>
      <w:r>
        <w:t>bez</w:t>
      </w:r>
      <w:r w:rsidRPr="00FB650E">
        <w:t xml:space="preserve"> DPH.</w:t>
      </w:r>
    </w:p>
  </w:footnote>
  <w:footnote w:id="27">
    <w:p w14:paraId="35CD57C1" w14:textId="77777777" w:rsidR="00170748" w:rsidRDefault="00170748" w:rsidP="000016B8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5830D3">
        <w:t xml:space="preserve">Z této částky představovaly </w:t>
      </w:r>
      <w:proofErr w:type="spellStart"/>
      <w:r w:rsidRPr="005830D3">
        <w:t>méněpráce</w:t>
      </w:r>
      <w:proofErr w:type="spellEnd"/>
      <w:r w:rsidRPr="005830D3">
        <w:t xml:space="preserve"> </w:t>
      </w:r>
      <w:r>
        <w:rPr>
          <w:rFonts w:cs="Calibri"/>
        </w:rPr>
        <w:t>−</w:t>
      </w:r>
      <w:r w:rsidRPr="005830D3">
        <w:t>192 796 706,47 Kč bez DPH a vícepráce 836 375 840,58 Kč bez DPH.</w:t>
      </w:r>
    </w:p>
  </w:footnote>
  <w:footnote w:id="28">
    <w:p w14:paraId="21AC4994" w14:textId="77777777" w:rsidR="00170748" w:rsidRDefault="00170748" w:rsidP="000016B8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FB650E">
        <w:t xml:space="preserve">Z této částky představovaly </w:t>
      </w:r>
      <w:proofErr w:type="spellStart"/>
      <w:r w:rsidRPr="00FB650E">
        <w:t>méněpráce</w:t>
      </w:r>
      <w:proofErr w:type="spellEnd"/>
      <w:r w:rsidRPr="00FB650E">
        <w:t xml:space="preserve"> </w:t>
      </w:r>
      <w:r>
        <w:rPr>
          <w:rFonts w:cs="Calibri"/>
        </w:rPr>
        <w:t>−</w:t>
      </w:r>
      <w:r w:rsidRPr="00C916C8">
        <w:t>49 023 353,52</w:t>
      </w:r>
      <w:r w:rsidRPr="00FB650E">
        <w:t xml:space="preserve"> Kč bez DPH a vícepráce </w:t>
      </w:r>
      <w:r w:rsidRPr="00C916C8">
        <w:t>142 656 692,87</w:t>
      </w:r>
      <w:r w:rsidRPr="00FB650E">
        <w:t xml:space="preserve"> Kč </w:t>
      </w:r>
      <w:r>
        <w:t>bez</w:t>
      </w:r>
      <w:r w:rsidRPr="00FB650E">
        <w:t xml:space="preserve"> DPH.</w:t>
      </w:r>
    </w:p>
  </w:footnote>
  <w:footnote w:id="29">
    <w:p w14:paraId="698F6AA9" w14:textId="77777777" w:rsidR="00170748" w:rsidRDefault="00170748" w:rsidP="000016B8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88172A">
        <w:t xml:space="preserve">Usnesení vlády </w:t>
      </w:r>
      <w:r w:rsidRPr="00565B11">
        <w:t>ČR</w:t>
      </w:r>
      <w:r>
        <w:t xml:space="preserve"> </w:t>
      </w:r>
      <w:r w:rsidRPr="0088172A">
        <w:t xml:space="preserve">ze dne 24. 8. 2022 č. 708, </w:t>
      </w:r>
      <w:r w:rsidRPr="00105160">
        <w:rPr>
          <w:i/>
        </w:rPr>
        <w:t>o vyhodnocení dosavadního průběhu projektu PPP D4 a posouzení možností realizace části D35 formou PPP projektu</w:t>
      </w:r>
      <w:r w:rsidRPr="00565B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F793" w14:textId="77777777" w:rsidR="00170748" w:rsidRPr="0037193B" w:rsidRDefault="00170748" w:rsidP="00BD4334">
    <w:pPr>
      <w:pStyle w:val="Zhlav"/>
      <w:jc w:val="righ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95925" w14:textId="77777777" w:rsidR="00170748" w:rsidRPr="0037193B" w:rsidRDefault="00170748" w:rsidP="00731D38">
    <w:pPr>
      <w:pStyle w:val="Zhlav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0B8F" w14:textId="77777777" w:rsidR="00170748" w:rsidRPr="0037193B" w:rsidRDefault="00170748" w:rsidP="00731D38">
    <w:pPr>
      <w:pStyle w:val="Zhlav"/>
      <w:jc w:val="right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9"/>
    <w:rsid w:val="000016B8"/>
    <w:rsid w:val="00003AED"/>
    <w:rsid w:val="0000640C"/>
    <w:rsid w:val="00007349"/>
    <w:rsid w:val="0000745D"/>
    <w:rsid w:val="00010228"/>
    <w:rsid w:val="00011DEA"/>
    <w:rsid w:val="00012914"/>
    <w:rsid w:val="00020587"/>
    <w:rsid w:val="000324B3"/>
    <w:rsid w:val="0003376F"/>
    <w:rsid w:val="0003404B"/>
    <w:rsid w:val="00043A2B"/>
    <w:rsid w:val="0004545A"/>
    <w:rsid w:val="0005226A"/>
    <w:rsid w:val="0005294C"/>
    <w:rsid w:val="0005585D"/>
    <w:rsid w:val="000671BB"/>
    <w:rsid w:val="00070955"/>
    <w:rsid w:val="0007180F"/>
    <w:rsid w:val="00074CCD"/>
    <w:rsid w:val="000756FB"/>
    <w:rsid w:val="00080A4B"/>
    <w:rsid w:val="0008329C"/>
    <w:rsid w:val="0008671F"/>
    <w:rsid w:val="00086DCC"/>
    <w:rsid w:val="000A0338"/>
    <w:rsid w:val="000A05E9"/>
    <w:rsid w:val="000A19A0"/>
    <w:rsid w:val="000A2F5F"/>
    <w:rsid w:val="000A410F"/>
    <w:rsid w:val="000A672F"/>
    <w:rsid w:val="000A79C2"/>
    <w:rsid w:val="000B3477"/>
    <w:rsid w:val="000B44FC"/>
    <w:rsid w:val="000B6BFE"/>
    <w:rsid w:val="000C020A"/>
    <w:rsid w:val="000C0862"/>
    <w:rsid w:val="000C32AF"/>
    <w:rsid w:val="000D0C9A"/>
    <w:rsid w:val="000D5CB4"/>
    <w:rsid w:val="000D725E"/>
    <w:rsid w:val="000D7E5F"/>
    <w:rsid w:val="000E0759"/>
    <w:rsid w:val="000E1915"/>
    <w:rsid w:val="000E5150"/>
    <w:rsid w:val="000F013F"/>
    <w:rsid w:val="000F0D4D"/>
    <w:rsid w:val="000F1826"/>
    <w:rsid w:val="000F4419"/>
    <w:rsid w:val="000F6726"/>
    <w:rsid w:val="00103992"/>
    <w:rsid w:val="00104FD6"/>
    <w:rsid w:val="00105059"/>
    <w:rsid w:val="00105160"/>
    <w:rsid w:val="00114E2D"/>
    <w:rsid w:val="00115A34"/>
    <w:rsid w:val="00117138"/>
    <w:rsid w:val="00117A9F"/>
    <w:rsid w:val="00123599"/>
    <w:rsid w:val="00126643"/>
    <w:rsid w:val="0012674C"/>
    <w:rsid w:val="00126C42"/>
    <w:rsid w:val="001318FD"/>
    <w:rsid w:val="001354F7"/>
    <w:rsid w:val="00135818"/>
    <w:rsid w:val="00142F91"/>
    <w:rsid w:val="001440E9"/>
    <w:rsid w:val="00157CB2"/>
    <w:rsid w:val="00170748"/>
    <w:rsid w:val="00173284"/>
    <w:rsid w:val="00174FDA"/>
    <w:rsid w:val="00175062"/>
    <w:rsid w:val="00181B46"/>
    <w:rsid w:val="00183F58"/>
    <w:rsid w:val="00185AEC"/>
    <w:rsid w:val="00190EDF"/>
    <w:rsid w:val="00191B54"/>
    <w:rsid w:val="0019397D"/>
    <w:rsid w:val="00195D24"/>
    <w:rsid w:val="0019780C"/>
    <w:rsid w:val="001A409B"/>
    <w:rsid w:val="001A4C8C"/>
    <w:rsid w:val="001B1324"/>
    <w:rsid w:val="001B3AE3"/>
    <w:rsid w:val="001B47C4"/>
    <w:rsid w:val="001B4F9B"/>
    <w:rsid w:val="001B735E"/>
    <w:rsid w:val="001C0C7D"/>
    <w:rsid w:val="001C7615"/>
    <w:rsid w:val="001C7BD1"/>
    <w:rsid w:val="001D5587"/>
    <w:rsid w:val="001E00A0"/>
    <w:rsid w:val="001E3B9B"/>
    <w:rsid w:val="001E4CCC"/>
    <w:rsid w:val="001E57E2"/>
    <w:rsid w:val="001E5856"/>
    <w:rsid w:val="001F0CA0"/>
    <w:rsid w:val="00202FE2"/>
    <w:rsid w:val="0021087D"/>
    <w:rsid w:val="0021144A"/>
    <w:rsid w:val="00212937"/>
    <w:rsid w:val="00212A32"/>
    <w:rsid w:val="002208EB"/>
    <w:rsid w:val="002234C4"/>
    <w:rsid w:val="00223FDA"/>
    <w:rsid w:val="002267A3"/>
    <w:rsid w:val="00227DAA"/>
    <w:rsid w:val="00227EBA"/>
    <w:rsid w:val="00231F09"/>
    <w:rsid w:val="002412B6"/>
    <w:rsid w:val="0024131B"/>
    <w:rsid w:val="00245C3F"/>
    <w:rsid w:val="00245EB1"/>
    <w:rsid w:val="00247127"/>
    <w:rsid w:val="002513EB"/>
    <w:rsid w:val="00251859"/>
    <w:rsid w:val="00262067"/>
    <w:rsid w:val="002667F1"/>
    <w:rsid w:val="00266EE2"/>
    <w:rsid w:val="002707EB"/>
    <w:rsid w:val="00275059"/>
    <w:rsid w:val="00277032"/>
    <w:rsid w:val="00277344"/>
    <w:rsid w:val="00277AF1"/>
    <w:rsid w:val="00281739"/>
    <w:rsid w:val="00285B35"/>
    <w:rsid w:val="0029287A"/>
    <w:rsid w:val="00293B4F"/>
    <w:rsid w:val="00295A9A"/>
    <w:rsid w:val="002A086B"/>
    <w:rsid w:val="002A232D"/>
    <w:rsid w:val="002A3EA4"/>
    <w:rsid w:val="002A4F69"/>
    <w:rsid w:val="002A71E4"/>
    <w:rsid w:val="002A73C2"/>
    <w:rsid w:val="002A7B60"/>
    <w:rsid w:val="002B0C0D"/>
    <w:rsid w:val="002B36E3"/>
    <w:rsid w:val="002B5EE5"/>
    <w:rsid w:val="002B6576"/>
    <w:rsid w:val="002B67B3"/>
    <w:rsid w:val="002B6C61"/>
    <w:rsid w:val="002C063C"/>
    <w:rsid w:val="002C0D51"/>
    <w:rsid w:val="002D36D0"/>
    <w:rsid w:val="002D5612"/>
    <w:rsid w:val="002D5B1E"/>
    <w:rsid w:val="002D7B9B"/>
    <w:rsid w:val="002E3058"/>
    <w:rsid w:val="002E5840"/>
    <w:rsid w:val="002E5FD4"/>
    <w:rsid w:val="002E6D2B"/>
    <w:rsid w:val="002E7595"/>
    <w:rsid w:val="002E7622"/>
    <w:rsid w:val="002F237C"/>
    <w:rsid w:val="002F4167"/>
    <w:rsid w:val="002F781B"/>
    <w:rsid w:val="00302AA6"/>
    <w:rsid w:val="00303883"/>
    <w:rsid w:val="0030486B"/>
    <w:rsid w:val="00310C47"/>
    <w:rsid w:val="0031392F"/>
    <w:rsid w:val="00315332"/>
    <w:rsid w:val="0031546C"/>
    <w:rsid w:val="003219A8"/>
    <w:rsid w:val="00324EB5"/>
    <w:rsid w:val="003254C3"/>
    <w:rsid w:val="00332663"/>
    <w:rsid w:val="00341327"/>
    <w:rsid w:val="00343EB4"/>
    <w:rsid w:val="00345255"/>
    <w:rsid w:val="0034638F"/>
    <w:rsid w:val="003508A5"/>
    <w:rsid w:val="00352970"/>
    <w:rsid w:val="003529BB"/>
    <w:rsid w:val="003556AE"/>
    <w:rsid w:val="00360149"/>
    <w:rsid w:val="00360495"/>
    <w:rsid w:val="00361BF6"/>
    <w:rsid w:val="0036347D"/>
    <w:rsid w:val="0037193B"/>
    <w:rsid w:val="00371C51"/>
    <w:rsid w:val="003745FF"/>
    <w:rsid w:val="003752DD"/>
    <w:rsid w:val="00376FAD"/>
    <w:rsid w:val="00387BC1"/>
    <w:rsid w:val="0039245B"/>
    <w:rsid w:val="00393189"/>
    <w:rsid w:val="00393285"/>
    <w:rsid w:val="003957C3"/>
    <w:rsid w:val="0039595C"/>
    <w:rsid w:val="003A2378"/>
    <w:rsid w:val="003A5748"/>
    <w:rsid w:val="003A6E59"/>
    <w:rsid w:val="003B002F"/>
    <w:rsid w:val="003B3CAB"/>
    <w:rsid w:val="003B4F4A"/>
    <w:rsid w:val="003B7E37"/>
    <w:rsid w:val="003C385B"/>
    <w:rsid w:val="003D1D9A"/>
    <w:rsid w:val="003D51A6"/>
    <w:rsid w:val="003D682E"/>
    <w:rsid w:val="003E17E6"/>
    <w:rsid w:val="003E2112"/>
    <w:rsid w:val="003E2E7B"/>
    <w:rsid w:val="003E487C"/>
    <w:rsid w:val="003F0D66"/>
    <w:rsid w:val="003F0EDC"/>
    <w:rsid w:val="004021EC"/>
    <w:rsid w:val="0040334E"/>
    <w:rsid w:val="0040479A"/>
    <w:rsid w:val="00420C5B"/>
    <w:rsid w:val="00424B60"/>
    <w:rsid w:val="00425FCB"/>
    <w:rsid w:val="004268EA"/>
    <w:rsid w:val="004277E8"/>
    <w:rsid w:val="0043008E"/>
    <w:rsid w:val="0043095D"/>
    <w:rsid w:val="0043293F"/>
    <w:rsid w:val="004403E4"/>
    <w:rsid w:val="004431E2"/>
    <w:rsid w:val="0046236E"/>
    <w:rsid w:val="00472364"/>
    <w:rsid w:val="00473F60"/>
    <w:rsid w:val="00480FA7"/>
    <w:rsid w:val="00487B93"/>
    <w:rsid w:val="0049038F"/>
    <w:rsid w:val="00494EAC"/>
    <w:rsid w:val="004952A0"/>
    <w:rsid w:val="004A4C71"/>
    <w:rsid w:val="004A50D4"/>
    <w:rsid w:val="004A6692"/>
    <w:rsid w:val="004B0CBE"/>
    <w:rsid w:val="004B36ED"/>
    <w:rsid w:val="004B6DA2"/>
    <w:rsid w:val="004B70B3"/>
    <w:rsid w:val="004B70CB"/>
    <w:rsid w:val="004B7654"/>
    <w:rsid w:val="004C2406"/>
    <w:rsid w:val="004D07D3"/>
    <w:rsid w:val="004D0E88"/>
    <w:rsid w:val="004D1C02"/>
    <w:rsid w:val="004D4209"/>
    <w:rsid w:val="004D46DC"/>
    <w:rsid w:val="004E18B5"/>
    <w:rsid w:val="004E66C0"/>
    <w:rsid w:val="004E6947"/>
    <w:rsid w:val="004E7127"/>
    <w:rsid w:val="004E7301"/>
    <w:rsid w:val="004F05EF"/>
    <w:rsid w:val="004F0D35"/>
    <w:rsid w:val="004F0DA5"/>
    <w:rsid w:val="004F1266"/>
    <w:rsid w:val="004F36F3"/>
    <w:rsid w:val="00500FD7"/>
    <w:rsid w:val="00501C8B"/>
    <w:rsid w:val="00505A18"/>
    <w:rsid w:val="00510DC3"/>
    <w:rsid w:val="005120D6"/>
    <w:rsid w:val="00514D63"/>
    <w:rsid w:val="005150A9"/>
    <w:rsid w:val="0051655F"/>
    <w:rsid w:val="0051657D"/>
    <w:rsid w:val="00521314"/>
    <w:rsid w:val="005219DC"/>
    <w:rsid w:val="005262E1"/>
    <w:rsid w:val="0052679C"/>
    <w:rsid w:val="00527300"/>
    <w:rsid w:val="005305C0"/>
    <w:rsid w:val="00534A8E"/>
    <w:rsid w:val="005374F0"/>
    <w:rsid w:val="00541754"/>
    <w:rsid w:val="00544011"/>
    <w:rsid w:val="0054703C"/>
    <w:rsid w:val="00554BB8"/>
    <w:rsid w:val="005571FC"/>
    <w:rsid w:val="00564475"/>
    <w:rsid w:val="00565B11"/>
    <w:rsid w:val="00571C93"/>
    <w:rsid w:val="005755CA"/>
    <w:rsid w:val="00575F6F"/>
    <w:rsid w:val="00580C39"/>
    <w:rsid w:val="005825B8"/>
    <w:rsid w:val="005830D3"/>
    <w:rsid w:val="005838DB"/>
    <w:rsid w:val="00587127"/>
    <w:rsid w:val="005923CF"/>
    <w:rsid w:val="0059416E"/>
    <w:rsid w:val="005947EF"/>
    <w:rsid w:val="005A0CE2"/>
    <w:rsid w:val="005A2456"/>
    <w:rsid w:val="005A2715"/>
    <w:rsid w:val="005A34D8"/>
    <w:rsid w:val="005A3594"/>
    <w:rsid w:val="005B1595"/>
    <w:rsid w:val="005B3413"/>
    <w:rsid w:val="005B343F"/>
    <w:rsid w:val="005D11C7"/>
    <w:rsid w:val="005D542E"/>
    <w:rsid w:val="005D6A47"/>
    <w:rsid w:val="005E2F69"/>
    <w:rsid w:val="005E5701"/>
    <w:rsid w:val="005E7008"/>
    <w:rsid w:val="005E78F5"/>
    <w:rsid w:val="006010FC"/>
    <w:rsid w:val="006011FA"/>
    <w:rsid w:val="00602331"/>
    <w:rsid w:val="00603ACB"/>
    <w:rsid w:val="00613318"/>
    <w:rsid w:val="0061580F"/>
    <w:rsid w:val="00625AAC"/>
    <w:rsid w:val="006263DB"/>
    <w:rsid w:val="00631F11"/>
    <w:rsid w:val="00633131"/>
    <w:rsid w:val="00633A62"/>
    <w:rsid w:val="00636089"/>
    <w:rsid w:val="006367C1"/>
    <w:rsid w:val="006376DC"/>
    <w:rsid w:val="00642416"/>
    <w:rsid w:val="006434EA"/>
    <w:rsid w:val="006448CD"/>
    <w:rsid w:val="0064678C"/>
    <w:rsid w:val="00647F6F"/>
    <w:rsid w:val="00653AB3"/>
    <w:rsid w:val="006554F3"/>
    <w:rsid w:val="00657D7C"/>
    <w:rsid w:val="0066220E"/>
    <w:rsid w:val="00665182"/>
    <w:rsid w:val="00666D94"/>
    <w:rsid w:val="00670025"/>
    <w:rsid w:val="006700C8"/>
    <w:rsid w:val="0067149D"/>
    <w:rsid w:val="0067164A"/>
    <w:rsid w:val="00672CD1"/>
    <w:rsid w:val="0068123C"/>
    <w:rsid w:val="00682567"/>
    <w:rsid w:val="006827BC"/>
    <w:rsid w:val="00682D3F"/>
    <w:rsid w:val="006837EE"/>
    <w:rsid w:val="0068788F"/>
    <w:rsid w:val="00695F51"/>
    <w:rsid w:val="0069734E"/>
    <w:rsid w:val="006A032F"/>
    <w:rsid w:val="006A2491"/>
    <w:rsid w:val="006A2E9B"/>
    <w:rsid w:val="006A4313"/>
    <w:rsid w:val="006A7117"/>
    <w:rsid w:val="006B2007"/>
    <w:rsid w:val="006B2FA9"/>
    <w:rsid w:val="006B3200"/>
    <w:rsid w:val="006B71B1"/>
    <w:rsid w:val="006C6B86"/>
    <w:rsid w:val="006D03E9"/>
    <w:rsid w:val="006D04CC"/>
    <w:rsid w:val="006D47F1"/>
    <w:rsid w:val="006D704F"/>
    <w:rsid w:val="006E044F"/>
    <w:rsid w:val="006E25CA"/>
    <w:rsid w:val="006E2DA7"/>
    <w:rsid w:val="006F6D73"/>
    <w:rsid w:val="00704628"/>
    <w:rsid w:val="007066FE"/>
    <w:rsid w:val="00710147"/>
    <w:rsid w:val="00714A36"/>
    <w:rsid w:val="00715546"/>
    <w:rsid w:val="00725911"/>
    <w:rsid w:val="00726832"/>
    <w:rsid w:val="00731858"/>
    <w:rsid w:val="00731D38"/>
    <w:rsid w:val="00734219"/>
    <w:rsid w:val="00734725"/>
    <w:rsid w:val="0073482F"/>
    <w:rsid w:val="007419CB"/>
    <w:rsid w:val="0075022C"/>
    <w:rsid w:val="007535F5"/>
    <w:rsid w:val="00755DAC"/>
    <w:rsid w:val="00761E8D"/>
    <w:rsid w:val="00763D34"/>
    <w:rsid w:val="00765027"/>
    <w:rsid w:val="0076587C"/>
    <w:rsid w:val="00765D09"/>
    <w:rsid w:val="00767A5C"/>
    <w:rsid w:val="00773A20"/>
    <w:rsid w:val="007768BC"/>
    <w:rsid w:val="0078044B"/>
    <w:rsid w:val="00782EBB"/>
    <w:rsid w:val="007870CC"/>
    <w:rsid w:val="007A1C8B"/>
    <w:rsid w:val="007A42EB"/>
    <w:rsid w:val="007A76C0"/>
    <w:rsid w:val="007B7DA5"/>
    <w:rsid w:val="007C0BF5"/>
    <w:rsid w:val="007C1EDB"/>
    <w:rsid w:val="007C1FD8"/>
    <w:rsid w:val="007C2267"/>
    <w:rsid w:val="007C7717"/>
    <w:rsid w:val="007C78E5"/>
    <w:rsid w:val="007C7A9D"/>
    <w:rsid w:val="007D059F"/>
    <w:rsid w:val="007D2188"/>
    <w:rsid w:val="007E2D8F"/>
    <w:rsid w:val="007E661C"/>
    <w:rsid w:val="007F52B4"/>
    <w:rsid w:val="007F6537"/>
    <w:rsid w:val="007F685A"/>
    <w:rsid w:val="00803055"/>
    <w:rsid w:val="00812B28"/>
    <w:rsid w:val="00813D09"/>
    <w:rsid w:val="008142C5"/>
    <w:rsid w:val="00815CBD"/>
    <w:rsid w:val="00816A5E"/>
    <w:rsid w:val="0081771E"/>
    <w:rsid w:val="008216CA"/>
    <w:rsid w:val="00824939"/>
    <w:rsid w:val="008251F7"/>
    <w:rsid w:val="00826131"/>
    <w:rsid w:val="00835C3C"/>
    <w:rsid w:val="008360F2"/>
    <w:rsid w:val="00842688"/>
    <w:rsid w:val="008434FA"/>
    <w:rsid w:val="00843C97"/>
    <w:rsid w:val="00846261"/>
    <w:rsid w:val="00846324"/>
    <w:rsid w:val="00850218"/>
    <w:rsid w:val="00851470"/>
    <w:rsid w:val="00854A50"/>
    <w:rsid w:val="00855711"/>
    <w:rsid w:val="0085696D"/>
    <w:rsid w:val="0085740F"/>
    <w:rsid w:val="00857C02"/>
    <w:rsid w:val="00860272"/>
    <w:rsid w:val="00862208"/>
    <w:rsid w:val="0086547D"/>
    <w:rsid w:val="00865B55"/>
    <w:rsid w:val="00870FEE"/>
    <w:rsid w:val="008713E6"/>
    <w:rsid w:val="00875E00"/>
    <w:rsid w:val="008762B2"/>
    <w:rsid w:val="00876A43"/>
    <w:rsid w:val="0088172A"/>
    <w:rsid w:val="008825C6"/>
    <w:rsid w:val="0088476B"/>
    <w:rsid w:val="00890456"/>
    <w:rsid w:val="008908BC"/>
    <w:rsid w:val="0089650C"/>
    <w:rsid w:val="008C059C"/>
    <w:rsid w:val="008C368B"/>
    <w:rsid w:val="008C379A"/>
    <w:rsid w:val="008C5E44"/>
    <w:rsid w:val="008D142D"/>
    <w:rsid w:val="008D1C65"/>
    <w:rsid w:val="008D596F"/>
    <w:rsid w:val="008E02CB"/>
    <w:rsid w:val="008E150B"/>
    <w:rsid w:val="008F092F"/>
    <w:rsid w:val="008F0F8D"/>
    <w:rsid w:val="00903279"/>
    <w:rsid w:val="0090404A"/>
    <w:rsid w:val="00913838"/>
    <w:rsid w:val="009169F9"/>
    <w:rsid w:val="009201B6"/>
    <w:rsid w:val="0092046C"/>
    <w:rsid w:val="00920894"/>
    <w:rsid w:val="0092178E"/>
    <w:rsid w:val="00924B64"/>
    <w:rsid w:val="00932A89"/>
    <w:rsid w:val="009334B1"/>
    <w:rsid w:val="00933E43"/>
    <w:rsid w:val="00934BD3"/>
    <w:rsid w:val="009377BE"/>
    <w:rsid w:val="0093795C"/>
    <w:rsid w:val="009409C9"/>
    <w:rsid w:val="00942C0B"/>
    <w:rsid w:val="009436FD"/>
    <w:rsid w:val="00944BDA"/>
    <w:rsid w:val="009479A6"/>
    <w:rsid w:val="009518C7"/>
    <w:rsid w:val="00952392"/>
    <w:rsid w:val="00953F21"/>
    <w:rsid w:val="0096065E"/>
    <w:rsid w:val="00962512"/>
    <w:rsid w:val="00963118"/>
    <w:rsid w:val="00963743"/>
    <w:rsid w:val="009649B1"/>
    <w:rsid w:val="00970D5D"/>
    <w:rsid w:val="0097707B"/>
    <w:rsid w:val="00983A6B"/>
    <w:rsid w:val="0098461C"/>
    <w:rsid w:val="009900E1"/>
    <w:rsid w:val="009922F8"/>
    <w:rsid w:val="009924E1"/>
    <w:rsid w:val="009A0F71"/>
    <w:rsid w:val="009A0F8A"/>
    <w:rsid w:val="009A334D"/>
    <w:rsid w:val="009A47D7"/>
    <w:rsid w:val="009B4091"/>
    <w:rsid w:val="009B7401"/>
    <w:rsid w:val="009C1C6B"/>
    <w:rsid w:val="009C29E4"/>
    <w:rsid w:val="009C2A16"/>
    <w:rsid w:val="009C5C0C"/>
    <w:rsid w:val="009D3CDE"/>
    <w:rsid w:val="009D7C3A"/>
    <w:rsid w:val="009E123E"/>
    <w:rsid w:val="009E12BA"/>
    <w:rsid w:val="00A06BB3"/>
    <w:rsid w:val="00A12DA5"/>
    <w:rsid w:val="00A14611"/>
    <w:rsid w:val="00A14C6F"/>
    <w:rsid w:val="00A17FF2"/>
    <w:rsid w:val="00A21413"/>
    <w:rsid w:val="00A238D9"/>
    <w:rsid w:val="00A30BEA"/>
    <w:rsid w:val="00A36790"/>
    <w:rsid w:val="00A47039"/>
    <w:rsid w:val="00A4749B"/>
    <w:rsid w:val="00A503AE"/>
    <w:rsid w:val="00A66A6F"/>
    <w:rsid w:val="00A71692"/>
    <w:rsid w:val="00A7480E"/>
    <w:rsid w:val="00A76BB4"/>
    <w:rsid w:val="00A815B1"/>
    <w:rsid w:val="00A83234"/>
    <w:rsid w:val="00A90AF0"/>
    <w:rsid w:val="00A93067"/>
    <w:rsid w:val="00A9539A"/>
    <w:rsid w:val="00A95749"/>
    <w:rsid w:val="00A976B4"/>
    <w:rsid w:val="00AA21ED"/>
    <w:rsid w:val="00AA58F2"/>
    <w:rsid w:val="00AA5D69"/>
    <w:rsid w:val="00AA6979"/>
    <w:rsid w:val="00AB04DC"/>
    <w:rsid w:val="00AB38ED"/>
    <w:rsid w:val="00AB5696"/>
    <w:rsid w:val="00AB787C"/>
    <w:rsid w:val="00AD0B7C"/>
    <w:rsid w:val="00AD5DE7"/>
    <w:rsid w:val="00AE12A5"/>
    <w:rsid w:val="00AE24F2"/>
    <w:rsid w:val="00AE5194"/>
    <w:rsid w:val="00AF01B4"/>
    <w:rsid w:val="00AF05FD"/>
    <w:rsid w:val="00B04C75"/>
    <w:rsid w:val="00B13EED"/>
    <w:rsid w:val="00B157F5"/>
    <w:rsid w:val="00B207FF"/>
    <w:rsid w:val="00B23356"/>
    <w:rsid w:val="00B26AA8"/>
    <w:rsid w:val="00B27AB3"/>
    <w:rsid w:val="00B440E8"/>
    <w:rsid w:val="00B457ED"/>
    <w:rsid w:val="00B46545"/>
    <w:rsid w:val="00B51061"/>
    <w:rsid w:val="00B541C7"/>
    <w:rsid w:val="00B55526"/>
    <w:rsid w:val="00B56DC4"/>
    <w:rsid w:val="00B62107"/>
    <w:rsid w:val="00B67DC0"/>
    <w:rsid w:val="00B75B44"/>
    <w:rsid w:val="00B75CC2"/>
    <w:rsid w:val="00B769FC"/>
    <w:rsid w:val="00B7756D"/>
    <w:rsid w:val="00B77846"/>
    <w:rsid w:val="00B83C71"/>
    <w:rsid w:val="00B90C6E"/>
    <w:rsid w:val="00B94B80"/>
    <w:rsid w:val="00BA2AC4"/>
    <w:rsid w:val="00BA77CA"/>
    <w:rsid w:val="00BB5E50"/>
    <w:rsid w:val="00BC147E"/>
    <w:rsid w:val="00BC1C53"/>
    <w:rsid w:val="00BC226E"/>
    <w:rsid w:val="00BC3EC3"/>
    <w:rsid w:val="00BC403A"/>
    <w:rsid w:val="00BD0C01"/>
    <w:rsid w:val="00BD0F9E"/>
    <w:rsid w:val="00BD1C38"/>
    <w:rsid w:val="00BD4334"/>
    <w:rsid w:val="00BF0996"/>
    <w:rsid w:val="00BF1D4F"/>
    <w:rsid w:val="00BF374D"/>
    <w:rsid w:val="00BF3E48"/>
    <w:rsid w:val="00BF488F"/>
    <w:rsid w:val="00BF6688"/>
    <w:rsid w:val="00C04D1B"/>
    <w:rsid w:val="00C076B8"/>
    <w:rsid w:val="00C07995"/>
    <w:rsid w:val="00C1431B"/>
    <w:rsid w:val="00C15474"/>
    <w:rsid w:val="00C169DD"/>
    <w:rsid w:val="00C170E4"/>
    <w:rsid w:val="00C221B5"/>
    <w:rsid w:val="00C236B4"/>
    <w:rsid w:val="00C241D1"/>
    <w:rsid w:val="00C24E80"/>
    <w:rsid w:val="00C25553"/>
    <w:rsid w:val="00C27B92"/>
    <w:rsid w:val="00C302AE"/>
    <w:rsid w:val="00C30767"/>
    <w:rsid w:val="00C312F1"/>
    <w:rsid w:val="00C33D21"/>
    <w:rsid w:val="00C34F7F"/>
    <w:rsid w:val="00C407E1"/>
    <w:rsid w:val="00C40870"/>
    <w:rsid w:val="00C41469"/>
    <w:rsid w:val="00C42346"/>
    <w:rsid w:val="00C430DE"/>
    <w:rsid w:val="00C458A7"/>
    <w:rsid w:val="00C47FB0"/>
    <w:rsid w:val="00C50E5E"/>
    <w:rsid w:val="00C53BEE"/>
    <w:rsid w:val="00C571AD"/>
    <w:rsid w:val="00C60584"/>
    <w:rsid w:val="00C63EB5"/>
    <w:rsid w:val="00C649A1"/>
    <w:rsid w:val="00C676D7"/>
    <w:rsid w:val="00C70878"/>
    <w:rsid w:val="00C70966"/>
    <w:rsid w:val="00C70CA1"/>
    <w:rsid w:val="00C77C77"/>
    <w:rsid w:val="00C81123"/>
    <w:rsid w:val="00C8694A"/>
    <w:rsid w:val="00C87974"/>
    <w:rsid w:val="00C916C8"/>
    <w:rsid w:val="00C94339"/>
    <w:rsid w:val="00C957B0"/>
    <w:rsid w:val="00C95B4F"/>
    <w:rsid w:val="00CA06FC"/>
    <w:rsid w:val="00CA2049"/>
    <w:rsid w:val="00CA220B"/>
    <w:rsid w:val="00CA5B66"/>
    <w:rsid w:val="00CA7DCB"/>
    <w:rsid w:val="00CB07E7"/>
    <w:rsid w:val="00CB1B59"/>
    <w:rsid w:val="00CB797D"/>
    <w:rsid w:val="00CC0FDC"/>
    <w:rsid w:val="00CC2E68"/>
    <w:rsid w:val="00CC46BC"/>
    <w:rsid w:val="00CD0AB6"/>
    <w:rsid w:val="00CD3BE6"/>
    <w:rsid w:val="00CD3F33"/>
    <w:rsid w:val="00CD41A6"/>
    <w:rsid w:val="00CD50A6"/>
    <w:rsid w:val="00CD5969"/>
    <w:rsid w:val="00CE0FEC"/>
    <w:rsid w:val="00CE4EB6"/>
    <w:rsid w:val="00CE5809"/>
    <w:rsid w:val="00CF0B52"/>
    <w:rsid w:val="00CF3EBF"/>
    <w:rsid w:val="00CF42A0"/>
    <w:rsid w:val="00CF5C09"/>
    <w:rsid w:val="00CF5E43"/>
    <w:rsid w:val="00CF67AC"/>
    <w:rsid w:val="00CF694D"/>
    <w:rsid w:val="00D062E1"/>
    <w:rsid w:val="00D07FA5"/>
    <w:rsid w:val="00D10C28"/>
    <w:rsid w:val="00D10DF9"/>
    <w:rsid w:val="00D1535E"/>
    <w:rsid w:val="00D15ABE"/>
    <w:rsid w:val="00D163A7"/>
    <w:rsid w:val="00D231F2"/>
    <w:rsid w:val="00D23512"/>
    <w:rsid w:val="00D2364F"/>
    <w:rsid w:val="00D30BCF"/>
    <w:rsid w:val="00D324BB"/>
    <w:rsid w:val="00D4056F"/>
    <w:rsid w:val="00D42419"/>
    <w:rsid w:val="00D430AD"/>
    <w:rsid w:val="00D44270"/>
    <w:rsid w:val="00D52BEE"/>
    <w:rsid w:val="00D61281"/>
    <w:rsid w:val="00D63F18"/>
    <w:rsid w:val="00D72A6B"/>
    <w:rsid w:val="00D72A87"/>
    <w:rsid w:val="00D73BCF"/>
    <w:rsid w:val="00D74D8F"/>
    <w:rsid w:val="00D76EEF"/>
    <w:rsid w:val="00D85188"/>
    <w:rsid w:val="00D86B4D"/>
    <w:rsid w:val="00D87AC7"/>
    <w:rsid w:val="00D907ED"/>
    <w:rsid w:val="00D93F31"/>
    <w:rsid w:val="00D97F02"/>
    <w:rsid w:val="00DA0C5B"/>
    <w:rsid w:val="00DA26BF"/>
    <w:rsid w:val="00DA4C42"/>
    <w:rsid w:val="00DA5C54"/>
    <w:rsid w:val="00DB123D"/>
    <w:rsid w:val="00DB171A"/>
    <w:rsid w:val="00DB3F49"/>
    <w:rsid w:val="00DB469C"/>
    <w:rsid w:val="00DC1833"/>
    <w:rsid w:val="00DC30A6"/>
    <w:rsid w:val="00DC4074"/>
    <w:rsid w:val="00DC5E52"/>
    <w:rsid w:val="00DD0200"/>
    <w:rsid w:val="00DD4D6E"/>
    <w:rsid w:val="00DD5A5D"/>
    <w:rsid w:val="00DD5DF7"/>
    <w:rsid w:val="00DE1A82"/>
    <w:rsid w:val="00DF193A"/>
    <w:rsid w:val="00DF28D7"/>
    <w:rsid w:val="00DF5A0F"/>
    <w:rsid w:val="00E02C87"/>
    <w:rsid w:val="00E04446"/>
    <w:rsid w:val="00E05D81"/>
    <w:rsid w:val="00E0635D"/>
    <w:rsid w:val="00E120D2"/>
    <w:rsid w:val="00E14856"/>
    <w:rsid w:val="00E1605B"/>
    <w:rsid w:val="00E161C1"/>
    <w:rsid w:val="00E2640D"/>
    <w:rsid w:val="00E33B48"/>
    <w:rsid w:val="00E411A5"/>
    <w:rsid w:val="00E435CD"/>
    <w:rsid w:val="00E4411D"/>
    <w:rsid w:val="00E47285"/>
    <w:rsid w:val="00E5212E"/>
    <w:rsid w:val="00E564E0"/>
    <w:rsid w:val="00E56D2E"/>
    <w:rsid w:val="00E62732"/>
    <w:rsid w:val="00E62E65"/>
    <w:rsid w:val="00E65087"/>
    <w:rsid w:val="00E711CD"/>
    <w:rsid w:val="00E713E3"/>
    <w:rsid w:val="00E714D2"/>
    <w:rsid w:val="00E717C8"/>
    <w:rsid w:val="00E736E9"/>
    <w:rsid w:val="00E73990"/>
    <w:rsid w:val="00E764A5"/>
    <w:rsid w:val="00E876CE"/>
    <w:rsid w:val="00E877CD"/>
    <w:rsid w:val="00E91BBB"/>
    <w:rsid w:val="00E92657"/>
    <w:rsid w:val="00E93C48"/>
    <w:rsid w:val="00EA03A7"/>
    <w:rsid w:val="00EB6981"/>
    <w:rsid w:val="00EB75C4"/>
    <w:rsid w:val="00EC095A"/>
    <w:rsid w:val="00EC2330"/>
    <w:rsid w:val="00EC52DE"/>
    <w:rsid w:val="00ED44EF"/>
    <w:rsid w:val="00ED5E47"/>
    <w:rsid w:val="00EE0067"/>
    <w:rsid w:val="00EE1AA7"/>
    <w:rsid w:val="00EF2C74"/>
    <w:rsid w:val="00F000B6"/>
    <w:rsid w:val="00F00887"/>
    <w:rsid w:val="00F0427D"/>
    <w:rsid w:val="00F07BCF"/>
    <w:rsid w:val="00F20562"/>
    <w:rsid w:val="00F22AEA"/>
    <w:rsid w:val="00F243AD"/>
    <w:rsid w:val="00F24E5F"/>
    <w:rsid w:val="00F2643A"/>
    <w:rsid w:val="00F2731D"/>
    <w:rsid w:val="00F328AE"/>
    <w:rsid w:val="00F33027"/>
    <w:rsid w:val="00F35707"/>
    <w:rsid w:val="00F40A66"/>
    <w:rsid w:val="00F44CA5"/>
    <w:rsid w:val="00F47072"/>
    <w:rsid w:val="00F5158B"/>
    <w:rsid w:val="00F54626"/>
    <w:rsid w:val="00F54A6A"/>
    <w:rsid w:val="00F561FE"/>
    <w:rsid w:val="00F572E4"/>
    <w:rsid w:val="00F62C39"/>
    <w:rsid w:val="00F66C33"/>
    <w:rsid w:val="00F70140"/>
    <w:rsid w:val="00F7458B"/>
    <w:rsid w:val="00F758E2"/>
    <w:rsid w:val="00F816DB"/>
    <w:rsid w:val="00F82A69"/>
    <w:rsid w:val="00F92B37"/>
    <w:rsid w:val="00F92E31"/>
    <w:rsid w:val="00F94187"/>
    <w:rsid w:val="00F96F3C"/>
    <w:rsid w:val="00F97759"/>
    <w:rsid w:val="00FA0168"/>
    <w:rsid w:val="00FA2028"/>
    <w:rsid w:val="00FA2916"/>
    <w:rsid w:val="00FA30C2"/>
    <w:rsid w:val="00FA4F41"/>
    <w:rsid w:val="00FA57C3"/>
    <w:rsid w:val="00FB05D7"/>
    <w:rsid w:val="00FB07B9"/>
    <w:rsid w:val="00FB620E"/>
    <w:rsid w:val="00FB650E"/>
    <w:rsid w:val="00FB664C"/>
    <w:rsid w:val="00FC2E84"/>
    <w:rsid w:val="00FE1722"/>
    <w:rsid w:val="00FE3C81"/>
    <w:rsid w:val="00FE43CB"/>
    <w:rsid w:val="00FF0E1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8B26C6"/>
  <w15:chartTrackingRefBased/>
  <w15:docId w15:val="{A52D5742-3391-4993-A484-863BD3E3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F41"/>
    <w:pPr>
      <w:spacing w:after="0" w:line="240" w:lineRule="auto"/>
      <w:jc w:val="both"/>
    </w:pPr>
    <w:rPr>
      <w:rFonts w:ascii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4334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D4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334"/>
    <w:rPr>
      <w:rFonts w:ascii="Calibri" w:hAnsi="Calibri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6C6B86"/>
    <w:pPr>
      <w:ind w:left="170" w:hanging="17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C6B86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B8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EBF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semiHidden/>
    <w:rsid w:val="00B440E8"/>
  </w:style>
  <w:style w:type="table" w:styleId="Mkatabulky">
    <w:name w:val="Table Grid"/>
    <w:basedOn w:val="Normlntabulka"/>
    <w:uiPriority w:val="39"/>
    <w:rsid w:val="0014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1440E9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rsid w:val="00361BF6"/>
    <w:pPr>
      <w:ind w:left="720"/>
      <w:contextualSpacing/>
    </w:pPr>
  </w:style>
  <w:style w:type="character" w:customStyle="1" w:styleId="A1">
    <w:name w:val="A1"/>
    <w:uiPriority w:val="99"/>
    <w:rsid w:val="00D4056F"/>
    <w:rPr>
      <w:color w:val="000000"/>
      <w:sz w:val="28"/>
      <w:szCs w:val="28"/>
    </w:rPr>
  </w:style>
  <w:style w:type="paragraph" w:styleId="Revize">
    <w:name w:val="Revision"/>
    <w:hidden/>
    <w:uiPriority w:val="99"/>
    <w:semiHidden/>
    <w:rsid w:val="00345255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6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6A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6A4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A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A4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8244-D1E2-4A90-8F6A-EFB4A0E7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5939</Words>
  <Characters>35042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22/08 - Peněžní prostředky státu a Evropské unie určené na výstavbu dálnice D35</vt:lpstr>
    </vt:vector>
  </TitlesOfParts>
  <Company>NKÚ</Company>
  <LinksUpToDate>false</LinksUpToDate>
  <CharactersWithSpaces>40900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22/08 - Peněžní prostředky státu a Evropské unie určené na výstavbu dálnice D35</dc:title>
  <dc:subject>Kontrolní závěr z kontrolní akce NKÚ č. 22/08 - Peněžní prostředky státu a Evropské unie určené na výstavbu dálnice D35</dc:subject>
  <dc:creator>nku@NKU.cz</dc:creator>
  <cp:lastModifiedBy>KOKRDA Daniel</cp:lastModifiedBy>
  <cp:revision>3</cp:revision>
  <cp:lastPrinted>2023-10-10T06:25:00Z</cp:lastPrinted>
  <dcterms:created xsi:type="dcterms:W3CDTF">2023-10-10T06:18:00Z</dcterms:created>
  <dcterms:modified xsi:type="dcterms:W3CDTF">2023-10-10T06:25:00Z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128/23-NKU200/404/23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200/28/23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16.8.2023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&lt;TABLE&gt;&lt;TR&gt;&lt;TD&gt;Č.j.:&lt;/TD&gt;&lt;TD&gt;128/23-NKU200/404/23&lt;/TD&gt;&lt;/TR&gt;&lt;TR&gt;&lt;TD&gt;&lt;/TD&gt;&lt;TD&gt;&lt;/TD&gt;&lt;/TR&gt;&lt;/TABLE&gt;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kontrolní</vt:lpwstr>
  </property>
  <property fmtid="{D5CDD505-2E9C-101B-9397-08002B2CF9AE}" pid="16" name="DisplayName_UserPoriz_Pisemnost">
    <vt:lpwstr>Ivana Růžičková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23-10897/NKU</vt:lpwstr>
  </property>
  <property fmtid="{D5CDD505-2E9C-101B-9397-08002B2CF9AE}" pid="19" name="Key_BarCode_Pisemnost">
    <vt:lpwstr>*B000454139*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23-10897/NKU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128/23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KZ 22/08 - připomínkové řízení</vt:lpwstr>
  </property>
  <property fmtid="{D5CDD505-2E9C-101B-9397-08002B2CF9AE}" pid="41" name="Zkratka_SpisovyUzel_PoziceZodpo_Pisemnost">
    <vt:lpwstr>200</vt:lpwstr>
  </property>
</Properties>
</file>